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0"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4"/>
          <w:szCs w:val="14"/>
        </w:rPr>
      </w:pPr>
    </w:p>
    <w:p>
      <w:pPr>
        <w:spacing w:line="1422" w:lineRule="exact"/>
        <w:ind w:left="201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
          <w:sz w:val="20"/>
          <w:szCs w:val="20"/>
        </w:rPr>
        <w:drawing>
          <wp:inline distT="0" distB="0" distL="0" distR="0">
            <wp:extent cx="3761254" cy="903541"/>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3761254" cy="903541"/>
                    </a:xfrm>
                    <a:prstGeom prst="rect">
                      <a:avLst/>
                    </a:prstGeom>
                  </pic:spPr>
                </pic:pic>
              </a:graphicData>
            </a:graphic>
          </wp:inline>
        </w:drawing>
      </w:r>
      <w:r>
        <w:rPr>
          <w:rFonts w:ascii="Times New Roman" w:hAnsi="Times New Roman" w:cs="Times New Roman" w:eastAsia="Times New Roman" w:hint="default"/>
          <w:position w:val="-27"/>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line="540" w:lineRule="exact" w:before="0"/>
        <w:ind w:left="134" w:right="1111" w:firstLine="0"/>
        <w:jc w:val="center"/>
        <w:rPr>
          <w:rFonts w:ascii="宋体" w:hAnsi="宋体" w:cs="宋体" w:eastAsia="宋体" w:hint="default"/>
          <w:sz w:val="44"/>
          <w:szCs w:val="44"/>
        </w:rPr>
      </w:pPr>
      <w:r>
        <w:rPr>
          <w:rFonts w:ascii="宋体" w:hAnsi="宋体" w:cs="宋体" w:eastAsia="宋体" w:hint="default"/>
          <w:b/>
          <w:bCs/>
          <w:sz w:val="44"/>
          <w:szCs w:val="44"/>
        </w:rPr>
        <w:t>中文在线数字出版集团股份有限公司</w:t>
      </w:r>
      <w:r>
        <w:rPr>
          <w:rFonts w:ascii="宋体" w:hAnsi="宋体" w:cs="宋体" w:eastAsia="宋体" w:hint="default"/>
          <w:sz w:val="44"/>
          <w:szCs w:val="44"/>
        </w:rPr>
      </w:r>
    </w:p>
    <w:p>
      <w:pPr>
        <w:spacing w:line="240" w:lineRule="auto" w:before="8"/>
        <w:rPr>
          <w:rFonts w:ascii="宋体" w:hAnsi="宋体" w:cs="宋体" w:eastAsia="宋体" w:hint="default"/>
          <w:b/>
          <w:bCs/>
          <w:sz w:val="30"/>
          <w:szCs w:val="30"/>
        </w:rPr>
      </w:pPr>
    </w:p>
    <w:p>
      <w:pPr>
        <w:spacing w:before="0"/>
        <w:ind w:left="134" w:right="1116" w:firstLine="0"/>
        <w:jc w:val="center"/>
        <w:rPr>
          <w:rFonts w:ascii="宋体" w:hAnsi="宋体" w:cs="宋体" w:eastAsia="宋体" w:hint="default"/>
          <w:sz w:val="40"/>
          <w:szCs w:val="40"/>
        </w:rPr>
      </w:pPr>
      <w:r>
        <w:rPr>
          <w:rFonts w:ascii="宋体" w:hAnsi="宋体" w:cs="宋体" w:eastAsia="宋体" w:hint="default"/>
          <w:b/>
          <w:bCs/>
          <w:sz w:val="40"/>
          <w:szCs w:val="40"/>
        </w:rPr>
        <w:t>2018</w:t>
      </w:r>
      <w:r>
        <w:rPr>
          <w:rFonts w:ascii="宋体" w:hAnsi="宋体" w:cs="宋体" w:eastAsia="宋体" w:hint="default"/>
          <w:b/>
          <w:bCs/>
          <w:spacing w:val="-109"/>
          <w:sz w:val="40"/>
          <w:szCs w:val="40"/>
        </w:rPr>
        <w:t> </w:t>
      </w:r>
      <w:r>
        <w:rPr>
          <w:rFonts w:ascii="宋体" w:hAnsi="宋体" w:cs="宋体" w:eastAsia="宋体" w:hint="default"/>
          <w:b/>
          <w:bCs/>
          <w:sz w:val="40"/>
          <w:szCs w:val="40"/>
        </w:rPr>
        <w:t>年年度报告</w:t>
      </w:r>
      <w:r>
        <w:rPr>
          <w:rFonts w:ascii="宋体" w:hAnsi="宋体" w:cs="宋体" w:eastAsia="宋体" w:hint="default"/>
          <w:sz w:val="40"/>
          <w:szCs w:val="40"/>
        </w:rPr>
      </w:r>
    </w:p>
    <w:p>
      <w:pPr>
        <w:spacing w:line="240" w:lineRule="auto" w:before="3"/>
        <w:rPr>
          <w:rFonts w:ascii="宋体" w:hAnsi="宋体" w:cs="宋体" w:eastAsia="宋体" w:hint="default"/>
          <w:b/>
          <w:bCs/>
          <w:sz w:val="31"/>
          <w:szCs w:val="31"/>
        </w:rPr>
      </w:pPr>
    </w:p>
    <w:p>
      <w:pPr>
        <w:spacing w:before="0"/>
        <w:ind w:left="134" w:right="1111" w:firstLine="0"/>
        <w:jc w:val="center"/>
        <w:rPr>
          <w:rFonts w:ascii="宋体" w:hAnsi="宋体" w:cs="宋体" w:eastAsia="宋体" w:hint="default"/>
          <w:sz w:val="32"/>
          <w:szCs w:val="32"/>
        </w:rPr>
      </w:pPr>
      <w:r>
        <w:rPr>
          <w:rFonts w:ascii="宋体" w:hAnsi="宋体" w:cs="宋体" w:eastAsia="宋体" w:hint="default"/>
          <w:b/>
          <w:bCs/>
          <w:sz w:val="32"/>
          <w:szCs w:val="32"/>
        </w:rPr>
        <w:t>（</w:t>
      </w:r>
      <w:r>
        <w:rPr>
          <w:rFonts w:ascii="宋体" w:hAnsi="宋体" w:cs="宋体" w:eastAsia="宋体" w:hint="default"/>
          <w:b/>
          <w:bCs/>
          <w:sz w:val="32"/>
          <w:szCs w:val="32"/>
        </w:rPr>
        <w:t>2019-036</w:t>
      </w:r>
      <w:r>
        <w:rPr>
          <w:rFonts w:ascii="宋体" w:hAnsi="宋体" w:cs="宋体" w:eastAsia="宋体" w:hint="default"/>
          <w:b/>
          <w:bCs/>
          <w:sz w:val="32"/>
          <w:szCs w:val="32"/>
        </w:rPr>
        <w:t>）</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3"/>
        <w:rPr>
          <w:rFonts w:ascii="宋体" w:hAnsi="宋体" w:cs="宋体" w:eastAsia="宋体" w:hint="default"/>
          <w:b/>
          <w:bCs/>
          <w:sz w:val="42"/>
          <w:szCs w:val="42"/>
        </w:rPr>
      </w:pPr>
    </w:p>
    <w:p>
      <w:pPr>
        <w:spacing w:before="0"/>
        <w:ind w:left="134" w:right="1110" w:firstLine="0"/>
        <w:jc w:val="center"/>
        <w:rPr>
          <w:rFonts w:ascii="宋体" w:hAnsi="宋体" w:cs="宋体" w:eastAsia="宋体" w:hint="default"/>
          <w:sz w:val="32"/>
          <w:szCs w:val="32"/>
        </w:rPr>
      </w:pPr>
      <w:r>
        <w:rPr>
          <w:rFonts w:ascii="宋体" w:hAnsi="宋体" w:cs="宋体" w:eastAsia="宋体" w:hint="default"/>
          <w:b/>
          <w:bCs/>
          <w:sz w:val="32"/>
          <w:szCs w:val="32"/>
        </w:rPr>
        <w:t>2019</w:t>
      </w:r>
      <w:r>
        <w:rPr>
          <w:rFonts w:ascii="宋体" w:hAnsi="宋体" w:cs="宋体" w:eastAsia="宋体" w:hint="default"/>
          <w:b/>
          <w:bCs/>
          <w:spacing w:val="-82"/>
          <w:sz w:val="32"/>
          <w:szCs w:val="32"/>
        </w:rPr>
        <w:t> </w:t>
      </w:r>
      <w:r>
        <w:rPr>
          <w:rFonts w:ascii="宋体" w:hAnsi="宋体" w:cs="宋体" w:eastAsia="宋体" w:hint="default"/>
          <w:b/>
          <w:bCs/>
          <w:sz w:val="32"/>
          <w:szCs w:val="32"/>
        </w:rPr>
        <w:t>年</w:t>
      </w:r>
      <w:r>
        <w:rPr>
          <w:rFonts w:ascii="宋体" w:hAnsi="宋体" w:cs="宋体" w:eastAsia="宋体" w:hint="default"/>
          <w:b/>
          <w:bCs/>
          <w:spacing w:val="-83"/>
          <w:sz w:val="32"/>
          <w:szCs w:val="32"/>
        </w:rPr>
        <w:t> </w:t>
      </w:r>
      <w:r>
        <w:rPr>
          <w:rFonts w:ascii="宋体" w:hAnsi="宋体" w:cs="宋体" w:eastAsia="宋体" w:hint="default"/>
          <w:b/>
          <w:bCs/>
          <w:sz w:val="32"/>
          <w:szCs w:val="32"/>
        </w:rPr>
        <w:t>04</w:t>
      </w:r>
      <w:r>
        <w:rPr>
          <w:rFonts w:ascii="宋体" w:hAnsi="宋体" w:cs="宋体" w:eastAsia="宋体" w:hint="default"/>
          <w:b/>
          <w:bCs/>
          <w:spacing w:val="-83"/>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979" w:top="1060" w:bottom="1160" w:left="980" w:right="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right="1113"/>
        <w:jc w:val="center"/>
        <w:rPr>
          <w:b w:val="0"/>
          <w:bCs w:val="0"/>
        </w:rPr>
      </w:pPr>
      <w:bookmarkStart w:name="第一节 重要提示、目录和释义" w:id="1"/>
      <w:bookmarkEnd w:id="1"/>
      <w:r>
        <w:rPr>
          <w:b w:val="0"/>
          <w:bCs w:val="0"/>
        </w:rPr>
      </w:r>
      <w:r>
        <w:rPr/>
        <w:t>第一节</w:t>
      </w:r>
      <w:r>
        <w:rPr>
          <w:spacing w:val="-11"/>
        </w:rPr>
        <w:t> </w:t>
      </w:r>
      <w:r>
        <w:rPr/>
        <w:t>重要提示、目录和释义</w:t>
      </w:r>
      <w:r>
        <w:rPr>
          <w:b w:val="0"/>
          <w:bCs w:val="0"/>
        </w:rPr>
      </w:r>
    </w:p>
    <w:p>
      <w:pPr>
        <w:spacing w:line="240" w:lineRule="auto" w:before="10"/>
        <w:rPr>
          <w:rFonts w:ascii="宋体" w:hAnsi="宋体" w:cs="宋体" w:eastAsia="宋体" w:hint="default"/>
          <w:b/>
          <w:bCs/>
          <w:sz w:val="44"/>
          <w:szCs w:val="44"/>
        </w:rPr>
      </w:pPr>
    </w:p>
    <w:p>
      <w:pPr>
        <w:pStyle w:val="BodyText"/>
        <w:spacing w:line="357" w:lineRule="auto"/>
        <w:ind w:right="1140" w:firstLine="480"/>
        <w:jc w:val="both"/>
      </w:pPr>
      <w:r>
        <w:rPr/>
        <w:t>公司董事会、监事会及董事、监事、高级管理人员保证年度报告内容的真实、准确、完 整，不存在虚假记载、误导性陈述或重大遗漏，并承担个别和连带的法律责任。</w:t>
      </w:r>
    </w:p>
    <w:p>
      <w:pPr>
        <w:pStyle w:val="BodyText"/>
        <w:spacing w:line="357" w:lineRule="auto" w:before="136"/>
        <w:ind w:right="1128" w:firstLine="480"/>
        <w:jc w:val="both"/>
      </w:pPr>
      <w:r>
        <w:rPr/>
        <w:t>公司负责人童之磊、主管会计工作负责人贾庆丰及会计机构负责人</w:t>
      </w:r>
      <w:r>
        <w:rPr>
          <w:rFonts w:ascii="宋体" w:hAnsi="宋体" w:cs="宋体" w:eastAsia="宋体" w:hint="default"/>
        </w:rPr>
        <w:t>(</w:t>
      </w:r>
      <w:r>
        <w:rPr/>
        <w:t>会计主管人员</w:t>
      </w:r>
      <w:r>
        <w:rPr>
          <w:rFonts w:ascii="宋体" w:hAnsi="宋体" w:cs="宋体" w:eastAsia="宋体" w:hint="default"/>
        </w:rPr>
        <w:t>)</w:t>
      </w:r>
      <w:r>
        <w:rPr/>
        <w:t>祝君</w:t>
      </w:r>
      <w:r>
        <w:rPr>
          <w:spacing w:val="2"/>
        </w:rPr>
        <w:t> </w:t>
      </w:r>
      <w:r>
        <w:rPr/>
        <w:t>声明：保证年度报告中财务报告的真实、准确、完整。</w:t>
      </w:r>
    </w:p>
    <w:p>
      <w:pPr>
        <w:pStyle w:val="BodyText"/>
        <w:spacing w:line="434" w:lineRule="auto" w:before="136"/>
        <w:ind w:left="634" w:right="1092"/>
        <w:jc w:val="left"/>
      </w:pPr>
      <w:r>
        <w:rPr/>
        <w:t>所有董事均已出席了审议本报告的董事会会议。 本公司请投资者认真阅读本年度报告全文，并特别注意下列风险因素： </w:t>
      </w:r>
      <w:r>
        <w:rPr>
          <w:rFonts w:ascii="宋体" w:hAnsi="宋体" w:cs="宋体" w:eastAsia="宋体" w:hint="default"/>
        </w:rPr>
        <w:t>1</w:t>
      </w:r>
      <w:r>
        <w:rPr/>
        <w:t>、宏观经济波动 数字出版行业是依托于数字技术、信息技术、网络技术的新兴出版行业。随着数字出版</w:t>
      </w:r>
    </w:p>
    <w:p>
      <w:pPr>
        <w:pStyle w:val="BodyText"/>
        <w:spacing w:line="274" w:lineRule="exact"/>
        <w:ind w:right="0"/>
        <w:jc w:val="both"/>
      </w:pPr>
      <w:r>
        <w:rPr/>
        <w:t>新技术、新产品、新业态不断涌现，新的消费理念不断形成，中国数字出版产业呈现出产业</w:t>
      </w:r>
    </w:p>
    <w:p>
      <w:pPr>
        <w:pStyle w:val="BodyText"/>
        <w:spacing w:line="357" w:lineRule="auto" w:before="154"/>
        <w:ind w:right="1139"/>
        <w:jc w:val="both"/>
      </w:pPr>
      <w:r>
        <w:rPr/>
        <w:t>规模不断扩大、产品形态日益丰富、盈利模式日趋成熟、传统出版企业转型步伐加快、数字 阅读消费需求日益旺盛的特点。近年来，随着宏观经济和信息文化需求的不断增长，人们对 数字版权阅读产品和服务的需求也呈现不断增长的态势。数字出版行业与国民经济呈现一定 的相关性，宏观经济波动将导致数字阅读类产品和服务的需求出现一定的波动。</w:t>
      </w:r>
    </w:p>
    <w:p>
      <w:pPr>
        <w:pStyle w:val="BodyText"/>
        <w:spacing w:line="434" w:lineRule="auto" w:before="136"/>
        <w:ind w:left="634" w:right="999"/>
        <w:jc w:val="left"/>
      </w:pPr>
      <w:r>
        <w:rPr>
          <w:rFonts w:ascii="宋体" w:hAnsi="宋体" w:cs="宋体" w:eastAsia="宋体" w:hint="default"/>
        </w:rPr>
        <w:t>2</w:t>
      </w:r>
      <w:r>
        <w:rPr/>
        <w:t>、版权采集价格上涨的风险 </w:t>
      </w:r>
      <w:r>
        <w:rPr>
          <w:spacing w:val="-3"/>
        </w:rPr>
        <w:t>优质数字内容是吸引客户付费阅读的重要因素，随着数字出版行业盈利模式的逐渐成熟，</w:t>
      </w:r>
    </w:p>
    <w:p>
      <w:pPr>
        <w:pStyle w:val="BodyText"/>
        <w:spacing w:line="274" w:lineRule="exact"/>
        <w:ind w:right="0"/>
        <w:jc w:val="both"/>
      </w:pPr>
      <w:r>
        <w:rPr/>
        <w:t>优质版权竞争加剧，同时版权所有者要求的买断价格和版税分成比例也逐年上升。上述原因</w:t>
      </w:r>
    </w:p>
    <w:p>
      <w:pPr>
        <w:pStyle w:val="BodyText"/>
        <w:spacing w:line="357" w:lineRule="auto" w:before="154"/>
        <w:ind w:right="1139"/>
        <w:jc w:val="both"/>
      </w:pPr>
      <w:r>
        <w:rPr/>
        <w:t>导致公司的版权采购价格和支付给版权所有者的分成比例不断提高。未来若优质数字版权竞 争持续加剧，版权采集价格持续上涨，但却未能带来预期收入的增加，将对公司的持续盈利 能力和成长性产生影响。</w:t>
      </w:r>
    </w:p>
    <w:p>
      <w:pPr>
        <w:pStyle w:val="BodyText"/>
        <w:spacing w:line="357" w:lineRule="auto" w:before="134"/>
        <w:ind w:right="1139" w:firstLine="480"/>
        <w:jc w:val="both"/>
      </w:pPr>
      <w:r>
        <w:rPr/>
        <w:t>对此，公司保持与网文大神、知名作家、畅销书作者等内容提供方之间的相互信赖和长 期合作，维持版权采集价格合理；同时，公司组织版权评审会，确保采集版权的未来收益， 从而降低版权采集价格上涨对公司带来的不利影响。</w:t>
      </w:r>
    </w:p>
    <w:p>
      <w:pPr>
        <w:pStyle w:val="BodyText"/>
        <w:spacing w:line="240" w:lineRule="auto" w:before="136"/>
        <w:ind w:left="634" w:right="1092"/>
        <w:jc w:val="left"/>
      </w:pPr>
      <w:r>
        <w:rPr>
          <w:rFonts w:ascii="宋体" w:hAnsi="宋体" w:cs="宋体" w:eastAsia="宋体" w:hint="default"/>
        </w:rPr>
        <w:t>3</w:t>
      </w:r>
      <w:r>
        <w:rPr/>
        <w:t>、应收款项回收风险</w:t>
      </w:r>
    </w:p>
    <w:p>
      <w:pPr>
        <w:spacing w:line="240" w:lineRule="auto" w:before="5"/>
        <w:rPr>
          <w:rFonts w:ascii="宋体" w:hAnsi="宋体" w:cs="宋体" w:eastAsia="宋体" w:hint="default"/>
          <w:sz w:val="19"/>
          <w:szCs w:val="19"/>
        </w:rPr>
      </w:pPr>
    </w:p>
    <w:p>
      <w:pPr>
        <w:pStyle w:val="BodyText"/>
        <w:spacing w:line="240" w:lineRule="auto"/>
        <w:ind w:left="634" w:right="1092"/>
        <w:jc w:val="left"/>
        <w:rPr>
          <w:rFonts w:ascii="宋体" w:hAnsi="宋体" w:cs="宋体" w:eastAsia="宋体" w:hint="default"/>
        </w:rPr>
      </w:pPr>
      <w:r>
        <w:rPr/>
        <w:t>最近三年各年</w:t>
      </w:r>
      <w:r>
        <w:rPr>
          <w:spacing w:val="-51"/>
        </w:rPr>
        <w:t>末</w:t>
      </w:r>
      <w:r>
        <w:rPr/>
        <w:t>（</w:t>
      </w:r>
      <w:r>
        <w:rPr>
          <w:rFonts w:ascii="宋体" w:hAnsi="宋体" w:cs="宋体" w:eastAsia="宋体" w:hint="default"/>
        </w:rPr>
        <w:t>2018</w:t>
      </w:r>
      <w:r>
        <w:rPr>
          <w:rFonts w:ascii="宋体" w:hAnsi="宋体" w:cs="宋体" w:eastAsia="宋体" w:hint="default"/>
          <w:spacing w:val="-60"/>
        </w:rPr>
        <w:t> </w:t>
      </w:r>
      <w:r>
        <w:rPr/>
        <w:t>年</w:t>
      </w:r>
      <w:r>
        <w:rPr>
          <w:spacing w:val="-51"/>
        </w:rPr>
        <w:t>、</w:t>
      </w:r>
      <w:r>
        <w:rPr>
          <w:rFonts w:ascii="宋体" w:hAnsi="宋体" w:cs="宋体" w:eastAsia="宋体" w:hint="default"/>
        </w:rPr>
        <w:t>2017</w:t>
      </w:r>
      <w:r>
        <w:rPr>
          <w:rFonts w:ascii="宋体" w:hAnsi="宋体" w:cs="宋体" w:eastAsia="宋体" w:hint="default"/>
          <w:spacing w:val="-60"/>
        </w:rPr>
        <w:t> </w:t>
      </w:r>
      <w:r>
        <w:rPr/>
        <w:t>年</w:t>
      </w:r>
      <w:r>
        <w:rPr>
          <w:spacing w:val="-51"/>
        </w:rPr>
        <w:t>、</w:t>
      </w:r>
      <w:r>
        <w:rPr>
          <w:rFonts w:ascii="宋体" w:hAnsi="宋体" w:cs="宋体" w:eastAsia="宋体" w:hint="default"/>
        </w:rPr>
        <w:t>2016</w:t>
      </w:r>
      <w:r>
        <w:rPr>
          <w:rFonts w:ascii="宋体" w:hAnsi="宋体" w:cs="宋体" w:eastAsia="宋体" w:hint="default"/>
          <w:spacing w:val="-60"/>
        </w:rPr>
        <w:t> </w:t>
      </w:r>
      <w:r>
        <w:rPr/>
        <w:t>年</w:t>
      </w:r>
      <w:r>
        <w:rPr>
          <w:spacing w:val="-120"/>
        </w:rPr>
        <w:t>）</w:t>
      </w:r>
      <w:r>
        <w:rPr>
          <w:spacing w:val="-51"/>
        </w:rPr>
        <w:t>，</w:t>
      </w:r>
      <w:r>
        <w:rPr/>
        <w:t>公司应收账款账面价值分别为</w:t>
      </w:r>
      <w:r>
        <w:rPr>
          <w:spacing w:val="-60"/>
        </w:rPr>
        <w:t> </w:t>
      </w:r>
      <w:r>
        <w:rPr>
          <w:rFonts w:ascii="宋体" w:hAnsi="宋体" w:cs="宋体" w:eastAsia="宋体" w:hint="default"/>
        </w:rPr>
        <w:t>23,294.04</w:t>
      </w:r>
    </w:p>
    <w:p>
      <w:pPr>
        <w:spacing w:after="0" w:line="240" w:lineRule="auto"/>
        <w:jc w:val="left"/>
        <w:rPr>
          <w:rFonts w:ascii="宋体" w:hAnsi="宋体" w:cs="宋体" w:eastAsia="宋体" w:hint="default"/>
        </w:rPr>
        <w:sectPr>
          <w:footerReference w:type="default" r:id="rId8"/>
          <w:pgSz w:w="11910" w:h="16840"/>
          <w:pgMar w:footer="979" w:header="747" w:top="1060" w:bottom="1160" w:left="980" w:right="0"/>
          <w:pgNumType w:start="2"/>
        </w:sectPr>
      </w:pPr>
    </w:p>
    <w:p>
      <w:pPr>
        <w:spacing w:line="240" w:lineRule="auto" w:before="12"/>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5"/>
          <w:szCs w:val="25"/>
        </w:rPr>
      </w:pPr>
    </w:p>
    <w:p>
      <w:pPr>
        <w:pStyle w:val="BodyText"/>
        <w:spacing w:line="357" w:lineRule="auto" w:before="26"/>
        <w:ind w:right="1130"/>
        <w:jc w:val="both"/>
      </w:pPr>
      <w:r>
        <w:rPr/>
        <w:t>万元、</w:t>
      </w:r>
      <w:r>
        <w:rPr>
          <w:rFonts w:ascii="宋体" w:hAnsi="宋体" w:cs="宋体" w:eastAsia="宋体" w:hint="default"/>
        </w:rPr>
        <w:t>13,338.36</w:t>
      </w:r>
      <w:r>
        <w:rPr>
          <w:rFonts w:ascii="宋体" w:hAnsi="宋体" w:cs="宋体" w:eastAsia="宋体" w:hint="default"/>
          <w:spacing w:val="-65"/>
        </w:rPr>
        <w:t> </w:t>
      </w:r>
      <w:r>
        <w:rPr/>
        <w:t>万元、</w:t>
      </w:r>
      <w:r>
        <w:rPr>
          <w:rFonts w:ascii="宋体" w:hAnsi="宋体" w:cs="宋体" w:eastAsia="宋体" w:hint="default"/>
        </w:rPr>
        <w:t>14,918.58</w:t>
      </w:r>
      <w:r>
        <w:rPr>
          <w:rFonts w:ascii="宋体" w:hAnsi="宋体" w:cs="宋体" w:eastAsia="宋体" w:hint="default"/>
          <w:spacing w:val="-65"/>
        </w:rPr>
        <w:t> </w:t>
      </w:r>
      <w:r>
        <w:rPr>
          <w:spacing w:val="-3"/>
        </w:rPr>
        <w:t>万元，应收账款金额较大，主要是因为：数字出版行业应</w:t>
      </w:r>
      <w:r>
        <w:rPr/>
        <w:t> 收账款结算周期和影视</w:t>
      </w:r>
      <w:r>
        <w:rPr>
          <w:spacing w:val="-58"/>
        </w:rPr>
        <w:t> </w:t>
      </w:r>
      <w:r>
        <w:rPr>
          <w:rFonts w:ascii="宋体" w:hAnsi="宋体" w:cs="宋体" w:eastAsia="宋体" w:hint="default"/>
        </w:rPr>
        <w:t>IP</w:t>
      </w:r>
      <w:r>
        <w:rPr>
          <w:rFonts w:ascii="宋体" w:hAnsi="宋体" w:cs="宋体" w:eastAsia="宋体" w:hint="default"/>
          <w:spacing w:val="-58"/>
        </w:rPr>
        <w:t> </w:t>
      </w:r>
      <w:r>
        <w:rPr>
          <w:spacing w:val="-3"/>
        </w:rPr>
        <w:t>衍生项目开发周期较长，致使公司应收账款余额及其占比增加。公</w:t>
      </w:r>
      <w:r>
        <w:rPr/>
        <w:t> 司一般在提供数字阅读产品后的</w:t>
      </w:r>
      <w:r>
        <w:rPr>
          <w:spacing w:val="-57"/>
        </w:rPr>
        <w:t> </w:t>
      </w:r>
      <w:r>
        <w:rPr>
          <w:rFonts w:ascii="宋体" w:hAnsi="宋体" w:cs="宋体" w:eastAsia="宋体" w:hint="default"/>
        </w:rPr>
        <w:t>4-5</w:t>
      </w:r>
      <w:r>
        <w:rPr>
          <w:rFonts w:ascii="宋体" w:hAnsi="宋体" w:cs="宋体" w:eastAsia="宋体" w:hint="default"/>
          <w:spacing w:val="-57"/>
        </w:rPr>
        <w:t> </w:t>
      </w:r>
      <w:r>
        <w:rPr>
          <w:spacing w:val="-5"/>
        </w:rPr>
        <w:t>个月后收到相关结算款项，报告期内，公司</w:t>
      </w:r>
      <w:r>
        <w:rPr>
          <w:spacing w:val="-57"/>
        </w:rPr>
        <w:t> </w:t>
      </w:r>
      <w:r>
        <w:rPr>
          <w:rFonts w:ascii="宋体" w:hAnsi="宋体" w:cs="宋体" w:eastAsia="宋体" w:hint="default"/>
        </w:rPr>
        <w:t>IP</w:t>
      </w:r>
      <w:r>
        <w:rPr>
          <w:rFonts w:ascii="宋体" w:hAnsi="宋体" w:cs="宋体" w:eastAsia="宋体" w:hint="default"/>
          <w:spacing w:val="-57"/>
        </w:rPr>
        <w:t> </w:t>
      </w:r>
      <w:r>
        <w:rPr/>
        <w:t>一体化开 发项目加速推进，与咪咕数字传媒有限公司等下游 </w:t>
      </w:r>
      <w:r>
        <w:rPr>
          <w:rFonts w:ascii="宋体" w:hAnsi="宋体" w:cs="宋体" w:eastAsia="宋体" w:hint="default"/>
        </w:rPr>
        <w:t>B</w:t>
      </w:r>
      <w:r>
        <w:rPr>
          <w:rFonts w:ascii="宋体" w:hAnsi="宋体" w:cs="宋体" w:eastAsia="宋体" w:hint="default"/>
          <w:spacing w:val="-81"/>
        </w:rPr>
        <w:t> </w:t>
      </w:r>
      <w:r>
        <w:rPr/>
        <w:t>端客户相关业务的结算周期较长，导致 各期末应收账款余额较大。如果未来公司客户持续扩大应收账款数额，延迟付款时间，可能</w:t>
      </w:r>
      <w:r>
        <w:rPr>
          <w:spacing w:val="-116"/>
        </w:rPr>
        <w:t> </w:t>
      </w:r>
      <w:r>
        <w:rPr>
          <w:spacing w:val="-116"/>
        </w:rPr>
      </w:r>
      <w:r>
        <w:rPr/>
        <w:t>会给公司扩大相应风险。</w:t>
      </w:r>
    </w:p>
    <w:p>
      <w:pPr>
        <w:pStyle w:val="BodyText"/>
        <w:spacing w:line="357" w:lineRule="auto" w:before="134"/>
        <w:ind w:right="1092" w:firstLine="480"/>
        <w:jc w:val="left"/>
      </w:pPr>
      <w:r>
        <w:rPr/>
        <w:t>针对规模较大的应收账款，公司进行实时跟踪，定期进行汇总分析，确保每笔应收账款 有跟踪、有反馈，从而降低应收款项回收风险。</w:t>
      </w:r>
    </w:p>
    <w:p>
      <w:pPr>
        <w:pStyle w:val="BodyText"/>
        <w:spacing w:line="240" w:lineRule="auto" w:before="137"/>
        <w:ind w:left="634" w:right="1092"/>
        <w:jc w:val="left"/>
      </w:pPr>
      <w:r>
        <w:rPr>
          <w:rFonts w:ascii="宋体" w:hAnsi="宋体" w:cs="宋体" w:eastAsia="宋体" w:hint="default"/>
        </w:rPr>
        <w:t>4</w:t>
      </w:r>
      <w:r>
        <w:rPr/>
        <w:t>、</w:t>
      </w:r>
      <w:r>
        <w:rPr>
          <w:rFonts w:ascii="宋体" w:hAnsi="宋体" w:cs="宋体" w:eastAsia="宋体" w:hint="default"/>
        </w:rPr>
        <w:t>IP</w:t>
      </w:r>
      <w:r>
        <w:rPr>
          <w:rFonts w:ascii="宋体" w:hAnsi="宋体" w:cs="宋体" w:eastAsia="宋体" w:hint="default"/>
          <w:spacing w:val="-60"/>
        </w:rPr>
        <w:t> </w:t>
      </w:r>
      <w:r>
        <w:rPr/>
        <w:t>运营风险</w:t>
      </w:r>
    </w:p>
    <w:p>
      <w:pPr>
        <w:spacing w:line="240" w:lineRule="auto" w:before="4"/>
        <w:rPr>
          <w:rFonts w:ascii="宋体" w:hAnsi="宋体" w:cs="宋体" w:eastAsia="宋体" w:hint="default"/>
          <w:sz w:val="19"/>
          <w:szCs w:val="19"/>
        </w:rPr>
      </w:pPr>
    </w:p>
    <w:p>
      <w:pPr>
        <w:pStyle w:val="BodyText"/>
        <w:spacing w:line="357" w:lineRule="auto"/>
        <w:ind w:right="999" w:firstLine="480"/>
        <w:jc w:val="left"/>
      </w:pPr>
      <w:r>
        <w:rPr/>
        <w:t>公司</w:t>
      </w:r>
      <w:r>
        <w:rPr>
          <w:spacing w:val="-50"/>
        </w:rPr>
        <w:t> </w:t>
      </w:r>
      <w:r>
        <w:rPr>
          <w:rFonts w:ascii="宋体" w:hAnsi="宋体" w:cs="宋体" w:eastAsia="宋体" w:hint="default"/>
        </w:rPr>
        <w:t>IP</w:t>
      </w:r>
      <w:r>
        <w:rPr>
          <w:rFonts w:ascii="宋体" w:hAnsi="宋体" w:cs="宋体" w:eastAsia="宋体" w:hint="default"/>
          <w:spacing w:val="-51"/>
        </w:rPr>
        <w:t> </w:t>
      </w:r>
      <w:r>
        <w:rPr/>
        <w:t>衍生出品业务以文学</w:t>
      </w:r>
      <w:r>
        <w:rPr>
          <w:spacing w:val="-51"/>
        </w:rPr>
        <w:t> </w:t>
      </w:r>
      <w:r>
        <w:rPr>
          <w:rFonts w:ascii="宋体" w:hAnsi="宋体" w:cs="宋体" w:eastAsia="宋体" w:hint="default"/>
        </w:rPr>
        <w:t>IP</w:t>
      </w:r>
      <w:r>
        <w:rPr>
          <w:rFonts w:ascii="宋体" w:hAnsi="宋体" w:cs="宋体" w:eastAsia="宋体" w:hint="default"/>
          <w:spacing w:val="-50"/>
        </w:rPr>
        <w:t> </w:t>
      </w:r>
      <w:r>
        <w:rPr/>
        <w:t>为核心，以授权、合作分成、联合出品等多种方式多维 度地深度开发大众娱乐产品，衍生为游戏、文学、动漫、互动式阅读产品、影视、听书、纸 书等，实现版权价值最大化。泛娱乐业务上游对应海量内容，下游通过自有渠道和合作渠道 将 </w:t>
      </w:r>
      <w:r>
        <w:rPr>
          <w:rFonts w:ascii="宋体" w:hAnsi="宋体" w:cs="宋体" w:eastAsia="宋体" w:hint="default"/>
        </w:rPr>
        <w:t>IP </w:t>
      </w:r>
      <w:r>
        <w:rPr/>
        <w:t>以不同形态传达至海量用户。</w:t>
      </w:r>
      <w:r>
        <w:rPr>
          <w:rFonts w:ascii="宋体" w:hAnsi="宋体" w:cs="宋体" w:eastAsia="宋体" w:hint="default"/>
        </w:rPr>
        <w:t>IP</w:t>
      </w:r>
      <w:r>
        <w:rPr>
          <w:rFonts w:ascii="宋体" w:hAnsi="宋体" w:cs="宋体" w:eastAsia="宋体" w:hint="default"/>
          <w:spacing w:val="-84"/>
        </w:rPr>
        <w:t> </w:t>
      </w:r>
      <w:r>
        <w:rPr/>
        <w:t>衍生项目改编、制作完成后，需要取得相关部门的审 批许可后方可发行与出品（例如影视、游戏、动漫、网络视听节目等均需要经过国家相关政 </w:t>
      </w:r>
      <w:r>
        <w:rPr>
          <w:spacing w:val="-16"/>
        </w:rPr>
        <w:t>府部门审批），因此</w:t>
      </w:r>
      <w:r>
        <w:rPr/>
        <w:t> </w:t>
      </w:r>
      <w:r>
        <w:rPr>
          <w:rFonts w:ascii="宋体" w:hAnsi="宋体" w:cs="宋体" w:eastAsia="宋体" w:hint="default"/>
        </w:rPr>
        <w:t>IP</w:t>
      </w:r>
      <w:r>
        <w:rPr>
          <w:rFonts w:ascii="宋体" w:hAnsi="宋体" w:cs="宋体" w:eastAsia="宋体" w:hint="default"/>
          <w:spacing w:val="-90"/>
        </w:rPr>
        <w:t> </w:t>
      </w:r>
      <w:r>
        <w:rPr>
          <w:spacing w:val="-3"/>
        </w:rPr>
        <w:t>项目存在进度延迟、审核不通过、发行失败的风险。同时，当前影视、</w:t>
      </w:r>
      <w:r>
        <w:rPr/>
        <w:t> 游戏等市场已形成激烈的竞争格局，用户对产品要求日趋提高，</w:t>
      </w:r>
      <w:r>
        <w:rPr>
          <w:rFonts w:ascii="宋体" w:hAnsi="宋体" w:cs="宋体" w:eastAsia="宋体" w:hint="default"/>
        </w:rPr>
        <w:t>IP</w:t>
      </w:r>
      <w:r>
        <w:rPr>
          <w:rFonts w:ascii="宋体" w:hAnsi="宋体" w:cs="宋体" w:eastAsia="宋体" w:hint="default"/>
          <w:spacing w:val="-68"/>
        </w:rPr>
        <w:t> </w:t>
      </w:r>
      <w:r>
        <w:rPr/>
        <w:t>衍生项目出品发行后，存 在市场效果不佳的风险。上述风险都可能会造成公司收入不及预期、账期延长、账款回收困 难，对公司盈利能力和成长性造成不利影响。</w:t>
      </w:r>
    </w:p>
    <w:p>
      <w:pPr>
        <w:pStyle w:val="BodyText"/>
        <w:spacing w:line="357" w:lineRule="auto" w:before="134"/>
        <w:ind w:right="996" w:firstLine="480"/>
        <w:jc w:val="left"/>
      </w:pPr>
      <w:r>
        <w:rPr/>
        <w:t>针对上述风险，公司设立了</w:t>
      </w:r>
      <w:r>
        <w:rPr>
          <w:spacing w:val="-70"/>
        </w:rPr>
        <w:t> </w:t>
      </w:r>
      <w:r>
        <w:rPr>
          <w:rFonts w:ascii="宋体" w:hAnsi="宋体" w:cs="宋体" w:eastAsia="宋体" w:hint="default"/>
        </w:rPr>
        <w:t>IP</w:t>
      </w:r>
      <w:r>
        <w:rPr>
          <w:rFonts w:ascii="宋体" w:hAnsi="宋体" w:cs="宋体" w:eastAsia="宋体" w:hint="default"/>
          <w:spacing w:val="-70"/>
        </w:rPr>
        <w:t> </w:t>
      </w:r>
      <w:r>
        <w:rPr/>
        <w:t>管理委员会，并制定了相关的</w:t>
      </w:r>
      <w:r>
        <w:rPr>
          <w:spacing w:val="-70"/>
        </w:rPr>
        <w:t> </w:t>
      </w:r>
      <w:r>
        <w:rPr>
          <w:rFonts w:ascii="宋体" w:hAnsi="宋体" w:cs="宋体" w:eastAsia="宋体" w:hint="default"/>
        </w:rPr>
        <w:t>IP</w:t>
      </w:r>
      <w:r>
        <w:rPr>
          <w:rFonts w:ascii="宋体" w:hAnsi="宋体" w:cs="宋体" w:eastAsia="宋体" w:hint="default"/>
          <w:spacing w:val="-70"/>
        </w:rPr>
        <w:t> </w:t>
      </w:r>
      <w:r>
        <w:rPr>
          <w:spacing w:val="-4"/>
        </w:rPr>
        <w:t>管理、评估、投资制度，</w:t>
      </w:r>
      <w:r>
        <w:rPr/>
        <w:t> 组织内部和外部专家评审论证，针对每个特定项目潜在风险进行充分的风险识别工作，并在</w:t>
      </w:r>
      <w:r>
        <w:rPr>
          <w:spacing w:val="-117"/>
        </w:rPr>
        <w:t> </w:t>
      </w:r>
      <w:r>
        <w:rPr>
          <w:spacing w:val="-117"/>
        </w:rPr>
      </w:r>
      <w:r>
        <w:rPr/>
        <w:t>合同中设置相应的保障条款，对于实施过程中的</w:t>
      </w:r>
      <w:r>
        <w:rPr>
          <w:spacing w:val="-63"/>
        </w:rPr>
        <w:t> </w:t>
      </w:r>
      <w:r>
        <w:rPr>
          <w:rFonts w:ascii="宋体" w:hAnsi="宋体" w:cs="宋体" w:eastAsia="宋体" w:hint="default"/>
        </w:rPr>
        <w:t>IP</w:t>
      </w:r>
      <w:r>
        <w:rPr>
          <w:rFonts w:ascii="宋体" w:hAnsi="宋体" w:cs="宋体" w:eastAsia="宋体" w:hint="default"/>
          <w:spacing w:val="-63"/>
        </w:rPr>
        <w:t> </w:t>
      </w:r>
      <w:r>
        <w:rPr>
          <w:spacing w:val="-4"/>
        </w:rPr>
        <w:t>项目进行跟踪监督，关注质量、进度及资</w:t>
      </w:r>
      <w:r>
        <w:rPr/>
        <w:t> 金使用情况，确保项目正常开展，最大程度降低</w:t>
      </w:r>
      <w:r>
        <w:rPr>
          <w:spacing w:val="-60"/>
        </w:rPr>
        <w:t> </w:t>
      </w:r>
      <w:r>
        <w:rPr>
          <w:rFonts w:ascii="宋体" w:hAnsi="宋体" w:cs="宋体" w:eastAsia="宋体" w:hint="default"/>
        </w:rPr>
        <w:t>IP</w:t>
      </w:r>
      <w:r>
        <w:rPr>
          <w:rFonts w:ascii="宋体" w:hAnsi="宋体" w:cs="宋体" w:eastAsia="宋体" w:hint="default"/>
          <w:spacing w:val="-60"/>
        </w:rPr>
        <w:t> </w:t>
      </w:r>
      <w:r>
        <w:rPr/>
        <w:t>改编出品风险。</w:t>
      </w:r>
    </w:p>
    <w:p>
      <w:pPr>
        <w:pStyle w:val="BodyText"/>
        <w:spacing w:line="432" w:lineRule="auto" w:before="137"/>
        <w:ind w:left="634" w:right="1092"/>
        <w:jc w:val="left"/>
      </w:pPr>
      <w:r>
        <w:rPr>
          <w:rFonts w:ascii="宋体" w:hAnsi="宋体" w:cs="宋体" w:eastAsia="宋体" w:hint="default"/>
        </w:rPr>
        <w:t>5</w:t>
      </w:r>
      <w:r>
        <w:rPr/>
        <w:t>、游戏行业相关风险 游戏行业目前处于高速发展阶段，具有产品更新换代快、用户偏好变化快、生命周期较</w:t>
      </w:r>
    </w:p>
    <w:p>
      <w:pPr>
        <w:pStyle w:val="BodyText"/>
        <w:spacing w:line="276" w:lineRule="exact"/>
        <w:ind w:right="0"/>
        <w:jc w:val="both"/>
      </w:pPr>
      <w:r>
        <w:rPr/>
        <w:t>短的特点。若游戏行业的技术出现重大的变革，游戏产品热点出现重大转移，公司如果未能</w:t>
      </w:r>
    </w:p>
    <w:p>
      <w:pPr>
        <w:pStyle w:val="BodyText"/>
        <w:spacing w:line="357" w:lineRule="auto" w:before="154"/>
        <w:ind w:right="1133"/>
        <w:jc w:val="both"/>
      </w:pPr>
      <w:r>
        <w:rPr/>
        <w:t>跟上行业技术发展、游戏热点转换的步伐，不能及时对目前运营的主打游戏进行改良升级， 或者不能及时推出有竞争力的新游戏以实现产品的更新换代，导致游戏产品不符市场需求，</w:t>
      </w:r>
      <w:r>
        <w:rPr>
          <w:spacing w:val="-113"/>
        </w:rPr>
        <w:t> </w:t>
      </w:r>
      <w:r>
        <w:rPr>
          <w:spacing w:val="-113"/>
        </w:rPr>
      </w:r>
      <w:r>
        <w:rPr/>
        <w:t>则可能对原有业务的用户体验、品牌形象等造成较大影响，从而影响经营业绩。</w:t>
      </w:r>
    </w:p>
    <w:p>
      <w:pPr>
        <w:spacing w:after="0" w:line="357" w:lineRule="auto"/>
        <w:jc w:val="both"/>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94" w:firstLine="480"/>
        <w:jc w:val="left"/>
      </w:pPr>
      <w:r>
        <w:rPr/>
        <w:t>游戏行业是文化创意产业的重要领域之一，受到政府及相关部门的高度关注。近年来， </w:t>
      </w:r>
      <w:r>
        <w:rPr>
          <w:spacing w:val="-2"/>
        </w:rPr>
        <w:t>随行业发展国家有关部门的监管力度在不断加强，对内容安全和用户信息安全监管不断趋紧。</w:t>
      </w:r>
      <w:r>
        <w:rPr/>
        <w:t> </w:t>
      </w:r>
      <w:r>
        <w:rPr>
          <w:rFonts w:ascii="宋体" w:hAnsi="宋体" w:cs="宋体" w:eastAsia="宋体" w:hint="default"/>
        </w:rPr>
        <w:t>2018</w:t>
      </w:r>
      <w:r>
        <w:rPr>
          <w:rFonts w:ascii="宋体" w:hAnsi="宋体" w:cs="宋体" w:eastAsia="宋体" w:hint="default"/>
          <w:spacing w:val="-84"/>
        </w:rPr>
        <w:t> </w:t>
      </w:r>
      <w:r>
        <w:rPr/>
        <w:t>年，游戏版号审批一度暂停，报告期内，公司子公司晨之科计划上线的多款游戏上线延</w:t>
      </w:r>
    </w:p>
    <w:p>
      <w:pPr>
        <w:pStyle w:val="BodyText"/>
        <w:spacing w:line="357" w:lineRule="auto" w:before="36"/>
        <w:ind w:right="996"/>
        <w:jc w:val="left"/>
      </w:pPr>
      <w:r>
        <w:rPr>
          <w:spacing w:val="-3"/>
        </w:rPr>
        <w:t>迟，游戏业务业绩未达到预期，公司经营业绩受到较大影响以上风险因素对晨之科</w:t>
      </w:r>
      <w:r>
        <w:rPr>
          <w:spacing w:val="-53"/>
        </w:rPr>
        <w:t> </w:t>
      </w:r>
      <w:r>
        <w:rPr>
          <w:rFonts w:ascii="宋体" w:hAnsi="宋体" w:cs="宋体" w:eastAsia="宋体" w:hint="default"/>
        </w:rPr>
        <w:t>2018</w:t>
      </w:r>
      <w:r>
        <w:rPr>
          <w:rFonts w:ascii="宋体" w:hAnsi="宋体" w:cs="宋体" w:eastAsia="宋体" w:hint="default"/>
          <w:spacing w:val="-54"/>
        </w:rPr>
        <w:t> </w:t>
      </w:r>
      <w:r>
        <w:rPr/>
        <w:t>年游</w:t>
      </w:r>
      <w:r>
        <w:rPr>
          <w:spacing w:val="-107"/>
        </w:rPr>
        <w:t> </w:t>
      </w:r>
      <w:r>
        <w:rPr/>
        <w:t>戏业务影响巨大。但目前游戏版号审批已经重启，</w:t>
      </w:r>
      <w:r>
        <w:rPr>
          <w:rFonts w:ascii="宋体" w:hAnsi="宋体" w:cs="宋体" w:eastAsia="宋体" w:hint="default"/>
        </w:rPr>
        <w:t>2018</w:t>
      </w:r>
      <w:r>
        <w:rPr>
          <w:rFonts w:ascii="宋体" w:hAnsi="宋体" w:cs="宋体" w:eastAsia="宋体" w:hint="default"/>
          <w:spacing w:val="-68"/>
        </w:rPr>
        <w:t> </w:t>
      </w:r>
      <w:r>
        <w:rPr/>
        <w:t>年</w:t>
      </w:r>
      <w:r>
        <w:rPr>
          <w:spacing w:val="-68"/>
        </w:rPr>
        <w:t> </w:t>
      </w:r>
      <w:r>
        <w:rPr>
          <w:rFonts w:ascii="宋体" w:hAnsi="宋体" w:cs="宋体" w:eastAsia="宋体" w:hint="default"/>
        </w:rPr>
        <w:t>12</w:t>
      </w:r>
      <w:r>
        <w:rPr>
          <w:rFonts w:ascii="宋体" w:hAnsi="宋体" w:cs="宋体" w:eastAsia="宋体" w:hint="default"/>
          <w:spacing w:val="-68"/>
        </w:rPr>
        <w:t> </w:t>
      </w:r>
      <w:r>
        <w:rPr/>
        <w:t>月，公司网络游戏《武圣神尊》 已取得游戏版号。</w:t>
      </w:r>
    </w:p>
    <w:p>
      <w:pPr>
        <w:pStyle w:val="BodyText"/>
        <w:spacing w:line="240" w:lineRule="auto" w:before="136"/>
        <w:ind w:left="634" w:right="1092"/>
        <w:jc w:val="left"/>
      </w:pPr>
      <w:r>
        <w:rPr/>
        <w:t>公司计划不派发现金红利，不送红股，不以公积金转增股本。</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23"/>
        <w:ind w:left="134" w:right="1110"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81" w:val="right" w:leader="dot"/>
            </w:tabs>
            <w:spacing w:line="240" w:lineRule="auto" w:before="0"/>
            <w:ind w:right="0"/>
            <w:jc w:val="left"/>
            <w:rPr>
              <w:rFonts w:ascii="宋体" w:hAnsi="宋体" w:cs="宋体" w:eastAsia="宋体" w:hint="default"/>
              <w:b w:val="0"/>
              <w:bCs w:val="0"/>
            </w:rPr>
          </w:pPr>
          <w:hyperlink w:history="true" w:anchor="_bookmark0">
            <w:r>
              <w:rPr/>
              <w:t>第一节</w:t>
            </w:r>
            <w:r>
              <w:rPr>
                <w:spacing w:val="-1"/>
              </w:rPr>
              <w:t> </w:t>
            </w:r>
            <w:r>
              <w:rPr/>
              <w:t>重要提示、目录和释义</w:t>
            </w:r>
            <w:r>
              <w:rPr>
                <w:rFonts w:ascii="宋体" w:hAnsi="宋体" w:cs="宋体" w:eastAsia="宋体" w:hint="default"/>
              </w:rPr>
              <w:tab/>
              <w:t>8</w:t>
            </w:r>
            <w:r>
              <w:rPr>
                <w:rFonts w:ascii="宋体" w:hAnsi="宋体" w:cs="宋体" w:eastAsia="宋体" w:hint="default"/>
                <w:b w:val="0"/>
                <w:bCs w:val="0"/>
              </w:rPr>
            </w:r>
          </w:hyperlink>
        </w:p>
        <w:p>
          <w:pPr>
            <w:pStyle w:val="TOC1"/>
            <w:tabs>
              <w:tab w:pos="9782" w:val="right" w:leader="dot"/>
            </w:tabs>
            <w:spacing w:line="240" w:lineRule="auto"/>
            <w:ind w:right="0"/>
            <w:jc w:val="left"/>
            <w:rPr>
              <w:rFonts w:ascii="宋体" w:hAnsi="宋体" w:cs="宋体" w:eastAsia="宋体" w:hint="default"/>
              <w:b w:val="0"/>
              <w:bCs w:val="0"/>
            </w:rPr>
          </w:pPr>
          <w:hyperlink w:history="true" w:anchor="_bookmark1">
            <w:r>
              <w:rPr/>
              <w:t>第二节</w:t>
            </w:r>
            <w:r>
              <w:rPr>
                <w:spacing w:val="-1"/>
              </w:rPr>
              <w:t> </w:t>
            </w:r>
            <w:r>
              <w:rPr/>
              <w:t>公司简介和主要财务指标</w:t>
            </w:r>
            <w:r>
              <w:rPr>
                <w:rFonts w:ascii="宋体" w:hAnsi="宋体" w:cs="宋体" w:eastAsia="宋体" w:hint="default"/>
              </w:rPr>
              <w:tab/>
              <w:t>12</w:t>
            </w:r>
            <w:r>
              <w:rPr>
                <w:rFonts w:ascii="宋体" w:hAnsi="宋体" w:cs="宋体" w:eastAsia="宋体" w:hint="default"/>
                <w:b w:val="0"/>
                <w:bCs w:val="0"/>
              </w:rPr>
            </w:r>
          </w:hyperlink>
        </w:p>
        <w:p>
          <w:pPr>
            <w:pStyle w:val="TOC1"/>
            <w:tabs>
              <w:tab w:pos="9782" w:val="right" w:leader="dot"/>
            </w:tabs>
            <w:spacing w:line="240" w:lineRule="auto"/>
            <w:ind w:right="0"/>
            <w:jc w:val="left"/>
            <w:rPr>
              <w:rFonts w:ascii="宋体" w:hAnsi="宋体" w:cs="宋体" w:eastAsia="宋体" w:hint="default"/>
              <w:b w:val="0"/>
              <w:bCs w:val="0"/>
            </w:rPr>
          </w:pPr>
          <w:hyperlink w:history="true" w:anchor="_bookmark2">
            <w:r>
              <w:rPr/>
              <w:t>第三节</w:t>
            </w:r>
            <w:r>
              <w:rPr>
                <w:spacing w:val="-1"/>
              </w:rPr>
              <w:t> </w:t>
            </w:r>
            <w:r>
              <w:rPr/>
              <w:t>公司业务概要</w:t>
            </w:r>
            <w:r>
              <w:rPr>
                <w:rFonts w:ascii="宋体" w:hAnsi="宋体" w:cs="宋体" w:eastAsia="宋体" w:hint="default"/>
              </w:rPr>
              <w:tab/>
              <w:t>18</w:t>
            </w:r>
            <w:r>
              <w:rPr>
                <w:rFonts w:ascii="宋体" w:hAnsi="宋体" w:cs="宋体" w:eastAsia="宋体" w:hint="default"/>
                <w:b w:val="0"/>
                <w:bCs w:val="0"/>
              </w:rPr>
            </w:r>
          </w:hyperlink>
        </w:p>
        <w:p>
          <w:pPr>
            <w:pStyle w:val="TOC1"/>
            <w:tabs>
              <w:tab w:pos="9782" w:val="right" w:leader="dot"/>
            </w:tabs>
            <w:spacing w:line="240" w:lineRule="auto"/>
            <w:ind w:right="0"/>
            <w:jc w:val="left"/>
            <w:rPr>
              <w:rFonts w:ascii="宋体" w:hAnsi="宋体" w:cs="宋体" w:eastAsia="宋体" w:hint="default"/>
              <w:b w:val="0"/>
              <w:bCs w:val="0"/>
            </w:rPr>
          </w:pPr>
          <w:hyperlink w:history="true" w:anchor="_bookmark3">
            <w:r>
              <w:rPr/>
              <w:t>第四节</w:t>
            </w:r>
            <w:r>
              <w:rPr>
                <w:spacing w:val="-1"/>
              </w:rPr>
              <w:t> </w:t>
            </w:r>
            <w:r>
              <w:rPr/>
              <w:t>经营情况讨论与分析</w:t>
            </w:r>
            <w:r>
              <w:rPr>
                <w:rFonts w:ascii="宋体" w:hAnsi="宋体" w:cs="宋体" w:eastAsia="宋体" w:hint="default"/>
              </w:rPr>
              <w:tab/>
              <w:t>45</w:t>
            </w:r>
            <w:r>
              <w:rPr>
                <w:rFonts w:ascii="宋体" w:hAnsi="宋体" w:cs="宋体" w:eastAsia="宋体" w:hint="default"/>
                <w:b w:val="0"/>
                <w:bCs w:val="0"/>
              </w:rPr>
            </w:r>
          </w:hyperlink>
        </w:p>
        <w:p>
          <w:pPr>
            <w:pStyle w:val="TOC1"/>
            <w:tabs>
              <w:tab w:pos="9782" w:val="right" w:leader="dot"/>
            </w:tabs>
            <w:spacing w:line="240" w:lineRule="auto"/>
            <w:ind w:right="0"/>
            <w:jc w:val="left"/>
            <w:rPr>
              <w:rFonts w:ascii="宋体" w:hAnsi="宋体" w:cs="宋体" w:eastAsia="宋体" w:hint="default"/>
              <w:b w:val="0"/>
              <w:bCs w:val="0"/>
            </w:rPr>
          </w:pPr>
          <w:hyperlink w:history="true" w:anchor="_bookmark4">
            <w:r>
              <w:rPr/>
              <w:t>第五节</w:t>
            </w:r>
            <w:r>
              <w:rPr>
                <w:spacing w:val="-1"/>
              </w:rPr>
              <w:t> </w:t>
            </w:r>
            <w:r>
              <w:rPr/>
              <w:t>重要事项</w:t>
            </w:r>
            <w:r>
              <w:rPr>
                <w:rFonts w:ascii="宋体" w:hAnsi="宋体" w:cs="宋体" w:eastAsia="宋体" w:hint="default"/>
              </w:rPr>
              <w:tab/>
              <w:t>83</w:t>
            </w:r>
            <w:r>
              <w:rPr>
                <w:rFonts w:ascii="宋体" w:hAnsi="宋体" w:cs="宋体" w:eastAsia="宋体" w:hint="default"/>
                <w:b w:val="0"/>
                <w:bCs w:val="0"/>
              </w:rPr>
            </w:r>
          </w:hyperlink>
        </w:p>
        <w:p>
          <w:pPr>
            <w:pStyle w:val="TOC1"/>
            <w:tabs>
              <w:tab w:pos="9782" w:val="right" w:leader="dot"/>
            </w:tabs>
            <w:spacing w:line="240" w:lineRule="auto"/>
            <w:ind w:right="0"/>
            <w:jc w:val="left"/>
            <w:rPr>
              <w:rFonts w:ascii="宋体" w:hAnsi="宋体" w:cs="宋体" w:eastAsia="宋体" w:hint="default"/>
              <w:b w:val="0"/>
              <w:bCs w:val="0"/>
            </w:rPr>
          </w:pPr>
          <w:hyperlink w:history="true" w:anchor="_bookmark5">
            <w:r>
              <w:rPr/>
              <w:t>第六节</w:t>
            </w:r>
            <w:r>
              <w:rPr>
                <w:spacing w:val="-1"/>
              </w:rPr>
              <w:t> </w:t>
            </w:r>
            <w:r>
              <w:rPr/>
              <w:t>股份变动及股东情况</w:t>
            </w:r>
            <w:r>
              <w:rPr>
                <w:rFonts w:ascii="宋体" w:hAnsi="宋体" w:cs="宋体" w:eastAsia="宋体" w:hint="default"/>
              </w:rPr>
              <w:tab/>
              <w:t>93</w:t>
            </w:r>
            <w:r>
              <w:rPr>
                <w:rFonts w:ascii="宋体" w:hAnsi="宋体" w:cs="宋体" w:eastAsia="宋体" w:hint="default"/>
                <w:b w:val="0"/>
                <w:bCs w:val="0"/>
              </w:rPr>
            </w:r>
          </w:hyperlink>
        </w:p>
        <w:p>
          <w:pPr>
            <w:pStyle w:val="TOC1"/>
            <w:tabs>
              <w:tab w:pos="9782" w:val="right" w:leader="dot"/>
            </w:tabs>
            <w:spacing w:line="240" w:lineRule="auto"/>
            <w:ind w:right="0"/>
            <w:jc w:val="left"/>
            <w:rPr>
              <w:rFonts w:ascii="宋体" w:hAnsi="宋体" w:cs="宋体" w:eastAsia="宋体" w:hint="default"/>
              <w:b w:val="0"/>
              <w:bCs w:val="0"/>
            </w:rPr>
          </w:pPr>
          <w:hyperlink w:history="true" w:anchor="_bookmark5">
            <w:r>
              <w:rPr/>
              <w:t>第七节</w:t>
            </w:r>
            <w:r>
              <w:rPr>
                <w:spacing w:val="-1"/>
              </w:rPr>
              <w:t> </w:t>
            </w:r>
            <w:r>
              <w:rPr/>
              <w:t>优先股相关情况</w:t>
            </w:r>
            <w:r>
              <w:rPr>
                <w:rFonts w:ascii="宋体" w:hAnsi="宋体" w:cs="宋体" w:eastAsia="宋体" w:hint="default"/>
              </w:rPr>
              <w:tab/>
              <w:t>93</w:t>
            </w:r>
            <w:r>
              <w:rPr>
                <w:rFonts w:ascii="宋体" w:hAnsi="宋体" w:cs="宋体" w:eastAsia="宋体" w:hint="default"/>
                <w:b w:val="0"/>
                <w:bCs w:val="0"/>
              </w:rPr>
            </w:r>
          </w:hyperlink>
        </w:p>
        <w:p>
          <w:pPr>
            <w:pStyle w:val="TOC1"/>
            <w:tabs>
              <w:tab w:pos="9782" w:val="right" w:leader="dot"/>
            </w:tabs>
            <w:spacing w:line="240" w:lineRule="auto"/>
            <w:ind w:right="0"/>
            <w:jc w:val="left"/>
            <w:rPr>
              <w:rFonts w:ascii="宋体" w:hAnsi="宋体" w:cs="宋体" w:eastAsia="宋体" w:hint="default"/>
              <w:b w:val="0"/>
              <w:bCs w:val="0"/>
            </w:rPr>
          </w:pPr>
          <w:hyperlink w:history="true" w:anchor="_bookmark6">
            <w:r>
              <w:rPr/>
              <w:t>第八节</w:t>
            </w:r>
            <w:r>
              <w:rPr>
                <w:spacing w:val="-1"/>
              </w:rPr>
              <w:t> </w:t>
            </w:r>
            <w:r>
              <w:rPr/>
              <w:t>董事、监事、高级管理人员和员工情况</w:t>
            </w:r>
            <w:r>
              <w:rPr>
                <w:rFonts w:ascii="宋体" w:hAnsi="宋体" w:cs="宋体" w:eastAsia="宋体" w:hint="default"/>
              </w:rPr>
              <w:tab/>
              <w:t>94</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7">
            <w:r>
              <w:rPr/>
              <w:t>第九节</w:t>
            </w:r>
            <w:r>
              <w:rPr>
                <w:spacing w:val="-1"/>
              </w:rPr>
              <w:t> </w:t>
            </w:r>
            <w:r>
              <w:rPr/>
              <w:t>公司治理</w:t>
            </w:r>
            <w:r>
              <w:rPr>
                <w:rFonts w:ascii="宋体" w:hAnsi="宋体" w:cs="宋体" w:eastAsia="宋体" w:hint="default"/>
              </w:rPr>
              <w:tab/>
              <w:t>107</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8">
            <w:r>
              <w:rPr/>
              <w:t>第十节</w:t>
            </w:r>
            <w:r>
              <w:rPr>
                <w:spacing w:val="-1"/>
              </w:rPr>
              <w:t> </w:t>
            </w:r>
            <w:r>
              <w:rPr/>
              <w:t>公司债券相关情况</w:t>
            </w:r>
            <w:r>
              <w:rPr>
                <w:rFonts w:ascii="宋体" w:hAnsi="宋体" w:cs="宋体" w:eastAsia="宋体" w:hint="default"/>
              </w:rPr>
              <w:tab/>
              <w:t>115</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9">
            <w:r>
              <w:rPr/>
              <w:t>第十一节</w:t>
            </w:r>
            <w:r>
              <w:rPr>
                <w:spacing w:val="-1"/>
              </w:rPr>
              <w:t> </w:t>
            </w:r>
            <w:r>
              <w:rPr/>
              <w:t>财务报告</w:t>
            </w:r>
            <w:r>
              <w:rPr>
                <w:rFonts w:ascii="宋体" w:hAnsi="宋体" w:cs="宋体" w:eastAsia="宋体" w:hint="default"/>
              </w:rPr>
              <w:tab/>
              <w:t>116</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10">
            <w:r>
              <w:rPr/>
              <w:t>第十二节</w:t>
            </w:r>
            <w:r>
              <w:rPr>
                <w:spacing w:val="-2"/>
              </w:rPr>
              <w:t> </w:t>
            </w:r>
            <w:r>
              <w:rPr/>
              <w:t>备查文件目录</w:t>
            </w:r>
            <w:r>
              <w:rPr>
                <w:rFonts w:ascii="宋体" w:hAnsi="宋体" w:cs="宋体" w:eastAsia="宋体" w:hint="default"/>
              </w:rPr>
              <w:tab/>
              <w:t>247</w:t>
            </w:r>
            <w:r>
              <w:rPr>
                <w:rFonts w:ascii="宋体" w:hAnsi="宋体" w:cs="宋体" w:eastAsia="宋体" w:hint="default"/>
                <w:b w:val="0"/>
                <w:bCs w:val="0"/>
              </w:rPr>
            </w:r>
          </w:hyperlink>
        </w:p>
      </w:sdtContent>
    </w:sdt>
    <w:p>
      <w:pPr>
        <w:spacing w:after="0" w:line="240" w:lineRule="auto"/>
        <w:jc w:val="left"/>
        <w:rPr>
          <w:rFonts w:ascii="宋体" w:hAnsi="宋体" w:cs="宋体" w:eastAsia="宋体" w:hint="default"/>
        </w:rPr>
        <w:sectPr>
          <w:pgSz w:w="11910" w:h="16840"/>
          <w:pgMar w:header="747" w:footer="979" w:top="1060" w:bottom="1160" w:left="980" w:right="0"/>
        </w:sectPr>
      </w:pPr>
    </w:p>
    <w:p>
      <w:pPr>
        <w:spacing w:before="946"/>
        <w:ind w:left="134" w:right="1110"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82" w:type="dxa"/>
        <w:tblLayout w:type="fixed"/>
        <w:tblCellMar>
          <w:top w:w="0" w:type="dxa"/>
          <w:left w:w="0" w:type="dxa"/>
          <w:bottom w:w="0" w:type="dxa"/>
          <w:right w:w="0" w:type="dxa"/>
        </w:tblCellMar>
        <w:tblLook w:val="01E0"/>
      </w:tblPr>
      <w:tblGrid>
        <w:gridCol w:w="2264"/>
        <w:gridCol w:w="714"/>
        <w:gridCol w:w="6594"/>
      </w:tblGrid>
      <w:tr>
        <w:trPr>
          <w:trHeight w:val="402" w:hRule="exact"/>
        </w:trPr>
        <w:tc>
          <w:tcPr>
            <w:tcW w:w="22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71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68"/>
              <w:jc w:val="left"/>
              <w:rPr>
                <w:rFonts w:ascii="宋体" w:hAnsi="宋体" w:cs="宋体" w:eastAsia="宋体" w:hint="default"/>
                <w:sz w:val="18"/>
                <w:szCs w:val="18"/>
              </w:rPr>
            </w:pPr>
            <w:r>
              <w:rPr>
                <w:rFonts w:ascii="宋体" w:hAnsi="宋体" w:cs="宋体" w:eastAsia="宋体" w:hint="default"/>
                <w:sz w:val="18"/>
                <w:szCs w:val="18"/>
              </w:rPr>
              <w:t>公司、本公司、本集团、 中文在线</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文化传媒</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北京中文在线文化传媒有限公司，系公司全资子公司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天津中文在线</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中文在线（天津）文化发展有限公司，系公司全资子公司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杭州中文在线</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杭州中文在线信息科技有限公司，系公司全资子公司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广州四月天</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广州市四月天信息科技有限公司，系公司全资子公司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杭州四月天</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杭州四月天网络科技有限公司，系公司全资子公司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广州市迈步信息科技有限公司，系公司全资子公司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香港公司</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中文在线集团有限公司，设立地为香港，系公司全资子公司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上海晨之科信息技术有限公司，系公司全资子公司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教育科技</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北京中文在线教育科技发展有限公司，系公司控股子公司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邯郸中文在线</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邯郸中文在线文化发展有限公司，系天津公司全资子公司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鸿达以太</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北京鸿达以太文化发展有限公司，系天津公司全资子公司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中文光之影</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霍尔果斯中文光之影文化科技有限公司，系天津公司全资子公司</w:t>
            </w:r>
          </w:p>
        </w:tc>
      </w:tr>
      <w:tr>
        <w:trPr>
          <w:trHeight w:val="71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CRAZY</w:t>
            </w:r>
            <w:r>
              <w:rPr>
                <w:rFonts w:ascii="宋体"/>
                <w:spacing w:val="-39"/>
                <w:sz w:val="18"/>
              </w:rPr>
              <w:t> </w:t>
            </w:r>
            <w:r>
              <w:rPr>
                <w:rFonts w:ascii="宋体"/>
                <w:sz w:val="18"/>
              </w:rPr>
              <w:t>MAPLE</w:t>
            </w:r>
            <w:r>
              <w:rPr>
                <w:rFonts w:ascii="宋体"/>
                <w:spacing w:val="-39"/>
                <w:sz w:val="18"/>
              </w:rPr>
              <w:t> </w:t>
            </w:r>
            <w:r>
              <w:rPr>
                <w:rFonts w:ascii="宋体"/>
                <w:sz w:val="18"/>
              </w:rPr>
              <w:t>STUDIO,</w:t>
            </w:r>
            <w:r>
              <w:rPr>
                <w:rFonts w:ascii="宋体"/>
                <w:spacing w:val="-39"/>
                <w:sz w:val="18"/>
              </w:rPr>
              <w:t> </w:t>
            </w:r>
            <w:r>
              <w:rPr>
                <w:rFonts w:ascii="宋体"/>
                <w:sz w:val="18"/>
              </w:rPr>
              <w:t>INC.</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设立地为美国，系香港公司全资子公司；原</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CHINESEALL</w:t>
            </w:r>
            <w:r>
              <w:rPr>
                <w:rFonts w:ascii="Times New Roman" w:hAnsi="Times New Roman" w:cs="Times New Roman" w:eastAsia="Times New Roman" w:hint="default"/>
                <w:spacing w:val="-15"/>
                <w:sz w:val="18"/>
                <w:szCs w:val="18"/>
              </w:rPr>
              <w:t> </w:t>
            </w:r>
            <w:r>
              <w:rPr>
                <w:rFonts w:ascii="Times New Roman" w:hAnsi="Times New Roman" w:cs="Times New Roman" w:eastAsia="Times New Roman" w:hint="default"/>
                <w:spacing w:val="-3"/>
                <w:sz w:val="18"/>
                <w:szCs w:val="18"/>
              </w:rPr>
              <w:t>CORPORATION</w:t>
            </w:r>
            <w:r>
              <w:rPr>
                <w:rFonts w:ascii="宋体" w:hAnsi="宋体" w:cs="宋体" w:eastAsia="宋体" w:hint="default"/>
                <w:spacing w:val="-3"/>
                <w:sz w:val="18"/>
                <w:szCs w:val="18"/>
              </w:rPr>
              <w:t>，现更</w:t>
            </w:r>
            <w:r>
              <w:rPr>
                <w:rFonts w:ascii="宋体" w:hAnsi="宋体" w:cs="宋体" w:eastAsia="宋体" w:hint="default"/>
                <w:sz w:val="18"/>
                <w:szCs w:val="18"/>
              </w:rPr>
              <w:t> 名为 </w:t>
            </w:r>
            <w:r>
              <w:rPr>
                <w:rFonts w:ascii="宋体" w:hAnsi="宋体" w:cs="宋体" w:eastAsia="宋体" w:hint="default"/>
                <w:sz w:val="18"/>
                <w:szCs w:val="18"/>
              </w:rPr>
              <w:t>CRAZY MAPLE STUDIO,</w:t>
            </w:r>
            <w:r>
              <w:rPr>
                <w:rFonts w:ascii="宋体" w:hAnsi="宋体" w:cs="宋体" w:eastAsia="宋体" w:hint="default"/>
                <w:spacing w:val="-46"/>
                <w:sz w:val="18"/>
                <w:szCs w:val="18"/>
              </w:rPr>
              <w:t> </w:t>
            </w:r>
            <w:r>
              <w:rPr>
                <w:rFonts w:ascii="宋体" w:hAnsi="宋体" w:cs="宋体" w:eastAsia="宋体" w:hint="default"/>
                <w:sz w:val="18"/>
                <w:szCs w:val="18"/>
              </w:rPr>
              <w:t>INC.</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上海中文在线</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上海中文在线文化发展有限公司，系教育科技全资子公司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湖北中文在线</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湖北中文在线数字出版有限公司，系教育科技全资子公司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上海乐纷</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上海乐纷数码科技有限公司，系晨之科全资子公司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上海乐芝</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上海乐芝信息技术有限公司，系晨之科全资子公司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乐氪信息</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霍尔果斯乐氪信息技术有限公司，系晨之科全资子公司</w:t>
            </w:r>
          </w:p>
        </w:tc>
      </w:tr>
      <w:tr>
        <w:trPr>
          <w:trHeight w:val="71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晨之科亚洲</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2"/>
              <w:jc w:val="left"/>
              <w:rPr>
                <w:rFonts w:ascii="宋体" w:hAnsi="宋体" w:cs="宋体" w:eastAsia="宋体" w:hint="default"/>
                <w:sz w:val="18"/>
                <w:szCs w:val="18"/>
              </w:rPr>
            </w:pPr>
            <w:r>
              <w:rPr>
                <w:rFonts w:ascii="宋体" w:hAnsi="宋体" w:cs="宋体" w:eastAsia="宋体" w:hint="default"/>
                <w:sz w:val="18"/>
                <w:szCs w:val="18"/>
              </w:rPr>
              <w:t>晨之科亚洲控股有限公司（</w:t>
            </w:r>
            <w:r>
              <w:rPr>
                <w:rFonts w:ascii="宋体" w:hAnsi="宋体" w:cs="宋体" w:eastAsia="宋体" w:hint="default"/>
                <w:sz w:val="18"/>
                <w:szCs w:val="18"/>
              </w:rPr>
              <w:t>Morningtec</w:t>
            </w:r>
            <w:r>
              <w:rPr>
                <w:rFonts w:ascii="宋体" w:hAnsi="宋体" w:cs="宋体" w:eastAsia="宋体" w:hint="default"/>
                <w:spacing w:val="-34"/>
                <w:sz w:val="18"/>
                <w:szCs w:val="18"/>
              </w:rPr>
              <w:t> </w:t>
            </w:r>
            <w:r>
              <w:rPr>
                <w:rFonts w:ascii="宋体" w:hAnsi="宋体" w:cs="宋体" w:eastAsia="宋体" w:hint="default"/>
                <w:sz w:val="18"/>
                <w:szCs w:val="18"/>
              </w:rPr>
              <w:t>Asia</w:t>
            </w:r>
            <w:r>
              <w:rPr>
                <w:rFonts w:ascii="宋体" w:hAnsi="宋体" w:cs="宋体" w:eastAsia="宋体" w:hint="default"/>
                <w:spacing w:val="-34"/>
                <w:sz w:val="18"/>
                <w:szCs w:val="18"/>
              </w:rPr>
              <w:t> </w:t>
            </w:r>
            <w:r>
              <w:rPr>
                <w:rFonts w:ascii="宋体" w:hAnsi="宋体" w:cs="宋体" w:eastAsia="宋体" w:hint="default"/>
                <w:sz w:val="18"/>
                <w:szCs w:val="18"/>
              </w:rPr>
              <w:t>Holdings</w:t>
            </w:r>
            <w:r>
              <w:rPr>
                <w:rFonts w:ascii="宋体" w:hAnsi="宋体" w:cs="宋体" w:eastAsia="宋体" w:hint="default"/>
                <w:spacing w:val="-34"/>
                <w:sz w:val="18"/>
                <w:szCs w:val="18"/>
              </w:rPr>
              <w:t> </w:t>
            </w:r>
            <w:r>
              <w:rPr>
                <w:rFonts w:ascii="宋体" w:hAnsi="宋体" w:cs="宋体" w:eastAsia="宋体" w:hint="default"/>
                <w:spacing w:val="-6"/>
                <w:sz w:val="18"/>
                <w:szCs w:val="18"/>
              </w:rPr>
              <w:t>Limited</w:t>
            </w:r>
            <w:r>
              <w:rPr>
                <w:rFonts w:ascii="宋体" w:hAnsi="宋体" w:cs="宋体" w:eastAsia="宋体" w:hint="default"/>
                <w:spacing w:val="-6"/>
                <w:sz w:val="18"/>
                <w:szCs w:val="18"/>
              </w:rPr>
              <w:t>），设立地为香港，</w:t>
            </w:r>
            <w:r>
              <w:rPr>
                <w:rFonts w:ascii="宋体" w:hAnsi="宋体" w:cs="宋体" w:eastAsia="宋体" w:hint="default"/>
                <w:sz w:val="18"/>
                <w:szCs w:val="18"/>
              </w:rPr>
              <w:t> 系晨之科全资子公司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东阳光之影</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浙江东阳光之影文化传媒有限公司，系中文光之影全资子公司</w:t>
            </w:r>
          </w:p>
        </w:tc>
      </w:tr>
      <w:tr>
        <w:trPr>
          <w:trHeight w:val="71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MorningTec Japan</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MorningTec</w:t>
            </w:r>
            <w:r>
              <w:rPr>
                <w:rFonts w:ascii="宋体" w:hAnsi="宋体" w:cs="宋体" w:eastAsia="宋体" w:hint="default"/>
                <w:spacing w:val="-20"/>
                <w:sz w:val="18"/>
                <w:szCs w:val="18"/>
              </w:rPr>
              <w:t> </w:t>
            </w:r>
            <w:r>
              <w:rPr>
                <w:rFonts w:ascii="宋体" w:hAnsi="宋体" w:cs="宋体" w:eastAsia="宋体" w:hint="default"/>
                <w:sz w:val="18"/>
                <w:szCs w:val="18"/>
              </w:rPr>
              <w:t>Japan</w:t>
            </w:r>
            <w:r>
              <w:rPr>
                <w:rFonts w:ascii="宋体" w:hAnsi="宋体" w:cs="宋体" w:eastAsia="宋体" w:hint="default"/>
                <w:spacing w:val="-46"/>
                <w:sz w:val="18"/>
                <w:szCs w:val="18"/>
              </w:rPr>
              <w:t> </w:t>
            </w:r>
            <w:r>
              <w:rPr>
                <w:rFonts w:ascii="宋体" w:hAnsi="宋体" w:cs="宋体" w:eastAsia="宋体" w:hint="default"/>
                <w:sz w:val="18"/>
                <w:szCs w:val="18"/>
              </w:rPr>
              <w:t>株式会社（</w:t>
            </w:r>
            <w:r>
              <w:rPr>
                <w:rFonts w:ascii="宋体" w:hAnsi="宋体" w:cs="宋体" w:eastAsia="宋体" w:hint="default"/>
                <w:sz w:val="18"/>
                <w:szCs w:val="18"/>
              </w:rPr>
              <w:t>MorningTec</w:t>
            </w:r>
            <w:r>
              <w:rPr>
                <w:rFonts w:ascii="宋体" w:hAnsi="宋体" w:cs="宋体" w:eastAsia="宋体" w:hint="default"/>
                <w:spacing w:val="-20"/>
                <w:sz w:val="18"/>
                <w:szCs w:val="18"/>
              </w:rPr>
              <w:t> </w:t>
            </w:r>
            <w:r>
              <w:rPr>
                <w:rFonts w:ascii="宋体" w:hAnsi="宋体" w:cs="宋体" w:eastAsia="宋体" w:hint="default"/>
                <w:sz w:val="18"/>
                <w:szCs w:val="18"/>
              </w:rPr>
              <w:t>Japan</w:t>
            </w:r>
            <w:r>
              <w:rPr>
                <w:rFonts w:ascii="宋体" w:hAnsi="宋体" w:cs="宋体" w:eastAsia="宋体" w:hint="default"/>
                <w:spacing w:val="-20"/>
                <w:sz w:val="18"/>
                <w:szCs w:val="18"/>
              </w:rPr>
              <w:t> </w:t>
            </w:r>
            <w:r>
              <w:rPr>
                <w:rFonts w:ascii="宋体" w:hAnsi="宋体" w:cs="宋体" w:eastAsia="宋体" w:hint="default"/>
                <w:spacing w:val="-5"/>
                <w:sz w:val="18"/>
                <w:szCs w:val="18"/>
              </w:rPr>
              <w:t>Limited</w:t>
            </w:r>
            <w:r>
              <w:rPr>
                <w:rFonts w:ascii="宋体" w:hAnsi="宋体" w:cs="宋体" w:eastAsia="宋体" w:hint="default"/>
                <w:spacing w:val="-5"/>
                <w:sz w:val="18"/>
                <w:szCs w:val="18"/>
              </w:rPr>
              <w:t>），设立地为日本，系晨</w:t>
            </w:r>
            <w:r>
              <w:rPr>
                <w:rFonts w:ascii="宋体" w:hAnsi="宋体" w:cs="宋体" w:eastAsia="宋体" w:hint="default"/>
                <w:sz w:val="18"/>
                <w:szCs w:val="18"/>
              </w:rPr>
              <w:t> 之科亚洲全资子公司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汤圆公司</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北京汤圆和它的小伙伴们网络科技有限公司，系天津公司控股子公司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北京中文万维科技有限公司，系天津公司参股公司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中经文睿</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中经文睿河北数字出版有限公司，系公司参股公司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新浪阅读</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北京新浪阅读信息技术有限公司，系公司参股公司</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82" w:type="dxa"/>
        <w:tblLayout w:type="fixed"/>
        <w:tblCellMar>
          <w:top w:w="0" w:type="dxa"/>
          <w:left w:w="0" w:type="dxa"/>
          <w:bottom w:w="0" w:type="dxa"/>
          <w:right w:w="0" w:type="dxa"/>
        </w:tblCellMar>
        <w:tblLook w:val="01E0"/>
      </w:tblPr>
      <w:tblGrid>
        <w:gridCol w:w="2264"/>
        <w:gridCol w:w="714"/>
        <w:gridCol w:w="6594"/>
      </w:tblGrid>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全美在线</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全美在线（北京）教育科技股份有限公司，系公司参股公司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JOINGEAR</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JOINGEAR LIMITED</w:t>
            </w:r>
            <w:r>
              <w:rPr>
                <w:rFonts w:ascii="宋体" w:hAnsi="宋体" w:cs="宋体" w:eastAsia="宋体" w:hint="default"/>
                <w:sz w:val="18"/>
                <w:szCs w:val="18"/>
              </w:rPr>
              <w:t>，系公司参股公司，该公司持有 </w:t>
            </w:r>
            <w:r>
              <w:rPr>
                <w:rFonts w:ascii="宋体" w:hAnsi="宋体" w:cs="宋体" w:eastAsia="宋体" w:hint="default"/>
                <w:sz w:val="18"/>
                <w:szCs w:val="18"/>
              </w:rPr>
              <w:t>ATA</w:t>
            </w:r>
            <w:r>
              <w:rPr>
                <w:rFonts w:ascii="宋体" w:hAnsi="宋体" w:cs="宋体" w:eastAsia="宋体" w:hint="default"/>
                <w:spacing w:val="-46"/>
                <w:sz w:val="18"/>
                <w:szCs w:val="18"/>
              </w:rPr>
              <w:t> </w:t>
            </w:r>
            <w:r>
              <w:rPr>
                <w:rFonts w:ascii="宋体" w:hAnsi="宋体" w:cs="宋体" w:eastAsia="宋体" w:hint="default"/>
                <w:sz w:val="18"/>
                <w:szCs w:val="18"/>
              </w:rPr>
              <w:t>Inc.</w:t>
            </w:r>
            <w:r>
              <w:rPr>
                <w:rFonts w:ascii="宋体" w:hAnsi="宋体" w:cs="宋体" w:eastAsia="宋体" w:hint="default"/>
                <w:sz w:val="18"/>
                <w:szCs w:val="18"/>
              </w:rPr>
              <w:t>（</w:t>
            </w:r>
            <w:r>
              <w:rPr>
                <w:rFonts w:ascii="宋体" w:hAnsi="宋体" w:cs="宋体" w:eastAsia="宋体" w:hint="default"/>
                <w:sz w:val="18"/>
                <w:szCs w:val="18"/>
              </w:rPr>
              <w:t>Cayman</w:t>
            </w:r>
            <w:r>
              <w:rPr>
                <w:rFonts w:ascii="宋体" w:hAnsi="宋体" w:cs="宋体" w:eastAsia="宋体" w:hint="default"/>
                <w:sz w:val="18"/>
                <w:szCs w:val="18"/>
              </w:rPr>
              <w:t>）股权</w:t>
            </w:r>
          </w:p>
        </w:tc>
      </w:tr>
      <w:tr>
        <w:trPr>
          <w:trHeight w:val="71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ATA Inc.</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ATA </w:t>
            </w:r>
            <w:r>
              <w:rPr>
                <w:rFonts w:ascii="宋体" w:hAnsi="宋体" w:cs="宋体" w:eastAsia="宋体" w:hint="default"/>
                <w:spacing w:val="-3"/>
                <w:sz w:val="18"/>
                <w:szCs w:val="18"/>
              </w:rPr>
              <w:t>Inc.</w:t>
            </w:r>
            <w:r>
              <w:rPr>
                <w:rFonts w:ascii="宋体" w:hAnsi="宋体" w:cs="宋体" w:eastAsia="宋体" w:hint="default"/>
                <w:spacing w:val="-3"/>
                <w:sz w:val="18"/>
                <w:szCs w:val="18"/>
              </w:rPr>
              <w:t>（</w:t>
            </w:r>
            <w:r>
              <w:rPr>
                <w:rFonts w:ascii="宋体" w:hAnsi="宋体" w:cs="宋体" w:eastAsia="宋体" w:hint="default"/>
                <w:spacing w:val="-3"/>
                <w:sz w:val="18"/>
                <w:szCs w:val="18"/>
              </w:rPr>
              <w:t>Cayman</w:t>
            </w:r>
            <w:r>
              <w:rPr>
                <w:rFonts w:ascii="宋体" w:hAnsi="宋体" w:cs="宋体" w:eastAsia="宋体" w:hint="default"/>
                <w:spacing w:val="-3"/>
                <w:sz w:val="18"/>
                <w:szCs w:val="18"/>
              </w:rPr>
              <w:t>），纳斯达克上市公司，致力于为考试机构及教育机构提供技术</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和运营服务。</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量子时代</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天津量子时代网络科技有限公司，系公司参股公司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产业投资公司</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中文在线（天津）文化教育产业投资管理有限公司，系公司参股公司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星偶时代</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星偶时代（天津）动漫科技有限公司，系公司参股公司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WUXIAWORLD</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WUXIAWORLD LIMITED</w:t>
            </w:r>
            <w:r>
              <w:rPr>
                <w:rFonts w:ascii="宋体" w:hAnsi="宋体" w:cs="宋体" w:eastAsia="宋体" w:hint="default"/>
                <w:sz w:val="18"/>
                <w:szCs w:val="18"/>
              </w:rPr>
              <w:t>，系公司参股公司</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号百控股</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号百控股股份有限公司，系公司参股公司</w:t>
            </w:r>
          </w:p>
        </w:tc>
      </w:tr>
      <w:tr>
        <w:trPr>
          <w:trHeight w:val="1026"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天翼阅读</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天翼阅读文化传播有限公司，公司原参股公司，因号百控股股份有限公司重大资 </w:t>
            </w:r>
            <w:r>
              <w:rPr>
                <w:rFonts w:ascii="宋体" w:hAnsi="宋体" w:cs="宋体" w:eastAsia="宋体" w:hint="default"/>
                <w:spacing w:val="-2"/>
                <w:sz w:val="18"/>
                <w:szCs w:val="18"/>
              </w:rPr>
              <w:t>产重组，公司将持有天翼阅读</w:t>
            </w:r>
            <w:r>
              <w:rPr>
                <w:rFonts w:ascii="宋体" w:hAnsi="宋体" w:cs="宋体" w:eastAsia="宋体" w:hint="default"/>
                <w:spacing w:val="-33"/>
                <w:sz w:val="18"/>
                <w:szCs w:val="18"/>
              </w:rPr>
              <w:t> </w:t>
            </w:r>
            <w:r>
              <w:rPr>
                <w:rFonts w:ascii="宋体" w:hAnsi="宋体" w:cs="宋体" w:eastAsia="宋体" w:hint="default"/>
                <w:spacing w:val="-2"/>
                <w:sz w:val="18"/>
                <w:szCs w:val="18"/>
              </w:rPr>
              <w:t>10.526%</w:t>
            </w:r>
            <w:r>
              <w:rPr>
                <w:rFonts w:ascii="宋体" w:hAnsi="宋体" w:cs="宋体" w:eastAsia="宋体" w:hint="default"/>
                <w:spacing w:val="-2"/>
                <w:sz w:val="18"/>
                <w:szCs w:val="18"/>
              </w:rPr>
              <w:t>的股权出售给号百控股，交易完成后，公司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持有号百控股股份有限公司</w:t>
            </w:r>
            <w:r>
              <w:rPr>
                <w:rFonts w:ascii="宋体" w:hAnsi="宋体" w:cs="宋体" w:eastAsia="宋体" w:hint="default"/>
                <w:spacing w:val="-46"/>
                <w:sz w:val="18"/>
                <w:szCs w:val="18"/>
              </w:rPr>
              <w:t> </w:t>
            </w:r>
            <w:r>
              <w:rPr>
                <w:rFonts w:ascii="宋体" w:hAnsi="宋体" w:cs="宋体" w:eastAsia="宋体" w:hint="default"/>
                <w:sz w:val="18"/>
                <w:szCs w:val="18"/>
              </w:rPr>
              <w:t>5,142,279</w:t>
            </w:r>
            <w:r>
              <w:rPr>
                <w:rFonts w:ascii="宋体" w:hAnsi="宋体" w:cs="宋体" w:eastAsia="宋体" w:hint="default"/>
                <w:spacing w:val="-46"/>
                <w:sz w:val="18"/>
                <w:szCs w:val="18"/>
              </w:rPr>
              <w:t> </w:t>
            </w:r>
            <w:r>
              <w:rPr>
                <w:rFonts w:ascii="宋体" w:hAnsi="宋体" w:cs="宋体" w:eastAsia="宋体" w:hint="default"/>
                <w:sz w:val="18"/>
                <w:szCs w:val="18"/>
              </w:rPr>
              <w:t>股份。</w:t>
            </w:r>
          </w:p>
        </w:tc>
      </w:tr>
      <w:tr>
        <w:trPr>
          <w:trHeight w:val="71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中昊嘉华</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
              <w:jc w:val="left"/>
              <w:rPr>
                <w:rFonts w:ascii="宋体" w:hAnsi="宋体" w:cs="宋体" w:eastAsia="宋体" w:hint="default"/>
                <w:sz w:val="18"/>
                <w:szCs w:val="18"/>
              </w:rPr>
            </w:pPr>
            <w:r>
              <w:rPr>
                <w:rFonts w:ascii="宋体" w:hAnsi="宋体" w:cs="宋体" w:eastAsia="宋体" w:hint="default"/>
                <w:spacing w:val="-6"/>
                <w:sz w:val="18"/>
                <w:szCs w:val="18"/>
              </w:rPr>
              <w:t>宁波梅山保税港区中昊嘉华股权投资合伙企业（有限合伙），系公司原控股子公司，</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报告期内已转让该公司股权，股权转让后公司不再持有中昊嘉华股权。</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新美嘉华</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宁波梅山保税港区新美嘉华股权投资有限公司，系中昊嘉华全资子公司</w:t>
            </w:r>
          </w:p>
        </w:tc>
      </w:tr>
      <w:tr>
        <w:trPr>
          <w:trHeight w:val="71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MOOC-CN</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MOOC-CN</w:t>
            </w:r>
            <w:r>
              <w:rPr>
                <w:rFonts w:ascii="宋体" w:hAnsi="宋体" w:cs="宋体" w:eastAsia="宋体" w:hint="default"/>
                <w:spacing w:val="-15"/>
                <w:sz w:val="18"/>
                <w:szCs w:val="18"/>
              </w:rPr>
              <w:t> </w:t>
            </w:r>
            <w:r>
              <w:rPr>
                <w:rFonts w:ascii="宋体" w:hAnsi="宋体" w:cs="宋体" w:eastAsia="宋体" w:hint="default"/>
                <w:sz w:val="18"/>
                <w:szCs w:val="18"/>
              </w:rPr>
              <w:t>Information</w:t>
            </w:r>
            <w:r>
              <w:rPr>
                <w:rFonts w:ascii="宋体" w:hAnsi="宋体" w:cs="宋体" w:eastAsia="宋体" w:hint="default"/>
                <w:sz w:val="18"/>
                <w:szCs w:val="18"/>
              </w:rPr>
              <w:t>，系公司原参股公司，报告期内已转让该公司股权，股权转 让后公司不再持有</w:t>
            </w:r>
            <w:r>
              <w:rPr>
                <w:rFonts w:ascii="宋体" w:hAnsi="宋体" w:cs="宋体" w:eastAsia="宋体" w:hint="default"/>
                <w:spacing w:val="-46"/>
                <w:sz w:val="18"/>
                <w:szCs w:val="18"/>
              </w:rPr>
              <w:t> </w:t>
            </w:r>
            <w:r>
              <w:rPr>
                <w:rFonts w:ascii="宋体" w:hAnsi="宋体" w:cs="宋体" w:eastAsia="宋体" w:hint="default"/>
                <w:sz w:val="18"/>
                <w:szCs w:val="18"/>
              </w:rPr>
              <w:t>MOOC-CN</w:t>
            </w:r>
            <w:r>
              <w:rPr>
                <w:rFonts w:ascii="宋体" w:hAnsi="宋体" w:cs="宋体" w:eastAsia="宋体" w:hint="default"/>
                <w:spacing w:val="-45"/>
                <w:sz w:val="18"/>
                <w:szCs w:val="18"/>
              </w:rPr>
              <w:t> </w:t>
            </w:r>
            <w:r>
              <w:rPr>
                <w:rFonts w:ascii="宋体" w:hAnsi="宋体" w:cs="宋体" w:eastAsia="宋体" w:hint="default"/>
                <w:sz w:val="18"/>
                <w:szCs w:val="18"/>
              </w:rPr>
              <w:t>股权</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弹幕网络</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广州弹幕网络科技有限公司，报告期内公司将持有的全部</w:t>
            </w:r>
            <w:r>
              <w:rPr>
                <w:rFonts w:ascii="宋体" w:hAnsi="宋体" w:cs="宋体" w:eastAsia="宋体" w:hint="default"/>
                <w:spacing w:val="-45"/>
                <w:sz w:val="18"/>
                <w:szCs w:val="18"/>
              </w:rPr>
              <w:t> </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站权益出售</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IP</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Intellectual Property</w:t>
            </w:r>
            <w:r>
              <w:rPr>
                <w:rFonts w:ascii="宋体" w:hAnsi="宋体" w:cs="宋体" w:eastAsia="宋体" w:hint="default"/>
                <w:spacing w:val="-46"/>
                <w:sz w:val="18"/>
                <w:szCs w:val="18"/>
              </w:rPr>
              <w:t> </w:t>
            </w:r>
            <w:r>
              <w:rPr>
                <w:rFonts w:ascii="宋体" w:hAnsi="宋体" w:cs="宋体" w:eastAsia="宋体" w:hint="default"/>
                <w:sz w:val="18"/>
                <w:szCs w:val="18"/>
              </w:rPr>
              <w:t>的缩写，指知识产权、版权</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中文在线数字出版集团股份有限公司股东大会</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中文在线数字出版集团股份有限公司董事会</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中文在线数字出版集团股份有限公司监事会</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人民币元、万元</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报告期、本报告期</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日或</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年度</w:t>
            </w:r>
          </w:p>
        </w:tc>
      </w:tr>
      <w:tr>
        <w:trPr>
          <w:trHeight w:val="402"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上年同期</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指</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日或</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p>
      <w:pPr>
        <w:pStyle w:val="Heading1"/>
        <w:spacing w:line="240" w:lineRule="auto"/>
        <w:ind w:left="2644" w:right="1092"/>
        <w:jc w:val="left"/>
        <w:rPr>
          <w:b w:val="0"/>
          <w:bCs w:val="0"/>
        </w:rPr>
      </w:pPr>
      <w:bookmarkStart w:name="第二节 公司简介和主要财务指标" w:id="2"/>
      <w:bookmarkEnd w:id="2"/>
      <w:r>
        <w:rPr>
          <w:b w:val="0"/>
          <w:bCs w:val="0"/>
        </w:rPr>
      </w:r>
      <w:bookmarkStart w:name="_bookmark0" w:id="3"/>
      <w:bookmarkEnd w:id="3"/>
      <w:r>
        <w:rPr>
          <w:b w:val="0"/>
          <w:bCs w:val="0"/>
        </w:rPr>
      </w:r>
      <w:r>
        <w:rPr/>
        <w:t>第二节</w:t>
      </w:r>
      <w:r>
        <w:rPr>
          <w:spacing w:val="-11"/>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ind w:right="1092"/>
        <w:jc w:val="left"/>
        <w:rPr>
          <w:b w:val="0"/>
          <w:bCs w:val="0"/>
        </w:rPr>
      </w:pPr>
      <w:r>
        <w:rPr/>
        <w:pict>
          <v:group style="position:absolute;margin-left:172.339996pt;margin-top:114.735596pt;width:361.5pt;height:19.6pt;mso-position-horizontal-relative:page;mso-position-vertical-relative:paragraph;z-index:-1154752" coordorigin="3447,2295" coordsize="7230,392">
            <v:shape style="position:absolute;left:3447;top:2295;width:7230;height:392" coordorigin="3447,2295" coordsize="7230,392" path="m3447,2686l10676,2686,10676,2295,3447,2295,3447,2686xe" filled="true" fillcolor="#ffffff" stroked="false">
              <v:path arrowok="t"/>
              <v:fill type="solid"/>
            </v:shape>
            <w10:wrap type="none"/>
          </v:group>
        </w:pict>
      </w:r>
      <w:bookmarkStart w:name="一、公司信息" w:id="4"/>
      <w:bookmarkEnd w:id="4"/>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3"/>
        <w:gridCol w:w="2965"/>
        <w:gridCol w:w="2145"/>
        <w:gridCol w:w="2188"/>
      </w:tblGrid>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中文在线</w:t>
            </w:r>
          </w:p>
        </w:tc>
        <w:tc>
          <w:tcPr>
            <w:tcW w:w="2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2"/>
              <w:ind w:left="27" w:right="0"/>
              <w:jc w:val="left"/>
              <w:rPr>
                <w:rFonts w:ascii="宋体" w:hAnsi="宋体" w:cs="宋体" w:eastAsia="宋体" w:hint="default"/>
                <w:sz w:val="18"/>
                <w:szCs w:val="18"/>
              </w:rPr>
            </w:pPr>
            <w:r>
              <w:rPr>
                <w:rFonts w:ascii="宋体"/>
                <w:sz w:val="18"/>
              </w:rPr>
              <w:t>300364</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中文在线</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sz w:val="18"/>
              </w:rPr>
              <w:t>ChineseAll Digital Publishing Group Co.,Ltd.</w:t>
            </w:r>
          </w:p>
        </w:tc>
      </w:tr>
      <w:tr>
        <w:trPr>
          <w:trHeight w:val="402" w:hRule="exact"/>
        </w:trPr>
        <w:tc>
          <w:tcPr>
            <w:tcW w:w="2273"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2"/>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7"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52"/>
              <w:ind w:left="12" w:right="0"/>
              <w:jc w:val="left"/>
              <w:rPr>
                <w:rFonts w:ascii="宋体" w:hAnsi="宋体" w:cs="宋体" w:eastAsia="宋体" w:hint="default"/>
                <w:sz w:val="18"/>
                <w:szCs w:val="18"/>
              </w:rPr>
            </w:pPr>
            <w:r>
              <w:rPr>
                <w:rFonts w:ascii="宋体"/>
                <w:sz w:val="18"/>
              </w:rPr>
              <w:t>ChineseAll</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童之磊</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北京市东城区东总布胡同</w:t>
            </w:r>
            <w:r>
              <w:rPr>
                <w:rFonts w:ascii="宋体" w:hAnsi="宋体" w:cs="宋体" w:eastAsia="宋体" w:hint="default"/>
                <w:spacing w:val="-46"/>
                <w:sz w:val="18"/>
                <w:szCs w:val="18"/>
              </w:rPr>
              <w:t> </w:t>
            </w:r>
            <w:r>
              <w:rPr>
                <w:rFonts w:ascii="宋体" w:hAnsi="宋体" w:cs="宋体" w:eastAsia="宋体" w:hint="default"/>
                <w:sz w:val="18"/>
                <w:szCs w:val="18"/>
              </w:rPr>
              <w:t>58</w:t>
            </w:r>
            <w:r>
              <w:rPr>
                <w:rFonts w:ascii="宋体" w:hAnsi="宋体" w:cs="宋体" w:eastAsia="宋体" w:hint="default"/>
                <w:spacing w:val="-45"/>
                <w:sz w:val="18"/>
                <w:szCs w:val="18"/>
              </w:rPr>
              <w:t> </w:t>
            </w:r>
            <w:r>
              <w:rPr>
                <w:rFonts w:ascii="宋体" w:hAnsi="宋体" w:cs="宋体" w:eastAsia="宋体" w:hint="default"/>
                <w:sz w:val="18"/>
                <w:szCs w:val="18"/>
              </w:rPr>
              <w:t>号天润财富中心</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层</w:t>
            </w:r>
            <w:r>
              <w:rPr>
                <w:rFonts w:ascii="宋体" w:hAnsi="宋体" w:cs="宋体" w:eastAsia="宋体" w:hint="default"/>
                <w:spacing w:val="-46"/>
                <w:sz w:val="18"/>
                <w:szCs w:val="18"/>
              </w:rPr>
              <w:t> </w:t>
            </w:r>
            <w:r>
              <w:rPr>
                <w:rFonts w:ascii="宋体" w:hAnsi="宋体" w:cs="宋体" w:eastAsia="宋体" w:hint="default"/>
                <w:sz w:val="18"/>
                <w:szCs w:val="18"/>
              </w:rPr>
              <w:t>1301</w:t>
            </w:r>
            <w:r>
              <w:rPr>
                <w:rFonts w:ascii="宋体" w:hAnsi="宋体" w:cs="宋体" w:eastAsia="宋体" w:hint="default"/>
                <w:spacing w:val="-45"/>
                <w:sz w:val="18"/>
                <w:szCs w:val="18"/>
              </w:rPr>
              <w:t> </w:t>
            </w:r>
            <w:r>
              <w:rPr>
                <w:rFonts w:ascii="宋体" w:hAnsi="宋体" w:cs="宋体" w:eastAsia="宋体" w:hint="default"/>
                <w:sz w:val="18"/>
                <w:szCs w:val="18"/>
              </w:rPr>
              <w:t>单元</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sz w:val="18"/>
              </w:rPr>
              <w:t>100005</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北京市东城区东总布胡同</w:t>
            </w:r>
            <w:r>
              <w:rPr>
                <w:rFonts w:ascii="宋体" w:hAnsi="宋体" w:cs="宋体" w:eastAsia="宋体" w:hint="default"/>
                <w:spacing w:val="-46"/>
                <w:sz w:val="18"/>
                <w:szCs w:val="18"/>
              </w:rPr>
              <w:t> </w:t>
            </w:r>
            <w:r>
              <w:rPr>
                <w:rFonts w:ascii="宋体" w:hAnsi="宋体" w:cs="宋体" w:eastAsia="宋体" w:hint="default"/>
                <w:sz w:val="18"/>
                <w:szCs w:val="18"/>
              </w:rPr>
              <w:t>58</w:t>
            </w:r>
            <w:r>
              <w:rPr>
                <w:rFonts w:ascii="宋体" w:hAnsi="宋体" w:cs="宋体" w:eastAsia="宋体" w:hint="default"/>
                <w:spacing w:val="-45"/>
                <w:sz w:val="18"/>
                <w:szCs w:val="18"/>
              </w:rPr>
              <w:t> </w:t>
            </w:r>
            <w:r>
              <w:rPr>
                <w:rFonts w:ascii="宋体" w:hAnsi="宋体" w:cs="宋体" w:eastAsia="宋体" w:hint="default"/>
                <w:sz w:val="18"/>
                <w:szCs w:val="18"/>
              </w:rPr>
              <w:t>号天润财富中心</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6"/>
                <w:sz w:val="18"/>
                <w:szCs w:val="18"/>
              </w:rPr>
              <w:t> </w:t>
            </w:r>
            <w:r>
              <w:rPr>
                <w:rFonts w:ascii="宋体" w:hAnsi="宋体" w:cs="宋体" w:eastAsia="宋体" w:hint="default"/>
                <w:sz w:val="18"/>
                <w:szCs w:val="18"/>
              </w:rPr>
              <w:t>层</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sz w:val="18"/>
              </w:rPr>
              <w:t>100005</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hyperlink r:id="rId9">
              <w:r>
                <w:rPr>
                  <w:rFonts w:ascii="宋体"/>
                  <w:sz w:val="18"/>
                </w:rPr>
                <w:t>http://www.chineseall.com</w:t>
              </w:r>
            </w:hyperlink>
          </w:p>
        </w:tc>
      </w:tr>
      <w:tr>
        <w:trPr>
          <w:trHeight w:val="403"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hyperlink r:id="rId10">
              <w:r>
                <w:rPr>
                  <w:rFonts w:ascii="宋体"/>
                  <w:sz w:val="18"/>
                </w:rPr>
                <w:t>ir@chineseall.com</w:t>
              </w:r>
            </w:hyperlink>
          </w:p>
        </w:tc>
      </w:tr>
    </w:tbl>
    <w:p>
      <w:pPr>
        <w:spacing w:line="240" w:lineRule="auto" w:before="2"/>
        <w:rPr>
          <w:rFonts w:ascii="宋体" w:hAnsi="宋体" w:cs="宋体" w:eastAsia="宋体" w:hint="default"/>
          <w:b/>
          <w:bCs/>
          <w:sz w:val="18"/>
          <w:szCs w:val="18"/>
        </w:rPr>
      </w:pPr>
    </w:p>
    <w:p>
      <w:pPr>
        <w:pStyle w:val="Heading2"/>
        <w:spacing w:line="240" w:lineRule="auto"/>
        <w:ind w:right="1092"/>
        <w:jc w:val="left"/>
        <w:rPr>
          <w:b w:val="0"/>
          <w:bCs w:val="0"/>
        </w:rPr>
      </w:pPr>
      <w:bookmarkStart w:name="二、联系人和联系方式" w:id="5"/>
      <w:bookmarkEnd w:id="5"/>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蒋洁琼</w:t>
            </w:r>
          </w:p>
        </w:tc>
      </w:tr>
      <w:tr>
        <w:trPr>
          <w:trHeight w:val="161" w:hRule="exact"/>
        </w:trPr>
        <w:tc>
          <w:tcPr>
            <w:tcW w:w="3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北京市东城区东总布胡同</w:t>
            </w:r>
            <w:r>
              <w:rPr>
                <w:rFonts w:ascii="宋体" w:hAnsi="宋体" w:cs="宋体" w:eastAsia="宋体" w:hint="default"/>
                <w:spacing w:val="-53"/>
                <w:sz w:val="18"/>
                <w:szCs w:val="18"/>
              </w:rPr>
              <w:t> </w:t>
            </w:r>
            <w:r>
              <w:rPr>
                <w:rFonts w:ascii="宋体" w:hAnsi="宋体" w:cs="宋体" w:eastAsia="宋体" w:hint="default"/>
                <w:sz w:val="18"/>
                <w:szCs w:val="18"/>
              </w:rPr>
              <w:t>58</w:t>
            </w:r>
            <w:r>
              <w:rPr>
                <w:rFonts w:ascii="宋体" w:hAnsi="宋体" w:cs="宋体" w:eastAsia="宋体" w:hint="default"/>
                <w:spacing w:val="-53"/>
                <w:sz w:val="18"/>
                <w:szCs w:val="18"/>
              </w:rPr>
              <w:t> </w:t>
            </w:r>
            <w:r>
              <w:rPr>
                <w:rFonts w:ascii="宋体" w:hAnsi="宋体" w:cs="宋体" w:eastAsia="宋体" w:hint="default"/>
                <w:sz w:val="18"/>
                <w:szCs w:val="18"/>
              </w:rPr>
              <w:t>号天润财富</w:t>
            </w:r>
          </w:p>
          <w:p>
            <w:pPr>
              <w:pStyle w:val="TableParagraph"/>
              <w:spacing w:line="240" w:lineRule="auto" w:before="76"/>
              <w:ind w:left="16" w:right="0"/>
              <w:jc w:val="left"/>
              <w:rPr>
                <w:rFonts w:ascii="宋体" w:hAnsi="宋体" w:cs="宋体" w:eastAsia="宋体" w:hint="default"/>
                <w:sz w:val="18"/>
                <w:szCs w:val="18"/>
              </w:rPr>
            </w:pPr>
            <w:r>
              <w:rPr>
                <w:rFonts w:ascii="宋体" w:hAnsi="宋体" w:cs="宋体" w:eastAsia="宋体" w:hint="default"/>
                <w:sz w:val="18"/>
                <w:szCs w:val="18"/>
              </w:rPr>
              <w:t>中心</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6"/>
                <w:sz w:val="18"/>
                <w:szCs w:val="18"/>
              </w:rPr>
              <w:t> </w:t>
            </w:r>
            <w:r>
              <w:rPr>
                <w:rFonts w:ascii="宋体" w:hAnsi="宋体" w:cs="宋体" w:eastAsia="宋体" w:hint="default"/>
                <w:sz w:val="18"/>
                <w:szCs w:val="18"/>
              </w:rPr>
              <w:t>层</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北京市东城区东总布胡同</w:t>
            </w:r>
            <w:r>
              <w:rPr>
                <w:rFonts w:ascii="宋体" w:hAnsi="宋体" w:cs="宋体" w:eastAsia="宋体" w:hint="default"/>
                <w:spacing w:val="-53"/>
                <w:sz w:val="18"/>
                <w:szCs w:val="18"/>
              </w:rPr>
              <w:t> </w:t>
            </w:r>
            <w:r>
              <w:rPr>
                <w:rFonts w:ascii="宋体" w:hAnsi="宋体" w:cs="宋体" w:eastAsia="宋体" w:hint="default"/>
                <w:sz w:val="18"/>
                <w:szCs w:val="18"/>
              </w:rPr>
              <w:t>58</w:t>
            </w:r>
            <w:r>
              <w:rPr>
                <w:rFonts w:ascii="宋体" w:hAnsi="宋体" w:cs="宋体" w:eastAsia="宋体" w:hint="default"/>
                <w:spacing w:val="-53"/>
                <w:sz w:val="18"/>
                <w:szCs w:val="18"/>
              </w:rPr>
              <w:t> </w:t>
            </w:r>
            <w:r>
              <w:rPr>
                <w:rFonts w:ascii="宋体" w:hAnsi="宋体" w:cs="宋体" w:eastAsia="宋体" w:hint="default"/>
                <w:sz w:val="18"/>
                <w:szCs w:val="18"/>
              </w:rPr>
              <w:t>号天润财富</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中心</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6"/>
                <w:sz w:val="18"/>
                <w:szCs w:val="18"/>
              </w:rPr>
              <w:t> </w:t>
            </w:r>
            <w:r>
              <w:rPr>
                <w:rFonts w:ascii="宋体" w:hAnsi="宋体" w:cs="宋体" w:eastAsia="宋体" w:hint="default"/>
                <w:sz w:val="18"/>
                <w:szCs w:val="18"/>
              </w:rPr>
              <w:t>层</w:t>
            </w:r>
          </w:p>
        </w:tc>
      </w:tr>
      <w:tr>
        <w:trPr>
          <w:trHeight w:val="392" w:hRule="exact"/>
        </w:trPr>
        <w:tc>
          <w:tcPr>
            <w:tcW w:w="3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sz w:val="18"/>
              </w:rPr>
              <w:t>010-84195757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010-84195757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sz w:val="18"/>
              </w:rPr>
              <w:t>010-84195550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010-84195550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hyperlink r:id="rId10">
              <w:r>
                <w:rPr>
                  <w:rFonts w:ascii="宋体"/>
                  <w:sz w:val="18"/>
                </w:rPr>
                <w:t>ir@chineseall.com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hyperlink r:id="rId10">
              <w:r>
                <w:rPr>
                  <w:rFonts w:ascii="宋体"/>
                  <w:sz w:val="18"/>
                </w:rPr>
                <w:t>ir@chineseall.com</w:t>
              </w:r>
            </w:hyperlink>
          </w:p>
        </w:tc>
      </w:tr>
    </w:tbl>
    <w:p>
      <w:pPr>
        <w:spacing w:line="240" w:lineRule="auto" w:before="2"/>
        <w:rPr>
          <w:rFonts w:ascii="宋体" w:hAnsi="宋体" w:cs="宋体" w:eastAsia="宋体" w:hint="default"/>
          <w:b/>
          <w:bCs/>
          <w:sz w:val="18"/>
          <w:szCs w:val="18"/>
        </w:rPr>
      </w:pPr>
    </w:p>
    <w:p>
      <w:pPr>
        <w:pStyle w:val="Heading2"/>
        <w:spacing w:line="240" w:lineRule="auto"/>
        <w:ind w:right="1092"/>
        <w:jc w:val="left"/>
        <w:rPr>
          <w:b w:val="0"/>
          <w:bCs w:val="0"/>
        </w:rPr>
      </w:pPr>
      <w:bookmarkStart w:name="三、信息披露及备置地点" w:id="6"/>
      <w:bookmarkEnd w:id="6"/>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《上海证券报</w:t>
            </w:r>
            <w:r>
              <w:rPr>
                <w:rFonts w:ascii="宋体" w:hAnsi="宋体" w:cs="宋体" w:eastAsia="宋体" w:hint="default"/>
                <w:spacing w:val="-90"/>
                <w:sz w:val="18"/>
                <w:szCs w:val="18"/>
              </w:rPr>
              <w:t>》、</w:t>
            </w: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《证券日报》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11">
              <w:r>
                <w:rPr>
                  <w:rFonts w:ascii="宋体" w:hAnsi="宋体" w:cs="宋体" w:eastAsia="宋体" w:hint="default"/>
                  <w:sz w:val="18"/>
                  <w:szCs w:val="18"/>
                </w:rPr>
                <w:t>http://www.cninfo.com.cn</w:t>
              </w:r>
            </w:hyperlink>
            <w:r>
              <w:rPr>
                <w:rFonts w:ascii="宋体" w:hAnsi="宋体" w:cs="宋体" w:eastAsia="宋体" w:hint="default"/>
                <w:sz w:val="18"/>
                <w:szCs w:val="18"/>
              </w:rPr>
              <w:t>）</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证券投资部</w:t>
            </w:r>
          </w:p>
        </w:tc>
      </w:tr>
    </w:tbl>
    <w:p>
      <w:pPr>
        <w:spacing w:line="240" w:lineRule="auto" w:before="2"/>
        <w:rPr>
          <w:rFonts w:ascii="宋体" w:hAnsi="宋体" w:cs="宋体" w:eastAsia="宋体" w:hint="default"/>
          <w:b/>
          <w:bCs/>
          <w:sz w:val="18"/>
          <w:szCs w:val="18"/>
        </w:rPr>
      </w:pPr>
    </w:p>
    <w:p>
      <w:pPr>
        <w:pStyle w:val="Heading2"/>
        <w:spacing w:line="240" w:lineRule="auto"/>
        <w:ind w:right="1092"/>
        <w:jc w:val="left"/>
        <w:rPr>
          <w:b w:val="0"/>
          <w:bCs w:val="0"/>
        </w:rPr>
      </w:pPr>
      <w:bookmarkStart w:name="四、其他有关资料" w:id="7"/>
      <w:bookmarkEnd w:id="7"/>
      <w:r>
        <w:rPr>
          <w:b w:val="0"/>
          <w:bCs w:val="0"/>
        </w:rPr>
      </w:r>
      <w:r>
        <w:rPr/>
        <w:t>四、其他有关资料</w:t>
      </w:r>
      <w:r>
        <w:rPr>
          <w:b w:val="0"/>
          <w:bCs w:val="0"/>
        </w:rPr>
      </w:r>
    </w:p>
    <w:p>
      <w:pPr>
        <w:spacing w:line="240" w:lineRule="auto" w:before="11"/>
        <w:rPr>
          <w:rFonts w:ascii="宋体" w:hAnsi="宋体" w:cs="宋体" w:eastAsia="宋体" w:hint="default"/>
          <w:b/>
          <w:bCs/>
          <w:sz w:val="28"/>
          <w:szCs w:val="28"/>
        </w:rPr>
      </w:pPr>
    </w:p>
    <w:p>
      <w:pPr>
        <w:pStyle w:val="BodyText"/>
        <w:spacing w:line="240" w:lineRule="auto"/>
        <w:ind w:left="634" w:right="1092"/>
        <w:jc w:val="left"/>
      </w:pPr>
      <w:r>
        <w:rPr/>
        <w:t>公司聘请的会计师事务所</w:t>
      </w:r>
    </w:p>
    <w:p>
      <w:pPr>
        <w:spacing w:after="0" w:line="240" w:lineRule="auto"/>
        <w:jc w:val="lef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北京市东城区朝阳门北大街</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6"/>
                <w:sz w:val="18"/>
                <w:szCs w:val="18"/>
              </w:rPr>
              <w:t> </w:t>
            </w:r>
            <w:r>
              <w:rPr>
                <w:rFonts w:ascii="宋体" w:hAnsi="宋体" w:cs="宋体" w:eastAsia="宋体" w:hint="default"/>
                <w:sz w:val="18"/>
                <w:szCs w:val="18"/>
              </w:rPr>
              <w:t>号富华大厦</w:t>
            </w:r>
            <w:r>
              <w:rPr>
                <w:rFonts w:ascii="宋体" w:hAnsi="宋体" w:cs="宋体" w:eastAsia="宋体" w:hint="default"/>
                <w:spacing w:val="-46"/>
                <w:sz w:val="18"/>
                <w:szCs w:val="18"/>
              </w:rPr>
              <w:t> </w:t>
            </w:r>
            <w:r>
              <w:rPr>
                <w:rFonts w:ascii="宋体" w:hAnsi="宋体" w:cs="宋体" w:eastAsia="宋体" w:hint="default"/>
                <w:sz w:val="18"/>
                <w:szCs w:val="18"/>
              </w:rPr>
              <w:t>A</w:t>
            </w:r>
            <w:r>
              <w:rPr>
                <w:rFonts w:ascii="宋体" w:hAnsi="宋体" w:cs="宋体" w:eastAsia="宋体" w:hint="default"/>
                <w:spacing w:val="-45"/>
                <w:sz w:val="18"/>
                <w:szCs w:val="18"/>
              </w:rPr>
              <w:t> </w:t>
            </w:r>
            <w:r>
              <w:rPr>
                <w:rFonts w:ascii="宋体" w:hAnsi="宋体" w:cs="宋体" w:eastAsia="宋体" w:hint="default"/>
                <w:sz w:val="18"/>
                <w:szCs w:val="18"/>
              </w:rPr>
              <w:t>座</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层</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汪洋、王宏疆</w:t>
            </w:r>
          </w:p>
        </w:tc>
      </w:tr>
    </w:tbl>
    <w:p>
      <w:pPr>
        <w:spacing w:line="240" w:lineRule="auto" w:before="11"/>
        <w:rPr>
          <w:rFonts w:ascii="宋体" w:hAnsi="宋体" w:cs="宋体" w:eastAsia="宋体" w:hint="default"/>
          <w:sz w:val="8"/>
          <w:szCs w:val="8"/>
        </w:rPr>
      </w:pPr>
    </w:p>
    <w:p>
      <w:pPr>
        <w:pStyle w:val="BodyText"/>
        <w:spacing w:line="240" w:lineRule="auto" w:before="26"/>
        <w:ind w:left="634" w:right="1092"/>
        <w:jc w:val="left"/>
      </w:pPr>
      <w:r>
        <w:rPr/>
        <w:t>公司聘请的报告期内履行持续督导职责的保荐机构</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3"/>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71"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0"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5"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中信证券股份有限公司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62"/>
              <w:jc w:val="left"/>
              <w:rPr>
                <w:rFonts w:ascii="宋体" w:hAnsi="宋体" w:cs="宋体" w:eastAsia="宋体" w:hint="default"/>
                <w:sz w:val="18"/>
                <w:szCs w:val="18"/>
              </w:rPr>
            </w:pPr>
            <w:r>
              <w:rPr>
                <w:rFonts w:ascii="宋体" w:hAnsi="宋体" w:cs="宋体" w:eastAsia="宋体" w:hint="default"/>
                <w:sz w:val="18"/>
                <w:szCs w:val="18"/>
              </w:rPr>
              <w:t>中国深圳市福田区中心三路</w:t>
            </w:r>
            <w:r>
              <w:rPr>
                <w:rFonts w:ascii="宋体" w:hAnsi="宋体" w:cs="宋体" w:eastAsia="宋体" w:hint="default"/>
                <w:spacing w:val="-46"/>
                <w:sz w:val="18"/>
                <w:szCs w:val="18"/>
              </w:rPr>
              <w:t> </w:t>
            </w:r>
            <w:r>
              <w:rPr>
                <w:rFonts w:ascii="宋体" w:hAnsi="宋体" w:cs="宋体" w:eastAsia="宋体" w:hint="default"/>
                <w:sz w:val="18"/>
                <w:szCs w:val="18"/>
              </w:rPr>
              <w:t>8 </w:t>
            </w:r>
            <w:r>
              <w:rPr>
                <w:rFonts w:ascii="宋体" w:hAnsi="宋体" w:cs="宋体" w:eastAsia="宋体" w:hint="default"/>
                <w:sz w:val="18"/>
                <w:szCs w:val="18"/>
              </w:rPr>
              <w:t>号中信证券大厦</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李艳梅、黄新炎</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公司聘请的报告期内履行持续督导职责的财务顾问</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4"/>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财务顾问名称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1" w:right="0"/>
              <w:jc w:val="left"/>
              <w:rPr>
                <w:rFonts w:ascii="宋体" w:hAnsi="宋体" w:cs="宋体" w:eastAsia="宋体" w:hint="default"/>
                <w:sz w:val="18"/>
                <w:szCs w:val="18"/>
              </w:rPr>
            </w:pPr>
            <w:r>
              <w:rPr>
                <w:rFonts w:ascii="宋体" w:hAnsi="宋体" w:cs="宋体" w:eastAsia="宋体" w:hint="default"/>
                <w:sz w:val="18"/>
                <w:szCs w:val="18"/>
              </w:rPr>
              <w:t>财务顾问办公地址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财务顾问主办人姓名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中德证券有限责任公司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北京市朝阳区建国路</w:t>
            </w:r>
            <w:r>
              <w:rPr>
                <w:rFonts w:ascii="宋体" w:hAnsi="宋体" w:cs="宋体" w:eastAsia="宋体" w:hint="default"/>
                <w:spacing w:val="-46"/>
                <w:sz w:val="18"/>
                <w:szCs w:val="18"/>
              </w:rPr>
              <w:t> </w:t>
            </w:r>
            <w:r>
              <w:rPr>
                <w:rFonts w:ascii="宋体" w:hAnsi="宋体" w:cs="宋体" w:eastAsia="宋体" w:hint="default"/>
                <w:sz w:val="18"/>
                <w:szCs w:val="18"/>
              </w:rPr>
              <w:t>81</w:t>
            </w:r>
            <w:r>
              <w:rPr>
                <w:rFonts w:ascii="宋体" w:hAnsi="宋体" w:cs="宋体" w:eastAsia="宋体" w:hint="default"/>
                <w:spacing w:val="-46"/>
                <w:sz w:val="18"/>
                <w:szCs w:val="18"/>
              </w:rPr>
              <w:t> </w:t>
            </w:r>
            <w:r>
              <w:rPr>
                <w:rFonts w:ascii="宋体" w:hAnsi="宋体" w:cs="宋体" w:eastAsia="宋体" w:hint="default"/>
                <w:sz w:val="18"/>
                <w:szCs w:val="18"/>
              </w:rPr>
              <w:t>号华</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贸写字楼一座</w:t>
            </w:r>
            <w:r>
              <w:rPr>
                <w:rFonts w:ascii="宋体" w:hAnsi="宋体" w:cs="宋体" w:eastAsia="宋体" w:hint="default"/>
                <w:spacing w:val="-46"/>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层</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胡晓、张希</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c>
      </w:tr>
    </w:tbl>
    <w:p>
      <w:pPr>
        <w:spacing w:line="240" w:lineRule="auto" w:before="2"/>
        <w:rPr>
          <w:rFonts w:ascii="宋体" w:hAnsi="宋体" w:cs="宋体" w:eastAsia="宋体" w:hint="default"/>
          <w:sz w:val="18"/>
          <w:szCs w:val="18"/>
        </w:rPr>
      </w:pPr>
    </w:p>
    <w:p>
      <w:pPr>
        <w:spacing w:line="528" w:lineRule="auto" w:before="26"/>
        <w:ind w:left="634" w:right="5472" w:hanging="480"/>
        <w:jc w:val="left"/>
        <w:rPr>
          <w:rFonts w:ascii="宋体" w:hAnsi="宋体" w:cs="宋体" w:eastAsia="宋体" w:hint="default"/>
          <w:sz w:val="24"/>
          <w:szCs w:val="24"/>
        </w:rPr>
      </w:pPr>
      <w:bookmarkStart w:name="五、主要会计数据和财务指标" w:id="8"/>
      <w:bookmarkEnd w:id="8"/>
      <w:r>
        <w:rPr/>
      </w:r>
      <w:r>
        <w:rPr>
          <w:rFonts w:ascii="宋体" w:hAnsi="宋体" w:cs="宋体" w:eastAsia="宋体" w:hint="default"/>
          <w:b/>
          <w:bCs/>
          <w:sz w:val="24"/>
          <w:szCs w:val="24"/>
        </w:rPr>
        <w:t>五、主要会计数据和财务指标</w:t>
      </w:r>
      <w:r>
        <w:rPr>
          <w:rFonts w:ascii="宋体" w:hAnsi="宋体" w:cs="宋体" w:eastAsia="宋体" w:hint="default"/>
          <w:b/>
          <w:bCs/>
          <w:w w:val="99"/>
          <w:sz w:val="24"/>
          <w:szCs w:val="24"/>
        </w:rPr>
        <w:t> </w:t>
      </w:r>
      <w:r>
        <w:rPr>
          <w:rFonts w:ascii="宋体" w:hAnsi="宋体" w:cs="宋体" w:eastAsia="宋体" w:hint="default"/>
          <w:sz w:val="24"/>
          <w:szCs w:val="24"/>
        </w:rPr>
        <w:t>公司是否需追溯调整或重述以前年度会计数据</w:t>
      </w:r>
    </w:p>
    <w:p>
      <w:pPr>
        <w:pStyle w:val="BodyText"/>
        <w:spacing w:line="280" w:lineRule="exact"/>
        <w:ind w:left="634" w:right="1092"/>
        <w:jc w:val="left"/>
      </w:pPr>
      <w:r>
        <w:rPr/>
        <w:t>□ 是 √ 否</w:t>
      </w:r>
    </w:p>
    <w:p>
      <w:pPr>
        <w:spacing w:line="240" w:lineRule="auto" w:before="4"/>
        <w:rPr>
          <w:rFonts w:ascii="宋体" w:hAnsi="宋体" w:cs="宋体" w:eastAsia="宋体" w:hint="default"/>
          <w:sz w:val="16"/>
          <w:szCs w:val="16"/>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885,489,948.35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716,779,582.45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23.54%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601,515,607.49</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-1,508,461,329.35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77,527,103.03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-2,045.72%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35,044,662.79</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-1,966,141,565.61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45,625,617.01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-4,409.29%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6,974,021.86</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-89,389,368.35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239,252,264.20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-137.36%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200,024,865.68</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-1.9912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0.1100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-1,910.18%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0.0517</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-1.9912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0.1089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-1,928.47%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0.0515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-56.34%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-59.34%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9"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年末</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2,590,576,031.24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2,963,325,381.70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-12.58%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2,852,656,032.20</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2,179,595,711.01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2,664,011,406.07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-18.18%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2,537,550,086.35</w:t>
            </w:r>
          </w:p>
        </w:tc>
      </w:tr>
    </w:tbl>
    <w:p>
      <w:pPr>
        <w:spacing w:after="0" w:line="240" w:lineRule="auto"/>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ind w:right="1092"/>
        <w:jc w:val="left"/>
        <w:rPr>
          <w:b w:val="0"/>
          <w:bCs w:val="0"/>
        </w:rPr>
      </w:pPr>
      <w:bookmarkStart w:name="六、分季度主要财务指标" w:id="9"/>
      <w:bookmarkEnd w:id="9"/>
      <w:r>
        <w:rPr>
          <w:b w:val="0"/>
          <w:bCs w:val="0"/>
        </w:rPr>
      </w:r>
      <w:r>
        <w:rPr/>
        <w:t>六、分季度主要财务指标</w:t>
      </w:r>
      <w:r>
        <w:rPr>
          <w:b w:val="0"/>
          <w:bCs w:val="0"/>
        </w:rPr>
      </w:r>
    </w:p>
    <w:p>
      <w:pPr>
        <w:spacing w:line="240" w:lineRule="auto" w:before="2"/>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598"/>
        <w:gridCol w:w="1752"/>
        <w:gridCol w:w="1739"/>
        <w:gridCol w:w="1740"/>
        <w:gridCol w:w="1729"/>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4"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144,094,657.52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279,846,493.83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6" w:right="0"/>
              <w:jc w:val="left"/>
              <w:rPr>
                <w:rFonts w:ascii="宋体" w:hAnsi="宋体" w:cs="宋体" w:eastAsia="宋体" w:hint="default"/>
                <w:sz w:val="18"/>
                <w:szCs w:val="18"/>
              </w:rPr>
            </w:pPr>
            <w:r>
              <w:rPr>
                <w:rFonts w:ascii="宋体"/>
                <w:sz w:val="18"/>
              </w:rPr>
              <w:t>285,989,111.92</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175,559,685.08</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-30,933,545.52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83,088,977.22</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6" w:right="0"/>
              <w:jc w:val="left"/>
              <w:rPr>
                <w:rFonts w:ascii="宋体" w:hAnsi="宋体" w:cs="宋体" w:eastAsia="宋体" w:hint="default"/>
                <w:sz w:val="18"/>
                <w:szCs w:val="18"/>
              </w:rPr>
            </w:pPr>
            <w:r>
              <w:rPr>
                <w:rFonts w:ascii="宋体"/>
                <w:sz w:val="18"/>
              </w:rPr>
              <w:t>-13,581,975.00</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-1,547,034,786.05</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-31,181,824.79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-19,251,089.33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46" w:right="0"/>
              <w:jc w:val="left"/>
              <w:rPr>
                <w:rFonts w:ascii="宋体" w:hAnsi="宋体" w:cs="宋体" w:eastAsia="宋体" w:hint="default"/>
                <w:sz w:val="18"/>
                <w:szCs w:val="18"/>
              </w:rPr>
            </w:pPr>
            <w:r>
              <w:rPr>
                <w:rFonts w:ascii="宋体"/>
                <w:sz w:val="18"/>
              </w:rPr>
              <w:t>-16,342,843.68</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-1,899,365,807.81</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-137,801,878.20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95,559,458.13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6" w:right="0"/>
              <w:jc w:val="left"/>
              <w:rPr>
                <w:rFonts w:ascii="宋体" w:hAnsi="宋体" w:cs="宋体" w:eastAsia="宋体" w:hint="default"/>
                <w:sz w:val="18"/>
                <w:szCs w:val="18"/>
              </w:rPr>
            </w:pPr>
            <w:r>
              <w:rPr>
                <w:rFonts w:ascii="宋体"/>
                <w:sz w:val="18"/>
              </w:rPr>
              <w:t>-10,554,758.49</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-36,592,162.79</w:t>
            </w:r>
          </w:p>
        </w:tc>
      </w:tr>
    </w:tbl>
    <w:p>
      <w:pPr>
        <w:spacing w:line="240" w:lineRule="auto" w:before="10"/>
        <w:rPr>
          <w:rFonts w:ascii="宋体" w:hAnsi="宋体" w:cs="宋体" w:eastAsia="宋体" w:hint="default"/>
          <w:sz w:val="8"/>
          <w:szCs w:val="8"/>
        </w:rPr>
      </w:pPr>
    </w:p>
    <w:p>
      <w:pPr>
        <w:pStyle w:val="BodyText"/>
        <w:spacing w:line="357" w:lineRule="auto" w:before="26"/>
        <w:ind w:right="1092" w:firstLine="480"/>
        <w:jc w:val="left"/>
      </w:pPr>
      <w:r>
        <w:rPr/>
        <w:t>上述财务指标或其加总数是否与公司已披露季度报告、半年度报告相关财务指标存在重 大差异</w:t>
      </w:r>
    </w:p>
    <w:p>
      <w:pPr>
        <w:spacing w:line="528" w:lineRule="auto" w:before="136"/>
        <w:ind w:left="154" w:right="5472" w:firstLine="480"/>
        <w:jc w:val="left"/>
        <w:rPr>
          <w:rFonts w:ascii="宋体" w:hAnsi="宋体" w:cs="宋体" w:eastAsia="宋体" w:hint="default"/>
          <w:sz w:val="24"/>
          <w:szCs w:val="24"/>
        </w:rPr>
      </w:pPr>
      <w:r>
        <w:rPr>
          <w:rFonts w:ascii="宋体" w:hAnsi="宋体" w:cs="宋体" w:eastAsia="宋体" w:hint="default"/>
          <w:sz w:val="24"/>
          <w:szCs w:val="24"/>
        </w:rPr>
        <w:t>□ 是 √ 否 </w:t>
      </w:r>
      <w:bookmarkStart w:name="七、境内外会计准则下会计数据差异" w:id="10"/>
      <w:bookmarkEnd w:id="10"/>
      <w:r>
        <w:rPr>
          <w:rFonts w:ascii="宋体" w:hAnsi="宋体" w:cs="宋体" w:eastAsia="宋体" w:hint="default"/>
          <w:sz w:val="24"/>
          <w:szCs w:val="24"/>
        </w:rPr>
      </w:r>
      <w:r>
        <w:rPr>
          <w:rFonts w:ascii="宋体" w:hAnsi="宋体" w:cs="宋体" w:eastAsia="宋体" w:hint="default"/>
          <w:b/>
          <w:bCs/>
          <w:w w:val="95"/>
          <w:sz w:val="24"/>
          <w:szCs w:val="24"/>
        </w:rPr>
        <w:t>七、境内外会计准则下会计数据差异</w:t>
      </w:r>
      <w:r>
        <w:rPr>
          <w:rFonts w:ascii="宋体" w:hAnsi="宋体" w:cs="宋体" w:eastAsia="宋体" w:hint="default"/>
          <w:sz w:val="24"/>
          <w:szCs w:val="24"/>
        </w:rPr>
      </w:r>
    </w:p>
    <w:p>
      <w:pPr>
        <w:spacing w:before="34"/>
        <w:ind w:left="154" w:right="1092" w:firstLine="0"/>
        <w:jc w:val="left"/>
        <w:rPr>
          <w:rFonts w:ascii="宋体" w:hAnsi="宋体" w:cs="宋体" w:eastAsia="宋体" w:hint="default"/>
          <w:sz w:val="21"/>
          <w:szCs w:val="21"/>
        </w:rPr>
      </w:pPr>
      <w:bookmarkStart w:name="1、同时按照国际会计准则与按照中国会计准则披露的财务报告中净利润和净资产差异情况" w:id="11"/>
      <w:bookmarkEnd w:id="11"/>
      <w:r>
        <w:rPr/>
      </w:r>
      <w:r>
        <w:rPr>
          <w:rFonts w:ascii="宋体" w:hAnsi="宋体" w:cs="宋体" w:eastAsia="宋体" w:hint="default"/>
          <w:b/>
          <w:bCs/>
          <w:sz w:val="21"/>
          <w:szCs w:val="21"/>
        </w:rPr>
        <w:t>1</w:t>
      </w:r>
      <w:r>
        <w:rPr>
          <w:rFonts w:ascii="宋体" w:hAnsi="宋体" w:cs="宋体" w:eastAsia="宋体" w:hint="default"/>
          <w:b/>
          <w:bCs/>
          <w:sz w:val="21"/>
          <w:szCs w:val="21"/>
        </w:rPr>
        <w:t>、同时按照国际会计准则与按照中国会计准则披露的财务报告中净利润和净资产差异情况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2" w:lineRule="auto" w:before="133"/>
        <w:ind w:left="634" w:right="1092"/>
        <w:jc w:val="left"/>
      </w:pPr>
      <w:r>
        <w:rPr/>
        <w:t>□ 适用 √ 不适用 公司报告期不存在按照国际会计准则与按照中国会计准则披露的财务报告中净利润和净</w:t>
      </w:r>
    </w:p>
    <w:p>
      <w:pPr>
        <w:pStyle w:val="BodyText"/>
        <w:spacing w:line="277" w:lineRule="exact"/>
        <w:ind w:right="1092"/>
        <w:jc w:val="left"/>
      </w:pPr>
      <w:r>
        <w:rPr/>
        <w:t>资产差异情况。</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同时按照境外会计准则与按照中国会计准则披露的财务报告中净利润和净资产差异情况" w:id="12"/>
      <w:bookmarkEnd w:id="12"/>
      <w:r>
        <w:rPr/>
      </w:r>
      <w:r>
        <w:rPr>
          <w:rFonts w:ascii="宋体" w:hAnsi="宋体" w:cs="宋体" w:eastAsia="宋体" w:hint="default"/>
          <w:b/>
          <w:bCs/>
          <w:sz w:val="21"/>
          <w:szCs w:val="21"/>
        </w:rPr>
        <w:t>2</w:t>
      </w:r>
      <w:r>
        <w:rPr>
          <w:rFonts w:ascii="宋体" w:hAnsi="宋体" w:cs="宋体" w:eastAsia="宋体" w:hint="default"/>
          <w:b/>
          <w:bCs/>
          <w:sz w:val="21"/>
          <w:szCs w:val="21"/>
        </w:rPr>
        <w:t>、同时按照境外会计准则与按照中国会计准则披露的财务报告中净利润和净资产差异情况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2" w:lineRule="auto" w:before="133"/>
        <w:ind w:left="634" w:right="1092"/>
        <w:jc w:val="left"/>
      </w:pPr>
      <w:r>
        <w:rPr/>
        <w:t>□ 适用 √ 不适用 公司报告期不存在按照境外会计准则与按照中国会计准则披露的财务报告中净利润和净</w:t>
      </w:r>
    </w:p>
    <w:p>
      <w:pPr>
        <w:pStyle w:val="BodyText"/>
        <w:spacing w:line="277" w:lineRule="exact"/>
        <w:ind w:right="1092"/>
        <w:jc w:val="left"/>
      </w:pPr>
      <w:r>
        <w:rPr/>
        <w:t>资产差异情况。</w:t>
      </w:r>
    </w:p>
    <w:p>
      <w:pPr>
        <w:spacing w:line="240" w:lineRule="auto" w:before="10"/>
        <w:rPr>
          <w:rFonts w:ascii="宋体" w:hAnsi="宋体" w:cs="宋体" w:eastAsia="宋体" w:hint="default"/>
          <w:sz w:val="28"/>
          <w:szCs w:val="28"/>
        </w:rPr>
      </w:pPr>
    </w:p>
    <w:p>
      <w:pPr>
        <w:pStyle w:val="Heading2"/>
        <w:spacing w:line="240" w:lineRule="auto" w:before="0"/>
        <w:ind w:right="1092"/>
        <w:jc w:val="left"/>
        <w:rPr>
          <w:b w:val="0"/>
          <w:bCs w:val="0"/>
        </w:rPr>
      </w:pPr>
      <w:bookmarkStart w:name="八、非经常性损益项目及金额" w:id="13"/>
      <w:bookmarkEnd w:id="13"/>
      <w:r>
        <w:rPr>
          <w:b w:val="0"/>
          <w:bCs w:val="0"/>
        </w:rPr>
      </w:r>
      <w:r>
        <w:rPr/>
        <w:t>八、非经常性损益项目及金额</w:t>
      </w:r>
      <w:r>
        <w:rPr>
          <w:b w:val="0"/>
          <w:bCs w:val="0"/>
        </w:rPr>
      </w:r>
    </w:p>
    <w:p>
      <w:pPr>
        <w:spacing w:line="240" w:lineRule="auto" w:before="11"/>
        <w:rPr>
          <w:rFonts w:ascii="宋体" w:hAnsi="宋体" w:cs="宋体" w:eastAsia="宋体" w:hint="default"/>
          <w:b/>
          <w:bCs/>
          <w:sz w:val="28"/>
          <w:szCs w:val="28"/>
        </w:rPr>
      </w:pPr>
    </w:p>
    <w:p>
      <w:pPr>
        <w:pStyle w:val="BodyText"/>
        <w:spacing w:line="240" w:lineRule="auto"/>
        <w:ind w:left="634" w:right="1092"/>
        <w:jc w:val="left"/>
      </w:pPr>
      <w:r>
        <w:rPr/>
        <w:t>√ 适用 □ 不适用</w:t>
      </w:r>
    </w:p>
    <w:p>
      <w:pPr>
        <w:spacing w:line="240" w:lineRule="auto" w:before="3"/>
        <w:rPr>
          <w:rFonts w:ascii="宋体" w:hAnsi="宋体" w:cs="宋体" w:eastAsia="宋体" w:hint="default"/>
          <w:sz w:val="17"/>
          <w:szCs w:val="1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33" w:type="dxa"/>
        <w:tblLayout w:type="fixed"/>
        <w:tblCellMar>
          <w:top w:w="0" w:type="dxa"/>
          <w:left w:w="0" w:type="dxa"/>
          <w:bottom w:w="0" w:type="dxa"/>
          <w:right w:w="0" w:type="dxa"/>
        </w:tblCellMar>
        <w:tblLook w:val="01E0"/>
      </w:tblPr>
      <w:tblGrid>
        <w:gridCol w:w="4045"/>
        <w:gridCol w:w="1886"/>
        <w:gridCol w:w="1876"/>
        <w:gridCol w:w="1877"/>
      </w:tblGrid>
      <w:tr>
        <w:trPr>
          <w:trHeight w:val="402" w:hRule="exact"/>
        </w:trPr>
        <w:tc>
          <w:tcPr>
            <w:tcW w:w="4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年金额</w:t>
            </w:r>
          </w:p>
        </w:tc>
        <w:tc>
          <w:tcPr>
            <w:tcW w:w="1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0"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年金额</w:t>
            </w:r>
          </w:p>
        </w:tc>
        <w:tc>
          <w:tcPr>
            <w:tcW w:w="1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0"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年金额</w:t>
            </w:r>
          </w:p>
        </w:tc>
      </w:tr>
      <w:tr>
        <w:trPr>
          <w:trHeight w:val="714" w:hRule="exact"/>
        </w:trPr>
        <w:tc>
          <w:tcPr>
            <w:tcW w:w="4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非流动资产处置损益（包括已计提资产减值准备的 冲销部分）</w:t>
            </w:r>
          </w:p>
        </w:tc>
        <w:tc>
          <w:tcPr>
            <w:tcW w:w="188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52,677,505.20</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65,841.45</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300,000.00</w:t>
            </w:r>
          </w:p>
        </w:tc>
      </w:tr>
      <w:tr>
        <w:trPr>
          <w:trHeight w:val="402" w:hRule="exact"/>
        </w:trPr>
        <w:tc>
          <w:tcPr>
            <w:tcW w:w="4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50"/>
              <w:jc w:val="center"/>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w:t>
            </w:r>
          </w:p>
        </w:tc>
        <w:tc>
          <w:tcPr>
            <w:tcW w:w="188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10,406,846.22</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30,167,205.38</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36,050,781.46</w:t>
            </w:r>
          </w:p>
        </w:tc>
      </w:tr>
    </w:tbl>
    <w:p>
      <w:pPr>
        <w:spacing w:after="0" w:line="240" w:lineRule="auto"/>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21" w:type="dxa"/>
        <w:tblLayout w:type="fixed"/>
        <w:tblCellMar>
          <w:top w:w="0" w:type="dxa"/>
          <w:left w:w="0" w:type="dxa"/>
          <w:bottom w:w="0" w:type="dxa"/>
          <w:right w:w="0" w:type="dxa"/>
        </w:tblCellMar>
        <w:tblLook w:val="01E0"/>
      </w:tblPr>
      <w:tblGrid>
        <w:gridCol w:w="4068"/>
        <w:gridCol w:w="1874"/>
        <w:gridCol w:w="1876"/>
        <w:gridCol w:w="1877"/>
      </w:tblGrid>
      <w:tr>
        <w:trPr>
          <w:trHeight w:val="674" w:hRule="exact"/>
        </w:trPr>
        <w:tc>
          <w:tcPr>
            <w:tcW w:w="4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22" w:right="253"/>
              <w:jc w:val="left"/>
              <w:rPr>
                <w:rFonts w:ascii="宋体" w:hAnsi="宋体" w:cs="宋体" w:eastAsia="宋体" w:hint="default"/>
                <w:sz w:val="18"/>
                <w:szCs w:val="18"/>
              </w:rPr>
            </w:pPr>
            <w:r>
              <w:rPr>
                <w:rFonts w:ascii="宋体" w:hAnsi="宋体" w:cs="宋体" w:eastAsia="宋体" w:hint="default"/>
                <w:sz w:val="18"/>
                <w:szCs w:val="18"/>
              </w:rPr>
              <w:t>按照国家统一标准定额或定量享受的政府补助除 外）</w:t>
            </w:r>
          </w:p>
        </w:tc>
        <w:tc>
          <w:tcPr>
            <w:tcW w:w="1874" w:type="dxa"/>
            <w:tcBorders>
              <w:top w:val="single" w:sz="4" w:space="0" w:color="000000"/>
              <w:left w:val="single" w:sz="4" w:space="0" w:color="000000"/>
              <w:bottom w:val="single" w:sz="4" w:space="0" w:color="000000"/>
              <w:right w:val="single" w:sz="4" w:space="0" w:color="000000"/>
            </w:tcBorders>
          </w:tcPr>
          <w:p>
            <w:pPr/>
          </w:p>
        </w:tc>
        <w:tc>
          <w:tcPr>
            <w:tcW w:w="1876"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4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3"/>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 小于取得投资时应享有被投资单位可辨认净资产公 允价值产生的收益</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133,631,127.91</w:t>
            </w:r>
          </w:p>
        </w:tc>
        <w:tc>
          <w:tcPr>
            <w:tcW w:w="1876"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4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73"/>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 外，持有交易性金融资产、交易性金融负债产生的 公允价值变动损益，以及处置交易性金融资产、交 易性金融负债和可供出售金融资产取得的投资收益</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260,502,000.00</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1"/>
              <w:jc w:val="right"/>
              <w:rPr>
                <w:rFonts w:ascii="宋体" w:hAnsi="宋体" w:cs="宋体" w:eastAsia="宋体" w:hint="default"/>
                <w:sz w:val="18"/>
                <w:szCs w:val="18"/>
              </w:rPr>
            </w:pPr>
            <w:r>
              <w:rPr>
                <w:rFonts w:ascii="宋体"/>
                <w:sz w:val="18"/>
              </w:rPr>
              <w:t>903,867.00</w:t>
            </w:r>
          </w:p>
        </w:tc>
        <w:tc>
          <w:tcPr>
            <w:tcW w:w="18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7,364,830.97</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-437,211.16</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-1,301,379.15</w:t>
            </w:r>
          </w:p>
        </w:tc>
      </w:tr>
      <w:tr>
        <w:trPr>
          <w:trHeight w:val="402" w:hRule="exact"/>
        </w:trPr>
        <w:tc>
          <w:tcPr>
            <w:tcW w:w="4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513,157.93</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7,808,642.87</w:t>
            </w:r>
          </w:p>
        </w:tc>
        <w:tc>
          <w:tcPr>
            <w:tcW w:w="18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7,482,826.39</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6,592,488.32</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6,977,230.46</w:t>
            </w:r>
          </w:p>
        </w:tc>
      </w:tr>
      <w:tr>
        <w:trPr>
          <w:trHeight w:val="402" w:hRule="exact"/>
        </w:trPr>
        <w:tc>
          <w:tcPr>
            <w:tcW w:w="4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-67,594.42</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14,371.20</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1,530.92</w:t>
            </w:r>
          </w:p>
        </w:tc>
      </w:tr>
      <w:tr>
        <w:trPr>
          <w:trHeight w:val="402" w:hRule="exact"/>
        </w:trPr>
        <w:tc>
          <w:tcPr>
            <w:tcW w:w="4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457,680,236.26</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31,901,486.02</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28,070,640.93</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对公司根据《公开发行证券的公司信息披露解释性公告第 </w:t>
      </w:r>
      <w:r>
        <w:rPr>
          <w:rFonts w:ascii="宋体" w:hAnsi="宋体" w:cs="宋体" w:eastAsia="宋体" w:hint="default"/>
        </w:rPr>
        <w:t>1</w:t>
      </w:r>
      <w:r>
        <w:rPr>
          <w:rFonts w:ascii="宋体" w:hAnsi="宋体" w:cs="宋体" w:eastAsia="宋体" w:hint="default"/>
          <w:spacing w:val="-81"/>
        </w:rPr>
        <w:t> </w:t>
      </w:r>
      <w:r>
        <w:rPr/>
        <w:t>号——非经常性损益》定义</w:t>
      </w:r>
    </w:p>
    <w:p>
      <w:pPr>
        <w:pStyle w:val="BodyText"/>
        <w:spacing w:line="357" w:lineRule="auto" w:before="152"/>
        <w:ind w:right="1113"/>
        <w:jc w:val="left"/>
      </w:pPr>
      <w:r>
        <w:rPr/>
        <w:t>界定的非经常性损益项目，以及把《公开发行证券的公司信息披露解释性公告第 </w:t>
      </w:r>
      <w:r>
        <w:rPr>
          <w:rFonts w:ascii="宋体" w:hAnsi="宋体" w:cs="宋体" w:eastAsia="宋体" w:hint="default"/>
        </w:rPr>
        <w:t>1</w:t>
      </w:r>
      <w:r>
        <w:rPr>
          <w:rFonts w:ascii="宋体" w:hAnsi="宋体" w:cs="宋体" w:eastAsia="宋体" w:hint="default"/>
          <w:spacing w:val="-81"/>
        </w:rPr>
        <w:t> </w:t>
      </w:r>
      <w:r>
        <w:rPr/>
        <w:t>号——非 经常性损益》中列举的非经常性损益项目界定为经常性损益的项目，应说明原因</w:t>
      </w:r>
    </w:p>
    <w:p>
      <w:pPr>
        <w:pStyle w:val="BodyText"/>
        <w:spacing w:line="432" w:lineRule="auto" w:before="137"/>
        <w:ind w:left="634" w:right="1113"/>
        <w:jc w:val="left"/>
      </w:pPr>
      <w:r>
        <w:rPr/>
        <w:t>□ 适用 √ 不适用 公司报告期不存在将根据《公开发行证券的公司信息披露解释性公告第 </w:t>
      </w:r>
      <w:r>
        <w:rPr>
          <w:rFonts w:ascii="宋体" w:hAnsi="宋体" w:cs="宋体" w:eastAsia="宋体" w:hint="default"/>
        </w:rPr>
        <w:t>1</w:t>
      </w:r>
      <w:r>
        <w:rPr>
          <w:rFonts w:ascii="宋体" w:hAnsi="宋体" w:cs="宋体" w:eastAsia="宋体" w:hint="default"/>
          <w:spacing w:val="-81"/>
        </w:rPr>
        <w:t> </w:t>
      </w:r>
      <w:r>
        <w:rPr/>
        <w:t>号——非经常</w:t>
      </w:r>
    </w:p>
    <w:p>
      <w:pPr>
        <w:pStyle w:val="BodyText"/>
        <w:spacing w:line="277" w:lineRule="exact"/>
        <w:ind w:right="1092"/>
        <w:jc w:val="left"/>
      </w:pPr>
      <w:r>
        <w:rPr/>
        <w:t>性损益》定义、列举的非经常性损益项目界定为经常性损益的项目的情形。</w:t>
      </w:r>
    </w:p>
    <w:p>
      <w:pPr>
        <w:spacing w:after="0" w:line="277" w:lineRule="exact"/>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1"/>
        <w:spacing w:line="240" w:lineRule="auto"/>
        <w:ind w:right="1112"/>
        <w:jc w:val="center"/>
        <w:rPr>
          <w:b w:val="0"/>
          <w:bCs w:val="0"/>
        </w:rPr>
      </w:pPr>
      <w:bookmarkStart w:name="第三节 公司业务概要" w:id="14"/>
      <w:bookmarkEnd w:id="14"/>
      <w:r>
        <w:rPr>
          <w:b w:val="0"/>
          <w:bCs w:val="0"/>
        </w:rPr>
      </w:r>
      <w:bookmarkStart w:name="_bookmark1" w:id="15"/>
      <w:bookmarkEnd w:id="15"/>
      <w:r>
        <w:rPr>
          <w:b w:val="0"/>
          <w:bCs w:val="0"/>
        </w:rPr>
      </w:r>
      <w:r>
        <w:rPr/>
        <w:t>第三节</w:t>
      </w:r>
      <w:r>
        <w:rPr>
          <w:spacing w:val="-7"/>
        </w:rPr>
        <w:t> </w:t>
      </w:r>
      <w:r>
        <w:rPr/>
        <w:t>公司业务概要</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before="0"/>
        <w:ind w:right="0"/>
        <w:jc w:val="both"/>
        <w:rPr>
          <w:b w:val="0"/>
          <w:bCs w:val="0"/>
        </w:rPr>
      </w:pPr>
      <w:bookmarkStart w:name="一、报告期内公司从事的主要业务" w:id="16"/>
      <w:bookmarkEnd w:id="16"/>
      <w:r>
        <w:rPr>
          <w:b w:val="0"/>
          <w:bCs w:val="0"/>
        </w:rPr>
      </w:r>
      <w:r>
        <w:rPr/>
        <w:t>一、报告期内公司从事的主要业务</w:t>
      </w:r>
      <w:r>
        <w:rPr>
          <w:b w:val="0"/>
          <w:bCs w:val="0"/>
        </w:rPr>
      </w:r>
    </w:p>
    <w:p>
      <w:pPr>
        <w:spacing w:line="240" w:lineRule="auto" w:before="11"/>
        <w:rPr>
          <w:rFonts w:ascii="宋体" w:hAnsi="宋体" w:cs="宋体" w:eastAsia="宋体" w:hint="default"/>
          <w:b/>
          <w:bCs/>
          <w:sz w:val="28"/>
          <w:szCs w:val="28"/>
        </w:rPr>
      </w:pPr>
    </w:p>
    <w:p>
      <w:pPr>
        <w:pStyle w:val="BodyText"/>
        <w:spacing w:line="434" w:lineRule="auto"/>
        <w:ind w:left="634" w:right="1092"/>
        <w:jc w:val="left"/>
      </w:pPr>
      <w:r>
        <w:rPr/>
        <w:t>（一）主要业务 </w:t>
      </w:r>
      <w:r>
        <w:rPr>
          <w:spacing w:val="-3"/>
        </w:rPr>
        <w:t>报告期内，公司基于自身在数字阅读领域的资源与技术优势，加速完善“文化</w:t>
      </w:r>
      <w:r>
        <w:rPr>
          <w:rFonts w:ascii="宋体" w:hAnsi="宋体" w:cs="宋体" w:eastAsia="宋体" w:hint="default"/>
          <w:spacing w:val="-3"/>
        </w:rPr>
        <w:t>+</w:t>
      </w:r>
      <w:r>
        <w:rPr>
          <w:spacing w:val="-3"/>
        </w:rPr>
        <w:t>”、“教</w:t>
      </w:r>
    </w:p>
    <w:p>
      <w:pPr>
        <w:pStyle w:val="BodyText"/>
        <w:spacing w:line="274" w:lineRule="exact"/>
        <w:ind w:right="0"/>
        <w:jc w:val="both"/>
      </w:pPr>
      <w:r>
        <w:rPr/>
        <w:t>育</w:t>
      </w:r>
      <w:r>
        <w:rPr>
          <w:rFonts w:ascii="宋体" w:hAnsi="宋体" w:cs="宋体" w:eastAsia="宋体" w:hint="default"/>
        </w:rPr>
        <w:t>+</w:t>
      </w:r>
      <w:r>
        <w:rPr/>
        <w:t>”战略布局，推动业务稳定发展。在“文化</w:t>
      </w:r>
      <w:r>
        <w:rPr>
          <w:rFonts w:ascii="宋体" w:hAnsi="宋体" w:cs="宋体" w:eastAsia="宋体" w:hint="default"/>
        </w:rPr>
        <w:t>+</w:t>
      </w:r>
      <w:r>
        <w:rPr/>
        <w:t>”领域，公司主要业务板块包括数字阅读业</w:t>
      </w:r>
    </w:p>
    <w:p>
      <w:pPr>
        <w:pStyle w:val="BodyText"/>
        <w:spacing w:line="357" w:lineRule="auto" w:before="154"/>
        <w:ind w:right="1130"/>
        <w:jc w:val="both"/>
      </w:pPr>
      <w:r>
        <w:rPr/>
        <w:t>务、版权（</w:t>
      </w:r>
      <w:r>
        <w:rPr>
          <w:rFonts w:ascii="宋体" w:hAnsi="宋体" w:cs="宋体" w:eastAsia="宋体" w:hint="default"/>
        </w:rPr>
        <w:t>IP</w:t>
      </w:r>
      <w:r>
        <w:rPr/>
        <w:t>）深度运营业务、版权（</w:t>
      </w:r>
      <w:r>
        <w:rPr>
          <w:rFonts w:ascii="宋体" w:hAnsi="宋体" w:cs="宋体" w:eastAsia="宋体" w:hint="default"/>
        </w:rPr>
        <w:t>IP</w:t>
      </w:r>
      <w:r>
        <w:rPr/>
        <w:t>）轻衍生业务、知识产权业务与游戏业务；在“教</w:t>
      </w:r>
      <w:r>
        <w:rPr>
          <w:spacing w:val="-106"/>
        </w:rPr>
        <w:t> </w:t>
      </w:r>
      <w:r>
        <w:rPr>
          <w:spacing w:val="-106"/>
        </w:rPr>
      </w:r>
      <w:r>
        <w:rPr/>
        <w:t>育</w:t>
      </w:r>
      <w:r>
        <w:rPr>
          <w:rFonts w:ascii="宋体" w:hAnsi="宋体" w:cs="宋体" w:eastAsia="宋体" w:hint="default"/>
        </w:rPr>
        <w:t>+</w:t>
      </w:r>
      <w:r>
        <w:rPr/>
        <w:t>”领域，主要业务板块包括教育阅读平台及教育服务平台。</w:t>
      </w:r>
    </w:p>
    <w:p>
      <w:pPr>
        <w:pStyle w:val="BodyText"/>
        <w:spacing w:line="240" w:lineRule="auto" w:before="136"/>
        <w:ind w:left="634" w:right="1092"/>
        <w:jc w:val="left"/>
      </w:pPr>
      <w:r>
        <w:rPr>
          <w:rFonts w:ascii="宋体" w:hAnsi="宋体" w:cs="宋体" w:eastAsia="宋体" w:hint="default"/>
        </w:rPr>
        <w:t>1</w:t>
      </w:r>
      <w:r>
        <w:rPr/>
        <w:t>、文化业务板块</w:t>
      </w:r>
    </w:p>
    <w:p>
      <w:pPr>
        <w:spacing w:line="240" w:lineRule="auto" w:before="4"/>
        <w:rPr>
          <w:rFonts w:ascii="宋体" w:hAnsi="宋体" w:cs="宋体" w:eastAsia="宋体" w:hint="default"/>
          <w:sz w:val="19"/>
          <w:szCs w:val="19"/>
        </w:rPr>
      </w:pPr>
    </w:p>
    <w:p>
      <w:pPr>
        <w:pStyle w:val="BodyText"/>
        <w:spacing w:line="357" w:lineRule="auto"/>
        <w:ind w:right="997" w:firstLine="480"/>
        <w:jc w:val="left"/>
      </w:pPr>
      <w:r>
        <w:rPr>
          <w:spacing w:val="-3"/>
        </w:rPr>
        <w:t>报告期内，公司通过数字出版获得海量</w:t>
      </w:r>
      <w:r>
        <w:rPr>
          <w:spacing w:val="-60"/>
        </w:rPr>
        <w:t> </w:t>
      </w:r>
      <w:r>
        <w:rPr>
          <w:rFonts w:ascii="宋体" w:hAnsi="宋体" w:cs="宋体" w:eastAsia="宋体" w:hint="default"/>
        </w:rPr>
        <w:t>IP</w:t>
      </w:r>
      <w:r>
        <w:rPr>
          <w:rFonts w:ascii="宋体" w:hAnsi="宋体" w:cs="宋体" w:eastAsia="宋体" w:hint="default"/>
          <w:spacing w:val="-60"/>
        </w:rPr>
        <w:t> </w:t>
      </w:r>
      <w:r>
        <w:rPr>
          <w:spacing w:val="-7"/>
        </w:rPr>
        <w:t>资源，形成了以数字阅读业务为主，版权（</w:t>
      </w:r>
      <w:r>
        <w:rPr>
          <w:rFonts w:ascii="宋体" w:hAnsi="宋体" w:cs="宋体" w:eastAsia="宋体" w:hint="default"/>
          <w:spacing w:val="-7"/>
        </w:rPr>
        <w:t>IP</w:t>
      </w:r>
      <w:r>
        <w:rPr>
          <w:spacing w:val="-7"/>
        </w:rPr>
        <w:t>）</w:t>
      </w:r>
      <w:r>
        <w:rPr/>
        <w:t> 轻衍生、版权（</w:t>
      </w:r>
      <w:r>
        <w:rPr>
          <w:rFonts w:ascii="宋体" w:hAnsi="宋体" w:cs="宋体" w:eastAsia="宋体" w:hint="default"/>
        </w:rPr>
        <w:t>IP</w:t>
      </w:r>
      <w:r>
        <w:rPr/>
        <w:t>）深度运营业务、知识产权业务等为辅的泛娱乐新生态。公司加速推动</w:t>
      </w:r>
      <w:r>
        <w:rPr>
          <w:spacing w:val="-68"/>
        </w:rPr>
        <w:t> </w:t>
      </w:r>
      <w:r>
        <w:rPr>
          <w:rFonts w:ascii="宋体" w:hAnsi="宋体" w:cs="宋体" w:eastAsia="宋体" w:hint="default"/>
        </w:rPr>
        <w:t>IP </w:t>
      </w:r>
      <w:r>
        <w:rPr>
          <w:spacing w:val="-4"/>
        </w:rPr>
        <w:t>盈利模式多元化，不仅为实现</w:t>
      </w:r>
      <w:r>
        <w:rPr>
          <w:spacing w:val="-68"/>
        </w:rPr>
        <w:t> </w:t>
      </w:r>
      <w:r>
        <w:rPr>
          <w:rFonts w:ascii="宋体" w:hAnsi="宋体" w:cs="宋体" w:eastAsia="宋体" w:hint="default"/>
        </w:rPr>
        <w:t>IP</w:t>
      </w:r>
      <w:r>
        <w:rPr>
          <w:rFonts w:ascii="宋体" w:hAnsi="宋体" w:cs="宋体" w:eastAsia="宋体" w:hint="default"/>
          <w:spacing w:val="-68"/>
        </w:rPr>
        <w:t> </w:t>
      </w:r>
      <w:r>
        <w:rPr/>
        <w:t>版权价值最大化，还为公司不断打造出更具市场竞争力的优 质</w:t>
      </w:r>
      <w:r>
        <w:rPr>
          <w:spacing w:val="-60"/>
        </w:rPr>
        <w:t> </w:t>
      </w:r>
      <w:r>
        <w:rPr>
          <w:rFonts w:ascii="宋体" w:hAnsi="宋体" w:cs="宋体" w:eastAsia="宋体" w:hint="default"/>
        </w:rPr>
        <w:t>IP</w:t>
      </w:r>
      <w:r>
        <w:rPr/>
        <w:t>。</w:t>
      </w:r>
    </w:p>
    <w:p>
      <w:pPr>
        <w:pStyle w:val="BodyText"/>
        <w:spacing w:line="432" w:lineRule="auto" w:before="137"/>
        <w:ind w:left="634" w:right="1092"/>
        <w:jc w:val="left"/>
      </w:pPr>
      <w:r>
        <w:rPr/>
        <w:t>（</w:t>
      </w:r>
      <w:r>
        <w:rPr>
          <w:rFonts w:ascii="宋体" w:hAnsi="宋体" w:cs="宋体" w:eastAsia="宋体" w:hint="default"/>
        </w:rPr>
        <w:t>1</w:t>
      </w:r>
      <w:r>
        <w:rPr/>
        <w:t>）数字阅读业务 数字阅读业务方面，公司以版权机构、自有平台、作者为正版数字内容来源，在对正版</w:t>
      </w:r>
    </w:p>
    <w:p>
      <w:pPr>
        <w:pStyle w:val="BodyText"/>
        <w:spacing w:line="276" w:lineRule="exact"/>
        <w:ind w:right="0"/>
        <w:jc w:val="both"/>
      </w:pPr>
      <w:r>
        <w:rPr/>
        <w:t>数字内容进行聚合和管理后，向多终端、全媒体提供数字阅读产品。公司的“全媒体出版”</w:t>
      </w:r>
    </w:p>
    <w:p>
      <w:pPr>
        <w:pStyle w:val="BodyText"/>
        <w:spacing w:line="357" w:lineRule="auto" w:before="154"/>
        <w:ind w:right="1139"/>
        <w:jc w:val="both"/>
      </w:pPr>
      <w:r>
        <w:rPr/>
        <w:t>模式，指一种数字内容在多种媒体、多渠道同步出版。公司的渠道资源主要分为自有渠道和 合作渠道；合作渠道包括三大电信运营商、互联网及移动互联网平台、手机硬件厂商，以及 其他多种阅读平台，间接覆盖用户数以亿计。</w:t>
      </w:r>
    </w:p>
    <w:p>
      <w:pPr>
        <w:pStyle w:val="BodyText"/>
        <w:spacing w:line="240" w:lineRule="auto" w:before="136"/>
        <w:ind w:left="634" w:right="1092"/>
        <w:jc w:val="left"/>
      </w:pPr>
      <w:r>
        <w:rPr/>
        <w:t>（</w:t>
      </w:r>
      <w:r>
        <w:rPr>
          <w:rFonts w:ascii="宋体" w:hAnsi="宋体" w:cs="宋体" w:eastAsia="宋体" w:hint="default"/>
        </w:rPr>
        <w:t>2</w:t>
      </w:r>
      <w:r>
        <w:rPr/>
        <w:t>）版权（</w:t>
      </w:r>
      <w:r>
        <w:rPr>
          <w:rFonts w:ascii="宋体" w:hAnsi="宋体" w:cs="宋体" w:eastAsia="宋体" w:hint="default"/>
        </w:rPr>
        <w:t>IP</w:t>
      </w:r>
      <w:r>
        <w:rPr/>
        <w:t>）深度运营业务</w:t>
      </w:r>
    </w:p>
    <w:p>
      <w:pPr>
        <w:spacing w:line="240" w:lineRule="auto" w:before="4"/>
        <w:rPr>
          <w:rFonts w:ascii="宋体" w:hAnsi="宋体" w:cs="宋体" w:eastAsia="宋体" w:hint="default"/>
          <w:sz w:val="19"/>
          <w:szCs w:val="19"/>
        </w:rPr>
      </w:pPr>
    </w:p>
    <w:p>
      <w:pPr>
        <w:pStyle w:val="BodyText"/>
        <w:spacing w:line="357" w:lineRule="auto"/>
        <w:ind w:right="1131" w:firstLine="480"/>
        <w:jc w:val="both"/>
      </w:pPr>
      <w:r>
        <w:rPr/>
        <w:t>一方面，公司以文学</w:t>
      </w:r>
      <w:r>
        <w:rPr>
          <w:spacing w:val="-61"/>
        </w:rPr>
        <w:t> </w:t>
      </w:r>
      <w:r>
        <w:rPr>
          <w:rFonts w:ascii="宋体" w:hAnsi="宋体" w:cs="宋体" w:eastAsia="宋体" w:hint="default"/>
        </w:rPr>
        <w:t>IP</w:t>
      </w:r>
      <w:r>
        <w:rPr>
          <w:rFonts w:ascii="宋体" w:hAnsi="宋体" w:cs="宋体" w:eastAsia="宋体" w:hint="default"/>
          <w:spacing w:val="-61"/>
        </w:rPr>
        <w:t> </w:t>
      </w:r>
      <w:r>
        <w:rPr>
          <w:spacing w:val="-3"/>
        </w:rPr>
        <w:t>为核心，以授权、合作分成、联合出品等方式，深度一体化开发</w:t>
      </w:r>
      <w:r>
        <w:rPr/>
        <w:t> </w:t>
      </w:r>
      <w:r>
        <w:rPr>
          <w:spacing w:val="-3"/>
        </w:rPr>
        <w:t>成影视、游戏等重</w:t>
      </w:r>
      <w:r>
        <w:rPr>
          <w:spacing w:val="-45"/>
        </w:rPr>
        <w:t> </w:t>
      </w:r>
      <w:r>
        <w:rPr>
          <w:rFonts w:ascii="宋体" w:hAnsi="宋体" w:cs="宋体" w:eastAsia="宋体" w:hint="default"/>
        </w:rPr>
        <w:t>IP</w:t>
      </w:r>
      <w:r>
        <w:rPr>
          <w:rFonts w:ascii="宋体" w:hAnsi="宋体" w:cs="宋体" w:eastAsia="宋体" w:hint="default"/>
          <w:spacing w:val="-45"/>
        </w:rPr>
        <w:t> </w:t>
      </w:r>
      <w:r>
        <w:rPr>
          <w:spacing w:val="-3"/>
        </w:rPr>
        <w:t>衍生产品，通过多种泛娱乐形式进行变现；另一方面，公司通过数字出</w:t>
      </w:r>
      <w:r>
        <w:rPr>
          <w:spacing w:val="-118"/>
        </w:rPr>
        <w:t> </w:t>
      </w:r>
      <w:r>
        <w:rPr>
          <w:spacing w:val="-118"/>
        </w:rPr>
      </w:r>
      <w:r>
        <w:rPr/>
        <w:t>版沉淀了大量</w:t>
      </w:r>
      <w:r>
        <w:rPr>
          <w:spacing w:val="-46"/>
        </w:rPr>
        <w:t> </w:t>
      </w:r>
      <w:r>
        <w:rPr>
          <w:rFonts w:ascii="宋体" w:hAnsi="宋体" w:cs="宋体" w:eastAsia="宋体" w:hint="default"/>
          <w:spacing w:val="-4"/>
        </w:rPr>
        <w:t>IP</w:t>
      </w:r>
      <w:r>
        <w:rPr>
          <w:spacing w:val="-4"/>
        </w:rPr>
        <w:t>，</w:t>
      </w:r>
      <w:r>
        <w:rPr>
          <w:rFonts w:ascii="宋体" w:hAnsi="宋体" w:cs="宋体" w:eastAsia="宋体" w:hint="default"/>
          <w:spacing w:val="-4"/>
        </w:rPr>
        <w:t>IP</w:t>
      </w:r>
      <w:r>
        <w:rPr>
          <w:rFonts w:ascii="宋体" w:hAnsi="宋体" w:cs="宋体" w:eastAsia="宋体" w:hint="default"/>
          <w:spacing w:val="-46"/>
        </w:rPr>
        <w:t> </w:t>
      </w:r>
      <w:r>
        <w:rPr>
          <w:spacing w:val="-3"/>
        </w:rPr>
        <w:t>改编成影视、游戏、动漫等产品的权利授权也是公司版权（</w:t>
      </w:r>
      <w:r>
        <w:rPr>
          <w:rFonts w:ascii="宋体" w:hAnsi="宋体" w:cs="宋体" w:eastAsia="宋体" w:hint="default"/>
          <w:spacing w:val="-3"/>
        </w:rPr>
        <w:t>IP</w:t>
      </w:r>
      <w:r>
        <w:rPr>
          <w:spacing w:val="-3"/>
        </w:rPr>
        <w:t>）运营业</w:t>
      </w:r>
      <w:r>
        <w:rPr>
          <w:spacing w:val="-118"/>
        </w:rPr>
        <w:t> </w:t>
      </w:r>
      <w:r>
        <w:rPr>
          <w:spacing w:val="-118"/>
        </w:rPr>
      </w:r>
      <w:r>
        <w:rPr/>
        <w:t>务的重要部分。</w:t>
      </w:r>
    </w:p>
    <w:p>
      <w:pPr>
        <w:pStyle w:val="BodyText"/>
        <w:spacing w:line="432" w:lineRule="auto" w:before="137"/>
        <w:ind w:left="634" w:right="1032"/>
        <w:jc w:val="left"/>
      </w:pPr>
      <w:r>
        <w:rPr/>
        <w:t>（</w:t>
      </w:r>
      <w:r>
        <w:rPr>
          <w:rFonts w:ascii="宋体" w:hAnsi="宋体" w:cs="宋体" w:eastAsia="宋体" w:hint="default"/>
        </w:rPr>
        <w:t>3</w:t>
      </w:r>
      <w:r>
        <w:rPr/>
        <w:t>）版权（</w:t>
      </w:r>
      <w:r>
        <w:rPr>
          <w:rFonts w:ascii="宋体" w:hAnsi="宋体" w:cs="宋体" w:eastAsia="宋体" w:hint="default"/>
        </w:rPr>
        <w:t>IP</w:t>
      </w:r>
      <w:r>
        <w:rPr/>
        <w:t>）轻衍生业务 公司版权（</w:t>
      </w:r>
      <w:r>
        <w:rPr>
          <w:rFonts w:ascii="宋体" w:hAnsi="宋体" w:cs="宋体" w:eastAsia="宋体" w:hint="default"/>
        </w:rPr>
        <w:t>IP</w:t>
      </w:r>
      <w:r>
        <w:rPr/>
        <w:t>）轻衍生业务以互动式视觉小说、听书等为代表，同样以文学</w:t>
      </w:r>
      <w:r>
        <w:rPr>
          <w:spacing w:val="-60"/>
        </w:rPr>
        <w:t> </w:t>
      </w:r>
      <w:r>
        <w:rPr>
          <w:rFonts w:ascii="宋体" w:hAnsi="宋体" w:cs="宋体" w:eastAsia="宋体" w:hint="default"/>
        </w:rPr>
        <w:t>IP</w:t>
      </w:r>
      <w:r>
        <w:rPr>
          <w:rFonts w:ascii="宋体" w:hAnsi="宋体" w:cs="宋体" w:eastAsia="宋体" w:hint="default"/>
          <w:spacing w:val="-60"/>
        </w:rPr>
        <w:t> </w:t>
      </w:r>
      <w:r>
        <w:rPr/>
        <w:t>为基础，</w:t>
      </w:r>
    </w:p>
    <w:p>
      <w:pPr>
        <w:spacing w:after="0" w:line="432" w:lineRule="auto"/>
        <w:jc w:val="left"/>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2"/>
        <w:jc w:val="both"/>
      </w:pPr>
      <w:r>
        <w:rPr/>
        <w:t>进行周期短、投入少的转化衍生，既可以放大 </w:t>
      </w:r>
      <w:r>
        <w:rPr>
          <w:rFonts w:ascii="宋体" w:hAnsi="宋体" w:cs="宋体" w:eastAsia="宋体" w:hint="default"/>
        </w:rPr>
        <w:t>IP</w:t>
      </w:r>
      <w:r>
        <w:rPr/>
        <w:t>，也可以很好的变现。比如将文学 </w:t>
      </w:r>
      <w:r>
        <w:rPr>
          <w:rFonts w:ascii="宋体" w:hAnsi="宋体" w:cs="宋体" w:eastAsia="宋体" w:hint="default"/>
        </w:rPr>
        <w:t>IP</w:t>
      </w:r>
      <w:r>
        <w:rPr>
          <w:rFonts w:ascii="宋体" w:hAnsi="宋体" w:cs="宋体" w:eastAsia="宋体" w:hint="default"/>
          <w:spacing w:val="-83"/>
        </w:rPr>
        <w:t> </w:t>
      </w:r>
      <w:r>
        <w:rPr/>
        <w:t>改编 成以动漫与文字相结合的互动式视觉小说，将文学</w:t>
      </w:r>
      <w:r>
        <w:rPr>
          <w:spacing w:val="-60"/>
        </w:rPr>
        <w:t> </w:t>
      </w:r>
      <w:r>
        <w:rPr>
          <w:rFonts w:ascii="宋体" w:hAnsi="宋体" w:cs="宋体" w:eastAsia="宋体" w:hint="default"/>
        </w:rPr>
        <w:t>IP</w:t>
      </w:r>
      <w:r>
        <w:rPr>
          <w:rFonts w:ascii="宋体" w:hAnsi="宋体" w:cs="宋体" w:eastAsia="宋体" w:hint="default"/>
          <w:spacing w:val="-60"/>
        </w:rPr>
        <w:t> </w:t>
      </w:r>
      <w:r>
        <w:rPr/>
        <w:t>改编成听书产品等形式。</w:t>
      </w:r>
    </w:p>
    <w:p>
      <w:pPr>
        <w:pStyle w:val="BodyText"/>
        <w:spacing w:line="434" w:lineRule="auto" w:before="136"/>
        <w:ind w:left="634" w:right="1092"/>
        <w:jc w:val="left"/>
      </w:pPr>
      <w:r>
        <w:rPr/>
        <w:t>（</w:t>
      </w:r>
      <w:r>
        <w:rPr>
          <w:rFonts w:ascii="宋体" w:hAnsi="宋体" w:cs="宋体" w:eastAsia="宋体" w:hint="default"/>
        </w:rPr>
        <w:t>4</w:t>
      </w:r>
      <w:r>
        <w:rPr/>
        <w:t>）知识产权业务 公司自成立之初一直秉承“先授权、后传播”的原则，严格遵照授权权限，合理合法使</w:t>
      </w:r>
    </w:p>
    <w:p>
      <w:pPr>
        <w:pStyle w:val="BodyText"/>
        <w:spacing w:line="274" w:lineRule="exact"/>
        <w:ind w:right="0"/>
        <w:jc w:val="both"/>
      </w:pPr>
      <w:r>
        <w:rPr/>
        <w:t>用数字版权，通过技术保护、行政保护、司法保护和社会保护，形成了全方位立体化的保护</w:t>
      </w:r>
    </w:p>
    <w:p>
      <w:pPr>
        <w:pStyle w:val="BodyText"/>
        <w:spacing w:line="357" w:lineRule="auto" w:before="154"/>
        <w:ind w:right="1139"/>
        <w:jc w:val="both"/>
      </w:pPr>
      <w:r>
        <w:rPr/>
        <w:t>版权体系，进一步规范版权作品交易秩序。与此同时，通过打击盗版维护作家的合法权益， 取得了侵权人的侵权赔偿或者版权使用费。</w:t>
      </w:r>
    </w:p>
    <w:p>
      <w:pPr>
        <w:pStyle w:val="BodyText"/>
        <w:spacing w:line="240" w:lineRule="auto" w:before="136"/>
        <w:ind w:left="634" w:right="1092"/>
        <w:jc w:val="left"/>
      </w:pPr>
      <w:r>
        <w:rPr/>
        <w:t>（</w:t>
      </w:r>
      <w:r>
        <w:rPr>
          <w:rFonts w:ascii="宋体" w:hAnsi="宋体" w:cs="宋体" w:eastAsia="宋体" w:hint="default"/>
        </w:rPr>
        <w:t>5</w:t>
      </w:r>
      <w:r>
        <w:rPr/>
        <w:t>）游戏业务</w:t>
      </w:r>
    </w:p>
    <w:p>
      <w:pPr>
        <w:spacing w:line="240" w:lineRule="auto" w:before="4"/>
        <w:rPr>
          <w:rFonts w:ascii="宋体" w:hAnsi="宋体" w:cs="宋体" w:eastAsia="宋体" w:hint="default"/>
          <w:sz w:val="19"/>
          <w:szCs w:val="19"/>
        </w:rPr>
      </w:pPr>
    </w:p>
    <w:p>
      <w:pPr>
        <w:pStyle w:val="BodyText"/>
        <w:spacing w:line="357" w:lineRule="auto"/>
        <w:ind w:right="1049" w:firstLine="480"/>
        <w:jc w:val="both"/>
      </w:pPr>
      <w:r>
        <w:rPr/>
        <w:t>公司的游戏业务主要为游戏发行业务。公司作为游戏发行商，结合公司</w:t>
      </w:r>
      <w:r>
        <w:rPr>
          <w:spacing w:val="-69"/>
        </w:rPr>
        <w:t> </w:t>
      </w:r>
      <w:r>
        <w:rPr>
          <w:rFonts w:ascii="宋体" w:hAnsi="宋体" w:cs="宋体" w:eastAsia="宋体" w:hint="default"/>
        </w:rPr>
        <w:t>IP</w:t>
      </w:r>
      <w:r>
        <w:rPr/>
        <w:t>，通过定制或 者代理，获得游戏产品，主要包括</w:t>
      </w:r>
      <w:r>
        <w:rPr>
          <w:spacing w:val="-60"/>
        </w:rPr>
        <w:t> </w:t>
      </w:r>
      <w:r>
        <w:rPr>
          <w:rFonts w:ascii="宋体" w:hAnsi="宋体" w:cs="宋体" w:eastAsia="宋体" w:hint="default"/>
        </w:rPr>
        <w:t>H5</w:t>
      </w:r>
      <w:r>
        <w:rPr>
          <w:rFonts w:ascii="宋体" w:hAnsi="宋体" w:cs="宋体" w:eastAsia="宋体" w:hint="default"/>
          <w:spacing w:val="-60"/>
        </w:rPr>
        <w:t> </w:t>
      </w:r>
      <w:r>
        <w:rPr/>
        <w:t>游戏和手游两种类型，开展游戏的运营、推广和维护。</w:t>
      </w:r>
    </w:p>
    <w:p>
      <w:pPr>
        <w:pStyle w:val="BodyText"/>
        <w:spacing w:line="240" w:lineRule="auto" w:before="137"/>
        <w:ind w:left="634" w:right="1092"/>
        <w:jc w:val="left"/>
      </w:pPr>
      <w:r>
        <w:rPr>
          <w:rFonts w:ascii="宋体" w:hAnsi="宋体" w:cs="宋体" w:eastAsia="宋体" w:hint="default"/>
        </w:rPr>
        <w:t>2</w:t>
      </w:r>
      <w:r>
        <w:rPr/>
        <w:t>、教育业务板块</w:t>
      </w:r>
    </w:p>
    <w:p>
      <w:pPr>
        <w:spacing w:line="240" w:lineRule="auto" w:before="5"/>
        <w:rPr>
          <w:rFonts w:ascii="宋体" w:hAnsi="宋体" w:cs="宋体" w:eastAsia="宋体" w:hint="default"/>
          <w:sz w:val="19"/>
          <w:szCs w:val="19"/>
        </w:rPr>
      </w:pPr>
    </w:p>
    <w:p>
      <w:pPr>
        <w:pStyle w:val="BodyText"/>
        <w:spacing w:line="432" w:lineRule="auto"/>
        <w:ind w:left="634" w:right="1092"/>
        <w:jc w:val="left"/>
      </w:pPr>
      <w:r>
        <w:rPr/>
        <w:t>（</w:t>
      </w:r>
      <w:r>
        <w:rPr>
          <w:rFonts w:ascii="宋体" w:hAnsi="宋体" w:cs="宋体" w:eastAsia="宋体" w:hint="default"/>
        </w:rPr>
        <w:t>1</w:t>
      </w:r>
      <w:r>
        <w:rPr/>
        <w:t>）教育阅读平台 公司通过建立图书馆行业的数字化、大数据平台，构建全民阅读生态。公司旗下在线教</w:t>
      </w:r>
    </w:p>
    <w:p>
      <w:pPr>
        <w:pStyle w:val="BodyText"/>
        <w:spacing w:line="276" w:lineRule="exact"/>
        <w:ind w:right="0"/>
        <w:jc w:val="both"/>
      </w:pPr>
      <w:r>
        <w:rPr/>
        <w:t>育阅读平台“书香中国”，采用“云</w:t>
      </w:r>
      <w:r>
        <w:rPr>
          <w:rFonts w:ascii="宋体" w:hAnsi="宋体" w:cs="宋体" w:eastAsia="宋体" w:hint="default"/>
        </w:rPr>
        <w:t>+</w:t>
      </w:r>
      <w:r>
        <w:rPr/>
        <w:t>端”模式，为用户提供 </w:t>
      </w:r>
      <w:r>
        <w:rPr>
          <w:rFonts w:ascii="宋体" w:hAnsi="宋体" w:cs="宋体" w:eastAsia="宋体" w:hint="default"/>
        </w:rPr>
        <w:t>24</w:t>
      </w:r>
      <w:r>
        <w:rPr>
          <w:rFonts w:ascii="宋体" w:hAnsi="宋体" w:cs="宋体" w:eastAsia="宋体" w:hint="default"/>
          <w:spacing w:val="-82"/>
        </w:rPr>
        <w:t> </w:t>
      </w:r>
      <w:r>
        <w:rPr/>
        <w:t>小时无墙化、不闭馆的数字</w:t>
      </w:r>
    </w:p>
    <w:p>
      <w:pPr>
        <w:pStyle w:val="BodyText"/>
        <w:spacing w:line="357" w:lineRule="auto" w:before="154"/>
        <w:ind w:right="1139"/>
        <w:jc w:val="both"/>
      </w:pPr>
      <w:r>
        <w:rPr/>
        <w:t>图书馆；公司教育行业阅读产品还包括云屏数字借阅机、蓝阅移动阅读平台等相关产品，纵 贯中小学并延伸至高校、公共图书馆及企业等机构客户，形成在线教育行业阅读产品多元化 场景覆盖。</w:t>
      </w:r>
    </w:p>
    <w:p>
      <w:pPr>
        <w:pStyle w:val="BodyText"/>
        <w:spacing w:line="357" w:lineRule="auto" w:before="136"/>
        <w:ind w:right="1132" w:firstLine="480"/>
        <w:jc w:val="both"/>
      </w:pPr>
      <w:r>
        <w:rPr>
          <w:spacing w:val="-6"/>
        </w:rPr>
        <w:t>公司自主研发的“慧读”是专为中小学生、教师和家长设计的分级阅读平台。“慧读”平</w:t>
      </w:r>
      <w:r>
        <w:rPr/>
        <w:t> </w:t>
      </w:r>
      <w:r>
        <w:rPr>
          <w:spacing w:val="-3"/>
        </w:rPr>
        <w:t>台根据图书分级标准、新课程标准、专题教育大纲，首创“泛读、精读、研读</w:t>
      </w:r>
      <w:r>
        <w:rPr>
          <w:rFonts w:ascii="宋体" w:hAnsi="宋体" w:cs="宋体" w:eastAsia="宋体" w:hint="default"/>
          <w:spacing w:val="-3"/>
        </w:rPr>
        <w:t>+</w:t>
      </w:r>
      <w:r>
        <w:rPr>
          <w:spacing w:val="-3"/>
        </w:rPr>
        <w:t>调研测评、系</w:t>
      </w:r>
      <w:r>
        <w:rPr>
          <w:spacing w:val="-80"/>
        </w:rPr>
        <w:t> </w:t>
      </w:r>
      <w:r>
        <w:rPr>
          <w:spacing w:val="-80"/>
        </w:rPr>
      </w:r>
      <w:r>
        <w:rPr/>
        <w:t>统测评、核心测评”阅读模型，培养学生的阅读兴趣、学科兴趣和阅读习惯，提升核心阅读 素养。</w:t>
      </w:r>
    </w:p>
    <w:p>
      <w:pPr>
        <w:pStyle w:val="BodyText"/>
        <w:spacing w:line="432" w:lineRule="auto" w:before="136"/>
        <w:ind w:left="634" w:right="999"/>
        <w:jc w:val="left"/>
      </w:pPr>
      <w:r>
        <w:rPr/>
        <w:t>（</w:t>
      </w:r>
      <w:r>
        <w:rPr>
          <w:rFonts w:ascii="宋体" w:hAnsi="宋体" w:cs="宋体" w:eastAsia="宋体" w:hint="default"/>
        </w:rPr>
        <w:t>2</w:t>
      </w:r>
      <w:r>
        <w:rPr/>
        <w:t>）教育服务平台 </w:t>
      </w:r>
      <w:r>
        <w:rPr>
          <w:spacing w:val="-3"/>
        </w:rPr>
        <w:t>公司通过建立面向基础教育的综合服务体系，构建在线教育服务生态。公司设计、开发、</w:t>
      </w:r>
    </w:p>
    <w:p>
      <w:pPr>
        <w:pStyle w:val="BodyText"/>
        <w:spacing w:line="276" w:lineRule="exact"/>
        <w:ind w:right="0"/>
        <w:jc w:val="both"/>
      </w:pPr>
      <w:r>
        <w:rPr/>
        <w:t>运营的数字教育综合服务平台，是以数字教材及其配套资源为核心，为基础教育提供数字教</w:t>
      </w:r>
    </w:p>
    <w:p>
      <w:pPr>
        <w:pStyle w:val="BodyText"/>
        <w:spacing w:line="360" w:lineRule="auto" w:before="154"/>
        <w:ind w:right="1139"/>
        <w:jc w:val="both"/>
      </w:pPr>
      <w:r>
        <w:rPr/>
        <w:t>育内容的出版、发行、应用等，为产业链相关各方提供各类数字教育内容的生成发布、质量 控制、交易结算、下载推送、教学应用平台、工具和服务的综合性平台。</w:t>
      </w:r>
    </w:p>
    <w:p>
      <w:pPr>
        <w:pStyle w:val="BodyText"/>
        <w:spacing w:line="240" w:lineRule="auto" w:before="134"/>
        <w:ind w:left="634" w:right="1092"/>
        <w:jc w:val="left"/>
      </w:pPr>
      <w:r>
        <w:rPr/>
        <w:t>（三）行业情况说明</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9"/>
          <w:szCs w:val="29"/>
        </w:rPr>
      </w:pPr>
    </w:p>
    <w:p>
      <w:pPr>
        <w:pStyle w:val="BodyText"/>
        <w:spacing w:line="432" w:lineRule="auto" w:before="26"/>
        <w:ind w:left="634" w:right="1092"/>
        <w:jc w:val="left"/>
      </w:pPr>
      <w:r>
        <w:rPr>
          <w:rFonts w:ascii="宋体" w:hAnsi="宋体" w:cs="宋体" w:eastAsia="宋体" w:hint="default"/>
        </w:rPr>
        <w:t>1</w:t>
      </w:r>
      <w:r>
        <w:rPr/>
        <w:t>、新技术推动数字出版产业加速发展，</w:t>
      </w:r>
      <w:r>
        <w:rPr>
          <w:rFonts w:ascii="宋体" w:hAnsi="宋体" w:cs="宋体" w:eastAsia="宋体" w:hint="default"/>
        </w:rPr>
        <w:t>IP</w:t>
      </w:r>
      <w:r>
        <w:rPr>
          <w:rFonts w:ascii="宋体" w:hAnsi="宋体" w:cs="宋体" w:eastAsia="宋体" w:hint="default"/>
          <w:spacing w:val="-60"/>
        </w:rPr>
        <w:t> </w:t>
      </w:r>
      <w:r>
        <w:rPr/>
        <w:t>泛娱乐开发沉淀</w:t>
      </w:r>
      <w:r>
        <w:rPr>
          <w:spacing w:val="-60"/>
        </w:rPr>
        <w:t> </w:t>
      </w:r>
      <w:r>
        <w:rPr>
          <w:rFonts w:ascii="宋体" w:hAnsi="宋体" w:cs="宋体" w:eastAsia="宋体" w:hint="default"/>
        </w:rPr>
        <w:t>IP</w:t>
      </w:r>
      <w:r>
        <w:rPr>
          <w:rFonts w:ascii="宋体" w:hAnsi="宋体" w:cs="宋体" w:eastAsia="宋体" w:hint="default"/>
          <w:spacing w:val="-60"/>
        </w:rPr>
        <w:t> </w:t>
      </w:r>
      <w:r>
        <w:rPr/>
        <w:t>价值。 近期，出版融合、人工智能、网络文学、</w:t>
      </w:r>
      <w:r>
        <w:rPr>
          <w:rFonts w:ascii="宋体" w:hAnsi="宋体" w:cs="宋体" w:eastAsia="宋体" w:hint="default"/>
        </w:rPr>
        <w:t>5G</w:t>
      </w:r>
      <w:r>
        <w:rPr/>
        <w:t>、</w:t>
      </w:r>
      <w:r>
        <w:rPr>
          <w:rFonts w:ascii="宋体" w:hAnsi="宋体" w:cs="宋体" w:eastAsia="宋体" w:hint="default"/>
        </w:rPr>
        <w:t>IP</w:t>
      </w:r>
      <w:r>
        <w:rPr>
          <w:rFonts w:ascii="宋体" w:hAnsi="宋体" w:cs="宋体" w:eastAsia="宋体" w:hint="default"/>
          <w:spacing w:val="-60"/>
        </w:rPr>
        <w:t> </w:t>
      </w:r>
      <w:r>
        <w:rPr/>
        <w:t>开发等成为数字出版行业热点关键词。</w:t>
      </w:r>
    </w:p>
    <w:p>
      <w:pPr>
        <w:pStyle w:val="BodyText"/>
        <w:spacing w:line="276" w:lineRule="exact"/>
        <w:ind w:right="0"/>
        <w:jc w:val="both"/>
      </w:pPr>
      <w:r>
        <w:rPr/>
        <w:t>数字出版是出版业的未来发展趋势，数字出版正式被列入国家“十三五”发展规划纲要以来，</w:t>
      </w:r>
    </w:p>
    <w:p>
      <w:pPr>
        <w:pStyle w:val="BodyText"/>
        <w:spacing w:line="357" w:lineRule="auto" w:before="154"/>
        <w:ind w:right="1139"/>
        <w:jc w:val="both"/>
      </w:pPr>
      <w:r>
        <w:rPr/>
        <w:t>我国数字出版产业实现跨越式发展，逐渐成为我国新闻出版业乃至整个文化产业的重要组成 部分与发展新动能。而新技术的变革为未来出版模式提供更多的可能、更大的发展空间和发 展机会。</w:t>
      </w:r>
    </w:p>
    <w:p>
      <w:pPr>
        <w:pStyle w:val="BodyText"/>
        <w:spacing w:line="357" w:lineRule="auto" w:before="136"/>
        <w:ind w:right="1130" w:firstLine="480"/>
        <w:jc w:val="both"/>
      </w:pPr>
      <w:r>
        <w:rPr/>
        <w:t>数字出版已成为文化产业新的经济增长点，是新闻出版业的战略性新兴产业和主要发展 方向。数字化阅读的发展提升了国民综合阅读率和数字化阅读方式接触率，整体阅读人群增 </w:t>
      </w:r>
      <w:r>
        <w:rPr>
          <w:spacing w:val="-4"/>
        </w:rPr>
        <w:t>长幅度远高于国民图书阅读率，国民阅读方式正在发生深刻变化。《</w:t>
      </w:r>
      <w:r>
        <w:rPr>
          <w:rFonts w:ascii="宋体" w:hAnsi="宋体" w:cs="宋体" w:eastAsia="宋体" w:hint="default"/>
          <w:spacing w:val="-4"/>
        </w:rPr>
        <w:t>2017-2018</w:t>
      </w:r>
      <w:r>
        <w:rPr>
          <w:rFonts w:ascii="宋体" w:hAnsi="宋体" w:cs="宋体" w:eastAsia="宋体" w:hint="default"/>
          <w:spacing w:val="-47"/>
        </w:rPr>
        <w:t> </w:t>
      </w:r>
      <w:r>
        <w:rPr/>
        <w:t>中国数字出版 </w:t>
      </w:r>
      <w:r>
        <w:rPr>
          <w:spacing w:val="-5"/>
        </w:rPr>
        <w:t>产业年度报告》显示，截至</w:t>
      </w:r>
      <w:r>
        <w:rPr>
          <w:spacing w:val="-66"/>
        </w:rPr>
        <w:t> </w:t>
      </w:r>
      <w:r>
        <w:rPr>
          <w:rFonts w:ascii="宋体" w:hAnsi="宋体" w:cs="宋体" w:eastAsia="宋体" w:hint="default"/>
        </w:rPr>
        <w:t>2017</w:t>
      </w:r>
      <w:r>
        <w:rPr>
          <w:rFonts w:ascii="宋体" w:hAnsi="宋体" w:cs="宋体" w:eastAsia="宋体" w:hint="default"/>
          <w:spacing w:val="-66"/>
        </w:rPr>
        <w:t> </w:t>
      </w:r>
      <w:r>
        <w:rPr/>
        <w:t>年年底，我国数字出版产业的累计用户规模达到</w:t>
      </w:r>
      <w:r>
        <w:rPr>
          <w:spacing w:val="-66"/>
        </w:rPr>
        <w:t> </w:t>
      </w:r>
      <w:r>
        <w:rPr>
          <w:rFonts w:ascii="宋体" w:hAnsi="宋体" w:cs="宋体" w:eastAsia="宋体" w:hint="default"/>
        </w:rPr>
        <w:t>18.25</w:t>
      </w:r>
      <w:r>
        <w:rPr>
          <w:rFonts w:ascii="宋体" w:hAnsi="宋体" w:cs="宋体" w:eastAsia="宋体" w:hint="default"/>
          <w:spacing w:val="-66"/>
        </w:rPr>
        <w:t> </w:t>
      </w:r>
      <w:r>
        <w:rPr/>
        <w:t>亿人</w:t>
      </w:r>
    </w:p>
    <w:p>
      <w:pPr>
        <w:pStyle w:val="BodyText"/>
        <w:spacing w:line="357" w:lineRule="auto" w:before="36"/>
        <w:ind w:right="1130"/>
        <w:jc w:val="both"/>
      </w:pPr>
      <w:r>
        <w:rPr>
          <w:spacing w:val="-14"/>
        </w:rPr>
        <w:t>（家</w:t>
      </w:r>
      <w:r>
        <w:rPr>
          <w:rFonts w:ascii="宋体" w:hAnsi="宋体" w:cs="宋体" w:eastAsia="宋体" w:hint="default"/>
          <w:spacing w:val="-14"/>
        </w:rPr>
        <w:t>/</w:t>
      </w:r>
      <w:r>
        <w:rPr>
          <w:spacing w:val="-14"/>
        </w:rPr>
        <w:t>个）；</w:t>
      </w:r>
      <w:r>
        <w:rPr>
          <w:rFonts w:ascii="宋体" w:hAnsi="宋体" w:cs="宋体" w:eastAsia="宋体" w:hint="default"/>
          <w:spacing w:val="-14"/>
        </w:rPr>
        <w:t>2017</w:t>
      </w:r>
      <w:r>
        <w:rPr>
          <w:rFonts w:ascii="宋体" w:hAnsi="宋体" w:cs="宋体" w:eastAsia="宋体" w:hint="default"/>
          <w:spacing w:val="-58"/>
        </w:rPr>
        <w:t> </w:t>
      </w:r>
      <w:r>
        <w:rPr/>
        <w:t>年国内数字出版产业整体收入规模达</w:t>
      </w:r>
      <w:r>
        <w:rPr>
          <w:spacing w:val="-58"/>
        </w:rPr>
        <w:t> </w:t>
      </w:r>
      <w:r>
        <w:rPr>
          <w:rFonts w:ascii="宋体" w:hAnsi="宋体" w:cs="宋体" w:eastAsia="宋体" w:hint="default"/>
        </w:rPr>
        <w:t>7,071.93</w:t>
      </w:r>
      <w:r>
        <w:rPr>
          <w:rFonts w:ascii="宋体" w:hAnsi="宋体" w:cs="宋体" w:eastAsia="宋体" w:hint="default"/>
          <w:spacing w:val="-58"/>
        </w:rPr>
        <w:t> </w:t>
      </w:r>
      <w:r>
        <w:rPr>
          <w:spacing w:val="-3"/>
        </w:rPr>
        <w:t>亿元，其中</w:t>
      </w:r>
      <w:r>
        <w:rPr>
          <w:spacing w:val="-58"/>
        </w:rPr>
        <w:t> </w:t>
      </w:r>
      <w:r>
        <w:rPr>
          <w:rFonts w:ascii="宋体" w:hAnsi="宋体" w:cs="宋体" w:eastAsia="宋体" w:hint="default"/>
        </w:rPr>
        <w:t>2017</w:t>
      </w:r>
      <w:r>
        <w:rPr>
          <w:rFonts w:ascii="宋体" w:hAnsi="宋体" w:cs="宋体" w:eastAsia="宋体" w:hint="default"/>
          <w:spacing w:val="-58"/>
        </w:rPr>
        <w:t> </w:t>
      </w:r>
      <w:r>
        <w:rPr/>
        <w:t>年同比增加 </w:t>
      </w:r>
      <w:r>
        <w:rPr>
          <w:rFonts w:ascii="宋体" w:hAnsi="宋体" w:cs="宋体" w:eastAsia="宋体" w:hint="default"/>
        </w:rPr>
        <w:t>1351</w:t>
      </w:r>
      <w:r>
        <w:rPr>
          <w:rFonts w:ascii="宋体" w:hAnsi="宋体" w:cs="宋体" w:eastAsia="宋体" w:hint="default"/>
          <w:spacing w:val="-59"/>
        </w:rPr>
        <w:t> </w:t>
      </w:r>
      <w:r>
        <w:rPr/>
        <w:t>亿元（</w:t>
      </w:r>
      <w:r>
        <w:rPr>
          <w:rFonts w:ascii="宋体" w:hAnsi="宋体" w:cs="宋体" w:eastAsia="宋体" w:hint="default"/>
        </w:rPr>
        <w:t>+</w:t>
      </w:r>
      <w:r>
        <w:rPr>
          <w:rFonts w:ascii="宋体" w:hAnsi="宋体" w:cs="宋体" w:eastAsia="宋体" w:hint="default"/>
          <w:spacing w:val="-20"/>
        </w:rPr>
        <w:t> </w:t>
      </w:r>
      <w:r>
        <w:rPr>
          <w:rFonts w:ascii="宋体" w:hAnsi="宋体" w:cs="宋体" w:eastAsia="宋体" w:hint="default"/>
          <w:spacing w:val="-8"/>
        </w:rPr>
        <w:t>23.6%</w:t>
      </w:r>
      <w:r>
        <w:rPr>
          <w:spacing w:val="-8"/>
        </w:rPr>
        <w:t>），占全行业营业收入的</w:t>
      </w:r>
      <w:r>
        <w:rPr>
          <w:spacing w:val="-59"/>
        </w:rPr>
        <w:t> </w:t>
      </w:r>
      <w:r>
        <w:rPr>
          <w:rFonts w:ascii="宋体" w:hAnsi="宋体" w:cs="宋体" w:eastAsia="宋体" w:hint="default"/>
        </w:rPr>
        <w:t>28.1%</w:t>
      </w:r>
      <w:r>
        <w:rPr/>
        <w:t>，占比逐年增长。</w:t>
      </w:r>
      <w:r>
        <w:rPr>
          <w:rFonts w:ascii="宋体" w:hAnsi="宋体" w:cs="宋体" w:eastAsia="宋体" w:hint="default"/>
        </w:rPr>
        <w:t>2017</w:t>
      </w:r>
      <w:r>
        <w:rPr>
          <w:rFonts w:ascii="宋体" w:hAnsi="宋体" w:cs="宋体" w:eastAsia="宋体" w:hint="default"/>
          <w:spacing w:val="-59"/>
        </w:rPr>
        <w:t> </w:t>
      </w:r>
      <w:r>
        <w:rPr/>
        <w:t>年数字出版对全行 业营业收入增长的贡献率达</w:t>
      </w:r>
      <w:r>
        <w:rPr>
          <w:spacing w:val="-60"/>
        </w:rPr>
        <w:t> </w:t>
      </w:r>
      <w:r>
        <w:rPr>
          <w:rFonts w:ascii="宋体" w:hAnsi="宋体" w:cs="宋体" w:eastAsia="宋体" w:hint="default"/>
        </w:rPr>
        <w:t>84.6%</w:t>
      </w:r>
      <w:r>
        <w:rPr/>
        <w:t>，增长速度与增长贡献均遥遥领先。</w:t>
      </w:r>
    </w:p>
    <w:p>
      <w:pPr>
        <w:pStyle w:val="BodyText"/>
        <w:spacing w:line="357" w:lineRule="auto" w:before="134"/>
        <w:ind w:right="999" w:firstLine="480"/>
        <w:jc w:val="left"/>
      </w:pPr>
      <w:r>
        <w:rPr/>
        <w:t>移动出版、在线教育、网络游戏、互联网广告、网络动漫构成的五大板块占据了数字出 版收入规模的大半壁江山。网络原创内容通过互联网实现快速传播，培养忠实读者群，再通 </w:t>
      </w:r>
      <w:r>
        <w:rPr>
          <w:spacing w:val="-4"/>
        </w:rPr>
        <w:t>过影视剧、动漫及游戏改编、实体书出版等形式挖掘 </w:t>
      </w:r>
      <w:r>
        <w:rPr>
          <w:rFonts w:ascii="宋体" w:hAnsi="宋体" w:cs="宋体" w:eastAsia="宋体" w:hint="default"/>
        </w:rPr>
        <w:t>IP</w:t>
      </w:r>
      <w:r>
        <w:rPr>
          <w:rFonts w:ascii="宋体" w:hAnsi="宋体" w:cs="宋体" w:eastAsia="宋体" w:hint="default"/>
          <w:spacing w:val="-95"/>
        </w:rPr>
        <w:t> </w:t>
      </w:r>
      <w:r>
        <w:rPr>
          <w:spacing w:val="-8"/>
        </w:rPr>
        <w:t>衍生价值，实现了文学、影视、动漫、</w:t>
      </w:r>
      <w:r>
        <w:rPr/>
        <w:t> 游戏等泛娱乐产业的交叉融合。网络文学</w:t>
      </w:r>
      <w:r>
        <w:rPr>
          <w:spacing w:val="-50"/>
        </w:rPr>
        <w:t> </w:t>
      </w:r>
      <w:r>
        <w:rPr>
          <w:rFonts w:ascii="宋体" w:hAnsi="宋体" w:cs="宋体" w:eastAsia="宋体" w:hint="default"/>
        </w:rPr>
        <w:t>IP</w:t>
      </w:r>
      <w:r>
        <w:rPr>
          <w:rFonts w:ascii="宋体" w:hAnsi="宋体" w:cs="宋体" w:eastAsia="宋体" w:hint="default"/>
          <w:spacing w:val="-51"/>
        </w:rPr>
        <w:t> </w:t>
      </w:r>
      <w:r>
        <w:rPr/>
        <w:t>模式下，网络文学</w:t>
      </w:r>
      <w:r>
        <w:rPr>
          <w:spacing w:val="-51"/>
        </w:rPr>
        <w:t> </w:t>
      </w:r>
      <w:r>
        <w:rPr>
          <w:rFonts w:ascii="宋体" w:hAnsi="宋体" w:cs="宋体" w:eastAsia="宋体" w:hint="default"/>
        </w:rPr>
        <w:t>IP</w:t>
      </w:r>
      <w:r>
        <w:rPr>
          <w:rFonts w:ascii="宋体" w:hAnsi="宋体" w:cs="宋体" w:eastAsia="宋体" w:hint="default"/>
          <w:spacing w:val="-50"/>
        </w:rPr>
        <w:t> </w:t>
      </w:r>
      <w:r>
        <w:rPr/>
        <w:t>一般在改编成影视产品的 同时，也会改编成游戏等其他形式的产品，</w:t>
      </w:r>
      <w:r>
        <w:rPr>
          <w:rFonts w:ascii="宋体" w:hAnsi="宋体" w:cs="宋体" w:eastAsia="宋体" w:hint="default"/>
        </w:rPr>
        <w:t>IP </w:t>
      </w:r>
      <w:r>
        <w:rPr/>
        <w:t>影响力的放大，将为 </w:t>
      </w:r>
      <w:r>
        <w:rPr>
          <w:rFonts w:ascii="宋体" w:hAnsi="宋体" w:cs="宋体" w:eastAsia="宋体" w:hint="default"/>
        </w:rPr>
        <w:t>IP</w:t>
      </w:r>
      <w:r>
        <w:rPr>
          <w:rFonts w:ascii="宋体" w:hAnsi="宋体" w:cs="宋体" w:eastAsia="宋体" w:hint="default"/>
          <w:spacing w:val="-84"/>
        </w:rPr>
        <w:t> </w:t>
      </w:r>
      <w:r>
        <w:rPr/>
        <w:t>改编的影视、游戏等 产品也扩大流量，进一步放大</w:t>
      </w:r>
      <w:r>
        <w:rPr>
          <w:spacing w:val="-59"/>
        </w:rPr>
        <w:t> </w:t>
      </w:r>
      <w:r>
        <w:rPr>
          <w:rFonts w:ascii="宋体" w:hAnsi="宋体" w:cs="宋体" w:eastAsia="宋体" w:hint="default"/>
          <w:spacing w:val="-9"/>
        </w:rPr>
        <w:t>IP</w:t>
      </w:r>
      <w:r>
        <w:rPr>
          <w:spacing w:val="-9"/>
        </w:rPr>
        <w:t>“导流效果”。而网络文学</w:t>
      </w:r>
      <w:r>
        <w:rPr>
          <w:spacing w:val="-59"/>
        </w:rPr>
        <w:t> </w:t>
      </w:r>
      <w:r>
        <w:rPr>
          <w:rFonts w:ascii="宋体" w:hAnsi="宋体" w:cs="宋体" w:eastAsia="宋体" w:hint="default"/>
        </w:rPr>
        <w:t>IP</w:t>
      </w:r>
      <w:r>
        <w:rPr>
          <w:rFonts w:ascii="宋体" w:hAnsi="宋体" w:cs="宋体" w:eastAsia="宋体" w:hint="default"/>
          <w:spacing w:val="-59"/>
        </w:rPr>
        <w:t> </w:t>
      </w:r>
      <w:r>
        <w:rPr/>
        <w:t>的沉淀一般需要较长的时间，</w:t>
      </w:r>
      <w:r>
        <w:rPr>
          <w:spacing w:val="-118"/>
        </w:rPr>
        <w:t> </w:t>
      </w:r>
      <w:r>
        <w:rPr/>
        <w:t>若改编的影视、游戏等作品能取得较好的市场口碑，也能在一定程度上反哺 </w:t>
      </w:r>
      <w:r>
        <w:rPr>
          <w:rFonts w:ascii="宋体" w:hAnsi="宋体" w:cs="宋体" w:eastAsia="宋体" w:hint="default"/>
        </w:rPr>
        <w:t>IP</w:t>
      </w:r>
      <w:r>
        <w:rPr/>
        <w:t>，提升 </w:t>
      </w:r>
      <w:r>
        <w:rPr>
          <w:rFonts w:ascii="宋体" w:hAnsi="宋体" w:cs="宋体" w:eastAsia="宋体" w:hint="default"/>
        </w:rPr>
        <w:t>IP</w:t>
      </w:r>
      <w:r>
        <w:rPr>
          <w:rFonts w:ascii="宋体" w:hAnsi="宋体" w:cs="宋体" w:eastAsia="宋体" w:hint="default"/>
          <w:spacing w:val="-83"/>
        </w:rPr>
        <w:t> </w:t>
      </w:r>
      <w:r>
        <w:rPr/>
        <w:t>价 值。</w:t>
      </w:r>
    </w:p>
    <w:p>
      <w:pPr>
        <w:pStyle w:val="BodyText"/>
        <w:spacing w:line="240" w:lineRule="auto" w:before="134"/>
        <w:ind w:left="634" w:right="1092"/>
        <w:jc w:val="left"/>
      </w:pPr>
      <w:r>
        <w:rPr>
          <w:spacing w:val="-3"/>
        </w:rPr>
        <w:t>据原国家新闻出版广电总局数字出版司对当前市场规模较大、影响力较强的</w:t>
      </w:r>
      <w:r>
        <w:rPr>
          <w:spacing w:val="-52"/>
        </w:rPr>
        <w:t> </w:t>
      </w:r>
      <w:r>
        <w:rPr>
          <w:rFonts w:ascii="宋体" w:hAnsi="宋体" w:cs="宋体" w:eastAsia="宋体" w:hint="default"/>
        </w:rPr>
        <w:t>45</w:t>
      </w:r>
      <w:r>
        <w:rPr>
          <w:rFonts w:ascii="宋体" w:hAnsi="宋体" w:cs="宋体" w:eastAsia="宋体" w:hint="default"/>
          <w:spacing w:val="-52"/>
        </w:rPr>
        <w:t> </w:t>
      </w:r>
      <w:r>
        <w:rPr/>
        <w:t>家重点网</w:t>
      </w:r>
    </w:p>
    <w:p>
      <w:pPr>
        <w:pStyle w:val="BodyText"/>
        <w:spacing w:line="240" w:lineRule="auto" w:before="154"/>
        <w:ind w:right="0"/>
        <w:jc w:val="both"/>
      </w:pPr>
      <w:r>
        <w:rPr/>
        <w:t>站发展情况的统计，截止</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3"/>
        </w:rPr>
        <w:t> </w:t>
      </w:r>
      <w:r>
        <w:rPr>
          <w:rFonts w:ascii="宋体" w:hAnsi="宋体" w:cs="宋体" w:eastAsia="宋体" w:hint="default"/>
        </w:rPr>
        <w:t>12</w:t>
      </w:r>
      <w:r>
        <w:rPr>
          <w:rFonts w:ascii="宋体" w:hAnsi="宋体" w:cs="宋体" w:eastAsia="宋体" w:hint="default"/>
          <w:spacing w:val="-54"/>
        </w:rPr>
        <w:t> </w:t>
      </w:r>
      <w:r>
        <w:rPr/>
        <w:t>月，各网站原创作品总量高达</w:t>
      </w:r>
      <w:r>
        <w:rPr>
          <w:spacing w:val="-54"/>
        </w:rPr>
        <w:t> </w:t>
      </w:r>
      <w:r>
        <w:rPr>
          <w:rFonts w:ascii="宋体" w:hAnsi="宋体" w:cs="宋体" w:eastAsia="宋体" w:hint="default"/>
        </w:rPr>
        <w:t>1,646.7</w:t>
      </w:r>
      <w:r>
        <w:rPr>
          <w:rFonts w:ascii="宋体" w:hAnsi="宋体" w:cs="宋体" w:eastAsia="宋体" w:hint="default"/>
          <w:spacing w:val="-53"/>
        </w:rPr>
        <w:t> </w:t>
      </w:r>
      <w:r>
        <w:rPr/>
        <w:t>万种，其中签约</w:t>
      </w:r>
    </w:p>
    <w:p>
      <w:pPr>
        <w:pStyle w:val="BodyText"/>
        <w:spacing w:line="240" w:lineRule="auto" w:before="154"/>
        <w:ind w:right="0"/>
        <w:jc w:val="both"/>
        <w:rPr>
          <w:rFonts w:ascii="宋体" w:hAnsi="宋体" w:cs="宋体" w:eastAsia="宋体" w:hint="default"/>
        </w:rPr>
      </w:pPr>
      <w:r>
        <w:rPr/>
        <w:t>作品达</w:t>
      </w:r>
      <w:r>
        <w:rPr>
          <w:spacing w:val="-64"/>
        </w:rPr>
        <w:t> </w:t>
      </w:r>
      <w:r>
        <w:rPr>
          <w:rFonts w:ascii="宋体" w:hAnsi="宋体" w:cs="宋体" w:eastAsia="宋体" w:hint="default"/>
        </w:rPr>
        <w:t>132.7</w:t>
      </w:r>
      <w:r>
        <w:rPr>
          <w:rFonts w:ascii="宋体" w:hAnsi="宋体" w:cs="宋体" w:eastAsia="宋体" w:hint="default"/>
          <w:spacing w:val="-64"/>
        </w:rPr>
        <w:t> </w:t>
      </w:r>
      <w:r>
        <w:rPr/>
        <w:t>万种，年新增原创作品</w:t>
      </w:r>
      <w:r>
        <w:rPr>
          <w:spacing w:val="-64"/>
        </w:rPr>
        <w:t> </w:t>
      </w:r>
      <w:r>
        <w:rPr>
          <w:rFonts w:ascii="宋体" w:hAnsi="宋体" w:cs="宋体" w:eastAsia="宋体" w:hint="default"/>
        </w:rPr>
        <w:t>233.6</w:t>
      </w:r>
      <w:r>
        <w:rPr>
          <w:rFonts w:ascii="宋体" w:hAnsi="宋体" w:cs="宋体" w:eastAsia="宋体" w:hint="default"/>
          <w:spacing w:val="-64"/>
        </w:rPr>
        <w:t> </w:t>
      </w:r>
      <w:r>
        <w:rPr/>
        <w:t>万，年新增签约作品</w:t>
      </w:r>
      <w:r>
        <w:rPr>
          <w:spacing w:val="-64"/>
        </w:rPr>
        <w:t> </w:t>
      </w:r>
      <w:r>
        <w:rPr>
          <w:rFonts w:ascii="宋体" w:hAnsi="宋体" w:cs="宋体" w:eastAsia="宋体" w:hint="default"/>
        </w:rPr>
        <w:t>22</w:t>
      </w:r>
      <w:r>
        <w:rPr>
          <w:rFonts w:ascii="宋体" w:hAnsi="宋体" w:cs="宋体" w:eastAsia="宋体" w:hint="default"/>
          <w:spacing w:val="-64"/>
        </w:rPr>
        <w:t> </w:t>
      </w:r>
      <w:r>
        <w:rPr/>
        <w:t>万。出版纸质图书</w:t>
      </w:r>
      <w:r>
        <w:rPr>
          <w:spacing w:val="-64"/>
        </w:rPr>
        <w:t> </w:t>
      </w:r>
      <w:r>
        <w:rPr>
          <w:rFonts w:ascii="宋体" w:hAnsi="宋体" w:cs="宋体" w:eastAsia="宋体" w:hint="default"/>
        </w:rPr>
        <w:t>6,942</w:t>
      </w:r>
    </w:p>
    <w:p>
      <w:pPr>
        <w:pStyle w:val="BodyText"/>
        <w:spacing w:line="434" w:lineRule="auto" w:before="155"/>
        <w:ind w:left="634" w:right="999" w:hanging="480"/>
        <w:jc w:val="left"/>
      </w:pPr>
      <w:r>
        <w:rPr/>
        <w:t>部，改编电影</w:t>
      </w:r>
      <w:r>
        <w:rPr>
          <w:spacing w:val="-60"/>
        </w:rPr>
        <w:t> </w:t>
      </w:r>
      <w:r>
        <w:rPr>
          <w:rFonts w:ascii="宋体" w:hAnsi="宋体" w:cs="宋体" w:eastAsia="宋体" w:hint="default"/>
        </w:rPr>
        <w:t>1,195</w:t>
      </w:r>
      <w:r>
        <w:rPr>
          <w:rFonts w:ascii="宋体" w:hAnsi="宋体" w:cs="宋体" w:eastAsia="宋体" w:hint="default"/>
          <w:spacing w:val="-60"/>
        </w:rPr>
        <w:t> </w:t>
      </w:r>
      <w:r>
        <w:rPr/>
        <w:t>部，改编电视剧</w:t>
      </w:r>
      <w:r>
        <w:rPr>
          <w:spacing w:val="-60"/>
        </w:rPr>
        <w:t> </w:t>
      </w:r>
      <w:r>
        <w:rPr>
          <w:rFonts w:ascii="宋体" w:hAnsi="宋体" w:cs="宋体" w:eastAsia="宋体" w:hint="default"/>
        </w:rPr>
        <w:t>1,232</w:t>
      </w:r>
      <w:r>
        <w:rPr>
          <w:rFonts w:ascii="宋体" w:hAnsi="宋体" w:cs="宋体" w:eastAsia="宋体" w:hint="default"/>
          <w:spacing w:val="-60"/>
        </w:rPr>
        <w:t> </w:t>
      </w:r>
      <w:r>
        <w:rPr/>
        <w:t>部，改编游戏</w:t>
      </w:r>
      <w:r>
        <w:rPr>
          <w:spacing w:val="-60"/>
        </w:rPr>
        <w:t> </w:t>
      </w:r>
      <w:r>
        <w:rPr>
          <w:rFonts w:ascii="宋体" w:hAnsi="宋体" w:cs="宋体" w:eastAsia="宋体" w:hint="default"/>
        </w:rPr>
        <w:t>605</w:t>
      </w:r>
      <w:r>
        <w:rPr>
          <w:rFonts w:ascii="宋体" w:hAnsi="宋体" w:cs="宋体" w:eastAsia="宋体" w:hint="default"/>
          <w:spacing w:val="-60"/>
        </w:rPr>
        <w:t> </w:t>
      </w:r>
      <w:r>
        <w:rPr/>
        <w:t>部，改编动漫</w:t>
      </w:r>
      <w:r>
        <w:rPr>
          <w:spacing w:val="-60"/>
        </w:rPr>
        <w:t> </w:t>
      </w:r>
      <w:r>
        <w:rPr>
          <w:rFonts w:ascii="宋体" w:hAnsi="宋体" w:cs="宋体" w:eastAsia="宋体" w:hint="default"/>
        </w:rPr>
        <w:t>712</w:t>
      </w:r>
      <w:r>
        <w:rPr>
          <w:rFonts w:ascii="宋体" w:hAnsi="宋体" w:cs="宋体" w:eastAsia="宋体" w:hint="default"/>
          <w:spacing w:val="-60"/>
        </w:rPr>
        <w:t> </w:t>
      </w:r>
      <w:r>
        <w:rPr/>
        <w:t>部。 </w:t>
      </w:r>
      <w:r>
        <w:rPr>
          <w:rFonts w:ascii="宋体" w:hAnsi="宋体" w:cs="宋体" w:eastAsia="宋体" w:hint="default"/>
        </w:rPr>
        <w:t>2</w:t>
      </w:r>
      <w:r>
        <w:rPr/>
        <w:t>、政策利好助力教育信息化市场迎机遇 </w:t>
      </w:r>
      <w:r>
        <w:rPr>
          <w:spacing w:val="-3"/>
        </w:rPr>
        <w:t>国家政策引导教育信息化产业蓬勃发展，国家在政策层面积极推动教育现代化发展进程。</w:t>
      </w:r>
    </w:p>
    <w:p>
      <w:pPr>
        <w:pStyle w:val="BodyText"/>
        <w:spacing w:line="274" w:lineRule="exact"/>
        <w:ind w:right="0"/>
        <w:jc w:val="both"/>
      </w:pPr>
      <w:r>
        <w:rPr/>
        <w:t>党的十九大以来，党中央明确提出必须把教育事业放在优先位置，深化教育改革，加快教育</w:t>
      </w:r>
    </w:p>
    <w:p>
      <w:pPr>
        <w:spacing w:after="0" w:line="274" w:lineRule="exact"/>
        <w:jc w:val="both"/>
        <w:sectPr>
          <w:pgSz w:w="11910" w:h="16840"/>
          <w:pgMar w:header="747" w:footer="979" w:top="1060" w:bottom="1160" w:left="980" w:right="0"/>
        </w:sectPr>
      </w:pPr>
    </w:p>
    <w:p>
      <w:pPr>
        <w:spacing w:line="240" w:lineRule="auto" w:before="9"/>
        <w:rPr>
          <w:rFonts w:ascii="宋体" w:hAnsi="宋体" w:cs="宋体" w:eastAsia="宋体" w:hint="default"/>
          <w:sz w:val="29"/>
          <w:szCs w:val="29"/>
        </w:rPr>
      </w:pPr>
    </w:p>
    <w:p>
      <w:pPr>
        <w:pStyle w:val="BodyText"/>
        <w:spacing w:line="240" w:lineRule="auto" w:before="26"/>
        <w:ind w:right="0"/>
        <w:jc w:val="both"/>
      </w:pPr>
      <w:r>
        <w:rPr/>
        <w:t>现代化。</w:t>
      </w:r>
    </w:p>
    <w:p>
      <w:pPr>
        <w:spacing w:line="240" w:lineRule="auto" w:before="4"/>
        <w:rPr>
          <w:rFonts w:ascii="宋体" w:hAnsi="宋体" w:cs="宋体" w:eastAsia="宋体" w:hint="default"/>
          <w:sz w:val="19"/>
          <w:szCs w:val="19"/>
        </w:rPr>
      </w:pPr>
    </w:p>
    <w:p>
      <w:pPr>
        <w:pStyle w:val="BodyText"/>
        <w:spacing w:line="357" w:lineRule="auto"/>
        <w:ind w:right="1109" w:firstLine="480"/>
        <w:jc w:val="both"/>
      </w:pPr>
      <w:r>
        <w:rPr>
          <w:rFonts w:ascii="宋体" w:hAnsi="宋体" w:cs="宋体" w:eastAsia="宋体" w:hint="default"/>
        </w:rPr>
        <w:t>2019</w:t>
      </w:r>
      <w:r>
        <w:rPr>
          <w:rFonts w:ascii="宋体" w:hAnsi="宋体" w:cs="宋体" w:eastAsia="宋体" w:hint="default"/>
          <w:spacing w:val="-59"/>
        </w:rPr>
        <w:t> </w:t>
      </w:r>
      <w:r>
        <w:rPr/>
        <w:t>年</w:t>
      </w:r>
      <w:r>
        <w:rPr>
          <w:spacing w:val="-59"/>
        </w:rPr>
        <w:t> </w:t>
      </w:r>
      <w:r>
        <w:rPr>
          <w:rFonts w:ascii="宋体" w:hAnsi="宋体" w:cs="宋体" w:eastAsia="宋体" w:hint="default"/>
        </w:rPr>
        <w:t>3</w:t>
      </w:r>
      <w:r>
        <w:rPr>
          <w:rFonts w:ascii="宋体" w:hAnsi="宋体" w:cs="宋体" w:eastAsia="宋体" w:hint="default"/>
          <w:spacing w:val="-59"/>
        </w:rPr>
        <w:t> </w:t>
      </w:r>
      <w:r>
        <w:rPr/>
        <w:t>月</w:t>
      </w:r>
      <w:r>
        <w:rPr>
          <w:spacing w:val="-59"/>
        </w:rPr>
        <w:t> </w:t>
      </w:r>
      <w:r>
        <w:rPr>
          <w:rFonts w:ascii="宋体" w:hAnsi="宋体" w:cs="宋体" w:eastAsia="宋体" w:hint="default"/>
        </w:rPr>
        <w:t>12</w:t>
      </w:r>
      <w:r>
        <w:rPr>
          <w:rFonts w:ascii="宋体" w:hAnsi="宋体" w:cs="宋体" w:eastAsia="宋体" w:hint="default"/>
          <w:spacing w:val="-59"/>
        </w:rPr>
        <w:t> </w:t>
      </w:r>
      <w:r>
        <w:rPr>
          <w:spacing w:val="-4"/>
        </w:rPr>
        <w:t>日，教育部发文《教育部办公厅关于印发</w:t>
      </w:r>
      <w:r>
        <w:rPr>
          <w:rFonts w:ascii="宋体" w:hAnsi="宋体" w:cs="宋体" w:eastAsia="宋体" w:hint="default"/>
          <w:spacing w:val="-4"/>
        </w:rPr>
        <w:t>&lt;2019</w:t>
      </w:r>
      <w:r>
        <w:rPr>
          <w:rFonts w:ascii="宋体" w:hAnsi="宋体" w:cs="宋体" w:eastAsia="宋体" w:hint="default"/>
          <w:spacing w:val="-59"/>
        </w:rPr>
        <w:t> </w:t>
      </w:r>
      <w:r>
        <w:rPr/>
        <w:t>年教育信息化和网络安全 </w:t>
      </w:r>
      <w:r>
        <w:rPr>
          <w:spacing w:val="-16"/>
        </w:rPr>
        <w:t>工作要点</w:t>
      </w:r>
      <w:r>
        <w:rPr>
          <w:rFonts w:ascii="宋体" w:hAnsi="宋体" w:cs="宋体" w:eastAsia="宋体" w:hint="default"/>
          <w:spacing w:val="-16"/>
        </w:rPr>
        <w:t>&gt;</w:t>
      </w:r>
      <w:r>
        <w:rPr>
          <w:spacing w:val="-16"/>
        </w:rPr>
        <w:t>的通知》。《</w:t>
      </w:r>
      <w:r>
        <w:rPr>
          <w:rFonts w:ascii="宋体" w:hAnsi="宋体" w:cs="宋体" w:eastAsia="宋体" w:hint="default"/>
          <w:spacing w:val="-16"/>
        </w:rPr>
        <w:t>2019</w:t>
      </w:r>
      <w:r>
        <w:rPr>
          <w:rFonts w:ascii="宋体" w:hAnsi="宋体" w:cs="宋体" w:eastAsia="宋体" w:hint="default"/>
          <w:spacing w:val="5"/>
        </w:rPr>
        <w:t> </w:t>
      </w:r>
      <w:r>
        <w:rPr/>
        <w:t>年教育信息化和网络安全工作要点》包含工作思路、核心目标、 重点任务三大方面。文中指出，要深入落实《教育信息化“十三五”规划》和《教育信息化 </w:t>
      </w:r>
      <w:r>
        <w:rPr>
          <w:rFonts w:ascii="宋体" w:hAnsi="宋体" w:cs="宋体" w:eastAsia="宋体" w:hint="default"/>
        </w:rPr>
        <w:t>2.0</w:t>
      </w:r>
      <w:r>
        <w:rPr>
          <w:rFonts w:ascii="宋体" w:hAnsi="宋体" w:cs="宋体" w:eastAsia="宋体" w:hint="default"/>
          <w:spacing w:val="-38"/>
        </w:rPr>
        <w:t> </w:t>
      </w:r>
      <w:r>
        <w:rPr>
          <w:spacing w:val="-7"/>
        </w:rPr>
        <w:t>行动计划》，加快推动教育信息化转段升级，积极推进“互联网</w:t>
      </w:r>
      <w:r>
        <w:rPr>
          <w:rFonts w:ascii="宋体" w:hAnsi="宋体" w:cs="宋体" w:eastAsia="宋体" w:hint="default"/>
          <w:spacing w:val="-7"/>
        </w:rPr>
        <w:t>+</w:t>
      </w:r>
      <w:r>
        <w:rPr>
          <w:spacing w:val="-7"/>
        </w:rPr>
        <w:t>教育”。</w:t>
      </w:r>
      <w:r>
        <w:rPr>
          <w:rFonts w:ascii="宋体" w:hAnsi="宋体" w:cs="宋体" w:eastAsia="宋体" w:hint="default"/>
          <w:spacing w:val="-7"/>
        </w:rPr>
        <w:t>2019</w:t>
      </w:r>
      <w:r>
        <w:rPr>
          <w:rFonts w:ascii="宋体" w:hAnsi="宋体" w:cs="宋体" w:eastAsia="宋体" w:hint="default"/>
          <w:spacing w:val="-38"/>
        </w:rPr>
        <w:t> </w:t>
      </w:r>
      <w:r>
        <w:rPr/>
        <w:t>年</w:t>
      </w:r>
      <w:r>
        <w:rPr>
          <w:spacing w:val="-38"/>
        </w:rPr>
        <w:t> </w:t>
      </w:r>
      <w:r>
        <w:rPr>
          <w:rFonts w:ascii="宋体" w:hAnsi="宋体" w:cs="宋体" w:eastAsia="宋体" w:hint="default"/>
        </w:rPr>
        <w:t>2</w:t>
      </w:r>
      <w:r>
        <w:rPr>
          <w:rFonts w:ascii="宋体" w:hAnsi="宋体" w:cs="宋体" w:eastAsia="宋体" w:hint="default"/>
          <w:spacing w:val="-38"/>
        </w:rPr>
        <w:t> </w:t>
      </w:r>
      <w:r>
        <w:rPr/>
        <w:t>月</w:t>
      </w:r>
      <w:r>
        <w:rPr>
          <w:spacing w:val="-37"/>
        </w:rPr>
        <w:t> </w:t>
      </w:r>
      <w:r>
        <w:rPr>
          <w:rFonts w:ascii="宋体" w:hAnsi="宋体" w:cs="宋体" w:eastAsia="宋体" w:hint="default"/>
        </w:rPr>
        <w:t>23 </w:t>
      </w:r>
      <w:r>
        <w:rPr/>
        <w:t>日，中共中央、国务院印发《中国教育现代化</w:t>
      </w:r>
      <w:r>
        <w:rPr>
          <w:spacing w:val="14"/>
        </w:rPr>
        <w:t> </w:t>
      </w:r>
      <w:r>
        <w:rPr>
          <w:rFonts w:ascii="宋体" w:hAnsi="宋体" w:cs="宋体" w:eastAsia="宋体" w:hint="default"/>
          <w:spacing w:val="-6"/>
        </w:rPr>
        <w:t>2035</w:t>
      </w:r>
      <w:r>
        <w:rPr>
          <w:spacing w:val="-6"/>
        </w:rPr>
        <w:t>》，中共中央办公厅、国务院办公厅印发</w:t>
      </w:r>
      <w:r>
        <w:rPr>
          <w:spacing w:val="-116"/>
        </w:rPr>
        <w:t> </w:t>
      </w:r>
      <w:r>
        <w:rPr>
          <w:spacing w:val="-116"/>
        </w:rPr>
      </w:r>
      <w:r>
        <w:rPr>
          <w:spacing w:val="-2"/>
        </w:rPr>
        <w:t>了《加快推进教育现代化实施方案（</w:t>
      </w:r>
      <w:r>
        <w:rPr>
          <w:rFonts w:ascii="宋体" w:hAnsi="宋体" w:cs="宋体" w:eastAsia="宋体" w:hint="default"/>
          <w:spacing w:val="-2"/>
        </w:rPr>
        <w:t>2018-2022</w:t>
      </w:r>
      <w:r>
        <w:rPr>
          <w:rFonts w:ascii="宋体" w:hAnsi="宋体" w:cs="宋体" w:eastAsia="宋体" w:hint="default"/>
          <w:spacing w:val="-56"/>
        </w:rPr>
        <w:t> </w:t>
      </w:r>
      <w:r>
        <w:rPr>
          <w:spacing w:val="-32"/>
        </w:rPr>
        <w:t>年）》。《中国教育现代化</w:t>
      </w:r>
      <w:r>
        <w:rPr>
          <w:spacing w:val="-56"/>
        </w:rPr>
        <w:t> </w:t>
      </w:r>
      <w:r>
        <w:rPr>
          <w:rFonts w:ascii="宋体" w:hAnsi="宋体" w:cs="宋体" w:eastAsia="宋体" w:hint="default"/>
          <w:spacing w:val="-2"/>
        </w:rPr>
        <w:t>2035</w:t>
      </w:r>
      <w:r>
        <w:rPr>
          <w:spacing w:val="-2"/>
        </w:rPr>
        <w:t>》是中国第一个</w:t>
      </w:r>
      <w:r>
        <w:rPr>
          <w:spacing w:val="-118"/>
        </w:rPr>
        <w:t> </w:t>
      </w:r>
      <w:r>
        <w:rPr>
          <w:spacing w:val="-118"/>
        </w:rPr>
      </w:r>
      <w:r>
        <w:rPr>
          <w:spacing w:val="-3"/>
        </w:rPr>
        <w:t>以教育现代化为主题的中长期战略规划，《加快推进教育现代化实施方案（</w:t>
      </w:r>
      <w:r>
        <w:rPr>
          <w:rFonts w:ascii="宋体" w:hAnsi="宋体" w:cs="宋体" w:eastAsia="宋体" w:hint="default"/>
          <w:spacing w:val="-3"/>
        </w:rPr>
        <w:t>2018-2022</w:t>
      </w:r>
      <w:r>
        <w:rPr>
          <w:rFonts w:ascii="宋体" w:hAnsi="宋体" w:cs="宋体" w:eastAsia="宋体" w:hint="default"/>
          <w:spacing w:val="12"/>
        </w:rPr>
        <w:t> </w:t>
      </w:r>
      <w:r>
        <w:rPr>
          <w:spacing w:val="-40"/>
        </w:rPr>
        <w:t>年）》</w:t>
      </w:r>
      <w:r>
        <w:rPr>
          <w:spacing w:val="-115"/>
        </w:rPr>
        <w:t> </w:t>
      </w:r>
      <w:r>
        <w:rPr>
          <w:spacing w:val="-115"/>
        </w:rPr>
      </w:r>
      <w:r>
        <w:rPr/>
        <w:t>是教育现代化推进的行动方案。</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13</w:t>
      </w:r>
      <w:r>
        <w:rPr>
          <w:rFonts w:ascii="宋体" w:hAnsi="宋体" w:cs="宋体" w:eastAsia="宋体" w:hint="default"/>
          <w:spacing w:val="-60"/>
        </w:rPr>
        <w:t> </w:t>
      </w:r>
      <w:r>
        <w:rPr/>
        <w:t>日，教育部发布《教育信息</w:t>
      </w:r>
      <w:r>
        <w:rPr>
          <w:spacing w:val="-60"/>
        </w:rPr>
        <w:t> </w:t>
      </w:r>
      <w:r>
        <w:rPr>
          <w:rFonts w:ascii="宋体" w:hAnsi="宋体" w:cs="宋体" w:eastAsia="宋体" w:hint="default"/>
        </w:rPr>
        <w:t>2.0</w:t>
      </w:r>
      <w:r>
        <w:rPr>
          <w:rFonts w:ascii="宋体" w:hAnsi="宋体" w:cs="宋体" w:eastAsia="宋体" w:hint="default"/>
          <w:spacing w:val="-60"/>
        </w:rPr>
        <w:t> </w:t>
      </w:r>
      <w:r>
        <w:rPr>
          <w:spacing w:val="-20"/>
        </w:rPr>
        <w:t>行动计划》，</w:t>
      </w:r>
    </w:p>
    <w:p>
      <w:pPr>
        <w:pStyle w:val="BodyText"/>
        <w:spacing w:line="357" w:lineRule="auto" w:before="36"/>
        <w:ind w:right="1132"/>
        <w:jc w:val="both"/>
      </w:pPr>
      <w:r>
        <w:rPr/>
        <w:t>指出到</w:t>
      </w:r>
      <w:r>
        <w:rPr>
          <w:spacing w:val="-51"/>
        </w:rPr>
        <w:t> </w:t>
      </w:r>
      <w:r>
        <w:rPr>
          <w:rFonts w:ascii="宋体" w:hAnsi="宋体" w:cs="宋体" w:eastAsia="宋体" w:hint="default"/>
        </w:rPr>
        <w:t>2022</w:t>
      </w:r>
      <w:r>
        <w:rPr>
          <w:rFonts w:ascii="宋体" w:hAnsi="宋体" w:cs="宋体" w:eastAsia="宋体" w:hint="default"/>
          <w:spacing w:val="-51"/>
        </w:rPr>
        <w:t> </w:t>
      </w:r>
      <w:r>
        <w:rPr>
          <w:spacing w:val="-3"/>
        </w:rPr>
        <w:t>年基本实现“三全两高一大”的发展目标，也就是“教育应用覆盖全体教师、学</w:t>
      </w:r>
      <w:r>
        <w:rPr/>
        <w:t> 习应用覆盖全体适龄学生、数字校园建设覆盖全体学校，信息化应用水平和师生信息素养普 </w:t>
      </w:r>
      <w:r>
        <w:rPr>
          <w:spacing w:val="-7"/>
        </w:rPr>
        <w:t>遍提高，建成‘互联网</w:t>
      </w:r>
      <w:r>
        <w:rPr>
          <w:rFonts w:ascii="宋体" w:hAnsi="宋体" w:cs="宋体" w:eastAsia="宋体" w:hint="default"/>
          <w:spacing w:val="-7"/>
        </w:rPr>
        <w:t>+</w:t>
      </w:r>
      <w:r>
        <w:rPr>
          <w:spacing w:val="-7"/>
        </w:rPr>
        <w:t>教育’大平台”。</w:t>
      </w:r>
    </w:p>
    <w:p>
      <w:pPr>
        <w:spacing w:line="240" w:lineRule="auto" w:before="10"/>
        <w:rPr>
          <w:rFonts w:ascii="宋体" w:hAnsi="宋体" w:cs="宋体" w:eastAsia="宋体" w:hint="default"/>
          <w:sz w:val="19"/>
          <w:szCs w:val="19"/>
        </w:rPr>
      </w:pPr>
    </w:p>
    <w:p>
      <w:pPr>
        <w:pStyle w:val="Heading2"/>
        <w:spacing w:line="240" w:lineRule="auto" w:before="0"/>
        <w:ind w:right="0"/>
        <w:jc w:val="both"/>
        <w:rPr>
          <w:b w:val="0"/>
          <w:bCs w:val="0"/>
        </w:rPr>
      </w:pPr>
      <w:bookmarkStart w:name="二、主要资产重大变化情况" w:id="17"/>
      <w:bookmarkEnd w:id="17"/>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spacing w:before="0"/>
        <w:ind w:left="154" w:right="0" w:firstLine="0"/>
        <w:jc w:val="both"/>
        <w:rPr>
          <w:rFonts w:ascii="宋体" w:hAnsi="宋体" w:cs="宋体" w:eastAsia="宋体" w:hint="default"/>
          <w:sz w:val="21"/>
          <w:szCs w:val="21"/>
        </w:rPr>
      </w:pPr>
      <w:bookmarkStart w:name="1、主要资产重大变化情况" w:id="18"/>
      <w:bookmarkEnd w:id="18"/>
      <w:r>
        <w:rPr/>
      </w:r>
      <w:r>
        <w:rPr>
          <w:rFonts w:ascii="宋体" w:hAnsi="宋体" w:cs="宋体" w:eastAsia="宋体" w:hint="default"/>
          <w:b/>
          <w:bCs/>
          <w:sz w:val="21"/>
          <w:szCs w:val="21"/>
        </w:rPr>
        <w:t>1</w:t>
      </w:r>
      <w:r>
        <w:rPr>
          <w:rFonts w:ascii="宋体" w:hAnsi="宋体" w:cs="宋体" w:eastAsia="宋体" w:hint="default"/>
          <w:b/>
          <w:bCs/>
          <w:sz w:val="21"/>
          <w:szCs w:val="21"/>
        </w:rPr>
        <w:t>、主要资产重大变化情况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p>
      <w:pPr>
        <w:spacing w:before="44"/>
        <w:ind w:left="0" w:right="1152" w:firstLine="0"/>
        <w:jc w:val="right"/>
        <w:rPr>
          <w:rFonts w:ascii="宋体" w:hAnsi="宋体" w:cs="宋体" w:eastAsia="宋体" w:hint="default"/>
          <w:sz w:val="18"/>
          <w:szCs w:val="18"/>
        </w:rPr>
      </w:pPr>
      <w:r>
        <w:rPr/>
        <w:pict>
          <v:shape style="position:absolute;margin-left:56.459999pt;margin-top:-39.038292pt;width:479.2pt;height:181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85"/>
                    <w:gridCol w:w="7584"/>
                  </w:tblGrid>
                  <w:tr>
                    <w:trPr>
                      <w:trHeight w:val="187" w:hRule="exact"/>
                    </w:trPr>
                    <w:tc>
                      <w:tcPr>
                        <w:tcW w:w="1985" w:type="dxa"/>
                        <w:tcBorders>
                          <w:top w:val="single" w:sz="4" w:space="0" w:color="000000"/>
                          <w:left w:val="single" w:sz="4" w:space="0" w:color="000000"/>
                          <w:bottom w:val="nil" w:sz="6" w:space="0" w:color="auto"/>
                          <w:right w:val="single" w:sz="4" w:space="0" w:color="000000"/>
                        </w:tcBorders>
                        <w:shd w:val="clear" w:color="auto" w:fill="D2D2D2"/>
                      </w:tcPr>
                      <w:p>
                        <w:pPr/>
                      </w:p>
                    </w:tc>
                    <w:tc>
                      <w:tcPr>
                        <w:tcW w:w="75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19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626" w:right="0"/>
                          <w:jc w:val="left"/>
                          <w:rPr>
                            <w:rFonts w:ascii="宋体" w:hAnsi="宋体" w:cs="宋体" w:eastAsia="宋体" w:hint="default"/>
                            <w:sz w:val="18"/>
                            <w:szCs w:val="18"/>
                          </w:rPr>
                        </w:pPr>
                        <w:r>
                          <w:rPr>
                            <w:rFonts w:ascii="宋体" w:hAnsi="宋体" w:cs="宋体" w:eastAsia="宋体" w:hint="default"/>
                            <w:sz w:val="18"/>
                            <w:szCs w:val="18"/>
                          </w:rPr>
                          <w:t>主要资产</w:t>
                        </w:r>
                      </w:p>
                    </w:tc>
                    <w:tc>
                      <w:tcPr>
                        <w:tcW w:w="75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1985" w:type="dxa"/>
                        <w:tcBorders>
                          <w:top w:val="nil" w:sz="6" w:space="0" w:color="auto"/>
                          <w:left w:val="single" w:sz="4" w:space="0" w:color="000000"/>
                          <w:bottom w:val="single" w:sz="4" w:space="0" w:color="000000"/>
                          <w:right w:val="single" w:sz="4" w:space="0" w:color="000000"/>
                        </w:tcBorders>
                        <w:shd w:val="clear" w:color="auto" w:fill="D2D2D2"/>
                      </w:tcPr>
                      <w:p>
                        <w:pPr/>
                      </w:p>
                    </w:tc>
                    <w:tc>
                      <w:tcPr>
                        <w:tcW w:w="75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826" w:hRule="exact"/>
                    </w:trPr>
                    <w:tc>
                      <w:tcPr>
                        <w:tcW w:w="1985" w:type="dxa"/>
                        <w:tcBorders>
                          <w:top w:val="single" w:sz="4" w:space="0" w:color="000000"/>
                          <w:left w:val="single" w:sz="4" w:space="0" w:color="000000"/>
                          <w:bottom w:val="nil" w:sz="6" w:space="0" w:color="auto"/>
                          <w:right w:val="single" w:sz="4" w:space="0" w:color="000000"/>
                        </w:tcBorders>
                        <w:shd w:val="clear" w:color="auto" w:fill="D2D2D2"/>
                      </w:tcPr>
                      <w:p>
                        <w:pPr/>
                      </w:p>
                    </w:tc>
                    <w:tc>
                      <w:tcPr>
                        <w:tcW w:w="7584" w:type="dxa"/>
                        <w:vMerge w:val="restart"/>
                        <w:tcBorders>
                          <w:top w:val="single" w:sz="4" w:space="0" w:color="000000"/>
                          <w:left w:val="single" w:sz="9" w:space="0" w:color="D2D2D2"/>
                          <w:right w:val="single" w:sz="4" w:space="0" w:color="000000"/>
                        </w:tcBorders>
                      </w:tcPr>
                      <w:p>
                        <w:pPr>
                          <w:pStyle w:val="TableParagraph"/>
                          <w:spacing w:line="338" w:lineRule="auto" w:before="51"/>
                          <w:ind w:left="16" w:right="79"/>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、本年度并购晨之科剩余</w:t>
                        </w:r>
                        <w:r>
                          <w:rPr>
                            <w:rFonts w:ascii="宋体" w:hAnsi="宋体" w:cs="宋体" w:eastAsia="宋体" w:hint="default"/>
                            <w:spacing w:val="-46"/>
                            <w:sz w:val="18"/>
                            <w:szCs w:val="18"/>
                          </w:rPr>
                          <w:t> </w:t>
                        </w:r>
                        <w:r>
                          <w:rPr>
                            <w:rFonts w:ascii="宋体" w:hAnsi="宋体" w:cs="宋体" w:eastAsia="宋体" w:hint="default"/>
                            <w:sz w:val="18"/>
                            <w:szCs w:val="18"/>
                          </w:rPr>
                          <w:t>80%</w:t>
                        </w:r>
                        <w:r>
                          <w:rPr>
                            <w:rFonts w:ascii="宋体" w:hAnsi="宋体" w:cs="宋体" w:eastAsia="宋体" w:hint="default"/>
                            <w:sz w:val="18"/>
                            <w:szCs w:val="18"/>
                          </w:rPr>
                          <w:t>的股权，将其纳入合并范围，对晨之科股权投资改为成本法核算 减少长期股权投</w:t>
                        </w:r>
                        <w:r>
                          <w:rPr>
                            <w:rFonts w:ascii="宋体" w:hAnsi="宋体" w:cs="宋体" w:eastAsia="宋体" w:hint="default"/>
                            <w:spacing w:val="-46"/>
                            <w:sz w:val="18"/>
                            <w:szCs w:val="18"/>
                          </w:rPr>
                          <w:t> </w:t>
                        </w:r>
                        <w:r>
                          <w:rPr>
                            <w:rFonts w:ascii="宋体" w:hAnsi="宋体" w:cs="宋体" w:eastAsia="宋体" w:hint="default"/>
                            <w:sz w:val="18"/>
                            <w:szCs w:val="18"/>
                          </w:rPr>
                          <w:t>27,975.35</w:t>
                        </w:r>
                        <w:r>
                          <w:rPr>
                            <w:rFonts w:ascii="宋体" w:hAnsi="宋体" w:cs="宋体" w:eastAsia="宋体" w:hint="default"/>
                            <w:spacing w:val="-44"/>
                            <w:sz w:val="18"/>
                            <w:szCs w:val="18"/>
                          </w:rPr>
                          <w:t> </w:t>
                        </w:r>
                        <w:r>
                          <w:rPr>
                            <w:rFonts w:ascii="宋体" w:hAnsi="宋体" w:cs="宋体" w:eastAsia="宋体" w:hint="default"/>
                            <w:sz w:val="18"/>
                            <w:szCs w:val="18"/>
                          </w:rPr>
                          <w:t>万元； </w:t>
                        </w:r>
                        <w:r>
                          <w:rPr>
                            <w:rFonts w:ascii="宋体" w:hAnsi="宋体" w:cs="宋体" w:eastAsia="宋体" w:hint="default"/>
                            <w:sz w:val="18"/>
                            <w:szCs w:val="18"/>
                          </w:rPr>
                          <w:t>2</w:t>
                        </w:r>
                        <w:r>
                          <w:rPr>
                            <w:rFonts w:ascii="宋体" w:hAnsi="宋体" w:cs="宋体" w:eastAsia="宋体" w:hint="default"/>
                            <w:sz w:val="18"/>
                            <w:szCs w:val="18"/>
                          </w:rPr>
                          <w:t>、本年度对参股公司新浪阅读派出一名董事，对其经营产生重大影响，公司对新浪阅读由成本</w:t>
                        </w:r>
                      </w:p>
                      <w:p>
                        <w:pPr>
                          <w:pStyle w:val="TableParagraph"/>
                          <w:spacing w:line="338" w:lineRule="auto" w:before="4"/>
                          <w:ind w:left="16" w:right="34"/>
                          <w:jc w:val="left"/>
                          <w:rPr>
                            <w:rFonts w:ascii="宋体" w:hAnsi="宋体" w:cs="宋体" w:eastAsia="宋体" w:hint="default"/>
                            <w:sz w:val="18"/>
                            <w:szCs w:val="18"/>
                          </w:rPr>
                        </w:pPr>
                        <w:r>
                          <w:rPr>
                            <w:rFonts w:ascii="宋体" w:hAnsi="宋体" w:cs="宋体" w:eastAsia="宋体" w:hint="default"/>
                            <w:sz w:val="18"/>
                            <w:szCs w:val="18"/>
                          </w:rPr>
                          <w:t>法改为权益法核算，原投资成本经减值测试后，计提减值准备</w:t>
                        </w:r>
                        <w:r>
                          <w:rPr>
                            <w:rFonts w:ascii="宋体" w:hAnsi="宋体" w:cs="宋体" w:eastAsia="宋体" w:hint="default"/>
                            <w:spacing w:val="-46"/>
                            <w:sz w:val="18"/>
                            <w:szCs w:val="18"/>
                          </w:rPr>
                          <w:t> </w:t>
                        </w:r>
                        <w:r>
                          <w:rPr>
                            <w:rFonts w:ascii="宋体" w:hAnsi="宋体" w:cs="宋体" w:eastAsia="宋体" w:hint="default"/>
                            <w:sz w:val="18"/>
                            <w:szCs w:val="18"/>
                          </w:rPr>
                          <w:t>20,801.54</w:t>
                        </w:r>
                        <w:r>
                          <w:rPr>
                            <w:rFonts w:ascii="宋体" w:hAnsi="宋体" w:cs="宋体" w:eastAsia="宋体" w:hint="default"/>
                            <w:spacing w:val="-46"/>
                            <w:sz w:val="18"/>
                            <w:szCs w:val="18"/>
                          </w:rPr>
                          <w:t> </w:t>
                        </w:r>
                        <w:r>
                          <w:rPr>
                            <w:rFonts w:ascii="宋体" w:hAnsi="宋体" w:cs="宋体" w:eastAsia="宋体" w:hint="default"/>
                            <w:sz w:val="18"/>
                            <w:szCs w:val="18"/>
                          </w:rPr>
                          <w:t>万元 </w:t>
                        </w:r>
                        <w:r>
                          <w:rPr>
                            <w:rFonts w:ascii="宋体" w:hAnsi="宋体" w:cs="宋体" w:eastAsia="宋体" w:hint="default"/>
                            <w:sz w:val="18"/>
                            <w:szCs w:val="18"/>
                          </w:rPr>
                          <w:t>3</w:t>
                        </w:r>
                        <w:r>
                          <w:rPr>
                            <w:rFonts w:ascii="宋体" w:hAnsi="宋体" w:cs="宋体" w:eastAsia="宋体" w:hint="default"/>
                            <w:sz w:val="18"/>
                            <w:szCs w:val="18"/>
                          </w:rPr>
                          <w:t>、本年度转让原控股子公司中文万维</w:t>
                        </w:r>
                        <w:r>
                          <w:rPr>
                            <w:rFonts w:ascii="宋体" w:hAnsi="宋体" w:cs="宋体" w:eastAsia="宋体" w:hint="default"/>
                            <w:spacing w:val="-46"/>
                            <w:sz w:val="18"/>
                            <w:szCs w:val="18"/>
                          </w:rPr>
                          <w:t> </w:t>
                        </w:r>
                        <w:r>
                          <w:rPr>
                            <w:rFonts w:ascii="宋体" w:hAnsi="宋体" w:cs="宋体" w:eastAsia="宋体" w:hint="default"/>
                            <w:sz w:val="18"/>
                            <w:szCs w:val="18"/>
                          </w:rPr>
                          <w:t>35.59%</w:t>
                        </w:r>
                        <w:r>
                          <w:rPr>
                            <w:rFonts w:ascii="宋体" w:hAnsi="宋体" w:cs="宋体" w:eastAsia="宋体" w:hint="default"/>
                            <w:sz w:val="18"/>
                            <w:szCs w:val="18"/>
                          </w:rPr>
                          <w:t>的股权，不再将其纳入合并范围，对中文万维投资 由成本法改为权益法核算，增加长期股权投资</w:t>
                        </w:r>
                        <w:r>
                          <w:rPr>
                            <w:rFonts w:ascii="宋体" w:hAnsi="宋体" w:cs="宋体" w:eastAsia="宋体" w:hint="default"/>
                            <w:spacing w:val="-46"/>
                            <w:sz w:val="18"/>
                            <w:szCs w:val="18"/>
                          </w:rPr>
                          <w:t> </w:t>
                        </w:r>
                        <w:r>
                          <w:rPr>
                            <w:rFonts w:ascii="宋体" w:hAnsi="宋体" w:cs="宋体" w:eastAsia="宋体" w:hint="default"/>
                            <w:sz w:val="18"/>
                            <w:szCs w:val="18"/>
                          </w:rPr>
                          <w:t>9870.09</w:t>
                        </w:r>
                        <w:r>
                          <w:rPr>
                            <w:rFonts w:ascii="宋体" w:hAnsi="宋体" w:cs="宋体" w:eastAsia="宋体" w:hint="default"/>
                            <w:spacing w:val="-45"/>
                            <w:sz w:val="18"/>
                            <w:szCs w:val="18"/>
                          </w:rPr>
                          <w:t> </w:t>
                        </w:r>
                        <w:r>
                          <w:rPr>
                            <w:rFonts w:ascii="宋体" w:hAnsi="宋体" w:cs="宋体" w:eastAsia="宋体" w:hint="default"/>
                            <w:sz w:val="18"/>
                            <w:szCs w:val="18"/>
                          </w:rPr>
                          <w:t>万元。</w:t>
                        </w:r>
                      </w:p>
                    </w:tc>
                  </w:tr>
                  <w:tr>
                    <w:trPr>
                      <w:trHeight w:val="391" w:hRule="exact"/>
                    </w:trPr>
                    <w:tc>
                      <w:tcPr>
                        <w:tcW w:w="19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7584" w:type="dxa"/>
                        <w:vMerge/>
                        <w:tcBorders>
                          <w:left w:val="single" w:sz="9" w:space="0" w:color="D2D2D2"/>
                          <w:right w:val="single" w:sz="4" w:space="0" w:color="000000"/>
                        </w:tcBorders>
                      </w:tcPr>
                      <w:p>
                        <w:pPr/>
                      </w:p>
                    </w:tc>
                  </w:tr>
                  <w:tr>
                    <w:trPr>
                      <w:trHeight w:val="826" w:hRule="exact"/>
                    </w:trPr>
                    <w:tc>
                      <w:tcPr>
                        <w:tcW w:w="1985" w:type="dxa"/>
                        <w:tcBorders>
                          <w:top w:val="nil" w:sz="6" w:space="0" w:color="auto"/>
                          <w:left w:val="single" w:sz="4" w:space="0" w:color="000000"/>
                          <w:bottom w:val="single" w:sz="4" w:space="0" w:color="000000"/>
                          <w:right w:val="single" w:sz="4" w:space="0" w:color="000000"/>
                        </w:tcBorders>
                        <w:shd w:val="clear" w:color="auto" w:fill="D2D2D2"/>
                      </w:tcPr>
                      <w:p>
                        <w:pPr/>
                      </w:p>
                    </w:tc>
                    <w:tc>
                      <w:tcPr>
                        <w:tcW w:w="7584" w:type="dxa"/>
                        <w:vMerge/>
                        <w:tcBorders>
                          <w:left w:val="single" w:sz="9" w:space="0" w:color="D2D2D2"/>
                          <w:bottom w:val="single" w:sz="4" w:space="0" w:color="000000"/>
                          <w:right w:val="single" w:sz="4" w:space="0" w:color="000000"/>
                        </w:tcBorders>
                      </w:tcPr>
                      <w:p>
                        <w:pP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58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购建杭州办公楼增加固定资产</w:t>
                        </w:r>
                        <w:r>
                          <w:rPr>
                            <w:rFonts w:ascii="宋体" w:hAnsi="宋体" w:cs="宋体" w:eastAsia="宋体" w:hint="default"/>
                            <w:spacing w:val="-46"/>
                            <w:sz w:val="18"/>
                            <w:szCs w:val="18"/>
                          </w:rPr>
                          <w:t> </w:t>
                        </w:r>
                        <w:r>
                          <w:rPr>
                            <w:rFonts w:ascii="宋体" w:hAnsi="宋体" w:cs="宋体" w:eastAsia="宋体" w:hint="default"/>
                            <w:sz w:val="18"/>
                            <w:szCs w:val="18"/>
                          </w:rPr>
                          <w:t>9,354</w:t>
                        </w:r>
                        <w:r>
                          <w:rPr>
                            <w:rFonts w:ascii="宋体" w:hAnsi="宋体" w:cs="宋体" w:eastAsia="宋体" w:hint="default"/>
                            <w:sz w:val="18"/>
                            <w:szCs w:val="18"/>
                          </w:rPr>
                          <w:t>。</w:t>
                        </w:r>
                        <w:r>
                          <w:rPr>
                            <w:rFonts w:ascii="宋体" w:hAnsi="宋体" w:cs="宋体" w:eastAsia="宋体" w:hint="default"/>
                            <w:sz w:val="18"/>
                            <w:szCs w:val="18"/>
                          </w:rPr>
                          <w:t>64</w:t>
                        </w:r>
                        <w:r>
                          <w:rPr>
                            <w:rFonts w:ascii="宋体" w:hAnsi="宋体" w:cs="宋体" w:eastAsia="宋体" w:hint="default"/>
                            <w:spacing w:val="-45"/>
                            <w:sz w:val="18"/>
                            <w:szCs w:val="18"/>
                          </w:rPr>
                          <w:t> </w:t>
                        </w:r>
                        <w:r>
                          <w:rPr>
                            <w:rFonts w:ascii="宋体" w:hAnsi="宋体" w:cs="宋体" w:eastAsia="宋体" w:hint="default"/>
                            <w:sz w:val="18"/>
                            <w:szCs w:val="18"/>
                          </w:rPr>
                          <w:t>万元，致期末固定资产较年初增长</w:t>
                        </w:r>
                        <w:r>
                          <w:rPr>
                            <w:rFonts w:ascii="宋体" w:hAnsi="宋体" w:cs="宋体" w:eastAsia="宋体" w:hint="default"/>
                            <w:spacing w:val="-46"/>
                            <w:sz w:val="18"/>
                            <w:szCs w:val="18"/>
                          </w:rPr>
                          <w:t> </w:t>
                        </w:r>
                        <w:r>
                          <w:rPr>
                            <w:rFonts w:ascii="宋体" w:hAnsi="宋体" w:cs="宋体" w:eastAsia="宋体" w:hint="default"/>
                            <w:sz w:val="18"/>
                            <w:szCs w:val="18"/>
                          </w:rPr>
                          <w:t>260.97%</w:t>
                        </w:r>
                        <w:r>
                          <w:rPr>
                            <w:rFonts w:ascii="宋体" w:hAnsi="宋体" w:cs="宋体" w:eastAsia="宋体" w:hint="default"/>
                            <w:sz w:val="18"/>
                            <w:szCs w:val="18"/>
                          </w:rPr>
                          <w:t>。</w:t>
                        </w: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58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本年度主要因买断版权采集减少，致期末无形资产较年初减少</w:t>
                        </w:r>
                        <w:r>
                          <w:rPr>
                            <w:rFonts w:ascii="宋体" w:hAnsi="宋体" w:cs="宋体" w:eastAsia="宋体" w:hint="default"/>
                            <w:spacing w:val="-46"/>
                            <w:sz w:val="18"/>
                            <w:szCs w:val="18"/>
                          </w:rPr>
                          <w:t> </w:t>
                        </w:r>
                        <w:r>
                          <w:rPr>
                            <w:rFonts w:ascii="宋体" w:hAnsi="宋体" w:cs="宋体" w:eastAsia="宋体" w:hint="default"/>
                            <w:sz w:val="18"/>
                            <w:szCs w:val="18"/>
                          </w:rPr>
                          <w:t>5266.48</w:t>
                        </w:r>
                        <w:r>
                          <w:rPr>
                            <w:rFonts w:ascii="宋体" w:hAnsi="宋体" w:cs="宋体" w:eastAsia="宋体" w:hint="default"/>
                            <w:sz w:val="18"/>
                            <w:szCs w:val="18"/>
                          </w:rPr>
                          <w:t>，万元、</w:t>
                        </w:r>
                        <w:r>
                          <w:rPr>
                            <w:rFonts w:ascii="宋体" w:hAnsi="宋体" w:cs="宋体" w:eastAsia="宋体" w:hint="default"/>
                            <w:sz w:val="18"/>
                            <w:szCs w:val="18"/>
                          </w:rPr>
                          <w:t>10.78%</w:t>
                        </w:r>
                        <w:r>
                          <w:rPr>
                            <w:rFonts w:ascii="宋体" w:hAnsi="宋体" w:cs="宋体" w:eastAsia="宋体" w:hint="default"/>
                            <w:sz w:val="18"/>
                            <w:szCs w:val="18"/>
                          </w:rPr>
                          <w:t>。</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spacing w:before="35"/>
        <w:ind w:left="154" w:right="1092" w:firstLine="0"/>
        <w:jc w:val="left"/>
        <w:rPr>
          <w:rFonts w:ascii="宋体" w:hAnsi="宋体" w:cs="宋体" w:eastAsia="宋体" w:hint="default"/>
          <w:sz w:val="21"/>
          <w:szCs w:val="21"/>
        </w:rPr>
      </w:pPr>
      <w:bookmarkStart w:name="2、主要境外资产情况" w:id="19"/>
      <w:bookmarkEnd w:id="19"/>
      <w:r>
        <w:rPr/>
      </w:r>
      <w:r>
        <w:rPr>
          <w:rFonts w:ascii="宋体" w:hAnsi="宋体" w:cs="宋体" w:eastAsia="宋体" w:hint="default"/>
          <w:b/>
          <w:bCs/>
          <w:sz w:val="21"/>
          <w:szCs w:val="21"/>
        </w:rPr>
        <w:t>2</w:t>
      </w:r>
      <w:r>
        <w:rPr>
          <w:rFonts w:ascii="宋体" w:hAnsi="宋体" w:cs="宋体" w:eastAsia="宋体" w:hint="default"/>
          <w:b/>
          <w:bCs/>
          <w:sz w:val="21"/>
          <w:szCs w:val="21"/>
        </w:rPr>
        <w:t>、主要境外资产情况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25" w:lineRule="auto" w:before="131"/>
        <w:ind w:left="154" w:right="8232"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三、核心竞争力分析" w:id="20"/>
      <w:bookmarkEnd w:id="20"/>
      <w:r>
        <w:rPr>
          <w:rFonts w:ascii="宋体" w:hAnsi="宋体" w:cs="宋体" w:eastAsia="宋体" w:hint="default"/>
          <w:sz w:val="24"/>
          <w:szCs w:val="24"/>
        </w:rPr>
      </w:r>
      <w:r>
        <w:rPr>
          <w:rFonts w:ascii="宋体" w:hAnsi="宋体" w:cs="宋体" w:eastAsia="宋体" w:hint="default"/>
          <w:b/>
          <w:bCs/>
          <w:sz w:val="24"/>
          <w:szCs w:val="24"/>
        </w:rPr>
        <w:t>三、核心竞争力分析</w:t>
      </w:r>
      <w:r>
        <w:rPr>
          <w:rFonts w:ascii="宋体" w:hAnsi="宋体" w:cs="宋体" w:eastAsia="宋体" w:hint="default"/>
          <w:sz w:val="24"/>
          <w:szCs w:val="24"/>
        </w:rPr>
      </w:r>
    </w:p>
    <w:p>
      <w:pPr>
        <w:pStyle w:val="BodyText"/>
        <w:spacing w:line="240" w:lineRule="auto" w:before="91"/>
        <w:ind w:left="634" w:right="1092"/>
        <w:jc w:val="left"/>
      </w:pPr>
      <w:r>
        <w:rPr/>
        <w:t>中文在线是中国数字出版的开创者之一，也是全球最大的中文数字出版机构之一，公司</w:t>
      </w:r>
    </w:p>
    <w:p>
      <w:pPr>
        <w:spacing w:after="0" w:line="240" w:lineRule="auto"/>
        <w:jc w:val="left"/>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9"/>
        <w:jc w:val="both"/>
      </w:pPr>
      <w:r>
        <w:rPr/>
        <w:t>以“数字传承文明”为使命，秉承“先授权、后传播”的理念，提出全媒体出版模式，在内 容、渠道、技术、版权保护、资质等方面拥有多重优势。</w:t>
      </w:r>
    </w:p>
    <w:p>
      <w:pPr>
        <w:pStyle w:val="BodyText"/>
        <w:spacing w:line="240" w:lineRule="auto" w:before="136"/>
        <w:ind w:left="634" w:right="1092"/>
        <w:jc w:val="left"/>
      </w:pPr>
      <w:r>
        <w:rPr>
          <w:rFonts w:ascii="宋体" w:hAnsi="宋体" w:cs="宋体" w:eastAsia="宋体" w:hint="default"/>
        </w:rPr>
        <w:t>1</w:t>
      </w:r>
      <w:r>
        <w:rPr/>
        <w:t>、内容优势</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公司目前拥有数字内容资源超</w:t>
      </w:r>
      <w:r>
        <w:rPr>
          <w:spacing w:val="-50"/>
        </w:rPr>
        <w:t> </w:t>
      </w:r>
      <w:r>
        <w:rPr>
          <w:rFonts w:ascii="宋体" w:hAnsi="宋体" w:cs="宋体" w:eastAsia="宋体" w:hint="default"/>
        </w:rPr>
        <w:t>400</w:t>
      </w:r>
      <w:r>
        <w:rPr>
          <w:rFonts w:ascii="宋体" w:hAnsi="宋体" w:cs="宋体" w:eastAsia="宋体" w:hint="default"/>
          <w:spacing w:val="-50"/>
        </w:rPr>
        <w:t> </w:t>
      </w:r>
      <w:r>
        <w:rPr/>
        <w:t>万种，与</w:t>
      </w:r>
      <w:r>
        <w:rPr>
          <w:spacing w:val="-51"/>
        </w:rPr>
        <w:t> </w:t>
      </w:r>
      <w:r>
        <w:rPr>
          <w:rFonts w:ascii="宋体" w:hAnsi="宋体" w:cs="宋体" w:eastAsia="宋体" w:hint="default"/>
        </w:rPr>
        <w:t>600</w:t>
      </w:r>
      <w:r>
        <w:rPr>
          <w:rFonts w:ascii="宋体" w:hAnsi="宋体" w:cs="宋体" w:eastAsia="宋体" w:hint="default"/>
          <w:spacing w:val="-51"/>
        </w:rPr>
        <w:t> </w:t>
      </w:r>
      <w:r>
        <w:rPr/>
        <w:t>余家版权机构合作，签约知名作家、畅</w:t>
      </w:r>
    </w:p>
    <w:p>
      <w:pPr>
        <w:pStyle w:val="BodyText"/>
        <w:spacing w:line="240" w:lineRule="auto" w:before="154"/>
        <w:ind w:right="0"/>
        <w:jc w:val="both"/>
      </w:pPr>
      <w:r>
        <w:rPr/>
        <w:t>销书作者 </w:t>
      </w:r>
      <w:r>
        <w:rPr>
          <w:rFonts w:ascii="宋体" w:hAnsi="宋体" w:cs="宋体" w:eastAsia="宋体" w:hint="default"/>
        </w:rPr>
        <w:t>2,000</w:t>
      </w:r>
      <w:r>
        <w:rPr>
          <w:rFonts w:ascii="宋体" w:hAnsi="宋体" w:cs="宋体" w:eastAsia="宋体" w:hint="default"/>
          <w:spacing w:val="-82"/>
        </w:rPr>
        <w:t> </w:t>
      </w:r>
      <w:r>
        <w:rPr/>
        <w:t>余位，新增签约顶知名作家，如都梁、张召忠、阎真、单田芳、李伟建、江</w:t>
      </w:r>
    </w:p>
    <w:p>
      <w:pPr>
        <w:pStyle w:val="BodyText"/>
        <w:spacing w:line="357" w:lineRule="auto" w:before="154"/>
        <w:ind w:right="1131"/>
        <w:jc w:val="both"/>
      </w:pPr>
      <w:r>
        <w:rPr/>
        <w:t>波、蒋方舟等；同时公司拥有超 </w:t>
      </w:r>
      <w:r>
        <w:rPr>
          <w:rFonts w:ascii="宋体" w:hAnsi="宋体" w:cs="宋体" w:eastAsia="宋体" w:hint="default"/>
        </w:rPr>
        <w:t>370</w:t>
      </w:r>
      <w:r>
        <w:rPr>
          <w:rFonts w:ascii="宋体" w:hAnsi="宋体" w:cs="宋体" w:eastAsia="宋体" w:hint="default"/>
          <w:spacing w:val="-82"/>
        </w:rPr>
        <w:t> </w:t>
      </w:r>
      <w:r>
        <w:rPr/>
        <w:t>万的网络原创驻站作者，合作大神作家包括酒徒、骁骑 校、纯银耳坠、御井烹香、桩桩、桔子树、痞子蔡等，签约知名作家如风御九秋、失落叶、 莫知君、凌云松、赵冲、小雨清晨、鬼店主田七、高冷的沐小婧、梦入洪荒、都市猎人、越 人歌、八面妖狐、亦辰、小鱼大心、莳莳、鱼歌等。</w:t>
      </w:r>
    </w:p>
    <w:p>
      <w:pPr>
        <w:pStyle w:val="BodyText"/>
        <w:spacing w:line="432" w:lineRule="auto" w:before="136"/>
        <w:ind w:left="634" w:right="1092"/>
        <w:jc w:val="left"/>
      </w:pPr>
      <w:r>
        <w:rPr>
          <w:rFonts w:ascii="宋体" w:hAnsi="宋体" w:cs="宋体" w:eastAsia="宋体" w:hint="default"/>
        </w:rPr>
        <w:t>2</w:t>
      </w:r>
      <w:r>
        <w:rPr/>
        <w:t>、全渠道优势 公司首创“全媒体出版”模式，一种内容，多种媒体，同步出版。在渠道方面，主要分</w:t>
      </w:r>
    </w:p>
    <w:p>
      <w:pPr>
        <w:pStyle w:val="BodyText"/>
        <w:spacing w:line="276" w:lineRule="exact"/>
        <w:ind w:right="0"/>
        <w:jc w:val="both"/>
      </w:pPr>
      <w:r>
        <w:rPr/>
        <w:t>为自有渠道和合作渠道；合作渠道包括三大电信运营商、互联网及移动互联网平台、手机硬</w:t>
      </w:r>
    </w:p>
    <w:p>
      <w:pPr>
        <w:pStyle w:val="BodyText"/>
        <w:spacing w:line="357" w:lineRule="auto" w:before="154"/>
        <w:ind w:right="1139"/>
        <w:jc w:val="both"/>
      </w:pPr>
      <w:r>
        <w:rPr/>
        <w:t>件厂商，以及其他多种阅读平台，除此之外，还有大量以影视、游戏、动漫、听书、纸书等 衍生品形式覆盖的众多泛娱乐受众用户，间接覆盖用户数以亿计。</w:t>
      </w:r>
    </w:p>
    <w:p>
      <w:pPr>
        <w:pStyle w:val="BodyText"/>
        <w:spacing w:line="432" w:lineRule="auto" w:before="137"/>
        <w:ind w:left="634" w:right="1092"/>
        <w:jc w:val="left"/>
      </w:pPr>
      <w:r>
        <w:rPr>
          <w:rFonts w:ascii="宋体" w:hAnsi="宋体" w:cs="宋体" w:eastAsia="宋体" w:hint="default"/>
        </w:rPr>
        <w:t>3</w:t>
      </w:r>
      <w:r>
        <w:rPr/>
        <w:t>、技术优势 公司数字出版技术体系纵贯全业务流程，包括数字内容平台、数字加工平台、数字资产</w:t>
      </w:r>
    </w:p>
    <w:p>
      <w:pPr>
        <w:pStyle w:val="BodyText"/>
        <w:spacing w:line="276" w:lineRule="exact"/>
        <w:ind w:right="0"/>
        <w:jc w:val="both"/>
      </w:pPr>
      <w:r>
        <w:rPr/>
        <w:t>管理平台、版税结算系统、多渠道分发管理平台、全媒体出版管理平台，建立起了数字出版</w:t>
      </w:r>
    </w:p>
    <w:p>
      <w:pPr>
        <w:pStyle w:val="BodyText"/>
        <w:spacing w:line="357" w:lineRule="auto" w:before="154"/>
        <w:ind w:right="1139"/>
        <w:jc w:val="both"/>
      </w:pPr>
      <w:r>
        <w:rPr/>
        <w:t>全流程、全终端、全媒体技术体系。公司凭借行业领先的技术优势承担了多项中央部委重大 工程项目。</w:t>
      </w:r>
    </w:p>
    <w:p>
      <w:pPr>
        <w:pStyle w:val="BodyText"/>
        <w:spacing w:line="240" w:lineRule="auto" w:before="134"/>
        <w:ind w:left="634" w:right="1092"/>
        <w:jc w:val="left"/>
      </w:pPr>
      <w:r>
        <w:rPr/>
        <w:t>截止报告期末，公司及子公司拥有专利</w:t>
      </w:r>
      <w:r>
        <w:rPr>
          <w:spacing w:val="-54"/>
        </w:rPr>
        <w:t> </w:t>
      </w:r>
      <w:r>
        <w:rPr>
          <w:rFonts w:ascii="宋体" w:hAnsi="宋体" w:cs="宋体" w:eastAsia="宋体" w:hint="default"/>
        </w:rPr>
        <w:t>13</w:t>
      </w:r>
      <w:r>
        <w:rPr>
          <w:rFonts w:ascii="宋体" w:hAnsi="宋体" w:cs="宋体" w:eastAsia="宋体" w:hint="default"/>
          <w:spacing w:val="-54"/>
        </w:rPr>
        <w:t> </w:t>
      </w:r>
      <w:r>
        <w:rPr/>
        <w:t>项，其中发明专利</w:t>
      </w:r>
      <w:r>
        <w:rPr>
          <w:spacing w:val="-54"/>
        </w:rPr>
        <w:t> </w:t>
      </w:r>
      <w:r>
        <w:rPr>
          <w:rFonts w:ascii="宋体" w:hAnsi="宋体" w:cs="宋体" w:eastAsia="宋体" w:hint="default"/>
        </w:rPr>
        <w:t>12</w:t>
      </w:r>
      <w:r>
        <w:rPr>
          <w:rFonts w:ascii="宋体" w:hAnsi="宋体" w:cs="宋体" w:eastAsia="宋体" w:hint="default"/>
          <w:spacing w:val="-54"/>
        </w:rPr>
        <w:t> </w:t>
      </w:r>
      <w:r>
        <w:rPr/>
        <w:t>项，外观专利</w:t>
      </w:r>
      <w:r>
        <w:rPr>
          <w:spacing w:val="-54"/>
        </w:rPr>
        <w:t> </w:t>
      </w:r>
      <w:r>
        <w:rPr>
          <w:rFonts w:ascii="宋体" w:hAnsi="宋体" w:cs="宋体" w:eastAsia="宋体" w:hint="default"/>
        </w:rPr>
        <w:t>1</w:t>
      </w:r>
      <w:r>
        <w:rPr>
          <w:rFonts w:ascii="宋体" w:hAnsi="宋体" w:cs="宋体" w:eastAsia="宋体" w:hint="default"/>
          <w:spacing w:val="-54"/>
        </w:rPr>
        <w:t> </w:t>
      </w:r>
      <w:r>
        <w:rPr/>
        <w:t>项；计</w:t>
      </w:r>
    </w:p>
    <w:p>
      <w:pPr>
        <w:pStyle w:val="BodyText"/>
        <w:spacing w:line="434" w:lineRule="auto" w:before="155"/>
        <w:ind w:left="634" w:right="1092" w:hanging="480"/>
        <w:jc w:val="left"/>
      </w:pPr>
      <w:r>
        <w:rPr/>
        <w:t>算机软件著作权</w:t>
      </w:r>
      <w:r>
        <w:rPr>
          <w:spacing w:val="-60"/>
        </w:rPr>
        <w:t> </w:t>
      </w:r>
      <w:r>
        <w:rPr>
          <w:rFonts w:ascii="宋体" w:hAnsi="宋体" w:cs="宋体" w:eastAsia="宋体" w:hint="default"/>
        </w:rPr>
        <w:t>196</w:t>
      </w:r>
      <w:r>
        <w:rPr>
          <w:rFonts w:ascii="宋体" w:hAnsi="宋体" w:cs="宋体" w:eastAsia="宋体" w:hint="default"/>
          <w:spacing w:val="-60"/>
        </w:rPr>
        <w:t> </w:t>
      </w:r>
      <w:r>
        <w:rPr/>
        <w:t>项；软件产品登记证书</w:t>
      </w:r>
      <w:r>
        <w:rPr>
          <w:spacing w:val="-60"/>
        </w:rPr>
        <w:t> </w:t>
      </w:r>
      <w:r>
        <w:rPr>
          <w:rFonts w:ascii="宋体" w:hAnsi="宋体" w:cs="宋体" w:eastAsia="宋体" w:hint="default"/>
        </w:rPr>
        <w:t>49</w:t>
      </w:r>
      <w:r>
        <w:rPr>
          <w:rFonts w:ascii="宋体" w:hAnsi="宋体" w:cs="宋体" w:eastAsia="宋体" w:hint="default"/>
          <w:spacing w:val="-60"/>
        </w:rPr>
        <w:t> </w:t>
      </w:r>
      <w:r>
        <w:rPr/>
        <w:t>项；域名</w:t>
      </w:r>
      <w:r>
        <w:rPr>
          <w:spacing w:val="-60"/>
        </w:rPr>
        <w:t> </w:t>
      </w:r>
      <w:r>
        <w:rPr>
          <w:rFonts w:ascii="宋体" w:hAnsi="宋体" w:cs="宋体" w:eastAsia="宋体" w:hint="default"/>
        </w:rPr>
        <w:t>78</w:t>
      </w:r>
      <w:r>
        <w:rPr>
          <w:rFonts w:ascii="宋体" w:hAnsi="宋体" w:cs="宋体" w:eastAsia="宋体" w:hint="default"/>
          <w:spacing w:val="-60"/>
        </w:rPr>
        <w:t> </w:t>
      </w:r>
      <w:r>
        <w:rPr/>
        <w:t>项；商标</w:t>
      </w:r>
      <w:r>
        <w:rPr>
          <w:spacing w:val="-60"/>
        </w:rPr>
        <w:t> </w:t>
      </w:r>
      <w:r>
        <w:rPr>
          <w:rFonts w:ascii="宋体" w:hAnsi="宋体" w:cs="宋体" w:eastAsia="宋体" w:hint="default"/>
        </w:rPr>
        <w:t>103</w:t>
      </w:r>
      <w:r>
        <w:rPr>
          <w:rFonts w:ascii="宋体" w:hAnsi="宋体" w:cs="宋体" w:eastAsia="宋体" w:hint="default"/>
          <w:spacing w:val="-60"/>
        </w:rPr>
        <w:t> </w:t>
      </w:r>
      <w:r>
        <w:rPr/>
        <w:t>项等。 </w:t>
      </w:r>
      <w:r>
        <w:rPr>
          <w:rFonts w:ascii="宋体" w:hAnsi="宋体" w:cs="宋体" w:eastAsia="宋体" w:hint="default"/>
        </w:rPr>
        <w:t>4</w:t>
      </w:r>
      <w:r>
        <w:rPr/>
        <w:t>、版权保护优势 公司自成立之初一直秉承“先授权、后传播”的原则，严格遵照授权权限，合理合法使</w:t>
      </w:r>
    </w:p>
    <w:p>
      <w:pPr>
        <w:pStyle w:val="BodyText"/>
        <w:spacing w:line="274" w:lineRule="exact"/>
        <w:ind w:right="0"/>
        <w:jc w:val="both"/>
      </w:pPr>
      <w:r>
        <w:rPr/>
        <w:t>用数字版权，通过技术保护、行政保护、司法保护和社会保护，形成了全方位立体化的保护</w:t>
      </w:r>
    </w:p>
    <w:p>
      <w:pPr>
        <w:pStyle w:val="BodyText"/>
        <w:spacing w:line="357" w:lineRule="auto" w:before="154"/>
        <w:ind w:right="1139"/>
        <w:jc w:val="both"/>
      </w:pPr>
      <w:r>
        <w:rPr/>
        <w:t>版权体系，进一步规范版权作品交易秩序。公司积极参与版权保护工作，促进全民反盗版意 识的提高，目前，维权诉讼近万起，涉案作品超过十万部，已成为权利人维权的重要渠道， 对业界产生积极影响。</w:t>
      </w:r>
    </w:p>
    <w:p>
      <w:pPr>
        <w:spacing w:after="0" w:line="357" w:lineRule="auto"/>
        <w:jc w:val="both"/>
        <w:sectPr>
          <w:pgSz w:w="11910" w:h="16840"/>
          <w:pgMar w:header="747" w:footer="979" w:top="1060" w:bottom="1160" w:left="980" w:right="0"/>
        </w:sectPr>
      </w:pPr>
    </w:p>
    <w:p>
      <w:pPr>
        <w:spacing w:line="240" w:lineRule="auto" w:before="9"/>
        <w:rPr>
          <w:rFonts w:ascii="宋体" w:hAnsi="宋体" w:cs="宋体" w:eastAsia="宋体" w:hint="default"/>
          <w:sz w:val="29"/>
          <w:szCs w:val="29"/>
        </w:rPr>
      </w:pPr>
    </w:p>
    <w:p>
      <w:pPr>
        <w:pStyle w:val="BodyText"/>
        <w:spacing w:line="432" w:lineRule="auto" w:before="26"/>
        <w:ind w:left="634" w:right="1092"/>
        <w:jc w:val="left"/>
      </w:pPr>
      <w:r>
        <w:rPr>
          <w:rFonts w:ascii="宋体" w:hAnsi="宋体" w:cs="宋体" w:eastAsia="宋体" w:hint="default"/>
        </w:rPr>
        <w:t>5</w:t>
      </w:r>
      <w:r>
        <w:rPr/>
        <w:t>、资质优势及奖项 </w:t>
      </w:r>
      <w:r>
        <w:rPr>
          <w:spacing w:val="-6"/>
        </w:rPr>
        <w:t>公司拥有从事网络出版服务必备的《网络出版服务许可证》，同时也具有《出版物经营许</w:t>
      </w:r>
    </w:p>
    <w:p>
      <w:pPr>
        <w:pStyle w:val="BodyText"/>
        <w:spacing w:line="276" w:lineRule="exact"/>
        <w:ind w:right="1092"/>
        <w:jc w:val="left"/>
      </w:pPr>
      <w:r>
        <w:rPr/>
        <w:t>可证</w:t>
      </w:r>
      <w:r>
        <w:rPr>
          <w:spacing w:val="-119"/>
        </w:rPr>
        <w:t>》、</w:t>
      </w:r>
      <w:r>
        <w:rPr/>
        <w:t>《网络文化经营许可证</w:t>
      </w:r>
      <w:r>
        <w:rPr>
          <w:spacing w:val="-119"/>
        </w:rPr>
        <w:t>》</w:t>
      </w:r>
      <w:r>
        <w:rPr>
          <w:spacing w:val="-120"/>
        </w:rPr>
        <w:t>、</w:t>
      </w:r>
      <w:r>
        <w:rPr/>
        <w:t>《广播电视节目制作许可证</w:t>
      </w:r>
      <w:r>
        <w:rPr>
          <w:spacing w:val="-119"/>
        </w:rPr>
        <w:t>》、</w:t>
      </w:r>
      <w:r>
        <w:rPr/>
        <w:t>《电信与信息服务业务经营许</w:t>
      </w:r>
    </w:p>
    <w:p>
      <w:pPr>
        <w:pStyle w:val="BodyText"/>
        <w:spacing w:line="434" w:lineRule="auto" w:before="155"/>
        <w:ind w:left="634" w:right="1116" w:hanging="480"/>
        <w:jc w:val="left"/>
      </w:pPr>
      <w:r>
        <w:rPr/>
        <w:t>可证</w:t>
      </w:r>
      <w:r>
        <w:rPr>
          <w:spacing w:val="-120"/>
        </w:rPr>
        <w:t>》、</w:t>
      </w:r>
      <w:r>
        <w:rPr/>
        <w:t>《增值电信业务经营许可证</w:t>
      </w:r>
      <w:r>
        <w:rPr>
          <w:spacing w:val="-120"/>
        </w:rPr>
        <w:t>》、</w:t>
      </w:r>
      <w:r>
        <w:rPr/>
        <w:t>《复制经营许可证》等各项业务经营资质。</w:t>
      </w:r>
      <w:r>
        <w:rPr/>
        <w:t> 报告期内</w:t>
      </w:r>
      <w:r>
        <w:rPr>
          <w:spacing w:val="-21"/>
        </w:rPr>
        <w:t>，</w:t>
      </w:r>
      <w:r>
        <w:rPr/>
        <w:t>公司获得第四届中国出版政府奖</w:t>
      </w:r>
      <w:r>
        <w:rPr>
          <w:spacing w:val="-21"/>
        </w:rPr>
        <w:t>之</w:t>
      </w:r>
      <w:r>
        <w:rPr/>
        <w:t>“先进出版单位奖</w:t>
      </w:r>
      <w:r>
        <w:rPr>
          <w:spacing w:val="-120"/>
        </w:rPr>
        <w:t>”</w:t>
      </w:r>
      <w:r>
        <w:rPr>
          <w:spacing w:val="-21"/>
        </w:rPr>
        <w:t>，</w:t>
      </w:r>
      <w:r>
        <w:rPr/>
        <w:t>第三</w:t>
      </w:r>
      <w:r>
        <w:rPr>
          <w:spacing w:val="-21"/>
        </w:rPr>
        <w:t>届</w:t>
      </w:r>
      <w:r>
        <w:rPr/>
        <w:t>“首都文化企</w:t>
      </w:r>
    </w:p>
    <w:p>
      <w:pPr>
        <w:pStyle w:val="BodyText"/>
        <w:spacing w:line="274" w:lineRule="exact"/>
        <w:ind w:right="1092"/>
        <w:jc w:val="left"/>
      </w:pPr>
      <w:r>
        <w:rPr/>
        <w:t>业</w:t>
      </w:r>
      <w:r>
        <w:rPr>
          <w:spacing w:val="-60"/>
        </w:rPr>
        <w:t> </w:t>
      </w:r>
      <w:r>
        <w:rPr>
          <w:rFonts w:ascii="宋体" w:hAnsi="宋体" w:cs="宋体" w:eastAsia="宋体" w:hint="default"/>
        </w:rPr>
        <w:t>30</w:t>
      </w:r>
      <w:r>
        <w:rPr>
          <w:rFonts w:ascii="宋体" w:hAnsi="宋体" w:cs="宋体" w:eastAsia="宋体" w:hint="default"/>
          <w:spacing w:val="-60"/>
        </w:rPr>
        <w:t> </w:t>
      </w:r>
      <w:r>
        <w:rPr/>
        <w:t>强”企业</w:t>
      </w:r>
      <w:r>
        <w:rPr>
          <w:spacing w:val="-148"/>
        </w:rPr>
        <w:t>，</w:t>
      </w:r>
      <w:r>
        <w:rPr/>
        <w:t>“最具馆藏影响力出版机构</w:t>
      </w:r>
      <w:r>
        <w:rPr>
          <w:spacing w:val="-120"/>
        </w:rPr>
        <w:t>”</w:t>
      </w:r>
      <w:r>
        <w:rPr>
          <w:spacing w:val="-28"/>
        </w:rPr>
        <w:t>，</w:t>
      </w:r>
      <w:r>
        <w:rPr/>
        <w:t>第八</w:t>
      </w:r>
      <w:r>
        <w:rPr>
          <w:spacing w:val="-28"/>
        </w:rPr>
        <w:t>届</w:t>
      </w:r>
      <w:r>
        <w:rPr/>
        <w:t>“中国上市公司口碑榜文化体娱产业最</w:t>
      </w:r>
    </w:p>
    <w:p>
      <w:pPr>
        <w:pStyle w:val="BodyText"/>
        <w:spacing w:line="240" w:lineRule="auto" w:before="155"/>
        <w:ind w:right="1092"/>
        <w:jc w:val="left"/>
      </w:pPr>
      <w:r>
        <w:rPr/>
        <w:t>具成长性上市公司奖</w:t>
      </w:r>
      <w:r>
        <w:rPr>
          <w:spacing w:val="-120"/>
        </w:rPr>
        <w:t>”，</w:t>
      </w:r>
      <w:r>
        <w:rPr/>
        <w:t>“北京民营企业文化产业百强”等众多奖项。</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2966" w:right="1092"/>
        <w:jc w:val="left"/>
        <w:rPr>
          <w:b w:val="0"/>
          <w:bCs w:val="0"/>
        </w:rPr>
      </w:pPr>
      <w:bookmarkStart w:name="第四节 经营情况讨论与分析" w:id="21"/>
      <w:bookmarkEnd w:id="21"/>
      <w:r>
        <w:rPr>
          <w:b w:val="0"/>
          <w:bCs w:val="0"/>
        </w:rPr>
      </w:r>
      <w:bookmarkStart w:name="_bookmark2" w:id="22"/>
      <w:bookmarkEnd w:id="22"/>
      <w:r>
        <w:rPr>
          <w:b w:val="0"/>
          <w:bCs w:val="0"/>
        </w:rPr>
      </w:r>
      <w:r>
        <w:rPr/>
        <w:t>第四节</w:t>
      </w:r>
      <w:r>
        <w:rPr>
          <w:spacing w:val="-10"/>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ind w:right="1092"/>
        <w:jc w:val="left"/>
        <w:rPr>
          <w:b w:val="0"/>
          <w:bCs w:val="0"/>
        </w:rPr>
      </w:pPr>
      <w:bookmarkStart w:name="一、概述" w:id="23"/>
      <w:bookmarkEnd w:id="23"/>
      <w:r>
        <w:rPr>
          <w:b w:val="0"/>
          <w:bCs w:val="0"/>
        </w:rPr>
      </w:r>
      <w:r>
        <w:rPr/>
        <w:t>一、概述</w:t>
      </w:r>
      <w:r>
        <w:rPr>
          <w:b w:val="0"/>
          <w:bCs w:val="0"/>
        </w:rPr>
      </w:r>
    </w:p>
    <w:p>
      <w:pPr>
        <w:spacing w:line="240" w:lineRule="auto" w:before="11"/>
        <w:rPr>
          <w:rFonts w:ascii="宋体" w:hAnsi="宋体" w:cs="宋体" w:eastAsia="宋体" w:hint="default"/>
          <w:b/>
          <w:bCs/>
          <w:sz w:val="28"/>
          <w:szCs w:val="28"/>
        </w:rPr>
      </w:pPr>
    </w:p>
    <w:p>
      <w:pPr>
        <w:pStyle w:val="BodyText"/>
        <w:spacing w:line="357" w:lineRule="auto"/>
        <w:ind w:right="1132" w:firstLine="480"/>
        <w:jc w:val="both"/>
      </w:pPr>
      <w:r>
        <w:rPr>
          <w:spacing w:val="-3"/>
        </w:rPr>
        <w:t>报告期内，公司基于自身在数字阅读领域的资源与技术优势，继续围绕“文化</w:t>
      </w:r>
      <w:r>
        <w:rPr>
          <w:rFonts w:ascii="宋体" w:hAnsi="宋体" w:cs="宋体" w:eastAsia="宋体" w:hint="default"/>
          <w:spacing w:val="-3"/>
        </w:rPr>
        <w:t>+</w:t>
      </w:r>
      <w:r>
        <w:rPr>
          <w:spacing w:val="-3"/>
        </w:rPr>
        <w:t>”、“教</w:t>
      </w:r>
      <w:r>
        <w:rPr/>
        <w:t> </w:t>
      </w:r>
      <w:r>
        <w:rPr>
          <w:spacing w:val="-3"/>
        </w:rPr>
        <w:t>育</w:t>
      </w:r>
      <w:r>
        <w:rPr>
          <w:rFonts w:ascii="宋体" w:hAnsi="宋体" w:cs="宋体" w:eastAsia="宋体" w:hint="default"/>
          <w:spacing w:val="-3"/>
        </w:rPr>
        <w:t>+</w:t>
      </w:r>
      <w:r>
        <w:rPr>
          <w:spacing w:val="-3"/>
        </w:rPr>
        <w:t>”双翼飞翔的发展战略，推动业务稳定发展。</w:t>
      </w:r>
      <w:r>
        <w:rPr>
          <w:rFonts w:ascii="宋体" w:hAnsi="宋体" w:cs="宋体" w:eastAsia="宋体" w:hint="default"/>
          <w:spacing w:val="-3"/>
        </w:rPr>
        <w:t>IP</w:t>
      </w:r>
      <w:r>
        <w:rPr>
          <w:rFonts w:ascii="宋体" w:hAnsi="宋体" w:cs="宋体" w:eastAsia="宋体" w:hint="default"/>
          <w:spacing w:val="-56"/>
        </w:rPr>
        <w:t> </w:t>
      </w:r>
      <w:r>
        <w:rPr/>
        <w:t>如何实现从</w:t>
      </w:r>
      <w:r>
        <w:rPr>
          <w:spacing w:val="-56"/>
        </w:rPr>
        <w:t> </w:t>
      </w:r>
      <w:r>
        <w:rPr>
          <w:rFonts w:ascii="宋体" w:hAnsi="宋体" w:cs="宋体" w:eastAsia="宋体" w:hint="default"/>
        </w:rPr>
        <w:t>0</w:t>
      </w:r>
      <w:r>
        <w:rPr>
          <w:rFonts w:ascii="宋体" w:hAnsi="宋体" w:cs="宋体" w:eastAsia="宋体" w:hint="default"/>
          <w:spacing w:val="-56"/>
        </w:rPr>
        <w:t> </w:t>
      </w:r>
      <w:r>
        <w:rPr/>
        <w:t>到</w:t>
      </w:r>
      <w:r>
        <w:rPr>
          <w:spacing w:val="-56"/>
        </w:rPr>
        <w:t> </w:t>
      </w:r>
      <w:r>
        <w:rPr>
          <w:rFonts w:ascii="宋体" w:hAnsi="宋体" w:cs="宋体" w:eastAsia="宋体" w:hint="default"/>
          <w:spacing w:val="-6"/>
        </w:rPr>
        <w:t>1</w:t>
      </w:r>
      <w:r>
        <w:rPr>
          <w:spacing w:val="-6"/>
        </w:rPr>
        <w:t>、从</w:t>
      </w:r>
      <w:r>
        <w:rPr>
          <w:spacing w:val="-56"/>
        </w:rPr>
        <w:t> </w:t>
      </w:r>
      <w:r>
        <w:rPr>
          <w:rFonts w:ascii="宋体" w:hAnsi="宋体" w:cs="宋体" w:eastAsia="宋体" w:hint="default"/>
        </w:rPr>
        <w:t>1</w:t>
      </w:r>
      <w:r>
        <w:rPr>
          <w:rFonts w:ascii="宋体" w:hAnsi="宋体" w:cs="宋体" w:eastAsia="宋体" w:hint="default"/>
          <w:spacing w:val="-56"/>
        </w:rPr>
        <w:t> </w:t>
      </w:r>
      <w:r>
        <w:rPr>
          <w:spacing w:val="-3"/>
        </w:rPr>
        <w:t>到多的开发，再</w:t>
      </w:r>
      <w:r>
        <w:rPr/>
        <w:t> </w:t>
      </w:r>
      <w:r>
        <w:rPr>
          <w:spacing w:val="-3"/>
        </w:rPr>
        <w:t>以成熟的产品形态（如影视作品、互动式视觉小说、游戏产品、教育阅读产品等）反哺 </w:t>
      </w:r>
      <w:r>
        <w:rPr>
          <w:rFonts w:ascii="宋体" w:hAnsi="宋体" w:cs="宋体" w:eastAsia="宋体" w:hint="default"/>
        </w:rPr>
        <w:t>IP</w:t>
      </w:r>
      <w:r>
        <w:rPr>
          <w:rFonts w:ascii="宋体" w:hAnsi="宋体" w:cs="宋体" w:eastAsia="宋体" w:hint="default"/>
          <w:spacing w:val="-88"/>
        </w:rPr>
        <w:t> </w:t>
      </w:r>
      <w:r>
        <w:rPr/>
        <w:t>本 身，一直是公司业务发展的重心，也是公司增强平台核心竞争力的重要手段。</w:t>
      </w:r>
    </w:p>
    <w:p>
      <w:pPr>
        <w:pStyle w:val="BodyText"/>
        <w:spacing w:line="240" w:lineRule="auto" w:before="134"/>
        <w:ind w:left="634" w:right="1092"/>
        <w:jc w:val="left"/>
      </w:pPr>
      <w:r>
        <w:rPr>
          <w:rFonts w:ascii="宋体" w:hAnsi="宋体" w:cs="宋体" w:eastAsia="宋体" w:hint="default"/>
        </w:rPr>
        <w:t>2018</w:t>
      </w:r>
      <w:r>
        <w:rPr>
          <w:rFonts w:ascii="宋体" w:hAnsi="宋体" w:cs="宋体" w:eastAsia="宋体" w:hint="default"/>
          <w:spacing w:val="-56"/>
        </w:rPr>
        <w:t> </w:t>
      </w:r>
      <w:r>
        <w:rPr>
          <w:spacing w:val="-3"/>
        </w:rPr>
        <w:t>年度，公司实现营业收入</w:t>
      </w:r>
      <w:r>
        <w:rPr>
          <w:spacing w:val="-56"/>
        </w:rPr>
        <w:t> </w:t>
      </w:r>
      <w:r>
        <w:rPr>
          <w:rFonts w:ascii="宋体" w:hAnsi="宋体" w:cs="宋体" w:eastAsia="宋体" w:hint="default"/>
        </w:rPr>
        <w:t>88,548.99</w:t>
      </w:r>
      <w:r>
        <w:rPr>
          <w:rFonts w:ascii="宋体" w:hAnsi="宋体" w:cs="宋体" w:eastAsia="宋体" w:hint="default"/>
          <w:spacing w:val="-56"/>
        </w:rPr>
        <w:t> </w:t>
      </w:r>
      <w:r>
        <w:rPr>
          <w:spacing w:val="-3"/>
        </w:rPr>
        <w:t>万元，较去年同期增长</w:t>
      </w:r>
      <w:r>
        <w:rPr>
          <w:spacing w:val="-56"/>
        </w:rPr>
        <w:t> </w:t>
      </w:r>
      <w:r>
        <w:rPr>
          <w:rFonts w:ascii="宋体" w:hAnsi="宋体" w:cs="宋体" w:eastAsia="宋体" w:hint="default"/>
          <w:spacing w:val="-3"/>
        </w:rPr>
        <w:t>23.54%</w:t>
      </w:r>
      <w:r>
        <w:rPr>
          <w:spacing w:val="-3"/>
        </w:rPr>
        <w:t>；归属于上市公</w:t>
      </w:r>
    </w:p>
    <w:p>
      <w:pPr>
        <w:pStyle w:val="BodyText"/>
        <w:spacing w:line="240" w:lineRule="auto" w:before="155"/>
        <w:ind w:right="1092"/>
        <w:jc w:val="left"/>
      </w:pPr>
      <w:r>
        <w:rPr/>
        <w:t>司股东的净利润为亏损</w:t>
      </w:r>
      <w:r>
        <w:rPr>
          <w:spacing w:val="-60"/>
        </w:rPr>
        <w:t> </w:t>
      </w:r>
      <w:r>
        <w:rPr>
          <w:rFonts w:ascii="宋体" w:hAnsi="宋体" w:cs="宋体" w:eastAsia="宋体" w:hint="default"/>
        </w:rPr>
        <w:t>150,846.13</w:t>
      </w:r>
      <w:r>
        <w:rPr>
          <w:rFonts w:ascii="宋体" w:hAnsi="宋体" w:cs="宋体" w:eastAsia="宋体" w:hint="default"/>
          <w:spacing w:val="-60"/>
        </w:rPr>
        <w:t> </w:t>
      </w:r>
      <w:r>
        <w:rPr/>
        <w:t>万元。主要原因为报告期内计提了大额资产减值。</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（一）文化业务板块</w:t>
      </w:r>
    </w:p>
    <w:p>
      <w:pPr>
        <w:spacing w:line="240" w:lineRule="auto" w:before="5"/>
        <w:rPr>
          <w:rFonts w:ascii="宋体" w:hAnsi="宋体" w:cs="宋体" w:eastAsia="宋体" w:hint="default"/>
          <w:sz w:val="19"/>
          <w:szCs w:val="19"/>
        </w:rPr>
      </w:pPr>
    </w:p>
    <w:p>
      <w:pPr>
        <w:pStyle w:val="BodyText"/>
        <w:spacing w:line="357" w:lineRule="auto"/>
        <w:ind w:right="1130" w:firstLine="480"/>
        <w:jc w:val="both"/>
      </w:pPr>
      <w:r>
        <w:rPr/>
        <w:t>报告期内，公司实现文化业务收入</w:t>
      </w:r>
      <w:r>
        <w:rPr>
          <w:spacing w:val="-68"/>
        </w:rPr>
        <w:t> </w:t>
      </w:r>
      <w:r>
        <w:rPr>
          <w:rFonts w:ascii="宋体" w:hAnsi="宋体" w:cs="宋体" w:eastAsia="宋体" w:hint="default"/>
        </w:rPr>
        <w:t>79,736.04</w:t>
      </w:r>
      <w:r>
        <w:rPr>
          <w:rFonts w:ascii="宋体" w:hAnsi="宋体" w:cs="宋体" w:eastAsia="宋体" w:hint="default"/>
          <w:spacing w:val="-68"/>
        </w:rPr>
        <w:t> </w:t>
      </w:r>
      <w:r>
        <w:rPr/>
        <w:t>万元，较去年同期增长</w:t>
      </w:r>
      <w:r>
        <w:rPr>
          <w:spacing w:val="-68"/>
        </w:rPr>
        <w:t> </w:t>
      </w:r>
      <w:r>
        <w:rPr>
          <w:rFonts w:ascii="宋体" w:hAnsi="宋体" w:cs="宋体" w:eastAsia="宋体" w:hint="default"/>
        </w:rPr>
        <w:t>30.30%</w:t>
      </w:r>
      <w:r>
        <w:rPr/>
        <w:t>。主要业务 板块包括：数字阅读业务、版权（</w:t>
      </w:r>
      <w:r>
        <w:rPr>
          <w:rFonts w:ascii="宋体" w:hAnsi="宋体" w:cs="宋体" w:eastAsia="宋体" w:hint="default"/>
        </w:rPr>
        <w:t>IP</w:t>
      </w:r>
      <w:r>
        <w:rPr/>
        <w:t>）深度运营业务、轻衍生业务、知识产权业务与游戏业</w:t>
      </w:r>
      <w:r>
        <w:rPr>
          <w:spacing w:val="-114"/>
        </w:rPr>
        <w:t> </w:t>
      </w:r>
      <w:r>
        <w:rPr>
          <w:spacing w:val="-114"/>
        </w:rPr>
      </w:r>
      <w:r>
        <w:rPr/>
        <w:t>务。</w:t>
      </w:r>
    </w:p>
    <w:p>
      <w:pPr>
        <w:pStyle w:val="BodyText"/>
        <w:spacing w:line="432" w:lineRule="auto" w:before="136"/>
        <w:ind w:left="634" w:right="1092"/>
        <w:jc w:val="left"/>
      </w:pPr>
      <w:r>
        <w:rPr>
          <w:rFonts w:ascii="宋体" w:hAnsi="宋体" w:cs="宋体" w:eastAsia="宋体" w:hint="default"/>
        </w:rPr>
        <w:t>1</w:t>
      </w:r>
      <w:r>
        <w:rPr/>
        <w:t>、数字阅读业务稳步增长 报告期内，公司数字阅读业务趋于成熟稳定，在收入规模和客户合作的方面均有不同程</w:t>
      </w:r>
    </w:p>
    <w:p>
      <w:pPr>
        <w:pStyle w:val="BodyText"/>
        <w:spacing w:line="277" w:lineRule="exact"/>
        <w:ind w:right="1092"/>
        <w:jc w:val="left"/>
      </w:pPr>
      <w:r>
        <w:rPr/>
        <w:t>度的增长。</w:t>
      </w:r>
    </w:p>
    <w:p>
      <w:pPr>
        <w:spacing w:line="240" w:lineRule="auto" w:before="4"/>
        <w:rPr>
          <w:rFonts w:ascii="宋体" w:hAnsi="宋体" w:cs="宋体" w:eastAsia="宋体" w:hint="default"/>
          <w:sz w:val="19"/>
          <w:szCs w:val="19"/>
        </w:rPr>
      </w:pPr>
    </w:p>
    <w:p>
      <w:pPr>
        <w:pStyle w:val="BodyText"/>
        <w:spacing w:line="357" w:lineRule="auto"/>
        <w:ind w:right="999" w:firstLine="480"/>
        <w:jc w:val="left"/>
      </w:pPr>
      <w:r>
        <w:rPr/>
        <w:t>公司旗下原创网络文学平台 </w:t>
      </w:r>
      <w:r>
        <w:rPr>
          <w:rFonts w:ascii="宋体" w:hAnsi="宋体" w:cs="宋体" w:eastAsia="宋体" w:hint="default"/>
        </w:rPr>
        <w:t>17K</w:t>
      </w:r>
      <w:r>
        <w:rPr>
          <w:rFonts w:ascii="宋体" w:hAnsi="宋体" w:cs="宋体" w:eastAsia="宋体" w:hint="default"/>
          <w:spacing w:val="-82"/>
        </w:rPr>
        <w:t> </w:t>
      </w:r>
      <w:r>
        <w:rPr/>
        <w:t>小说网、汤圆创作每年生产大量优质原创作品，如《天 </w:t>
      </w:r>
      <w:r>
        <w:rPr>
          <w:spacing w:val="-22"/>
        </w:rPr>
        <w:t>行》、《九星霸体诀》、《正道潜龙》、《至高使命》、《超级兵王》等；同时，平台培养了大批的</w:t>
      </w:r>
      <w:r>
        <w:rPr>
          <w:spacing w:val="-107"/>
        </w:rPr>
        <w:t> </w:t>
      </w:r>
      <w:r>
        <w:rPr>
          <w:spacing w:val="-107"/>
        </w:rPr>
      </w:r>
      <w:r>
        <w:rPr/>
        <w:t>潜力作者及大神作者。国家新闻出版署和中国作家协会联合推介的 </w:t>
      </w:r>
      <w:r>
        <w:rPr>
          <w:rFonts w:ascii="宋体" w:hAnsi="宋体" w:cs="宋体" w:eastAsia="宋体" w:hint="default"/>
        </w:rPr>
        <w:t>24 </w:t>
      </w:r>
      <w:r>
        <w:rPr/>
        <w:t>部“</w:t>
      </w:r>
      <w:r>
        <w:rPr>
          <w:rFonts w:ascii="宋体" w:hAnsi="宋体" w:cs="宋体" w:eastAsia="宋体" w:hint="default"/>
        </w:rPr>
        <w:t>2018</w:t>
      </w:r>
      <w:r>
        <w:rPr>
          <w:rFonts w:ascii="宋体" w:hAnsi="宋体" w:cs="宋体" w:eastAsia="宋体" w:hint="default"/>
          <w:spacing w:val="-83"/>
        </w:rPr>
        <w:t> </w:t>
      </w:r>
      <w:r>
        <w:rPr/>
        <w:t>年优秀网络 </w:t>
      </w:r>
      <w:r>
        <w:rPr>
          <w:spacing w:val="-14"/>
        </w:rPr>
        <w:t>文学原创作品”，中文在线的真树乃的《冰上无双》、风御九秋的《参天》、风青阳的《吞天记》</w:t>
      </w:r>
      <w:r>
        <w:rPr>
          <w:spacing w:val="-82"/>
        </w:rPr>
        <w:t> </w:t>
      </w:r>
      <w:r>
        <w:rPr>
          <w:spacing w:val="-82"/>
        </w:rPr>
      </w:r>
      <w:r>
        <w:rPr/>
        <w:t>荣获推荐。</w:t>
      </w:r>
    </w:p>
    <w:p>
      <w:pPr>
        <w:spacing w:line="240" w:lineRule="auto" w:before="3"/>
        <w:rPr>
          <w:rFonts w:ascii="宋体" w:hAnsi="宋体" w:cs="宋体" w:eastAsia="宋体" w:hint="default"/>
          <w:sz w:val="8"/>
          <w:szCs w:val="8"/>
        </w:rPr>
      </w:pPr>
    </w:p>
    <w:p>
      <w:pPr>
        <w:spacing w:line="2785" w:lineRule="exact"/>
        <w:ind w:left="2091"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288.25pt;height:139.25pt;mso-position-horizontal-relative:char;mso-position-vertical-relative:line" coordorigin="0,0" coordsize="5765,2785">
            <v:shape style="position:absolute;left:0;top:21;width:1914;height:2764" type="#_x0000_t75" stroked="false">
              <v:imagedata r:id="rId12" o:title=""/>
            </v:shape>
            <v:shape style="position:absolute;left:1914;top:0;width:1920;height:2785" type="#_x0000_t75" stroked="false">
              <v:imagedata r:id="rId13" o:title=""/>
            </v:shape>
            <v:shape style="position:absolute;left:3834;top:21;width:1931;height:2764" type="#_x0000_t75" stroked="false">
              <v:imagedata r:id="rId14" o:title=""/>
            </v:shape>
          </v:group>
        </w:pict>
      </w:r>
      <w:r>
        <w:rPr>
          <w:rFonts w:ascii="宋体" w:hAnsi="宋体" w:cs="宋体" w:eastAsia="宋体" w:hint="default"/>
          <w:position w:val="-55"/>
          <w:sz w:val="20"/>
          <w:szCs w:val="20"/>
        </w:rPr>
      </w:r>
    </w:p>
    <w:p>
      <w:pPr>
        <w:spacing w:after="0" w:line="2785" w:lineRule="exact"/>
        <w:rPr>
          <w:rFonts w:ascii="宋体" w:hAnsi="宋体" w:cs="宋体" w:eastAsia="宋体" w:hint="default"/>
          <w:sz w:val="20"/>
          <w:szCs w:val="20"/>
        </w:rPr>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018" w:firstLine="480"/>
        <w:jc w:val="both"/>
      </w:pPr>
      <w:r>
        <w:rPr>
          <w:spacing w:val="-3"/>
        </w:rPr>
        <w:t>在传统出版作品方面，累计签约知名作家、畅销书作者</w:t>
      </w:r>
      <w:r>
        <w:rPr>
          <w:spacing w:val="-55"/>
        </w:rPr>
        <w:t> </w:t>
      </w:r>
      <w:r>
        <w:rPr>
          <w:rFonts w:ascii="宋体" w:hAnsi="宋体" w:cs="宋体" w:eastAsia="宋体" w:hint="default"/>
        </w:rPr>
        <w:t>2000</w:t>
      </w:r>
      <w:r>
        <w:rPr>
          <w:rFonts w:ascii="宋体" w:hAnsi="宋体" w:cs="宋体" w:eastAsia="宋体" w:hint="default"/>
          <w:spacing w:val="-55"/>
        </w:rPr>
        <w:t> </w:t>
      </w:r>
      <w:r>
        <w:rPr>
          <w:spacing w:val="-3"/>
        </w:rPr>
        <w:t>余位，新增签约重点作家都</w:t>
      </w:r>
      <w:r>
        <w:rPr/>
        <w:t> </w:t>
      </w:r>
      <w:r>
        <w:rPr>
          <w:spacing w:val="-3"/>
        </w:rPr>
        <w:t>梁、张召忠、阎真、单田芳、李伟建、江波、蒋方舟等，新签约优秀出版作品《沧浪之水》、</w:t>
      </w:r>
    </w:p>
    <w:p>
      <w:pPr>
        <w:pStyle w:val="BodyText"/>
        <w:spacing w:line="357" w:lineRule="auto" w:before="36"/>
        <w:ind w:right="1131"/>
        <w:jc w:val="both"/>
      </w:pPr>
      <w:r>
        <w:rPr>
          <w:spacing w:val="-32"/>
        </w:rPr>
        <w:t>《亮剑》、《血色浪漫》、《俗世奇人》、《假面之夜》、《机器之门》、《流水似的走马》、《梦回万</w:t>
      </w:r>
      <w:r>
        <w:rPr>
          <w:spacing w:val="-77"/>
        </w:rPr>
        <w:t> </w:t>
      </w:r>
      <w:r>
        <w:rPr>
          <w:spacing w:val="-77"/>
        </w:rPr>
      </w:r>
      <w:r>
        <w:rPr/>
        <w:t>里</w:t>
      </w:r>
      <w:r>
        <w:rPr>
          <w:spacing w:val="30"/>
        </w:rPr>
        <w:t> </w:t>
      </w:r>
      <w:r>
        <w:rPr>
          <w:spacing w:val="-9"/>
        </w:rPr>
        <w:t>卫黄保华——漫忆父亲刘少奇与国防、军事、军队》等，其中《俗世奇人》、《流水似的走</w:t>
      </w:r>
      <w:r>
        <w:rPr>
          <w:spacing w:val="-117"/>
        </w:rPr>
        <w:t> </w:t>
      </w:r>
      <w:r>
        <w:rPr>
          <w:spacing w:val="-117"/>
        </w:rPr>
      </w:r>
      <w:r>
        <w:rPr/>
        <w:t>马》获得第七届鲁迅文学奖。</w:t>
      </w:r>
    </w:p>
    <w:p>
      <w:pPr>
        <w:pStyle w:val="BodyText"/>
        <w:spacing w:line="357" w:lineRule="auto" w:before="134"/>
        <w:ind w:right="1129" w:firstLine="480"/>
        <w:jc w:val="both"/>
      </w:pPr>
      <w:r>
        <w:rPr>
          <w:spacing w:val="-6"/>
        </w:rPr>
        <w:t>科幻影片《流浪地球》的成功，掀起了一股“科幻小说阅读热”。公司拥有作家刘慈欣包</w:t>
      </w:r>
      <w:r>
        <w:rPr/>
        <w:t> </w:t>
      </w:r>
      <w:r>
        <w:rPr>
          <w:spacing w:val="-29"/>
        </w:rPr>
        <w:t>括《流浪地球》、《乡村教师》、《朝闻道》、《吞食者》等</w:t>
      </w:r>
      <w:r>
        <w:rPr>
          <w:spacing w:val="-56"/>
        </w:rPr>
        <w:t> </w:t>
      </w:r>
      <w:r>
        <w:rPr>
          <w:rFonts w:ascii="宋体" w:hAnsi="宋体" w:cs="宋体" w:eastAsia="宋体" w:hint="default"/>
        </w:rPr>
        <w:t>29</w:t>
      </w:r>
      <w:r>
        <w:rPr>
          <w:rFonts w:ascii="宋体" w:hAnsi="宋体" w:cs="宋体" w:eastAsia="宋体" w:hint="default"/>
          <w:spacing w:val="-56"/>
        </w:rPr>
        <w:t> </w:t>
      </w:r>
      <w:r>
        <w:rPr>
          <w:spacing w:val="-2"/>
        </w:rPr>
        <w:t>部作品的数字版权，同时拥有《流</w:t>
      </w:r>
      <w:r>
        <w:rPr/>
        <w:t> </w:t>
      </w:r>
      <w:r>
        <w:rPr>
          <w:spacing w:val="-6"/>
        </w:rPr>
        <w:t>浪地球》和《乡村教师》的全球、全语种独家游戏改编权，《乡村教师》改编的</w:t>
      </w:r>
      <w:r>
        <w:rPr>
          <w:spacing w:val="-57"/>
        </w:rPr>
        <w:t> </w:t>
      </w:r>
      <w:r>
        <w:rPr>
          <w:rFonts w:ascii="宋体" w:hAnsi="宋体" w:cs="宋体" w:eastAsia="宋体" w:hint="default"/>
        </w:rPr>
        <w:t>AVG</w:t>
      </w:r>
      <w:r>
        <w:rPr>
          <w:rFonts w:ascii="宋体" w:hAnsi="宋体" w:cs="宋体" w:eastAsia="宋体" w:hint="default"/>
          <w:spacing w:val="-58"/>
        </w:rPr>
        <w:t> </w:t>
      </w:r>
      <w:r>
        <w:rPr/>
        <w:t>游戏已在 公司发布的互动式视觉阅读产品</w:t>
      </w:r>
      <w:r>
        <w:rPr>
          <w:spacing w:val="-60"/>
        </w:rPr>
        <w:t> </w:t>
      </w:r>
      <w:r>
        <w:rPr>
          <w:rFonts w:ascii="宋体" w:hAnsi="宋体" w:cs="宋体" w:eastAsia="宋体" w:hint="default"/>
        </w:rPr>
        <w:t>Chapters</w:t>
      </w:r>
      <w:r>
        <w:rPr>
          <w:rFonts w:ascii="宋体" w:hAnsi="宋体" w:cs="宋体" w:eastAsia="宋体" w:hint="default"/>
          <w:spacing w:val="-60"/>
        </w:rPr>
        <w:t> </w:t>
      </w:r>
      <w:r>
        <w:rPr/>
        <w:t>上线。</w:t>
      </w:r>
    </w:p>
    <w:p>
      <w:pPr>
        <w:pStyle w:val="BodyText"/>
        <w:spacing w:line="357" w:lineRule="auto" w:before="136"/>
        <w:ind w:right="1132" w:firstLine="480"/>
        <w:jc w:val="both"/>
      </w:pPr>
      <w:r>
        <w:rPr>
          <w:rFonts w:ascii="宋体" w:hAnsi="宋体" w:cs="宋体" w:eastAsia="宋体" w:hint="default"/>
        </w:rPr>
        <w:t>2018</w:t>
      </w:r>
      <w:r>
        <w:rPr>
          <w:rFonts w:ascii="宋体" w:hAnsi="宋体" w:cs="宋体" w:eastAsia="宋体" w:hint="default"/>
          <w:spacing w:val="-60"/>
        </w:rPr>
        <w:t> </w:t>
      </w:r>
      <w:r>
        <w:rPr/>
        <w:t>年度新增重点衍生权</w:t>
      </w:r>
      <w:r>
        <w:rPr>
          <w:spacing w:val="-60"/>
        </w:rPr>
        <w:t> </w:t>
      </w:r>
      <w:r>
        <w:rPr>
          <w:rFonts w:ascii="宋体" w:hAnsi="宋体" w:cs="宋体" w:eastAsia="宋体" w:hint="default"/>
        </w:rPr>
        <w:t>IP</w:t>
      </w:r>
      <w:r>
        <w:rPr>
          <w:rFonts w:ascii="宋体" w:hAnsi="宋体" w:cs="宋体" w:eastAsia="宋体" w:hint="default"/>
          <w:spacing w:val="-60"/>
        </w:rPr>
        <w:t> </w:t>
      </w:r>
      <w:r>
        <w:rPr/>
        <w:t>包括石钟山</w:t>
      </w:r>
      <w:r>
        <w:rPr>
          <w:spacing w:val="-66"/>
        </w:rPr>
        <w:t>的</w:t>
      </w:r>
      <w:r>
        <w:rPr/>
        <w:t>《守望</w:t>
      </w:r>
      <w:r>
        <w:rPr>
          <w:spacing w:val="-120"/>
        </w:rPr>
        <w:t>》</w:t>
      </w:r>
      <w:r>
        <w:rPr>
          <w:spacing w:val="-186"/>
        </w:rPr>
        <w:t>、</w:t>
      </w:r>
      <w:r>
        <w:rPr/>
        <w:t>《激情燃烧的岁月</w:t>
      </w:r>
      <w:r>
        <w:rPr>
          <w:spacing w:val="-120"/>
        </w:rPr>
        <w:t>》</w:t>
      </w:r>
      <w:r>
        <w:rPr>
          <w:spacing w:val="-66"/>
        </w:rPr>
        <w:t>，</w:t>
      </w:r>
      <w:r>
        <w:rPr/>
        <w:t>御井烹香</w:t>
      </w:r>
      <w:r>
        <w:rPr>
          <w:spacing w:val="-66"/>
        </w:rPr>
        <w:t>的</w:t>
      </w:r>
      <w:r>
        <w:rPr/>
        <w:t>《天</w:t>
      </w:r>
      <w:r>
        <w:rPr/>
        <w:t> 秀</w:t>
      </w:r>
      <w:r>
        <w:rPr>
          <w:spacing w:val="-119"/>
        </w:rPr>
        <w:t>》、</w:t>
      </w:r>
      <w:r>
        <w:rPr/>
        <w:t>《日落前的三分钟</w:t>
      </w:r>
      <w:r>
        <w:rPr>
          <w:spacing w:val="-119"/>
        </w:rPr>
        <w:t>》</w:t>
      </w:r>
      <w:r>
        <w:rPr/>
        <w:t>，桔子树的《铮骨</w:t>
      </w:r>
      <w:r>
        <w:rPr>
          <w:spacing w:val="-120"/>
        </w:rPr>
        <w:t>》</w:t>
      </w:r>
      <w:r>
        <w:rPr/>
        <w:t>，陈楸帆的《痛点</w:t>
      </w:r>
      <w:r>
        <w:rPr>
          <w:spacing w:val="-119"/>
        </w:rPr>
        <w:t>》</w:t>
      </w:r>
      <w:r>
        <w:rPr/>
        <w:t>，张冉的《边缘行动</w:t>
      </w:r>
      <w:r>
        <w:rPr>
          <w:spacing w:val="-119"/>
        </w:rPr>
        <w:t>》</w:t>
      </w:r>
      <w:r>
        <w:rPr/>
        <w:t>，贾佳</w:t>
      </w:r>
      <w:r>
        <w:rPr/>
        <w:t> </w:t>
      </w:r>
      <w:r>
        <w:rPr>
          <w:spacing w:val="-12"/>
        </w:rPr>
        <w:t>的</w:t>
      </w:r>
      <w:r>
        <w:rPr/>
        <w:t>《土星恋人</w:t>
      </w:r>
      <w:r>
        <w:rPr>
          <w:spacing w:val="-120"/>
        </w:rPr>
        <w:t>》</w:t>
      </w:r>
      <w:r>
        <w:rPr>
          <w:spacing w:val="-12"/>
        </w:rPr>
        <w:t>，</w:t>
      </w:r>
      <w:r>
        <w:rPr/>
        <w:t>白航</w:t>
      </w:r>
      <w:r>
        <w:rPr>
          <w:spacing w:val="-12"/>
        </w:rPr>
        <w:t>的</w:t>
      </w:r>
      <w:r>
        <w:rPr/>
        <w:t>《丛林兵王</w:t>
      </w:r>
      <w:r>
        <w:rPr>
          <w:spacing w:val="-120"/>
        </w:rPr>
        <w:t>》</w:t>
      </w:r>
      <w:r>
        <w:rPr>
          <w:spacing w:val="-12"/>
        </w:rPr>
        <w:t>，</w:t>
      </w:r>
      <w:r>
        <w:rPr/>
        <w:t>乔雪言</w:t>
      </w:r>
      <w:r>
        <w:rPr>
          <w:spacing w:val="-12"/>
        </w:rPr>
        <w:t>的</w:t>
      </w:r>
      <w:r>
        <w:rPr/>
        <w:t>《最美的我遇见最好的你</w:t>
      </w:r>
      <w:r>
        <w:rPr>
          <w:spacing w:val="-120"/>
        </w:rPr>
        <w:t>》</w:t>
      </w:r>
      <w:r>
        <w:rPr>
          <w:spacing w:val="-12"/>
        </w:rPr>
        <w:t>，</w:t>
      </w:r>
      <w:r>
        <w:rPr/>
        <w:t>静水边</w:t>
      </w:r>
      <w:r>
        <w:rPr>
          <w:spacing w:val="-12"/>
        </w:rPr>
        <w:t>的</w:t>
      </w:r>
      <w:r>
        <w:rPr>
          <w:spacing w:val="1"/>
        </w:rPr>
        <w:t>《</w:t>
      </w:r>
      <w:r>
        <w:rPr>
          <w:rFonts w:ascii="宋体" w:hAnsi="宋体" w:cs="宋体" w:eastAsia="宋体" w:hint="default"/>
        </w:rPr>
        <w:t>PTSD </w:t>
      </w:r>
      <w:r>
        <w:rPr/>
        <w:t>治愈研究所</w:t>
      </w:r>
      <w:r>
        <w:rPr>
          <w:spacing w:val="-120"/>
        </w:rPr>
        <w:t>》</w:t>
      </w:r>
      <w:r>
        <w:rPr/>
        <w:t>，囧叔的《卜算子</w:t>
      </w:r>
      <w:r>
        <w:rPr>
          <w:spacing w:val="-120"/>
        </w:rPr>
        <w:t>》</w:t>
      </w:r>
      <w:r>
        <w:rPr/>
        <w:t>，八月槎的《临渊》等。</w:t>
      </w:r>
    </w:p>
    <w:p>
      <w:pPr>
        <w:pStyle w:val="BodyText"/>
        <w:spacing w:line="357" w:lineRule="auto" w:before="134"/>
        <w:ind w:right="1139" w:firstLine="480"/>
        <w:jc w:val="both"/>
      </w:pPr>
      <w:r>
        <w:rPr/>
        <w:t>公司数字阅读的合作渠道包括三大电信运营商、互联网及移动互联网平台、手机硬件厂 商，以及其他多种阅读平台，间接覆盖用户数以亿计。近年来，我国在线阅读付费市场规模 增长，公司旗下的数字内容分别在自有渠道、合作渠道进行销售。公司数字版权分销业务收 入以及三方合作渠道数量均取得大幅增长，合作基本覆盖了重点阅读平台，如：掌阅、爱奇 艺、书旗、新浪、亚马逊等重点渠道。</w:t>
      </w:r>
    </w:p>
    <w:p>
      <w:pPr>
        <w:pStyle w:val="BodyText"/>
        <w:spacing w:line="434" w:lineRule="auto" w:before="136"/>
        <w:ind w:left="634" w:right="1118"/>
        <w:jc w:val="left"/>
      </w:pPr>
      <w:r>
        <w:rPr>
          <w:rFonts w:ascii="宋体" w:hAnsi="宋体" w:cs="宋体" w:eastAsia="宋体" w:hint="default"/>
        </w:rPr>
        <w:t>2</w:t>
      </w:r>
      <w:r>
        <w:rPr/>
        <w:t>、版权（</w:t>
      </w:r>
      <w:r>
        <w:rPr>
          <w:rFonts w:ascii="宋体" w:hAnsi="宋体" w:cs="宋体" w:eastAsia="宋体" w:hint="default"/>
        </w:rPr>
        <w:t>IP</w:t>
      </w:r>
      <w:r>
        <w:rPr/>
        <w:t>）深度运营业务爆款频现 </w:t>
      </w:r>
      <w:r>
        <w:rPr>
          <w:spacing w:val="-3"/>
        </w:rPr>
        <w:t>报告期内，公司加速推进“以原创内容为中心”的</w:t>
      </w:r>
      <w:r>
        <w:rPr>
          <w:spacing w:val="-69"/>
        </w:rPr>
        <w:t> </w:t>
      </w:r>
      <w:r>
        <w:rPr>
          <w:rFonts w:ascii="宋体" w:hAnsi="宋体" w:cs="宋体" w:eastAsia="宋体" w:hint="default"/>
        </w:rPr>
        <w:t>IP</w:t>
      </w:r>
      <w:r>
        <w:rPr>
          <w:rFonts w:ascii="宋体" w:hAnsi="宋体" w:cs="宋体" w:eastAsia="宋体" w:hint="default"/>
          <w:spacing w:val="-69"/>
        </w:rPr>
        <w:t> </w:t>
      </w:r>
      <w:r>
        <w:rPr/>
        <w:t>一体化开发战略，影视收入大幅增</w:t>
      </w:r>
    </w:p>
    <w:p>
      <w:pPr>
        <w:pStyle w:val="BodyText"/>
        <w:spacing w:line="274" w:lineRule="exact"/>
        <w:ind w:right="0"/>
        <w:jc w:val="both"/>
      </w:pPr>
      <w:r>
        <w:rPr>
          <w:spacing w:val="-3"/>
        </w:rPr>
        <w:t>长；但由于主动优化业务结构，减少一次性</w:t>
      </w:r>
      <w:r>
        <w:rPr>
          <w:spacing w:val="-60"/>
        </w:rPr>
        <w:t> </w:t>
      </w:r>
      <w:r>
        <w:rPr>
          <w:rFonts w:ascii="宋体" w:hAnsi="宋体" w:cs="宋体" w:eastAsia="宋体" w:hint="default"/>
        </w:rPr>
        <w:t>IP</w:t>
      </w:r>
      <w:r>
        <w:rPr>
          <w:rFonts w:ascii="宋体" w:hAnsi="宋体" w:cs="宋体" w:eastAsia="宋体" w:hint="default"/>
          <w:spacing w:val="-60"/>
        </w:rPr>
        <w:t> </w:t>
      </w:r>
      <w:r>
        <w:rPr>
          <w:spacing w:val="-6"/>
        </w:rPr>
        <w:t>授权，导致</w:t>
      </w:r>
      <w:r>
        <w:rPr>
          <w:spacing w:val="-60"/>
        </w:rPr>
        <w:t> </w:t>
      </w:r>
      <w:r>
        <w:rPr>
          <w:rFonts w:ascii="宋体" w:hAnsi="宋体" w:cs="宋体" w:eastAsia="宋体" w:hint="default"/>
        </w:rPr>
        <w:t>IP</w:t>
      </w:r>
      <w:r>
        <w:rPr>
          <w:rFonts w:ascii="宋体" w:hAnsi="宋体" w:cs="宋体" w:eastAsia="宋体" w:hint="default"/>
          <w:spacing w:val="-60"/>
        </w:rPr>
        <w:t> </w:t>
      </w:r>
      <w:r>
        <w:rPr/>
        <w:t>衍生权授权业务收入大幅减少；</w:t>
      </w:r>
    </w:p>
    <w:p>
      <w:pPr>
        <w:pStyle w:val="BodyText"/>
        <w:spacing w:line="357" w:lineRule="auto" w:before="154"/>
        <w:ind w:right="1134"/>
        <w:jc w:val="both"/>
      </w:pPr>
      <w:r>
        <w:rPr>
          <w:spacing w:val="-5"/>
        </w:rPr>
        <w:t>加之影视行业遭遇市场“寒冬”、影视行业整体政策趋严、</w:t>
      </w:r>
      <w:r>
        <w:rPr>
          <w:rFonts w:ascii="宋体" w:hAnsi="宋体" w:cs="宋体" w:eastAsia="宋体" w:hint="default"/>
          <w:spacing w:val="-5"/>
        </w:rPr>
        <w:t>IP</w:t>
      </w:r>
      <w:r>
        <w:rPr>
          <w:rFonts w:ascii="宋体" w:hAnsi="宋体" w:cs="宋体" w:eastAsia="宋体" w:hint="default"/>
          <w:spacing w:val="22"/>
        </w:rPr>
        <w:t> </w:t>
      </w:r>
      <w:r>
        <w:rPr/>
        <w:t>市场趋于理性等因素的影响，</w:t>
      </w:r>
      <w:r>
        <w:rPr>
          <w:spacing w:val="-115"/>
        </w:rPr>
        <w:t> </w:t>
      </w:r>
      <w:r>
        <w:rPr/>
        <w:t>公司版权（</w:t>
      </w:r>
      <w:r>
        <w:rPr>
          <w:rFonts w:ascii="宋体" w:hAnsi="宋体" w:cs="宋体" w:eastAsia="宋体" w:hint="default"/>
        </w:rPr>
        <w:t>IP</w:t>
      </w:r>
      <w:r>
        <w:rPr/>
        <w:t>）运营业务受到较大挑战。</w:t>
      </w:r>
    </w:p>
    <w:p>
      <w:pPr>
        <w:pStyle w:val="BodyText"/>
        <w:spacing w:line="357" w:lineRule="auto" w:before="134"/>
        <w:ind w:right="1049" w:firstLine="480"/>
        <w:jc w:val="both"/>
      </w:pPr>
      <w:r>
        <w:rPr>
          <w:spacing w:val="-8"/>
        </w:rPr>
        <w:t>报告期内，公司联合出品电视剧《天盛长歌》（原名《凰权•弈天下》）于</w:t>
      </w:r>
      <w:r>
        <w:rPr>
          <w:spacing w:val="-46"/>
        </w:rPr>
        <w:t> </w:t>
      </w:r>
      <w:r>
        <w:rPr>
          <w:rFonts w:ascii="宋体" w:hAnsi="宋体" w:cs="宋体" w:eastAsia="宋体" w:hint="default"/>
        </w:rPr>
        <w:t>8</w:t>
      </w:r>
      <w:r>
        <w:rPr>
          <w:rFonts w:ascii="宋体" w:hAnsi="宋体" w:cs="宋体" w:eastAsia="宋体" w:hint="default"/>
          <w:spacing w:val="-47"/>
        </w:rPr>
        <w:t> </w:t>
      </w:r>
      <w:r>
        <w:rPr/>
        <w:t>月</w:t>
      </w:r>
      <w:r>
        <w:rPr>
          <w:spacing w:val="-47"/>
        </w:rPr>
        <w:t> </w:t>
      </w:r>
      <w:r>
        <w:rPr>
          <w:rFonts w:ascii="宋体" w:hAnsi="宋体" w:cs="宋体" w:eastAsia="宋体" w:hint="default"/>
        </w:rPr>
        <w:t>14</w:t>
      </w:r>
      <w:r>
        <w:rPr>
          <w:rFonts w:ascii="宋体" w:hAnsi="宋体" w:cs="宋体" w:eastAsia="宋体" w:hint="default"/>
          <w:spacing w:val="-47"/>
        </w:rPr>
        <w:t> </w:t>
      </w:r>
      <w:r>
        <w:rPr/>
        <w:t>日登陆 湖南卫视金鹰独播剧场，爱奇艺全网独家同步播出，凭借其精良制作，从百部影视作品中脱 </w:t>
      </w:r>
      <w:r>
        <w:rPr>
          <w:spacing w:val="-7"/>
        </w:rPr>
        <w:t>颖而出，斩获第三届鹰眼匠心榜“最佳匠心制作奖”；联合出品电视剧《橙红年代》（由</w:t>
      </w:r>
      <w:r>
        <w:rPr/>
        <w:t> </w:t>
      </w:r>
      <w:r>
        <w:rPr>
          <w:rFonts w:ascii="宋体" w:hAnsi="宋体" w:cs="宋体" w:eastAsia="宋体" w:hint="default"/>
          <w:spacing w:val="-1"/>
        </w:rPr>
        <w:t>17K</w:t>
      </w:r>
      <w:r>
        <w:rPr>
          <w:rFonts w:ascii="宋体" w:hAnsi="宋体" w:cs="宋体" w:eastAsia="宋体" w:hint="default"/>
          <w:spacing w:val="-75"/>
        </w:rPr>
        <w:t> </w:t>
      </w:r>
      <w:r>
        <w:rPr>
          <w:rFonts w:ascii="宋体" w:hAnsi="宋体" w:cs="宋体" w:eastAsia="宋体" w:hint="default"/>
          <w:spacing w:val="-75"/>
        </w:rPr>
      </w:r>
      <w:r>
        <w:rPr/>
        <w:t>小说网同名原创</w:t>
      </w:r>
      <w:r>
        <w:rPr>
          <w:spacing w:val="-60"/>
        </w:rPr>
        <w:t> </w:t>
      </w:r>
      <w:r>
        <w:rPr>
          <w:rFonts w:ascii="宋体" w:hAnsi="宋体" w:cs="宋体" w:eastAsia="宋体" w:hint="default"/>
        </w:rPr>
        <w:t>IP</w:t>
      </w:r>
      <w:r>
        <w:rPr>
          <w:rFonts w:ascii="宋体" w:hAnsi="宋体" w:cs="宋体" w:eastAsia="宋体" w:hint="default"/>
          <w:spacing w:val="-60"/>
        </w:rPr>
        <w:t> </w:t>
      </w:r>
      <w:r>
        <w:rPr/>
        <w:t>改编）于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17</w:t>
      </w:r>
      <w:r>
        <w:rPr>
          <w:rFonts w:ascii="宋体" w:hAnsi="宋体" w:cs="宋体" w:eastAsia="宋体" w:hint="default"/>
          <w:spacing w:val="-60"/>
        </w:rPr>
        <w:t> </w:t>
      </w:r>
      <w:r>
        <w:rPr/>
        <w:t>日在东方卫视、浙江卫视首播，并在腾讯视频、</w:t>
      </w:r>
    </w:p>
    <w:p>
      <w:pPr>
        <w:pStyle w:val="BodyText"/>
        <w:spacing w:line="240" w:lineRule="auto" w:before="36"/>
        <w:ind w:right="0"/>
        <w:jc w:val="both"/>
        <w:rPr>
          <w:rFonts w:ascii="宋体" w:hAnsi="宋体" w:cs="宋体" w:eastAsia="宋体" w:hint="default"/>
        </w:rPr>
      </w:pPr>
      <w:r>
        <w:rPr/>
        <w:t>优酷视频、爱奇艺同步播出；公司与爱奇艺联合出品的电视剧《新白娘子传奇》于</w:t>
      </w:r>
      <w:r>
        <w:rPr>
          <w:spacing w:val="-68"/>
        </w:rPr>
        <w:t> </w:t>
      </w:r>
      <w:r>
        <w:rPr>
          <w:rFonts w:ascii="宋体" w:hAnsi="宋体" w:cs="宋体" w:eastAsia="宋体" w:hint="default"/>
        </w:rPr>
        <w:t>2019</w:t>
      </w:r>
      <w:r>
        <w:rPr>
          <w:rFonts w:ascii="宋体" w:hAnsi="宋体" w:cs="宋体" w:eastAsia="宋体" w:hint="default"/>
          <w:spacing w:val="-68"/>
        </w:rPr>
        <w:t> </w:t>
      </w:r>
      <w:r>
        <w:rPr/>
        <w:t>年</w:t>
      </w:r>
      <w:r>
        <w:rPr>
          <w:spacing w:val="-68"/>
        </w:rPr>
        <w:t> </w:t>
      </w:r>
      <w:r>
        <w:rPr>
          <w:rFonts w:ascii="宋体" w:hAnsi="宋体" w:cs="宋体" w:eastAsia="宋体" w:hint="default"/>
        </w:rPr>
        <w:t>4</w:t>
      </w:r>
    </w:p>
    <w:p>
      <w:pPr>
        <w:spacing w:after="0" w:line="240" w:lineRule="auto"/>
        <w:jc w:val="both"/>
        <w:rPr>
          <w:rFonts w:ascii="宋体" w:hAnsi="宋体" w:cs="宋体" w:eastAsia="宋体" w:hint="default"/>
        </w:rPr>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29"/>
        <w:jc w:val="both"/>
      </w:pPr>
      <w:r>
        <w:rPr/>
        <w:t>月</w:t>
      </w:r>
      <w:r>
        <w:rPr>
          <w:spacing w:val="-63"/>
        </w:rPr>
        <w:t> </w:t>
      </w:r>
      <w:r>
        <w:rPr>
          <w:rFonts w:ascii="宋体" w:hAnsi="宋体" w:cs="宋体" w:eastAsia="宋体" w:hint="default"/>
        </w:rPr>
        <w:t>3</w:t>
      </w:r>
      <w:r>
        <w:rPr>
          <w:rFonts w:ascii="宋体" w:hAnsi="宋体" w:cs="宋体" w:eastAsia="宋体" w:hint="default"/>
          <w:spacing w:val="-63"/>
        </w:rPr>
        <w:t> </w:t>
      </w:r>
      <w:r>
        <w:rPr/>
        <w:t>日在爱奇艺全网独播，该剧以</w:t>
      </w:r>
      <w:r>
        <w:rPr>
          <w:spacing w:val="-63"/>
        </w:rPr>
        <w:t> </w:t>
      </w:r>
      <w:r>
        <w:rPr>
          <w:rFonts w:ascii="宋体" w:hAnsi="宋体" w:cs="宋体" w:eastAsia="宋体" w:hint="default"/>
        </w:rPr>
        <w:t>92</w:t>
      </w:r>
      <w:r>
        <w:rPr>
          <w:rFonts w:ascii="宋体" w:hAnsi="宋体" w:cs="宋体" w:eastAsia="宋体" w:hint="default"/>
          <w:spacing w:val="-63"/>
        </w:rPr>
        <w:t> </w:t>
      </w:r>
      <w:r>
        <w:rPr>
          <w:spacing w:val="-3"/>
        </w:rPr>
        <w:t>版《新白娘子传奇》为蓝本，用新颖的创作理念全新演</w:t>
      </w:r>
      <w:r>
        <w:rPr/>
        <w:t> 绎出一段许仙和白娘子之间的爱情故事；上线后热议持续，获爱奇艺站内总榜热度</w:t>
      </w:r>
      <w:r>
        <w:rPr>
          <w:spacing w:val="-70"/>
        </w:rPr>
        <w:t> </w:t>
      </w:r>
      <w:r>
        <w:rPr>
          <w:rFonts w:ascii="宋体" w:hAnsi="宋体" w:cs="宋体" w:eastAsia="宋体" w:hint="default"/>
          <w:spacing w:val="-3"/>
        </w:rPr>
        <w:t>Top1</w:t>
      </w:r>
      <w:r>
        <w:rPr>
          <w:spacing w:val="-3"/>
        </w:rPr>
        <w:t>，猫</w:t>
      </w:r>
      <w:r>
        <w:rPr>
          <w:spacing w:val="-8"/>
        </w:rPr>
        <w:t> </w:t>
      </w:r>
      <w:r>
        <w:rPr/>
        <w:t>眼全网热度 </w:t>
      </w:r>
      <w:r>
        <w:rPr>
          <w:rFonts w:ascii="宋体" w:hAnsi="宋体" w:cs="宋体" w:eastAsia="宋体" w:hint="default"/>
        </w:rPr>
        <w:t>Top1</w:t>
      </w:r>
      <w:r>
        <w:rPr/>
        <w:t>，百度风云榜总榜 </w:t>
      </w:r>
      <w:r>
        <w:rPr>
          <w:rFonts w:ascii="宋体" w:hAnsi="宋体" w:cs="宋体" w:eastAsia="宋体" w:hint="default"/>
        </w:rPr>
        <w:t>Top2</w:t>
      </w:r>
      <w:r>
        <w:rPr/>
        <w:t>、古装、言情榜 </w:t>
      </w:r>
      <w:r>
        <w:rPr>
          <w:rFonts w:ascii="宋体" w:hAnsi="宋体" w:cs="宋体" w:eastAsia="宋体" w:hint="default"/>
        </w:rPr>
        <w:t>Top1</w:t>
      </w:r>
      <w:r>
        <w:rPr/>
        <w:t>，微博角色、电视剧榜先后</w:t>
      </w:r>
      <w:r>
        <w:rPr>
          <w:spacing w:val="-81"/>
        </w:rPr>
        <w:t> </w:t>
      </w:r>
      <w:r>
        <w:rPr>
          <w:rFonts w:ascii="宋体" w:hAnsi="宋体" w:cs="宋体" w:eastAsia="宋体" w:hint="default"/>
        </w:rPr>
        <w:t>7 </w:t>
      </w:r>
      <w:r>
        <w:rPr/>
        <w:t>次上榜，最高一次进了前三，猫眼预估目前《新白娘子传奇》在爱奇艺的累计播放量已超过</w:t>
      </w:r>
      <w:r>
        <w:rPr>
          <w:spacing w:val="-108"/>
        </w:rPr>
        <w:t> </w:t>
      </w:r>
      <w:r>
        <w:rPr>
          <w:spacing w:val="-108"/>
        </w:rPr>
      </w:r>
      <w:r>
        <w:rPr>
          <w:rFonts w:ascii="宋体" w:hAnsi="宋体" w:cs="宋体" w:eastAsia="宋体" w:hint="default"/>
        </w:rPr>
        <w:t>27</w:t>
      </w:r>
      <w:r>
        <w:rPr>
          <w:rFonts w:ascii="宋体" w:hAnsi="宋体" w:cs="宋体" w:eastAsia="宋体" w:hint="default"/>
          <w:spacing w:val="-60"/>
        </w:rPr>
        <w:t> </w:t>
      </w:r>
      <w:r>
        <w:rPr/>
        <w:t>亿。</w:t>
      </w:r>
    </w:p>
    <w:p>
      <w:pPr>
        <w:pStyle w:val="BodyText"/>
        <w:spacing w:line="240" w:lineRule="auto" w:before="134"/>
        <w:ind w:left="634" w:right="999"/>
        <w:jc w:val="left"/>
      </w:pPr>
      <w:r>
        <w:rPr>
          <w:spacing w:val="-3"/>
        </w:rPr>
        <w:t>《新白娘子传奇》创新表达传统经典文化，力图打造东方神话故事的全球影响力。此次，</w:t>
      </w:r>
    </w:p>
    <w:p>
      <w:pPr>
        <w:pStyle w:val="BodyText"/>
        <w:spacing w:line="357" w:lineRule="auto" w:before="154"/>
        <w:ind w:right="1092"/>
        <w:jc w:val="left"/>
      </w:pPr>
      <w:r>
        <w:rPr/>
        <w:t>《新白娘子传奇》再次成功走出国门，即将在马来西亚最大收费台</w:t>
      </w:r>
      <w:r>
        <w:rPr>
          <w:spacing w:val="9"/>
        </w:rPr>
        <w:t> </w:t>
      </w:r>
      <w:r>
        <w:rPr>
          <w:rFonts w:ascii="宋体" w:hAnsi="宋体" w:cs="宋体" w:eastAsia="宋体" w:hint="default"/>
        </w:rPr>
        <w:t>Astro</w:t>
      </w:r>
      <w:r>
        <w:rPr/>
        <w:t>，覆盖北美及多国 新媒体平台</w:t>
      </w:r>
      <w:r>
        <w:rPr>
          <w:spacing w:val="-60"/>
        </w:rPr>
        <w:t> </w:t>
      </w:r>
      <w:r>
        <w:rPr>
          <w:rFonts w:ascii="宋体" w:hAnsi="宋体" w:cs="宋体" w:eastAsia="宋体" w:hint="default"/>
        </w:rPr>
        <w:t>Rakutan Viki</w:t>
      </w:r>
      <w:r>
        <w:rPr/>
        <w:t>，柬埔寨</w:t>
      </w:r>
      <w:r>
        <w:rPr>
          <w:spacing w:val="-60"/>
        </w:rPr>
        <w:t> </w:t>
      </w:r>
      <w:r>
        <w:rPr>
          <w:rFonts w:ascii="宋体" w:hAnsi="宋体" w:cs="宋体" w:eastAsia="宋体" w:hint="default"/>
        </w:rPr>
        <w:t>PPCTV</w:t>
      </w:r>
      <w:r>
        <w:rPr/>
        <w:t>，越南电视台，韩国</w:t>
      </w:r>
      <w:r>
        <w:rPr>
          <w:spacing w:val="-60"/>
        </w:rPr>
        <w:t> </w:t>
      </w:r>
      <w:r>
        <w:rPr>
          <w:rFonts w:ascii="宋体" w:hAnsi="宋体" w:cs="宋体" w:eastAsia="宋体" w:hint="default"/>
        </w:rPr>
        <w:t>AsiaN</w:t>
      </w:r>
      <w:r>
        <w:rPr>
          <w:rFonts w:ascii="宋体" w:hAnsi="宋体" w:cs="宋体" w:eastAsia="宋体" w:hint="default"/>
          <w:spacing w:val="-60"/>
        </w:rPr>
        <w:t> </w:t>
      </w:r>
      <w:r>
        <w:rPr/>
        <w:t>等主流渠道播出。</w:t>
      </w:r>
    </w:p>
    <w:p>
      <w:pPr>
        <w:spacing w:line="240" w:lineRule="auto" w:before="5"/>
        <w:rPr>
          <w:rFonts w:ascii="宋体" w:hAnsi="宋体" w:cs="宋体" w:eastAsia="宋体" w:hint="default"/>
          <w:sz w:val="13"/>
          <w:szCs w:val="13"/>
        </w:rPr>
      </w:pPr>
    </w:p>
    <w:p>
      <w:pPr>
        <w:spacing w:line="2673" w:lineRule="exact"/>
        <w:ind w:left="822" w:right="0" w:firstLine="0"/>
        <w:rPr>
          <w:rFonts w:ascii="宋体" w:hAnsi="宋体" w:cs="宋体" w:eastAsia="宋体" w:hint="default"/>
          <w:sz w:val="20"/>
          <w:szCs w:val="20"/>
        </w:rPr>
      </w:pPr>
      <w:r>
        <w:rPr>
          <w:rFonts w:ascii="宋体" w:hAnsi="宋体" w:cs="宋体" w:eastAsia="宋体" w:hint="default"/>
          <w:position w:val="-52"/>
          <w:sz w:val="20"/>
          <w:szCs w:val="20"/>
        </w:rPr>
        <w:drawing>
          <wp:inline distT="0" distB="0" distL="0" distR="0">
            <wp:extent cx="5316884" cy="1697354"/>
            <wp:effectExtent l="0" t="0" r="0" b="0"/>
            <wp:docPr id="3" name="image6.jpeg" descr=""/>
            <wp:cNvGraphicFramePr>
              <a:graphicFrameLocks noChangeAspect="1"/>
            </wp:cNvGraphicFramePr>
            <a:graphic>
              <a:graphicData uri="http://schemas.openxmlformats.org/drawingml/2006/picture">
                <pic:pic>
                  <pic:nvPicPr>
                    <pic:cNvPr id="4" name="image6.jpeg"/>
                    <pic:cNvPicPr/>
                  </pic:nvPicPr>
                  <pic:blipFill>
                    <a:blip r:embed="rId15" cstate="print"/>
                    <a:stretch>
                      <a:fillRect/>
                    </a:stretch>
                  </pic:blipFill>
                  <pic:spPr>
                    <a:xfrm>
                      <a:off x="0" y="0"/>
                      <a:ext cx="5316884" cy="1697354"/>
                    </a:xfrm>
                    <a:prstGeom prst="rect">
                      <a:avLst/>
                    </a:prstGeom>
                  </pic:spPr>
                </pic:pic>
              </a:graphicData>
            </a:graphic>
          </wp:inline>
        </w:drawing>
      </w:r>
      <w:r>
        <w:rPr>
          <w:rFonts w:ascii="宋体" w:hAnsi="宋体" w:cs="宋体" w:eastAsia="宋体" w:hint="default"/>
          <w:position w:val="-52"/>
          <w:sz w:val="20"/>
          <w:szCs w:val="20"/>
        </w:rPr>
      </w:r>
    </w:p>
    <w:p>
      <w:pPr>
        <w:pStyle w:val="BodyText"/>
        <w:spacing w:line="357" w:lineRule="auto" w:before="196"/>
        <w:ind w:right="1120" w:firstLine="480"/>
        <w:jc w:val="left"/>
      </w:pPr>
      <w:r>
        <w:rPr>
          <w:spacing w:val="-2"/>
        </w:rPr>
        <w:t>报告期内，公司原创</w:t>
      </w:r>
      <w:r>
        <w:rPr>
          <w:spacing w:val="-50"/>
        </w:rPr>
        <w:t> </w:t>
      </w:r>
      <w:r>
        <w:rPr>
          <w:rFonts w:ascii="宋体" w:hAnsi="宋体" w:cs="宋体" w:eastAsia="宋体" w:hint="default"/>
        </w:rPr>
        <w:t>IP</w:t>
      </w:r>
      <w:r>
        <w:rPr>
          <w:rFonts w:ascii="宋体" w:hAnsi="宋体" w:cs="宋体" w:eastAsia="宋体" w:hint="default"/>
          <w:spacing w:val="-50"/>
        </w:rPr>
        <w:t> </w:t>
      </w:r>
      <w:r>
        <w:rPr>
          <w:spacing w:val="-19"/>
        </w:rPr>
        <w:t>定制游戏《武道至尊》、《修罗武神》、《苍蓝境界》取得较好的流</w:t>
      </w:r>
      <w:r>
        <w:rPr/>
        <w:t> 水和排名。</w:t>
      </w:r>
    </w:p>
    <w:p>
      <w:pPr>
        <w:pStyle w:val="BodyText"/>
        <w:spacing w:line="240" w:lineRule="auto" w:before="134"/>
        <w:ind w:left="634" w:right="999"/>
        <w:jc w:val="left"/>
      </w:pPr>
      <w:r>
        <w:rPr/>
        <w:t>此外，公司还有多部主控型超级</w:t>
      </w:r>
      <w:r>
        <w:rPr>
          <w:spacing w:val="4"/>
        </w:rPr>
        <w:t> </w:t>
      </w:r>
      <w:r>
        <w:rPr>
          <w:rFonts w:ascii="宋体" w:hAnsi="宋体" w:cs="宋体" w:eastAsia="宋体" w:hint="default"/>
          <w:spacing w:val="-2"/>
        </w:rPr>
        <w:t>I</w:t>
      </w:r>
      <w:r>
        <w:rPr>
          <w:rFonts w:ascii="宋体" w:hAnsi="宋体" w:cs="宋体" w:eastAsia="宋体" w:hint="default"/>
        </w:rPr>
        <w:t>P</w:t>
      </w:r>
      <w:r>
        <w:rPr>
          <w:rFonts w:ascii="宋体" w:hAnsi="宋体" w:cs="宋体" w:eastAsia="宋体" w:hint="default"/>
          <w:spacing w:val="1"/>
        </w:rPr>
        <w:t> </w:t>
      </w:r>
      <w:r>
        <w:rPr/>
        <w:t>一体化开发项目正在筹划推进中，如《极限末日</w:t>
      </w:r>
      <w:r>
        <w:rPr>
          <w:spacing w:val="-118"/>
        </w:rPr>
        <w:t>》</w:t>
      </w:r>
      <w:r>
        <w:rPr/>
        <w:t>、</w:t>
      </w:r>
    </w:p>
    <w:p>
      <w:pPr>
        <w:pStyle w:val="BodyText"/>
        <w:spacing w:line="434" w:lineRule="auto" w:before="155"/>
        <w:ind w:left="634" w:right="1114" w:hanging="480"/>
        <w:jc w:val="left"/>
      </w:pPr>
      <w:r>
        <w:rPr>
          <w:spacing w:val="-26"/>
        </w:rPr>
        <w:t>《拜相为后》、《古代小清新》、《罗布泊之咒》、《大宝鉴》、《丛林兵王》等。</w:t>
      </w:r>
      <w:r>
        <w:rPr>
          <w:spacing w:val="-118"/>
        </w:rPr>
        <w:t> </w:t>
      </w:r>
      <w:r>
        <w:rPr>
          <w:spacing w:val="-118"/>
        </w:rPr>
      </w:r>
      <w:r>
        <w:rPr>
          <w:rFonts w:ascii="宋体" w:hAnsi="宋体" w:cs="宋体" w:eastAsia="宋体" w:hint="default"/>
        </w:rPr>
        <w:t>3</w:t>
      </w:r>
      <w:r>
        <w:rPr/>
        <w:t>、轻衍生业务取得重大突破 公司旗下子公司鸿达以太作为全国最大的有声版权机构，专注文化创意出版</w:t>
      </w:r>
      <w:r>
        <w:rPr>
          <w:spacing w:val="-79"/>
        </w:rPr>
        <w:t> </w:t>
      </w:r>
      <w:r>
        <w:rPr>
          <w:rFonts w:ascii="宋体" w:hAnsi="宋体" w:cs="宋体" w:eastAsia="宋体" w:hint="default"/>
        </w:rPr>
        <w:t>22</w:t>
      </w:r>
      <w:r>
        <w:rPr>
          <w:rFonts w:ascii="宋体" w:hAnsi="宋体" w:cs="宋体" w:eastAsia="宋体" w:hint="default"/>
          <w:spacing w:val="-79"/>
        </w:rPr>
        <w:t> </w:t>
      </w:r>
      <w:r>
        <w:rPr>
          <w:spacing w:val="-11"/>
        </w:rPr>
        <w:t>年，拥有</w:t>
      </w:r>
    </w:p>
    <w:p>
      <w:pPr>
        <w:pStyle w:val="BodyText"/>
        <w:spacing w:line="274" w:lineRule="exact"/>
        <w:ind w:right="0"/>
        <w:jc w:val="left"/>
      </w:pPr>
      <w:r>
        <w:rPr/>
        <w:t>多达 </w:t>
      </w:r>
      <w:r>
        <w:rPr>
          <w:rFonts w:ascii="宋体" w:hAnsi="宋体" w:cs="宋体" w:eastAsia="宋体" w:hint="default"/>
        </w:rPr>
        <w:t>10</w:t>
      </w:r>
      <w:r>
        <w:rPr>
          <w:rFonts w:ascii="宋体" w:hAnsi="宋体" w:cs="宋体" w:eastAsia="宋体" w:hint="default"/>
          <w:spacing w:val="-96"/>
        </w:rPr>
        <w:t> </w:t>
      </w:r>
      <w:r>
        <w:rPr>
          <w:spacing w:val="-6"/>
        </w:rPr>
        <w:t>万小时独家有声读物资源，内容涵盖：评书、相声、畅销小说、百家讲坛、管理课程、</w:t>
      </w:r>
    </w:p>
    <w:p>
      <w:pPr>
        <w:pStyle w:val="BodyText"/>
        <w:spacing w:line="357" w:lineRule="auto" w:before="154"/>
        <w:ind w:right="998"/>
        <w:jc w:val="left"/>
      </w:pPr>
      <w:r>
        <w:rPr/>
        <w:t>少儿作品</w:t>
      </w:r>
      <w:r>
        <w:rPr>
          <w:spacing w:val="-41"/>
        </w:rPr>
        <w:t>、</w:t>
      </w:r>
      <w:r>
        <w:rPr/>
        <w:t>精美低幼绘本等各个领域</w:t>
      </w:r>
      <w:r>
        <w:rPr>
          <w:spacing w:val="-41"/>
        </w:rPr>
        <w:t>。</w:t>
      </w:r>
      <w:r>
        <w:rPr/>
        <w:t>评书相声类重点资源如</w:t>
      </w:r>
      <w:r>
        <w:rPr>
          <w:spacing w:val="-41"/>
        </w:rPr>
        <w:t>：</w:t>
      </w:r>
      <w:r>
        <w:rPr/>
        <w:t>连丽如</w:t>
      </w:r>
      <w:r>
        <w:rPr>
          <w:spacing w:val="-41"/>
        </w:rPr>
        <w:t>的</w:t>
      </w:r>
      <w:r>
        <w:rPr/>
        <w:t>《雍正剑侠图</w:t>
      </w:r>
      <w:r>
        <w:rPr>
          <w:spacing w:val="-120"/>
        </w:rPr>
        <w:t>》</w:t>
      </w:r>
      <w:r>
        <w:rPr>
          <w:spacing w:val="-161"/>
        </w:rPr>
        <w:t>、</w:t>
      </w:r>
      <w:r>
        <w:rPr/>
        <w:t>《三</w:t>
      </w:r>
      <w:r>
        <w:rPr/>
        <w:t> 国演义</w:t>
      </w:r>
      <w:r>
        <w:rPr>
          <w:spacing w:val="-120"/>
        </w:rPr>
        <w:t>》</w:t>
      </w:r>
      <w:r>
        <w:rPr>
          <w:spacing w:val="-14"/>
        </w:rPr>
        <w:t>，</w:t>
      </w:r>
      <w:r>
        <w:rPr/>
        <w:t>袁阔成</w:t>
      </w:r>
      <w:r>
        <w:rPr>
          <w:spacing w:val="-14"/>
        </w:rPr>
        <w:t>的</w:t>
      </w:r>
      <w:r>
        <w:rPr/>
        <w:t>《封神演义</w:t>
      </w:r>
      <w:r>
        <w:rPr>
          <w:spacing w:val="-120"/>
        </w:rPr>
        <w:t>》</w:t>
      </w:r>
      <w:r>
        <w:rPr>
          <w:spacing w:val="-14"/>
        </w:rPr>
        <w:t>，</w:t>
      </w:r>
      <w:r>
        <w:rPr/>
        <w:t>马三立</w:t>
      </w:r>
      <w:r>
        <w:rPr>
          <w:spacing w:val="-14"/>
        </w:rPr>
        <w:t>的</w:t>
      </w:r>
      <w:r>
        <w:rPr/>
        <w:t>《马三立绝版珍藏</w:t>
      </w:r>
      <w:r>
        <w:rPr>
          <w:spacing w:val="-120"/>
        </w:rPr>
        <w:t>》</w:t>
      </w:r>
      <w:r>
        <w:rPr>
          <w:spacing w:val="-14"/>
        </w:rPr>
        <w:t>，</w:t>
      </w:r>
      <w:r>
        <w:rPr/>
        <w:t>郭德纲</w:t>
      </w:r>
      <w:r>
        <w:rPr>
          <w:spacing w:val="-14"/>
        </w:rPr>
        <w:t>的</w:t>
      </w:r>
      <w:r>
        <w:rPr/>
        <w:t>《郭德纲对口</w:t>
      </w:r>
      <w:r>
        <w:rPr>
          <w:spacing w:val="-2"/>
        </w:rPr>
        <w:t>相</w:t>
      </w:r>
      <w:r>
        <w:rPr/>
        <w:t>声</w:t>
      </w:r>
      <w:r>
        <w:rPr/>
        <w:t> 集</w:t>
      </w:r>
      <w:r>
        <w:rPr>
          <w:spacing w:val="-120"/>
        </w:rPr>
        <w:t>》</w:t>
      </w:r>
      <w:r>
        <w:rPr>
          <w:spacing w:val="-14"/>
        </w:rPr>
        <w:t>；</w:t>
      </w:r>
      <w:r>
        <w:rPr/>
        <w:t>出版类重点资源如</w:t>
      </w:r>
      <w:r>
        <w:rPr>
          <w:spacing w:val="-134"/>
        </w:rPr>
        <w:t>：</w:t>
      </w:r>
      <w:r>
        <w:rPr/>
        <w:t>《你在高原</w:t>
      </w:r>
      <w:r>
        <w:rPr>
          <w:spacing w:val="-120"/>
        </w:rPr>
        <w:t>》</w:t>
      </w:r>
      <w:r>
        <w:rPr>
          <w:spacing w:val="-134"/>
        </w:rPr>
        <w:t>、</w:t>
      </w:r>
      <w:r>
        <w:rPr/>
        <w:t>《汉朝那些事</w:t>
      </w:r>
      <w:r>
        <w:rPr>
          <w:spacing w:val="-120"/>
        </w:rPr>
        <w:t>》</w:t>
      </w:r>
      <w:r>
        <w:rPr>
          <w:spacing w:val="-134"/>
        </w:rPr>
        <w:t>、</w:t>
      </w:r>
      <w:r>
        <w:rPr/>
        <w:t>《李自成</w:t>
      </w:r>
      <w:r>
        <w:rPr>
          <w:spacing w:val="-120"/>
        </w:rPr>
        <w:t>》</w:t>
      </w:r>
      <w:r>
        <w:rPr>
          <w:spacing w:val="-134"/>
        </w:rPr>
        <w:t>、</w:t>
      </w:r>
      <w:r>
        <w:rPr/>
        <w:t>《人民的名义</w:t>
      </w:r>
      <w:r>
        <w:rPr>
          <w:spacing w:val="-120"/>
        </w:rPr>
        <w:t>》</w:t>
      </w:r>
      <w:r>
        <w:rPr>
          <w:spacing w:val="-134"/>
        </w:rPr>
        <w:t>、</w:t>
      </w:r>
      <w:r>
        <w:rPr/>
        <w:t>《大浦</w:t>
      </w:r>
      <w:r>
        <w:rPr>
          <w:spacing w:val="-2"/>
        </w:rPr>
        <w:t>东</w:t>
      </w:r>
      <w:r>
        <w:rPr/>
        <w:t>》</w:t>
      </w:r>
      <w:r>
        <w:rPr/>
        <w:t> </w:t>
      </w:r>
      <w:r>
        <w:rPr>
          <w:spacing w:val="3"/>
        </w:rPr>
        <w:t>等；原创类重点资源如</w:t>
      </w:r>
      <w:r>
        <w:rPr>
          <w:spacing w:val="-117"/>
        </w:rPr>
        <w:t>：</w:t>
      </w:r>
      <w:r>
        <w:rPr>
          <w:spacing w:val="3"/>
        </w:rPr>
        <w:t>《官途</w:t>
      </w:r>
      <w:r>
        <w:rPr>
          <w:spacing w:val="-117"/>
        </w:rPr>
        <w:t>》、</w:t>
      </w:r>
      <w:r>
        <w:rPr>
          <w:spacing w:val="3"/>
        </w:rPr>
        <w:t>《九星霸体诀</w:t>
      </w:r>
      <w:r>
        <w:rPr>
          <w:spacing w:val="-117"/>
        </w:rPr>
        <w:t>》、</w:t>
      </w:r>
      <w:r>
        <w:rPr>
          <w:spacing w:val="3"/>
        </w:rPr>
        <w:t>《超级兵王</w:t>
      </w:r>
      <w:r>
        <w:rPr>
          <w:spacing w:val="-117"/>
        </w:rPr>
        <w:t>》、</w:t>
      </w:r>
      <w:r>
        <w:rPr>
          <w:spacing w:val="3"/>
        </w:rPr>
        <w:t>《修罗武神</w:t>
      </w:r>
      <w:r>
        <w:rPr>
          <w:spacing w:val="-117"/>
        </w:rPr>
        <w:t>》、</w:t>
      </w:r>
      <w:r>
        <w:rPr>
          <w:spacing w:val="3"/>
        </w:rPr>
        <w:t>《权力巅峰</w:t>
      </w:r>
      <w:r>
        <w:rPr>
          <w:spacing w:val="-117"/>
        </w:rPr>
        <w:t>》</w:t>
      </w:r>
      <w:r>
        <w:rPr/>
        <w:t>、</w:t>
      </w:r>
    </w:p>
    <w:p>
      <w:pPr>
        <w:pStyle w:val="BodyText"/>
        <w:spacing w:line="357" w:lineRule="auto" w:before="36"/>
        <w:ind w:right="1092"/>
        <w:jc w:val="left"/>
      </w:pPr>
      <w:r>
        <w:rPr/>
        <w:t>《紫阳》等。所有作品均由专业播音员或名家进行讲播，配以精致的后期编辑，将每部版权</w:t>
      </w:r>
      <w:r>
        <w:rPr>
          <w:spacing w:val="-115"/>
        </w:rPr>
        <w:t> </w:t>
      </w:r>
      <w:r>
        <w:rPr>
          <w:spacing w:val="-115"/>
        </w:rPr>
      </w:r>
      <w:r>
        <w:rPr/>
        <w:t>作品完美转化为有声作品。</w:t>
      </w:r>
    </w:p>
    <w:p>
      <w:pPr>
        <w:pStyle w:val="BodyText"/>
        <w:spacing w:line="240" w:lineRule="auto" w:before="134"/>
        <w:ind w:left="634" w:right="1092"/>
        <w:jc w:val="left"/>
      </w:pPr>
      <w:r>
        <w:rPr/>
        <w:t>此外，公司有声作品在主流听书</w:t>
      </w:r>
      <w:r>
        <w:rPr>
          <w:spacing w:val="-64"/>
        </w:rPr>
        <w:t> </w:t>
      </w:r>
      <w:r>
        <w:rPr>
          <w:rFonts w:ascii="宋体" w:hAnsi="宋体" w:cs="宋体" w:eastAsia="宋体" w:hint="default"/>
        </w:rPr>
        <w:t>APP</w:t>
      </w:r>
      <w:r>
        <w:rPr>
          <w:rFonts w:ascii="宋体" w:hAnsi="宋体" w:cs="宋体" w:eastAsia="宋体" w:hint="default"/>
          <w:spacing w:val="-64"/>
        </w:rPr>
        <w:t> </w:t>
      </w:r>
      <w:r>
        <w:rPr>
          <w:spacing w:val="-5"/>
        </w:rPr>
        <w:t>如：懒人听书、喜马拉雅、蜻蜓</w:t>
      </w:r>
      <w:r>
        <w:rPr>
          <w:spacing w:val="-64"/>
        </w:rPr>
        <w:t> </w:t>
      </w:r>
      <w:r>
        <w:rPr>
          <w:rFonts w:ascii="宋体" w:hAnsi="宋体" w:cs="宋体" w:eastAsia="宋体" w:hint="default"/>
        </w:rPr>
        <w:t>FM</w:t>
      </w:r>
      <w:r>
        <w:rPr>
          <w:rFonts w:ascii="宋体" w:hAnsi="宋体" w:cs="宋体" w:eastAsia="宋体" w:hint="default"/>
          <w:spacing w:val="-64"/>
        </w:rPr>
        <w:t> </w:t>
      </w:r>
      <w:r>
        <w:rPr/>
        <w:t>等各大平台表现</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9"/>
          <w:szCs w:val="29"/>
        </w:rPr>
      </w:pPr>
    </w:p>
    <w:p>
      <w:pPr>
        <w:pStyle w:val="BodyText"/>
        <w:spacing w:line="432" w:lineRule="auto" w:before="26"/>
        <w:ind w:left="634" w:right="1092" w:hanging="480"/>
        <w:jc w:val="left"/>
      </w:pPr>
      <w:r>
        <w:rPr/>
        <w:t>优异，成为各个音频平台最具实力的合作伙伴。 报告期内，公司进一步拓展海外市场业务，在美国畅销榜头部，除了三消、策略、博彩</w:t>
      </w:r>
    </w:p>
    <w:p>
      <w:pPr>
        <w:pStyle w:val="BodyText"/>
        <w:spacing w:line="276" w:lineRule="exact"/>
        <w:ind w:right="0"/>
        <w:jc w:val="both"/>
      </w:pPr>
      <w:r>
        <w:rPr/>
        <w:t>类这些常见品类之外，还有剧情交互体验类游戏。而所谓剧情交互体验类游戏，就是将故事</w:t>
      </w:r>
    </w:p>
    <w:p>
      <w:pPr>
        <w:pStyle w:val="BodyText"/>
        <w:spacing w:line="357" w:lineRule="auto" w:before="154"/>
        <w:ind w:right="1130"/>
        <w:jc w:val="both"/>
      </w:pPr>
      <w:r>
        <w:rPr/>
        <w:t>以对话形式展开，让玩家在一些节点做出自己的选择，不同的选择会通向不同的结果。公司 的互动式视觉阅读平台</w:t>
      </w:r>
      <w:r>
        <w:rPr>
          <w:spacing w:val="-55"/>
        </w:rPr>
        <w:t> </w:t>
      </w:r>
      <w:r>
        <w:rPr>
          <w:rFonts w:ascii="宋体" w:hAnsi="宋体" w:cs="宋体" w:eastAsia="宋体" w:hint="default"/>
        </w:rPr>
        <w:t>Chapters</w:t>
      </w:r>
      <w:r>
        <w:rPr>
          <w:rFonts w:ascii="宋体" w:hAnsi="宋体" w:cs="宋体" w:eastAsia="宋体" w:hint="default"/>
          <w:spacing w:val="-56"/>
        </w:rPr>
        <w:t> </w:t>
      </w:r>
      <w:r>
        <w:rPr/>
        <w:t>自从</w:t>
      </w:r>
      <w:r>
        <w:rPr>
          <w:spacing w:val="-55"/>
        </w:rPr>
        <w:t> </w:t>
      </w:r>
      <w:r>
        <w:rPr>
          <w:rFonts w:ascii="宋体" w:hAnsi="宋体" w:cs="宋体" w:eastAsia="宋体" w:hint="default"/>
        </w:rPr>
        <w:t>2018</w:t>
      </w:r>
      <w:r>
        <w:rPr>
          <w:rFonts w:ascii="宋体" w:hAnsi="宋体" w:cs="宋体" w:eastAsia="宋体" w:hint="default"/>
          <w:spacing w:val="-56"/>
        </w:rPr>
        <w:t> </w:t>
      </w:r>
      <w:r>
        <w:rPr/>
        <w:t>年</w:t>
      </w:r>
      <w:r>
        <w:rPr>
          <w:spacing w:val="-56"/>
        </w:rPr>
        <w:t> </w:t>
      </w:r>
      <w:r>
        <w:rPr>
          <w:rFonts w:ascii="宋体" w:hAnsi="宋体" w:cs="宋体" w:eastAsia="宋体" w:hint="default"/>
        </w:rPr>
        <w:t>2</w:t>
      </w:r>
      <w:r>
        <w:rPr>
          <w:rFonts w:ascii="宋体" w:hAnsi="宋体" w:cs="宋体" w:eastAsia="宋体" w:hint="default"/>
          <w:spacing w:val="-56"/>
        </w:rPr>
        <w:t> </w:t>
      </w:r>
      <w:r>
        <w:rPr/>
        <w:t>月下旬进入美国</w:t>
      </w:r>
      <w:r>
        <w:rPr>
          <w:spacing w:val="-56"/>
        </w:rPr>
        <w:t> </w:t>
      </w:r>
      <w:r>
        <w:rPr>
          <w:rFonts w:ascii="宋体" w:hAnsi="宋体" w:cs="宋体" w:eastAsia="宋体" w:hint="default"/>
        </w:rPr>
        <w:t>iPhone Top Grossing</w:t>
      </w:r>
      <w:r>
        <w:rPr>
          <w:rFonts w:ascii="宋体" w:hAnsi="宋体" w:cs="宋体" w:eastAsia="宋体" w:hint="default"/>
          <w:spacing w:val="-56"/>
        </w:rPr>
        <w:t> </w:t>
      </w:r>
      <w:r>
        <w:rPr/>
        <w:t>榜单 后，基本稳定在</w:t>
      </w:r>
      <w:r>
        <w:rPr>
          <w:spacing w:val="-60"/>
        </w:rPr>
        <w:t> </w:t>
      </w:r>
      <w:r>
        <w:rPr>
          <w:rFonts w:ascii="宋体" w:hAnsi="宋体" w:cs="宋体" w:eastAsia="宋体" w:hint="default"/>
        </w:rPr>
        <w:t>100</w:t>
      </w:r>
      <w:r>
        <w:rPr>
          <w:rFonts w:ascii="宋体" w:hAnsi="宋体" w:cs="宋体" w:eastAsia="宋体" w:hint="default"/>
          <w:spacing w:val="-60"/>
        </w:rPr>
        <w:t> </w:t>
      </w:r>
      <w:r>
        <w:rPr/>
        <w:t>名左右。</w:t>
      </w:r>
    </w:p>
    <w:p>
      <w:pPr>
        <w:spacing w:line="240" w:lineRule="auto" w:before="6"/>
        <w:rPr>
          <w:rFonts w:ascii="宋体" w:hAnsi="宋体" w:cs="宋体" w:eastAsia="宋体" w:hint="default"/>
          <w:sz w:val="9"/>
          <w:szCs w:val="9"/>
        </w:rPr>
      </w:pPr>
    </w:p>
    <w:p>
      <w:pPr>
        <w:spacing w:line="4936" w:lineRule="exact"/>
        <w:ind w:left="1488" w:right="0" w:firstLine="0"/>
        <w:rPr>
          <w:rFonts w:ascii="宋体" w:hAnsi="宋体" w:cs="宋体" w:eastAsia="宋体" w:hint="default"/>
          <w:sz w:val="20"/>
          <w:szCs w:val="20"/>
        </w:rPr>
      </w:pPr>
      <w:r>
        <w:rPr>
          <w:rFonts w:ascii="宋体" w:hAnsi="宋体" w:cs="宋体" w:eastAsia="宋体" w:hint="default"/>
          <w:position w:val="-98"/>
          <w:sz w:val="20"/>
          <w:szCs w:val="20"/>
        </w:rPr>
        <w:pict>
          <v:group style="width:348.5pt;height:246.8pt;mso-position-horizontal-relative:char;mso-position-vertical-relative:line" coordorigin="0,0" coordsize="6970,4936">
            <v:shape style="position:absolute;left:0;top:0;width:2477;height:4936" type="#_x0000_t75" stroked="false">
              <v:imagedata r:id="rId16" o:title=""/>
            </v:shape>
            <v:shape style="position:absolute;left:2477;top:30;width:2275;height:4906" type="#_x0000_t75" stroked="false">
              <v:imagedata r:id="rId17" o:title=""/>
            </v:shape>
            <v:shape style="position:absolute;left:4752;top:0;width:2218;height:4936" type="#_x0000_t75" stroked="false">
              <v:imagedata r:id="rId18" o:title=""/>
            </v:shape>
          </v:group>
        </w:pict>
      </w:r>
      <w:r>
        <w:rPr>
          <w:rFonts w:ascii="宋体" w:hAnsi="宋体" w:cs="宋体" w:eastAsia="宋体" w:hint="default"/>
          <w:position w:val="-98"/>
          <w:sz w:val="20"/>
          <w:szCs w:val="20"/>
        </w:rPr>
      </w:r>
    </w:p>
    <w:p>
      <w:pPr>
        <w:spacing w:line="240" w:lineRule="auto" w:before="12"/>
        <w:rPr>
          <w:rFonts w:ascii="宋体" w:hAnsi="宋体" w:cs="宋体" w:eastAsia="宋体" w:hint="default"/>
          <w:sz w:val="10"/>
          <w:szCs w:val="10"/>
        </w:rPr>
      </w:pPr>
    </w:p>
    <w:p>
      <w:pPr>
        <w:pStyle w:val="BodyText"/>
        <w:spacing w:line="432" w:lineRule="auto" w:before="26"/>
        <w:ind w:left="634" w:right="1118"/>
        <w:jc w:val="left"/>
      </w:pPr>
      <w:r>
        <w:rPr>
          <w:rFonts w:ascii="宋体" w:hAnsi="宋体" w:cs="宋体" w:eastAsia="宋体" w:hint="default"/>
        </w:rPr>
        <w:t>4</w:t>
      </w:r>
      <w:r>
        <w:rPr/>
        <w:t>、维权业务稳步发展，持续推动知识产权保护 公司具备规模化、专业化的法律团队，维权行动遍布全部</w:t>
      </w:r>
      <w:r>
        <w:rPr>
          <w:spacing w:val="-73"/>
        </w:rPr>
        <w:t> </w:t>
      </w:r>
      <w:r>
        <w:rPr>
          <w:rFonts w:ascii="宋体" w:hAnsi="宋体" w:cs="宋体" w:eastAsia="宋体" w:hint="default"/>
        </w:rPr>
        <w:t>20</w:t>
      </w:r>
      <w:r>
        <w:rPr>
          <w:rFonts w:ascii="宋体" w:hAnsi="宋体" w:cs="宋体" w:eastAsia="宋体" w:hint="default"/>
          <w:spacing w:val="-73"/>
        </w:rPr>
        <w:t> </w:t>
      </w:r>
      <w:r>
        <w:rPr>
          <w:spacing w:val="-5"/>
        </w:rPr>
        <w:t>多个省、市、自治区，先后</w:t>
      </w:r>
    </w:p>
    <w:p>
      <w:pPr>
        <w:pStyle w:val="BodyText"/>
        <w:spacing w:line="277" w:lineRule="exact"/>
        <w:ind w:right="1092"/>
        <w:jc w:val="left"/>
      </w:pPr>
      <w:r>
        <w:rPr/>
        <w:t>起诉了盗版网站上千家，运作维权案件近万起，涉案作品超过十万部。</w:t>
      </w:r>
    </w:p>
    <w:p>
      <w:pPr>
        <w:spacing w:line="240" w:lineRule="auto" w:before="5"/>
        <w:rPr>
          <w:rFonts w:ascii="宋体" w:hAnsi="宋体" w:cs="宋体" w:eastAsia="宋体" w:hint="default"/>
          <w:sz w:val="19"/>
          <w:szCs w:val="19"/>
        </w:rPr>
      </w:pPr>
    </w:p>
    <w:p>
      <w:pPr>
        <w:pStyle w:val="BodyText"/>
        <w:spacing w:line="357" w:lineRule="auto"/>
        <w:ind w:right="1132" w:firstLine="480"/>
        <w:jc w:val="both"/>
      </w:pPr>
      <w:r>
        <w:rPr/>
        <w:t>报告期内，公司就美国苹果公司等数十家公司在互联网擅自传播中文在线享有权利的作 品，陆续向北京市东城区人民法院等多家司法机关提起诉讼，累计立案</w:t>
      </w:r>
      <w:r>
        <w:rPr>
          <w:spacing w:val="-86"/>
        </w:rPr>
        <w:t> </w:t>
      </w:r>
      <w:r>
        <w:rPr>
          <w:rFonts w:ascii="宋体" w:hAnsi="宋体" w:cs="宋体" w:eastAsia="宋体" w:hint="default"/>
        </w:rPr>
        <w:t>1200</w:t>
      </w:r>
      <w:r>
        <w:rPr>
          <w:rFonts w:ascii="宋体" w:hAnsi="宋体" w:cs="宋体" w:eastAsia="宋体" w:hint="default"/>
          <w:spacing w:val="-87"/>
        </w:rPr>
        <w:t> </w:t>
      </w:r>
      <w:r>
        <w:rPr>
          <w:spacing w:val="-4"/>
        </w:rPr>
        <w:t>余起，涉及周梅</w:t>
      </w:r>
      <w:r>
        <w:rPr/>
        <w:t> </w:t>
      </w:r>
      <w:r>
        <w:rPr>
          <w:spacing w:val="-17"/>
        </w:rPr>
        <w:t>森《人民的名义》，二月河“帝王三部曲”，王跃文《国画》、《大清相国》，毕飞宇《推拿》及</w:t>
      </w:r>
      <w:r>
        <w:rPr>
          <w:spacing w:val="-78"/>
        </w:rPr>
        <w:t> </w:t>
      </w:r>
      <w:r>
        <w:rPr>
          <w:spacing w:val="-78"/>
        </w:rPr>
      </w:r>
      <w:r>
        <w:rPr>
          <w:spacing w:val="-20"/>
        </w:rPr>
        <w:t>畅销网络小说《龙血战神》、《万古仙穹》、《仕途天骄》、《权力巅峰》等作品</w:t>
      </w:r>
      <w:r>
        <w:rPr>
          <w:spacing w:val="-60"/>
        </w:rPr>
        <w:t> </w:t>
      </w:r>
      <w:r>
        <w:rPr>
          <w:rFonts w:ascii="宋体" w:hAnsi="宋体" w:cs="宋体" w:eastAsia="宋体" w:hint="default"/>
        </w:rPr>
        <w:t>1400</w:t>
      </w:r>
      <w:r>
        <w:rPr>
          <w:rFonts w:ascii="宋体" w:hAnsi="宋体" w:cs="宋体" w:eastAsia="宋体" w:hint="default"/>
          <w:spacing w:val="-60"/>
        </w:rPr>
        <w:t> </w:t>
      </w:r>
      <w:r>
        <w:rPr/>
        <w:t>余部。</w:t>
      </w:r>
    </w:p>
    <w:p>
      <w:pPr>
        <w:pStyle w:val="BodyText"/>
        <w:spacing w:line="357" w:lineRule="auto" w:before="134"/>
        <w:ind w:right="1133" w:firstLine="480"/>
        <w:jc w:val="both"/>
      </w:pPr>
      <w:r>
        <w:rPr/>
        <w:t>报告期内，北京互联网法院成立，案件的受理、送达、调解、庭审、宣判等诉讼环节全 部线上完成，同时实行速裁制度，大大加快了网络著作权案件的审理进程，可有效保障同一 时期内结案数量的大幅提升。此外，北京市高级人民法院发布《关于加强知识产权促进创新 </w:t>
      </w:r>
      <w:r>
        <w:rPr>
          <w:spacing w:val="-5"/>
        </w:rPr>
        <w:t>发展的若干意见》，着重解决制约知识产权审判的举证难、赔偿低、审判周期长等问题，进一</w:t>
      </w:r>
      <w:r>
        <w:rPr/>
        <w:t> 步优化知识产权维权诉讼的司法环境。</w:t>
      </w:r>
    </w:p>
    <w:p>
      <w:pPr>
        <w:spacing w:after="0" w:line="357" w:lineRule="auto"/>
        <w:jc w:val="both"/>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8" w:firstLine="480"/>
        <w:jc w:val="both"/>
      </w:pPr>
      <w:r>
        <w:rPr/>
        <w:t>公司将持续在全国多地区部署实施开展知识产权保护工作，进一步加强知识产权保护的 深度和广度，并通过知识产权维权案件数量的增长，切实落实知识产权保护工作。在发挥民</w:t>
      </w:r>
      <w:r>
        <w:rPr>
          <w:spacing w:val="-116"/>
        </w:rPr>
        <w:t> </w:t>
      </w:r>
      <w:r>
        <w:rPr>
          <w:spacing w:val="-116"/>
        </w:rPr>
      </w:r>
      <w:r>
        <w:rPr/>
        <w:t>事诉讼的作为主要的知识产权保护方式的同时，将进一步加强与有关行政执法、公安机关等 部门的沟通联络，增加知识产权行政保护、刑事保护的投入力度，寻求全方位、多元化知识 产权保护方式。</w:t>
      </w:r>
    </w:p>
    <w:p>
      <w:pPr>
        <w:pStyle w:val="BodyText"/>
        <w:spacing w:line="434" w:lineRule="auto" w:before="136"/>
        <w:ind w:left="634" w:right="1092"/>
        <w:jc w:val="left"/>
      </w:pPr>
      <w:r>
        <w:rPr>
          <w:rFonts w:ascii="宋体" w:hAnsi="宋体" w:cs="宋体" w:eastAsia="宋体" w:hint="default"/>
        </w:rPr>
        <w:t>5</w:t>
      </w:r>
      <w:r>
        <w:rPr/>
        <w:t>、游戏业务受政策影响未达预期 报告期内，公司完成了对晨之科的重大资产重组，因游戏行业面临日渐严格的监管环境</w:t>
      </w:r>
    </w:p>
    <w:p>
      <w:pPr>
        <w:pStyle w:val="BodyText"/>
        <w:spacing w:line="274" w:lineRule="exact"/>
        <w:ind w:right="0"/>
        <w:jc w:val="both"/>
      </w:pPr>
      <w:r>
        <w:rPr/>
        <w:t>以及游戏版号冻结、总量调控等政策性因素影响，晨之科经营业绩远低于预期。晨之科在游</w:t>
      </w:r>
    </w:p>
    <w:p>
      <w:pPr>
        <w:pStyle w:val="BodyText"/>
        <w:spacing w:line="357" w:lineRule="auto" w:before="154"/>
        <w:ind w:right="1130"/>
        <w:jc w:val="both"/>
      </w:pPr>
      <w:r>
        <w:rPr/>
        <w:t>戏版号停发之后并未有新游戏上线，</w:t>
      </w:r>
      <w:r>
        <w:rPr>
          <w:rFonts w:ascii="宋体" w:hAnsi="宋体" w:cs="宋体" w:eastAsia="宋体" w:hint="default"/>
        </w:rPr>
        <w:t>2018</w:t>
      </w:r>
      <w:r>
        <w:rPr>
          <w:rFonts w:ascii="宋体" w:hAnsi="宋体" w:cs="宋体" w:eastAsia="宋体" w:hint="default"/>
          <w:spacing w:val="-79"/>
        </w:rPr>
        <w:t> </w:t>
      </w:r>
      <w:r>
        <w:rPr/>
        <w:t>年主要收入贡献仍然主要为之前的游戏项目，晨之 科的游戏版权资源储备未能如期上线运营导致游戏收入未如预期带来较大的增长，故晨之科 于 </w:t>
      </w:r>
      <w:r>
        <w:rPr>
          <w:rFonts w:ascii="宋体" w:hAnsi="宋体" w:cs="宋体" w:eastAsia="宋体" w:hint="default"/>
        </w:rPr>
        <w:t>2018</w:t>
      </w:r>
      <w:r>
        <w:rPr>
          <w:rFonts w:ascii="宋体" w:hAnsi="宋体" w:cs="宋体" w:eastAsia="宋体" w:hint="default"/>
          <w:spacing w:val="-93"/>
        </w:rPr>
        <w:t> </w:t>
      </w:r>
      <w:r>
        <w:rPr>
          <w:spacing w:val="-3"/>
        </w:rPr>
        <w:t>年年中后转向海外发行，但由于海外上线时间较短加之宣发力度致使成本较高，海外</w:t>
      </w:r>
      <w:r>
        <w:rPr/>
        <w:t> 市场收入未形成盈利。</w:t>
      </w:r>
    </w:p>
    <w:p>
      <w:pPr>
        <w:pStyle w:val="BodyText"/>
        <w:spacing w:line="240" w:lineRule="auto" w:before="134"/>
        <w:ind w:left="634" w:right="0"/>
        <w:jc w:val="left"/>
      </w:pPr>
      <w:r>
        <w:rPr/>
        <w:t>晨之科</w:t>
      </w:r>
      <w:r>
        <w:rPr>
          <w:spacing w:val="-60"/>
        </w:rPr>
        <w:t> </w:t>
      </w:r>
      <w:r>
        <w:rPr>
          <w:rFonts w:ascii="宋体" w:hAnsi="宋体" w:cs="宋体" w:eastAsia="宋体" w:hint="default"/>
        </w:rPr>
        <w:t>2018</w:t>
      </w:r>
      <w:r>
        <w:rPr>
          <w:rFonts w:ascii="宋体" w:hAnsi="宋体" w:cs="宋体" w:eastAsia="宋体" w:hint="default"/>
          <w:spacing w:val="-60"/>
        </w:rPr>
        <w:t> </w:t>
      </w:r>
      <w:r>
        <w:rPr/>
        <w:t>年运营的主要游戏</w:t>
      </w:r>
      <w:r>
        <w:rPr>
          <w:spacing w:val="-21"/>
        </w:rPr>
        <w:t>有</w:t>
      </w:r>
      <w:r>
        <w:rPr/>
        <w:t>《幻想计划</w:t>
      </w:r>
      <w:r>
        <w:rPr>
          <w:spacing w:val="-120"/>
        </w:rPr>
        <w:t>》</w:t>
      </w:r>
      <w:r>
        <w:rPr>
          <w:spacing w:val="-141"/>
        </w:rPr>
        <w:t>、</w:t>
      </w:r>
      <w:r>
        <w:rPr/>
        <w:t>《姬斗无双</w:t>
      </w:r>
      <w:r>
        <w:rPr>
          <w:spacing w:val="-120"/>
        </w:rPr>
        <w:t>》</w:t>
      </w:r>
      <w:r>
        <w:rPr>
          <w:spacing w:val="-141"/>
        </w:rPr>
        <w:t>、</w:t>
      </w:r>
      <w:r>
        <w:rPr/>
        <w:t>《铁甲舰队</w:t>
      </w:r>
      <w:r>
        <w:rPr>
          <w:spacing w:val="-120"/>
        </w:rPr>
        <w:t>》</w:t>
      </w:r>
      <w:r>
        <w:rPr>
          <w:spacing w:val="-141"/>
        </w:rPr>
        <w:t>、</w:t>
      </w:r>
      <w:r>
        <w:rPr/>
        <w:t>《铁甲战姬</w:t>
      </w:r>
      <w:r>
        <w:rPr>
          <w:spacing w:val="-120"/>
        </w:rPr>
        <w:t>》</w:t>
      </w:r>
      <w:r>
        <w:rPr/>
        <w:t>、</w:t>
      </w:r>
    </w:p>
    <w:p>
      <w:pPr>
        <w:pStyle w:val="BodyText"/>
        <w:spacing w:line="360" w:lineRule="auto" w:before="154"/>
        <w:ind w:right="1132"/>
        <w:jc w:val="both"/>
      </w:pPr>
      <w:r>
        <w:rPr/>
        <w:t>『神無月</w:t>
      </w:r>
      <w:r>
        <w:rPr>
          <w:spacing w:val="-12"/>
        </w:rPr>
        <w:t>』</w:t>
      </w:r>
      <w:r>
        <w:rPr>
          <w:rFonts w:ascii="宋体" w:hAnsi="宋体" w:cs="宋体" w:eastAsia="宋体" w:hint="default"/>
          <w:spacing w:val="-12"/>
        </w:rPr>
        <w:t>/</w:t>
      </w:r>
      <w:r>
        <w:rPr/>
        <w:t>《神无月</w:t>
      </w:r>
      <w:r>
        <w:rPr>
          <w:spacing w:val="-120"/>
        </w:rPr>
        <w:t>》</w:t>
      </w:r>
      <w:r>
        <w:rPr>
          <w:spacing w:val="-132"/>
        </w:rPr>
        <w:t>、</w:t>
      </w:r>
      <w:r>
        <w:rPr/>
        <w:t>『アビス</w:t>
      </w:r>
      <w:r>
        <w:rPr>
          <w:rFonts w:ascii="MS Gothic" w:hAnsi="MS Gothic" w:cs="MS Gothic" w:eastAsia="MS Gothic" w:hint="default"/>
        </w:rPr>
        <w:t>・</w:t>
      </w:r>
      <w:r>
        <w:rPr/>
        <w:t>ホライズン</w:t>
      </w:r>
      <w:r>
        <w:rPr>
          <w:spacing w:val="-12"/>
        </w:rPr>
        <w:t>』</w:t>
      </w:r>
      <w:r>
        <w:rPr>
          <w:rFonts w:ascii="宋体" w:hAnsi="宋体" w:cs="宋体" w:eastAsia="宋体" w:hint="default"/>
          <w:spacing w:val="-12"/>
        </w:rPr>
        <w:t>/</w:t>
      </w:r>
      <w:r>
        <w:rPr/>
        <w:t>《深渊地平线</w:t>
      </w:r>
      <w:r>
        <w:rPr>
          <w:spacing w:val="-120"/>
        </w:rPr>
        <w:t>》</w:t>
      </w:r>
      <w:r>
        <w:rPr>
          <w:spacing w:val="-132"/>
        </w:rPr>
        <w:t>、</w:t>
      </w:r>
      <w:r>
        <w:rPr/>
        <w:t>《恶灵退散</w:t>
      </w:r>
      <w:r>
        <w:rPr>
          <w:spacing w:val="-120"/>
        </w:rPr>
        <w:t>》</w:t>
      </w:r>
      <w:r>
        <w:rPr>
          <w:spacing w:val="-132"/>
        </w:rPr>
        <w:t>、</w:t>
      </w:r>
      <w:r>
        <w:rPr/>
        <w:t>《百姫退</w:t>
      </w:r>
      <w:r>
        <w:rPr>
          <w:spacing w:val="1"/>
        </w:rPr>
        <w:t>魔</w:t>
      </w:r>
      <w:r>
        <w:rPr>
          <w:rFonts w:ascii="宋体" w:hAnsi="宋体" w:cs="宋体" w:eastAsia="宋体" w:hint="default"/>
        </w:rPr>
        <w:t>- </w:t>
      </w:r>
      <w:r>
        <w:rPr/>
        <w:t>放課後少女</w:t>
      </w:r>
      <w:r>
        <w:rPr>
          <w:rFonts w:ascii="宋体" w:hAnsi="宋体" w:cs="宋体" w:eastAsia="宋体" w:hint="default"/>
        </w:rPr>
        <w:t>-</w:t>
      </w:r>
      <w:r>
        <w:rPr>
          <w:spacing w:val="-120"/>
        </w:rPr>
        <w:t>》。</w:t>
      </w:r>
      <w:r>
        <w:rPr/>
      </w:r>
    </w:p>
    <w:p>
      <w:pPr>
        <w:pStyle w:val="BodyText"/>
        <w:spacing w:line="434" w:lineRule="auto" w:before="133"/>
        <w:ind w:left="634" w:right="999"/>
        <w:jc w:val="left"/>
      </w:pPr>
      <w:r>
        <w:rPr/>
        <w:t>（二）教育业务板块 </w:t>
      </w:r>
      <w:r>
        <w:rPr>
          <w:spacing w:val="-3"/>
        </w:rPr>
        <w:t>教育领域是数字出版极具潜力的发展方向之一，经过十几年在教育资源领域的深耕细作，</w:t>
      </w:r>
    </w:p>
    <w:p>
      <w:pPr>
        <w:pStyle w:val="BodyText"/>
        <w:spacing w:line="274" w:lineRule="exact"/>
        <w:ind w:right="0"/>
        <w:jc w:val="both"/>
      </w:pPr>
      <w:r>
        <w:rPr/>
        <w:t>公司已经积累了众多教育领域客户群体和渠道资源，形成了一整套应用指导服务体系。报告</w:t>
      </w:r>
    </w:p>
    <w:p>
      <w:pPr>
        <w:pStyle w:val="BodyText"/>
        <w:spacing w:line="357" w:lineRule="auto" w:before="154"/>
        <w:ind w:right="1132"/>
        <w:jc w:val="both"/>
      </w:pPr>
      <w:r>
        <w:rPr/>
        <w:t>期内，公司教育业务实现营业收入 </w:t>
      </w:r>
      <w:r>
        <w:rPr>
          <w:rFonts w:ascii="宋体" w:hAnsi="宋体" w:cs="宋体" w:eastAsia="宋体" w:hint="default"/>
        </w:rPr>
        <w:t>8,641.13 </w:t>
      </w:r>
      <w:r>
        <w:rPr/>
        <w:t>万元，较去年同期下降</w:t>
      </w:r>
      <w:r>
        <w:rPr>
          <w:spacing w:val="-84"/>
        </w:rPr>
        <w:t> </w:t>
      </w:r>
      <w:r>
        <w:rPr>
          <w:rFonts w:ascii="宋体" w:hAnsi="宋体" w:cs="宋体" w:eastAsia="宋体" w:hint="default"/>
        </w:rPr>
        <w:t>17.40%</w:t>
      </w:r>
      <w:r>
        <w:rPr/>
        <w:t>。主要业务板块 包括教育阅读业务及教育服务业务。</w:t>
      </w:r>
    </w:p>
    <w:p>
      <w:pPr>
        <w:pStyle w:val="BodyText"/>
        <w:spacing w:line="432" w:lineRule="auto" w:before="136"/>
        <w:ind w:left="634" w:right="1092"/>
        <w:jc w:val="left"/>
      </w:pPr>
      <w:r>
        <w:rPr>
          <w:rFonts w:ascii="宋体" w:hAnsi="宋体" w:cs="宋体" w:eastAsia="宋体" w:hint="default"/>
        </w:rPr>
        <w:t>1</w:t>
      </w:r>
      <w:r>
        <w:rPr/>
        <w:t>、阅读服务业务 </w:t>
      </w:r>
      <w:r>
        <w:rPr>
          <w:spacing w:val="-6"/>
        </w:rPr>
        <w:t>公司阅读服务包括“书香中国”全民阅读服务平台、数字图书馆、“慧读”基础教育阅读</w:t>
      </w:r>
    </w:p>
    <w:p>
      <w:pPr>
        <w:pStyle w:val="BodyText"/>
        <w:spacing w:line="276" w:lineRule="exact"/>
        <w:ind w:right="0"/>
        <w:jc w:val="both"/>
      </w:pPr>
      <w:r>
        <w:rPr/>
        <w:t>平台构成</w:t>
      </w:r>
      <w:r>
        <w:rPr>
          <w:spacing w:val="-17"/>
        </w:rPr>
        <w:t>。</w:t>
      </w:r>
      <w:r>
        <w:rPr/>
        <w:t>公司旗下在线阅读平</w:t>
      </w:r>
      <w:r>
        <w:rPr>
          <w:spacing w:val="-17"/>
        </w:rPr>
        <w:t>台</w:t>
      </w:r>
      <w:r>
        <w:rPr/>
        <w:t>“书香中国</w:t>
      </w:r>
      <w:r>
        <w:rPr>
          <w:spacing w:val="-120"/>
        </w:rPr>
        <w:t>”</w:t>
      </w:r>
      <w:r>
        <w:rPr>
          <w:spacing w:val="-17"/>
        </w:rPr>
        <w:t>，</w:t>
      </w:r>
      <w:r>
        <w:rPr/>
        <w:t>采</w:t>
      </w:r>
      <w:r>
        <w:rPr>
          <w:spacing w:val="-17"/>
        </w:rPr>
        <w:t>用</w:t>
      </w:r>
      <w:r>
        <w:rPr/>
        <w:t>“</w:t>
      </w:r>
      <w:r>
        <w:rPr>
          <w:spacing w:val="1"/>
        </w:rPr>
        <w:t>云</w:t>
      </w:r>
      <w:r>
        <w:rPr>
          <w:rFonts w:ascii="宋体" w:hAnsi="宋体" w:cs="宋体" w:eastAsia="宋体" w:hint="default"/>
        </w:rPr>
        <w:t>+</w:t>
      </w:r>
      <w:r>
        <w:rPr/>
        <w:t>端”模式</w:t>
      </w:r>
      <w:r>
        <w:rPr>
          <w:spacing w:val="-17"/>
        </w:rPr>
        <w:t>，</w:t>
      </w:r>
      <w:r>
        <w:rPr/>
        <w:t>为用户提供</w:t>
      </w:r>
      <w:r>
        <w:rPr>
          <w:spacing w:val="-60"/>
        </w:rPr>
        <w:t> </w:t>
      </w:r>
      <w:r>
        <w:rPr>
          <w:rFonts w:ascii="宋体" w:hAnsi="宋体" w:cs="宋体" w:eastAsia="宋体" w:hint="default"/>
        </w:rPr>
        <w:t>24</w:t>
      </w:r>
      <w:r>
        <w:rPr>
          <w:rFonts w:ascii="宋体" w:hAnsi="宋体" w:cs="宋体" w:eastAsia="宋体" w:hint="default"/>
          <w:spacing w:val="-60"/>
        </w:rPr>
        <w:t> </w:t>
      </w:r>
      <w:r>
        <w:rPr/>
        <w:t>小时无</w:t>
      </w:r>
    </w:p>
    <w:p>
      <w:pPr>
        <w:pStyle w:val="BodyText"/>
        <w:spacing w:line="357" w:lineRule="auto" w:before="154"/>
        <w:ind w:right="1129"/>
        <w:jc w:val="both"/>
      </w:pPr>
      <w:r>
        <w:rPr/>
        <w:t>墙化不闭馆的数字图书馆。以“书香中国”数字阅读平台和云屏数字借阅机为核心产品的全</w:t>
      </w:r>
      <w:r>
        <w:rPr>
          <w:spacing w:val="-113"/>
        </w:rPr>
        <w:t> </w:t>
      </w:r>
      <w:r>
        <w:rPr>
          <w:spacing w:val="-113"/>
        </w:rPr>
      </w:r>
      <w:r>
        <w:rPr/>
        <w:t>民阅读业务在国内同行业处于前三名的地位。公司同时也为迎合图书馆行业的数字化、阅读</w:t>
      </w:r>
      <w:r>
        <w:rPr>
          <w:spacing w:val="-109"/>
        </w:rPr>
        <w:t> </w:t>
      </w:r>
      <w:r>
        <w:rPr>
          <w:spacing w:val="-109"/>
        </w:rPr>
      </w:r>
      <w:r>
        <w:rPr/>
        <w:t>大数据的需求，为各类公共图书馆、高校图书馆及中小学图书馆构建数字图书馆。公司作为</w:t>
      </w:r>
      <w:r>
        <w:rPr/>
        <w:t> 全民阅读行业的领军企业之一，在行业内树立了良好的口碑，得到了许多客户的认可，“书</w:t>
      </w:r>
      <w:r>
        <w:rPr>
          <w:spacing w:val="-110"/>
        </w:rPr>
        <w:t> </w:t>
      </w:r>
      <w:r>
        <w:rPr>
          <w:spacing w:val="-110"/>
        </w:rPr>
      </w:r>
      <w:r>
        <w:rPr/>
        <w:t>香清华”、“书香川大”、“书香首图”、“书香江淮”、“书香东城”等高校图书馆、公</w:t>
      </w:r>
    </w:p>
    <w:p>
      <w:pPr>
        <w:spacing w:after="0" w:line="357" w:lineRule="auto"/>
        <w:jc w:val="both"/>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29"/>
        <w:jc w:val="both"/>
      </w:pPr>
      <w:r>
        <w:rPr/>
        <w:t>共图书馆和公司合作推出的数字阅读服务得到了众多读者的好评。目前国内有许多高校图书 馆和公共图书馆在使用公司的“书香中国”平台、相关产品。报告期内，公司持续深化提供</w:t>
      </w:r>
      <w:r>
        <w:rPr>
          <w:spacing w:val="-113"/>
        </w:rPr>
        <w:t> </w:t>
      </w:r>
      <w:r>
        <w:rPr>
          <w:spacing w:val="-113"/>
        </w:rPr>
      </w:r>
      <w:r>
        <w:rPr/>
        <w:t>“书香江苏”、“书香八闽”、“书香东城”等省市网络阅读服务和“书香清华”、“书香</w:t>
      </w:r>
      <w:r>
        <w:rPr>
          <w:spacing w:val="-96"/>
        </w:rPr>
        <w:t> </w:t>
      </w:r>
      <w:r>
        <w:rPr>
          <w:spacing w:val="-96"/>
        </w:rPr>
      </w:r>
      <w:r>
        <w:rPr/>
        <w:t>人大”、“书香川大”等高校网络阅读服务。</w:t>
      </w:r>
    </w:p>
    <w:p>
      <w:pPr>
        <w:pStyle w:val="BodyText"/>
        <w:spacing w:line="357" w:lineRule="auto" w:before="134"/>
        <w:ind w:right="1132" w:firstLine="480"/>
        <w:jc w:val="both"/>
      </w:pPr>
      <w:r>
        <w:rPr/>
        <w:t>公司教育行业阅读产品还包括云屏数字借阅机、蓝阅移动阅读平台等相关产品，纵贯中 小学并延伸至高校及公共图书馆等机构客户，形成在线教育行业阅读产品全覆盖。以云屏数 字借阅机为例，其云资源可在线提供</w:t>
      </w:r>
      <w:r>
        <w:rPr>
          <w:spacing w:val="-65"/>
        </w:rPr>
        <w:t> </w:t>
      </w:r>
      <w:r>
        <w:rPr>
          <w:rFonts w:ascii="宋体" w:hAnsi="宋体" w:cs="宋体" w:eastAsia="宋体" w:hint="default"/>
        </w:rPr>
        <w:t>10</w:t>
      </w:r>
      <w:r>
        <w:rPr>
          <w:rFonts w:ascii="宋体" w:hAnsi="宋体" w:cs="宋体" w:eastAsia="宋体" w:hint="default"/>
          <w:spacing w:val="-65"/>
        </w:rPr>
        <w:t> </w:t>
      </w:r>
      <w:r>
        <w:rPr/>
        <w:t>万册图书，</w:t>
      </w:r>
      <w:r>
        <w:rPr>
          <w:rFonts w:ascii="宋体" w:hAnsi="宋体" w:cs="宋体" w:eastAsia="宋体" w:hint="default"/>
        </w:rPr>
        <w:t>3</w:t>
      </w:r>
      <w:r>
        <w:rPr>
          <w:rFonts w:ascii="宋体" w:hAnsi="宋体" w:cs="宋体" w:eastAsia="宋体" w:hint="default"/>
          <w:spacing w:val="-65"/>
        </w:rPr>
        <w:t> </w:t>
      </w:r>
      <w:r>
        <w:rPr/>
        <w:t>万集听书，</w:t>
      </w:r>
      <w:r>
        <w:rPr>
          <w:rFonts w:ascii="宋体" w:hAnsi="宋体" w:cs="宋体" w:eastAsia="宋体" w:hint="default"/>
        </w:rPr>
        <w:t>30</w:t>
      </w:r>
      <w:r>
        <w:rPr>
          <w:rFonts w:ascii="宋体" w:hAnsi="宋体" w:cs="宋体" w:eastAsia="宋体" w:hint="default"/>
          <w:spacing w:val="-65"/>
        </w:rPr>
        <w:t> </w:t>
      </w:r>
      <w:r>
        <w:rPr/>
        <w:t>万套试卷，</w:t>
      </w:r>
      <w:r>
        <w:rPr>
          <w:rFonts w:ascii="宋体" w:hAnsi="宋体" w:cs="宋体" w:eastAsia="宋体" w:hint="default"/>
        </w:rPr>
        <w:t>2</w:t>
      </w:r>
      <w:r>
        <w:rPr>
          <w:rFonts w:ascii="宋体" w:hAnsi="宋体" w:cs="宋体" w:eastAsia="宋体" w:hint="default"/>
          <w:spacing w:val="-65"/>
        </w:rPr>
        <w:t> </w:t>
      </w:r>
      <w:r>
        <w:rPr/>
        <w:t>万多种中小 学课件，</w:t>
      </w:r>
      <w:r>
        <w:rPr>
          <w:rFonts w:ascii="宋体" w:hAnsi="宋体" w:cs="宋体" w:eastAsia="宋体" w:hint="default"/>
        </w:rPr>
        <w:t>1,500</w:t>
      </w:r>
      <w:r>
        <w:rPr>
          <w:rFonts w:ascii="宋体" w:hAnsi="宋体" w:cs="宋体" w:eastAsia="宋体" w:hint="default"/>
          <w:spacing w:val="-60"/>
        </w:rPr>
        <w:t> </w:t>
      </w:r>
      <w:r>
        <w:rPr/>
        <w:t>种期刊，</w:t>
      </w:r>
      <w:r>
        <w:rPr>
          <w:rFonts w:ascii="宋体" w:hAnsi="宋体" w:cs="宋体" w:eastAsia="宋体" w:hint="default"/>
        </w:rPr>
        <w:t>50</w:t>
      </w:r>
      <w:r>
        <w:rPr>
          <w:rFonts w:ascii="宋体" w:hAnsi="宋体" w:cs="宋体" w:eastAsia="宋体" w:hint="default"/>
          <w:spacing w:val="-60"/>
        </w:rPr>
        <w:t> </w:t>
      </w:r>
      <w:r>
        <w:rPr/>
        <w:t>万分钟以上视频等资源。</w:t>
      </w:r>
    </w:p>
    <w:p>
      <w:pPr>
        <w:pStyle w:val="BodyText"/>
        <w:spacing w:line="357" w:lineRule="auto" w:before="136"/>
        <w:ind w:right="1109" w:firstLine="480"/>
        <w:jc w:val="both"/>
      </w:pPr>
      <w:r>
        <w:rPr/>
        <w:t>针对基础教育行业市场，由于高考改革的深入推进，语文学习更加得到中小学及家长的 重视，阅读作为语文学习的基础，日益受到教育部门和学校的关注。公司研发了专为中小学 </w:t>
      </w:r>
      <w:r>
        <w:rPr>
          <w:spacing w:val="-5"/>
        </w:rPr>
        <w:t>生、教师和家长设计的分级阅读平台——“慧读”。慧读平台是专为中小学生、教师和家长设</w:t>
      </w:r>
      <w:r>
        <w:rPr/>
        <w:t> 计的分级阅读平台，产品根据图书分级标准、新课程标准、专题教育大纲，首创“泛读、精 </w:t>
      </w:r>
      <w:r>
        <w:rPr>
          <w:spacing w:val="-3"/>
        </w:rPr>
        <w:t>读、研读</w:t>
      </w:r>
      <w:r>
        <w:rPr>
          <w:rFonts w:ascii="宋体" w:hAnsi="宋体" w:cs="宋体" w:eastAsia="宋体" w:hint="default"/>
          <w:spacing w:val="-3"/>
        </w:rPr>
        <w:t>+</w:t>
      </w:r>
      <w:r>
        <w:rPr>
          <w:spacing w:val="-3"/>
        </w:rPr>
        <w:t>调研测评、系统测评、核心测评”阅读模型，培养学生的阅读兴趣、学科兴趣和阅</w:t>
      </w:r>
      <w:r>
        <w:rPr>
          <w:spacing w:val="-82"/>
        </w:rPr>
        <w:t> </w:t>
      </w:r>
      <w:r>
        <w:rPr>
          <w:spacing w:val="-82"/>
        </w:rPr>
      </w:r>
      <w:r>
        <w:rPr/>
        <w:t>读习惯，提升核心阅读素养。慧读平台已在清华大学附属小学、北师大朝阳附属小学、北京 市第六十五中学、首师大附属丽泽中学、山东淄博高新区实验小学、七台河第九小学等全国 </w:t>
      </w:r>
      <w:r>
        <w:rPr>
          <w:rFonts w:ascii="宋体" w:hAnsi="宋体" w:cs="宋体" w:eastAsia="宋体" w:hint="default"/>
        </w:rPr>
        <w:t>21</w:t>
      </w:r>
      <w:r>
        <w:rPr>
          <w:rFonts w:ascii="宋体" w:hAnsi="宋体" w:cs="宋体" w:eastAsia="宋体" w:hint="default"/>
          <w:spacing w:val="-60"/>
        </w:rPr>
        <w:t> </w:t>
      </w:r>
      <w:r>
        <w:rPr/>
        <w:t>个省市的</w:t>
      </w:r>
      <w:r>
        <w:rPr>
          <w:spacing w:val="-60"/>
        </w:rPr>
        <w:t> </w:t>
      </w:r>
      <w:r>
        <w:rPr>
          <w:rFonts w:ascii="宋体" w:hAnsi="宋体" w:cs="宋体" w:eastAsia="宋体" w:hint="default"/>
        </w:rPr>
        <w:t>1,700</w:t>
      </w:r>
      <w:r>
        <w:rPr>
          <w:rFonts w:ascii="宋体" w:hAnsi="宋体" w:cs="宋体" w:eastAsia="宋体" w:hint="default"/>
          <w:spacing w:val="-60"/>
        </w:rPr>
        <w:t> </w:t>
      </w:r>
      <w:r>
        <w:rPr/>
        <w:t>多所中小学使用，覆盖教师</w:t>
      </w:r>
      <w:r>
        <w:rPr>
          <w:spacing w:val="-60"/>
        </w:rPr>
        <w:t> </w:t>
      </w:r>
      <w:r>
        <w:rPr>
          <w:rFonts w:ascii="宋体" w:hAnsi="宋体" w:cs="宋体" w:eastAsia="宋体" w:hint="default"/>
        </w:rPr>
        <w:t>9</w:t>
      </w:r>
      <w:r>
        <w:rPr>
          <w:rFonts w:ascii="宋体" w:hAnsi="宋体" w:cs="宋体" w:eastAsia="宋体" w:hint="default"/>
          <w:spacing w:val="-60"/>
        </w:rPr>
        <w:t> </w:t>
      </w:r>
      <w:r>
        <w:rPr/>
        <w:t>万多，学生</w:t>
      </w:r>
      <w:r>
        <w:rPr>
          <w:spacing w:val="-60"/>
        </w:rPr>
        <w:t> </w:t>
      </w:r>
      <w:r>
        <w:rPr>
          <w:rFonts w:ascii="宋体" w:hAnsi="宋体" w:cs="宋体" w:eastAsia="宋体" w:hint="default"/>
        </w:rPr>
        <w:t>133</w:t>
      </w:r>
      <w:r>
        <w:rPr>
          <w:rFonts w:ascii="宋体" w:hAnsi="宋体" w:cs="宋体" w:eastAsia="宋体" w:hint="default"/>
          <w:spacing w:val="-60"/>
        </w:rPr>
        <w:t> </w:t>
      </w:r>
      <w:r>
        <w:rPr/>
        <w:t>万，深受中小学师生好评。</w:t>
      </w:r>
    </w:p>
    <w:p>
      <w:pPr>
        <w:pStyle w:val="BodyText"/>
        <w:spacing w:line="357" w:lineRule="auto" w:before="36"/>
        <w:ind w:right="1109"/>
        <w:jc w:val="both"/>
      </w:pPr>
      <w:r>
        <w:rPr>
          <w:rFonts w:ascii="宋体" w:hAnsi="宋体" w:cs="宋体" w:eastAsia="宋体" w:hint="default"/>
        </w:rPr>
        <w:t>2018</w:t>
      </w:r>
      <w:r>
        <w:rPr>
          <w:rFonts w:ascii="宋体" w:hAnsi="宋体" w:cs="宋体" w:eastAsia="宋体" w:hint="default"/>
          <w:spacing w:val="-60"/>
        </w:rPr>
        <w:t> </w:t>
      </w:r>
      <w:r>
        <w:rPr/>
        <w:t>年，教育部发出了有关保护学生视力等文件要求，公司采取措施积极应对，通过线上、 线下相结合的方式推动“慧读”平台的使用，并考虑采用电子墨水屏等硬件终端更好保护学</w:t>
      </w:r>
      <w:r>
        <w:rPr>
          <w:spacing w:val="-115"/>
        </w:rPr>
        <w:t> </w:t>
      </w:r>
      <w:r>
        <w:rPr>
          <w:spacing w:val="-115"/>
        </w:rPr>
      </w:r>
      <w:r>
        <w:rPr/>
        <w:t>生的视力，使数字图书馆、“慧读”平台等产品更好地服务中小学的需求。</w:t>
      </w:r>
    </w:p>
    <w:p>
      <w:pPr>
        <w:pStyle w:val="BodyText"/>
        <w:spacing w:line="357" w:lineRule="auto" w:before="134"/>
        <w:ind w:right="1130" w:firstLine="480"/>
        <w:jc w:val="both"/>
        <w:rPr>
          <w:rFonts w:ascii="宋体" w:hAnsi="宋体" w:cs="宋体" w:eastAsia="宋体" w:hint="default"/>
        </w:rPr>
      </w:pPr>
      <w:r>
        <w:rPr/>
        <w:t>此外，公司还采用引进与研发相结合的方式提供新产品。</w:t>
      </w:r>
      <w:r>
        <w:rPr>
          <w:rFonts w:ascii="宋体" w:hAnsi="宋体" w:cs="宋体" w:eastAsia="宋体" w:hint="default"/>
        </w:rPr>
        <w:t>2018</w:t>
      </w:r>
      <w:r>
        <w:rPr>
          <w:rFonts w:ascii="宋体" w:hAnsi="宋体" w:cs="宋体" w:eastAsia="宋体" w:hint="default"/>
          <w:spacing w:val="-79"/>
        </w:rPr>
        <w:t> </w:t>
      </w:r>
      <w:r>
        <w:rPr/>
        <w:t>年公司与哈佛大学费正清 </w:t>
      </w:r>
      <w:r>
        <w:rPr>
          <w:spacing w:val="-5"/>
        </w:rPr>
        <w:t>中国研究中心、北京大学中国古代史研究中心等共同签署了“引得”（简称“CBDB”，即中国</w:t>
      </w:r>
      <w:r>
        <w:rPr>
          <w:spacing w:val="-109"/>
        </w:rPr>
        <w:t> </w:t>
      </w:r>
      <w:r>
        <w:rPr>
          <w:spacing w:val="-109"/>
        </w:rPr>
      </w:r>
      <w:r>
        <w:rPr/>
        <w:t>历代人物传记资料库）项目合作协议。“引得”数字人文资源平台共收录从先秦到晚清约</w:t>
      </w:r>
      <w:r>
        <w:rPr>
          <w:spacing w:val="-81"/>
        </w:rPr>
        <w:t> </w:t>
      </w:r>
      <w:r>
        <w:rPr>
          <w:rFonts w:ascii="宋体" w:hAnsi="宋体" w:cs="宋体" w:eastAsia="宋体" w:hint="default"/>
        </w:rPr>
        <w:t>44</w:t>
      </w:r>
    </w:p>
    <w:p>
      <w:pPr>
        <w:pStyle w:val="BodyText"/>
        <w:spacing w:line="357" w:lineRule="auto" w:before="36"/>
        <w:ind w:right="1130"/>
        <w:jc w:val="both"/>
      </w:pPr>
      <w:r>
        <w:rPr/>
        <w:t>万人的传记、著作资料约 </w:t>
      </w:r>
      <w:r>
        <w:rPr>
          <w:rFonts w:ascii="宋体" w:hAnsi="宋体" w:cs="宋体" w:eastAsia="宋体" w:hint="default"/>
        </w:rPr>
        <w:t>18</w:t>
      </w:r>
      <w:r>
        <w:rPr>
          <w:rFonts w:ascii="宋体" w:hAnsi="宋体" w:cs="宋体" w:eastAsia="宋体" w:hint="default"/>
          <w:spacing w:val="-82"/>
        </w:rPr>
        <w:t> </w:t>
      </w:r>
      <w:r>
        <w:rPr/>
        <w:t>亿字。该产品来源于国际最新研究技术成果，运用大数据</w:t>
      </w:r>
      <w:r>
        <w:rPr>
          <w:rFonts w:ascii="宋体" w:hAnsi="宋体" w:cs="宋体" w:eastAsia="宋体" w:hint="default"/>
        </w:rPr>
        <w:t>+</w:t>
      </w:r>
      <w:r>
        <w:rPr/>
        <w:t>人工 </w:t>
      </w:r>
      <w:r>
        <w:rPr>
          <w:spacing w:val="-2"/>
        </w:rPr>
        <w:t>智能（</w:t>
      </w:r>
      <w:r>
        <w:rPr>
          <w:rFonts w:ascii="宋体" w:hAnsi="宋体" w:cs="宋体" w:eastAsia="宋体" w:hint="default"/>
          <w:spacing w:val="-2"/>
        </w:rPr>
        <w:t>AI</w:t>
      </w:r>
      <w:r>
        <w:rPr>
          <w:spacing w:val="-2"/>
        </w:rPr>
        <w:t>）技术，提高处理历史资料的效率和准确度，据以关系型数据库</w:t>
      </w:r>
      <w:r>
        <w:rPr>
          <w:rFonts w:ascii="宋体" w:hAnsi="宋体" w:cs="宋体" w:eastAsia="宋体" w:hint="default"/>
          <w:spacing w:val="-2"/>
        </w:rPr>
        <w:t>+</w:t>
      </w:r>
      <w:r>
        <w:rPr>
          <w:spacing w:val="-2"/>
        </w:rPr>
        <w:t>图形数据库方式存</w:t>
      </w:r>
      <w:r>
        <w:rPr/>
        <w:t> 储，便于学术创新性研究，优化搜索工具，聚合更多主体并不断优化用户体验。该项产品对 于公共图书馆的资料收藏、高校文科专业及高校图书馆开展古籍研究、历史研究、以及文史 类学科教学具有重要作用。</w:t>
      </w:r>
    </w:p>
    <w:p>
      <w:pPr>
        <w:pStyle w:val="BodyText"/>
        <w:spacing w:line="240" w:lineRule="auto" w:before="136"/>
        <w:ind w:left="634" w:right="1092"/>
        <w:jc w:val="left"/>
      </w:pPr>
      <w:r>
        <w:rPr>
          <w:rFonts w:ascii="宋体" w:hAnsi="宋体" w:cs="宋体" w:eastAsia="宋体" w:hint="default"/>
        </w:rPr>
        <w:t>2</w:t>
      </w:r>
      <w:r>
        <w:rPr/>
        <w:t>、教育服务业务</w:t>
      </w:r>
    </w:p>
    <w:p>
      <w:pPr>
        <w:spacing w:after="0" w:line="240" w:lineRule="auto"/>
        <w:jc w:val="left"/>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9" w:firstLine="480"/>
        <w:jc w:val="both"/>
      </w:pPr>
      <w:r>
        <w:rPr/>
        <w:t>公司通过建立面向基础教育的综合服务体系，构建在线教育服务生态。公司建设数字教 育综合服务平台，平台以数字教材及其配套资源为核心，为基础教育提供数字教育内容的出 版、发行、应用等，为产业链相关各方提供各类数字教育内容的生成发布、质量控制、交易 结算、下载推送、教学应用平台、工具和服务。</w:t>
      </w:r>
    </w:p>
    <w:p>
      <w:pPr>
        <w:pStyle w:val="BodyText"/>
        <w:spacing w:line="357" w:lineRule="auto" w:before="134"/>
        <w:ind w:right="994" w:firstLine="480"/>
        <w:jc w:val="left"/>
      </w:pPr>
      <w:r>
        <w:rPr/>
        <w:t>报告期内，公司子公司承担的数字教育出版综合服务平台建设取得预期进展，根据预定 计划完成了</w:t>
      </w:r>
      <w:r>
        <w:rPr>
          <w:spacing w:val="-60"/>
        </w:rPr>
        <w:t> </w:t>
      </w:r>
      <w:r>
        <w:rPr>
          <w:rFonts w:ascii="宋体" w:hAnsi="宋体" w:cs="宋体" w:eastAsia="宋体" w:hint="default"/>
        </w:rPr>
        <w:t>etextbook.cn2.0</w:t>
      </w:r>
      <w:r>
        <w:rPr>
          <w:rFonts w:ascii="宋体" w:hAnsi="宋体" w:cs="宋体" w:eastAsia="宋体" w:hint="default"/>
          <w:spacing w:val="-60"/>
        </w:rPr>
        <w:t> </w:t>
      </w:r>
      <w:r>
        <w:rPr>
          <w:spacing w:val="-3"/>
        </w:rPr>
        <w:t>的研发计划，基本实现了数字教育出版物从标引、封装、发布，</w:t>
      </w:r>
      <w:r>
        <w:rPr/>
        <w:t> 到征报订、下载、使用的全流程业务支持闭环，在此前项目化发展的基础上，推出了全新的 “学习精灵”、“备课助手”、“教案助手”、“作业平台”等相关的产品化工具和软件，</w:t>
      </w:r>
      <w:r>
        <w:rPr>
          <w:spacing w:val="-103"/>
        </w:rPr>
        <w:t> </w:t>
      </w:r>
      <w:r>
        <w:rPr>
          <w:spacing w:val="-103"/>
        </w:rPr>
      </w:r>
      <w:r>
        <w:rPr/>
        <w:t>形成了教材阅读、音频点读、笔记、批注、备课、作业、课堂互动、资源添加推送等一系列 </w:t>
      </w:r>
      <w:r>
        <w:rPr>
          <w:spacing w:val="-3"/>
        </w:rPr>
        <w:t>教育教学服务功能；同时，公司强化了内容建设，通过广泛、开放的合作，完善内容供应链，</w:t>
      </w:r>
      <w:r>
        <w:rPr>
          <w:spacing w:val="-82"/>
        </w:rPr>
        <w:t> </w:t>
      </w:r>
      <w:r>
        <w:rPr>
          <w:spacing w:val="-82"/>
        </w:rPr>
      </w:r>
      <w:r>
        <w:rPr/>
        <w:t>充实、丰富平台内容。</w:t>
      </w:r>
      <w:r>
        <w:rPr>
          <w:rFonts w:ascii="宋体" w:hAnsi="宋体" w:cs="宋体" w:eastAsia="宋体" w:hint="default"/>
        </w:rPr>
        <w:t>2018</w:t>
      </w:r>
      <w:r>
        <w:rPr>
          <w:rFonts w:ascii="宋体" w:hAnsi="宋体" w:cs="宋体" w:eastAsia="宋体" w:hint="default"/>
          <w:spacing w:val="-68"/>
        </w:rPr>
        <w:t> </w:t>
      </w:r>
      <w:r>
        <w:rPr/>
        <w:t>年，公司与人民教育出版社、北京师范大学出版社、江苏凤凰出 </w:t>
      </w:r>
      <w:r>
        <w:rPr>
          <w:spacing w:val="-2"/>
        </w:rPr>
        <w:t>版集团、培生亚洲出版公司等国内外最有影响力的教材、教育内容出版机构建立了合作关系，</w:t>
      </w:r>
      <w:r>
        <w:rPr/>
        <w:t> 确保优质、权威的内容来源。</w:t>
      </w:r>
    </w:p>
    <w:p>
      <w:pPr>
        <w:pStyle w:val="BodyText"/>
        <w:spacing w:line="357" w:lineRule="auto" w:before="136"/>
        <w:ind w:right="1130" w:firstLine="480"/>
        <w:jc w:val="both"/>
        <w:rPr>
          <w:rFonts w:ascii="宋体" w:hAnsi="宋体" w:cs="宋体" w:eastAsia="宋体" w:hint="default"/>
        </w:rPr>
      </w:pPr>
      <w:r>
        <w:rPr/>
        <w:t>基于公司的数字教育出版综合服务平台及相关的产品和服务体系，公司积极参与并有效 支撑了北京、上海、深圳等多地的数字教材教学应用实验项目，作为当地教育部门推进信息 化改革的重要内容之一，到</w:t>
      </w:r>
      <w:r>
        <w:rPr>
          <w:spacing w:val="-41"/>
        </w:rPr>
        <w:t> </w:t>
      </w:r>
      <w:r>
        <w:rPr>
          <w:rFonts w:ascii="宋体" w:hAnsi="宋体" w:cs="宋体" w:eastAsia="宋体" w:hint="default"/>
        </w:rPr>
        <w:t>2018</w:t>
      </w:r>
      <w:r>
        <w:rPr>
          <w:rFonts w:ascii="宋体" w:hAnsi="宋体" w:cs="宋体" w:eastAsia="宋体" w:hint="default"/>
          <w:spacing w:val="-40"/>
        </w:rPr>
        <w:t> </w:t>
      </w:r>
      <w:r>
        <w:rPr/>
        <w:t>年底，上海的数字教材实验从最初</w:t>
      </w:r>
      <w:r>
        <w:rPr>
          <w:spacing w:val="-40"/>
        </w:rPr>
        <w:t> </w:t>
      </w:r>
      <w:r>
        <w:rPr>
          <w:rFonts w:ascii="宋体" w:hAnsi="宋体" w:cs="宋体" w:eastAsia="宋体" w:hint="default"/>
        </w:rPr>
        <w:t>40</w:t>
      </w:r>
      <w:r>
        <w:rPr>
          <w:rFonts w:ascii="宋体" w:hAnsi="宋体" w:cs="宋体" w:eastAsia="宋体" w:hint="default"/>
          <w:spacing w:val="-41"/>
        </w:rPr>
        <w:t> </w:t>
      </w:r>
      <w:r>
        <w:rPr/>
        <w:t>所学校扩大到了</w:t>
      </w:r>
      <w:r>
        <w:rPr>
          <w:spacing w:val="-41"/>
        </w:rPr>
        <w:t> </w:t>
      </w:r>
      <w:r>
        <w:rPr>
          <w:rFonts w:ascii="宋体" w:hAnsi="宋体" w:cs="宋体" w:eastAsia="宋体" w:hint="default"/>
        </w:rPr>
        <w:t>131</w:t>
      </w:r>
    </w:p>
    <w:p>
      <w:pPr>
        <w:pStyle w:val="BodyText"/>
        <w:spacing w:line="240" w:lineRule="auto" w:before="36"/>
        <w:ind w:right="1092"/>
        <w:jc w:val="left"/>
      </w:pPr>
      <w:r>
        <w:rPr/>
        <w:t>所学校逾</w:t>
      </w:r>
      <w:r>
        <w:rPr>
          <w:spacing w:val="-70"/>
        </w:rPr>
        <w:t> </w:t>
      </w:r>
      <w:r>
        <w:rPr>
          <w:rFonts w:ascii="宋体" w:hAnsi="宋体" w:cs="宋体" w:eastAsia="宋体" w:hint="default"/>
        </w:rPr>
        <w:t>2</w:t>
      </w:r>
      <w:r>
        <w:rPr>
          <w:rFonts w:ascii="宋体" w:hAnsi="宋体" w:cs="宋体" w:eastAsia="宋体" w:hint="default"/>
          <w:spacing w:val="-70"/>
        </w:rPr>
        <w:t> </w:t>
      </w:r>
      <w:r>
        <w:rPr>
          <w:spacing w:val="-6"/>
        </w:rPr>
        <w:t>万名师生，预期</w:t>
      </w:r>
      <w:r>
        <w:rPr>
          <w:spacing w:val="-70"/>
        </w:rPr>
        <w:t> </w:t>
      </w:r>
      <w:r>
        <w:rPr>
          <w:rFonts w:ascii="宋体" w:hAnsi="宋体" w:cs="宋体" w:eastAsia="宋体" w:hint="default"/>
        </w:rPr>
        <w:t>2019</w:t>
      </w:r>
      <w:r>
        <w:rPr>
          <w:rFonts w:ascii="宋体" w:hAnsi="宋体" w:cs="宋体" w:eastAsia="宋体" w:hint="default"/>
          <w:spacing w:val="-70"/>
        </w:rPr>
        <w:t> </w:t>
      </w:r>
      <w:r>
        <w:rPr/>
        <w:t>年上半年实验期后满将在更大广度和深度持续推进；深圳数</w:t>
      </w:r>
    </w:p>
    <w:p>
      <w:pPr>
        <w:pStyle w:val="BodyText"/>
        <w:spacing w:line="357" w:lineRule="auto" w:before="154"/>
        <w:ind w:right="1114"/>
        <w:jc w:val="left"/>
      </w:pPr>
      <w:r>
        <w:rPr/>
        <w:t>字教材教学应用实验也由最初</w:t>
      </w:r>
      <w:r>
        <w:rPr>
          <w:spacing w:val="-50"/>
        </w:rPr>
        <w:t> </w:t>
      </w:r>
      <w:r>
        <w:rPr>
          <w:rFonts w:ascii="宋体" w:hAnsi="宋体" w:cs="宋体" w:eastAsia="宋体" w:hint="default"/>
        </w:rPr>
        <w:t>12</w:t>
      </w:r>
      <w:r>
        <w:rPr>
          <w:rFonts w:ascii="宋体" w:hAnsi="宋体" w:cs="宋体" w:eastAsia="宋体" w:hint="default"/>
          <w:spacing w:val="-51"/>
        </w:rPr>
        <w:t> </w:t>
      </w:r>
      <w:r>
        <w:rPr/>
        <w:t>所学校扩大到近</w:t>
      </w:r>
      <w:r>
        <w:rPr>
          <w:spacing w:val="-50"/>
        </w:rPr>
        <w:t> </w:t>
      </w:r>
      <w:r>
        <w:rPr>
          <w:rFonts w:ascii="宋体" w:hAnsi="宋体" w:cs="宋体" w:eastAsia="宋体" w:hint="default"/>
        </w:rPr>
        <w:t>30</w:t>
      </w:r>
      <w:r>
        <w:rPr>
          <w:rFonts w:ascii="宋体" w:hAnsi="宋体" w:cs="宋体" w:eastAsia="宋体" w:hint="default"/>
          <w:spacing w:val="-51"/>
        </w:rPr>
        <w:t> </w:t>
      </w:r>
      <w:r>
        <w:rPr/>
        <w:t>所；公司也在湖北与武汉出版集团成立 武汉慧读合资公司，拟在更多的区域推进数字教育出版综合服务平台的落地应用。</w:t>
      </w:r>
    </w:p>
    <w:p>
      <w:pPr>
        <w:spacing w:line="240" w:lineRule="auto" w:before="9"/>
        <w:rPr>
          <w:rFonts w:ascii="宋体" w:hAnsi="宋体" w:cs="宋体" w:eastAsia="宋体" w:hint="default"/>
          <w:sz w:val="19"/>
          <w:szCs w:val="19"/>
        </w:rPr>
      </w:pPr>
    </w:p>
    <w:p>
      <w:pPr>
        <w:pStyle w:val="Heading2"/>
        <w:spacing w:line="240" w:lineRule="auto" w:before="0"/>
        <w:ind w:right="1092"/>
        <w:jc w:val="left"/>
        <w:rPr>
          <w:b w:val="0"/>
          <w:bCs w:val="0"/>
        </w:rPr>
      </w:pPr>
      <w:bookmarkStart w:name="二、主营业务分析" w:id="24"/>
      <w:bookmarkEnd w:id="24"/>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概述" w:id="25"/>
      <w:bookmarkEnd w:id="25"/>
      <w:r>
        <w:rPr/>
      </w:r>
      <w:r>
        <w:rPr>
          <w:rFonts w:ascii="宋体" w:hAnsi="宋体" w:cs="宋体" w:eastAsia="宋体" w:hint="default"/>
          <w:b/>
          <w:bCs/>
          <w:sz w:val="21"/>
          <w:szCs w:val="21"/>
        </w:rPr>
        <w:t>1</w:t>
      </w:r>
      <w:r>
        <w:rPr>
          <w:rFonts w:ascii="宋体" w:hAnsi="宋体" w:cs="宋体" w:eastAsia="宋体" w:hint="default"/>
          <w:b/>
          <w:bCs/>
          <w:sz w:val="21"/>
          <w:szCs w:val="21"/>
        </w:rPr>
        <w:t>、概述</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参见“经营情况讨论与分析”中的“一、概述”相关内容。</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收入与成本" w:id="26"/>
      <w:bookmarkEnd w:id="26"/>
      <w:r>
        <w:rPr/>
      </w:r>
      <w:r>
        <w:rPr>
          <w:rFonts w:ascii="宋体" w:hAnsi="宋体" w:cs="宋体" w:eastAsia="宋体"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营业收入构成" w:id="27"/>
      <w:bookmarkEnd w:id="27"/>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）营业收入构成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营业收入整体情况</w:t>
      </w:r>
    </w:p>
    <w:p>
      <w:pPr>
        <w:spacing w:line="240" w:lineRule="auto" w:before="2"/>
        <w:rPr>
          <w:rFonts w:ascii="宋体" w:hAnsi="宋体" w:cs="宋体" w:eastAsia="宋体" w:hint="default"/>
          <w:sz w:val="17"/>
          <w:szCs w:val="1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6"/>
        <w:gridCol w:w="3189"/>
        <w:gridCol w:w="3188"/>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6"/>
        <w:gridCol w:w="1597"/>
        <w:gridCol w:w="1589"/>
        <w:gridCol w:w="1599"/>
        <w:gridCol w:w="1588"/>
        <w:gridCol w:w="1598"/>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5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7"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7"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51"/>
              <w:ind w:right="16"/>
              <w:jc w:val="right"/>
              <w:rPr>
                <w:rFonts w:ascii="宋体" w:hAnsi="宋体" w:cs="宋体" w:eastAsia="宋体" w:hint="default"/>
                <w:sz w:val="18"/>
                <w:szCs w:val="18"/>
              </w:rPr>
            </w:pPr>
            <w:r>
              <w:rPr>
                <w:rFonts w:ascii="宋体"/>
                <w:sz w:val="18"/>
              </w:rPr>
              <w:t>885,489,948.35</w:t>
            </w:r>
          </w:p>
        </w:tc>
        <w:tc>
          <w:tcPr>
            <w:tcW w:w="15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7"/>
              <w:jc w:val="right"/>
              <w:rPr>
                <w:rFonts w:ascii="宋体" w:hAnsi="宋体" w:cs="宋体" w:eastAsia="宋体" w:hint="default"/>
                <w:sz w:val="18"/>
                <w:szCs w:val="18"/>
              </w:rPr>
            </w:pPr>
            <w:r>
              <w:rPr>
                <w:rFonts w:ascii="宋体"/>
                <w:sz w:val="18"/>
              </w:rPr>
              <w:t>100%</w:t>
            </w:r>
          </w:p>
        </w:tc>
        <w:tc>
          <w:tcPr>
            <w:tcW w:w="1599"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716,779,582.45</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7"/>
              <w:jc w:val="right"/>
              <w:rPr>
                <w:rFonts w:ascii="宋体" w:hAnsi="宋体" w:cs="宋体" w:eastAsia="宋体" w:hint="default"/>
                <w:sz w:val="18"/>
                <w:szCs w:val="18"/>
              </w:rPr>
            </w:pPr>
            <w:r>
              <w:rPr>
                <w:rFonts w:ascii="宋体"/>
                <w:sz w:val="18"/>
              </w:rPr>
              <w:t>100%</w:t>
            </w:r>
          </w:p>
        </w:tc>
        <w:tc>
          <w:tcPr>
            <w:tcW w:w="15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23.54%</w:t>
            </w:r>
          </w:p>
        </w:tc>
      </w:tr>
      <w:tr>
        <w:trPr>
          <w:trHeight w:val="397"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、文化行业</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797,360,392.32</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90.05%</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611,931,317.71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85.37%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30.30%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、教育行业</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86,411,301.92</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9.76%</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104,608,499.07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14.59%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-17.40%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、其他行业</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1,718,254.11</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0.19%</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239,765.67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0.03%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616.64%</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、文化产品</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797,360,392.32</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90.05%</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611,931,317.71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85.37%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30.30%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、教育产品</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86,411,301.92</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9.76%</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104,608,499.07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14.59%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-17.40%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、其他业务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1,718,254.11</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0.19%</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239,765.67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0.03%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616.64%</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、华东地区</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237,094,072.41</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26.78%</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262,482,689.26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36.62%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-9.67%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、华北地区</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249,933,463.58</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28.23%</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197,367,750.69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27.54%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26.63%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、华南地区</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179,924,614.41</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20.32%</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103,760,262.61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14.48%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73.40%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、华中地区</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17,794,071.31</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2.01%</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39,889,908.61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5.57%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-55.39%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、西北地区</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11,835,793.25</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1.34%</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82,181,113.15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11.47%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-85.60%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z w:val="18"/>
                <w:szCs w:val="18"/>
              </w:rPr>
              <w:t>、西南地区</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8,427,244.10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0.95%</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9,325,188.88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1.30%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-9.63%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z w:val="18"/>
                <w:szCs w:val="18"/>
              </w:rPr>
              <w:t>、东北地区</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3,979,997.51</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0.45%</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4,453,411.60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0.62%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-10.63%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8</w:t>
            </w:r>
            <w:r>
              <w:rPr>
                <w:rFonts w:ascii="宋体" w:hAnsi="宋体" w:cs="宋体" w:eastAsia="宋体" w:hint="default"/>
                <w:sz w:val="18"/>
                <w:szCs w:val="18"/>
              </w:rPr>
              <w:t>、境外</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176,267,700.51</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19.91%</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17,319,257.65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2.42%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917.76%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z w:val="18"/>
                <w:szCs w:val="18"/>
              </w:rPr>
              <w:t>、港澳台</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232,991.27</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0.03%</w:t>
            </w:r>
          </w:p>
        </w:tc>
        <w:tc>
          <w:tcPr>
            <w:tcW w:w="1599"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占公司营业收入或营业利润10%以上的行业、产品或地区情况" w:id="28"/>
      <w:bookmarkEnd w:id="28"/>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）占公司营业收入或营业利润</w:t>
      </w:r>
      <w:r>
        <w:rPr>
          <w:rFonts w:ascii="宋体" w:hAnsi="宋体" w:cs="宋体" w:eastAsia="宋体" w:hint="default"/>
          <w:b/>
          <w:bCs/>
          <w:spacing w:val="-60"/>
          <w:sz w:val="21"/>
          <w:szCs w:val="21"/>
        </w:rPr>
        <w:t> </w:t>
      </w:r>
      <w:r>
        <w:rPr>
          <w:rFonts w:ascii="宋体" w:hAnsi="宋体" w:cs="宋体" w:eastAsia="宋体" w:hint="default"/>
          <w:b/>
          <w:bCs/>
          <w:sz w:val="21"/>
          <w:szCs w:val="21"/>
        </w:rPr>
        <w:t>10%</w:t>
      </w:r>
      <w:r>
        <w:rPr>
          <w:rFonts w:ascii="宋体" w:hAnsi="宋体" w:cs="宋体" w:eastAsia="宋体" w:hint="default"/>
          <w:b/>
          <w:bCs/>
          <w:sz w:val="21"/>
          <w:szCs w:val="21"/>
        </w:rPr>
        <w:t>以上的行业、产品或地区情况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59"/>
        <w:gridCol w:w="1375"/>
        <w:gridCol w:w="1366"/>
        <w:gridCol w:w="1367"/>
        <w:gridCol w:w="1367"/>
        <w:gridCol w:w="1367"/>
        <w:gridCol w:w="1372"/>
      </w:tblGrid>
      <w:tr>
        <w:trPr>
          <w:trHeight w:val="714" w:hRule="exact"/>
        </w:trPr>
        <w:tc>
          <w:tcPr>
            <w:tcW w:w="135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、文化行业</w:t>
            </w:r>
          </w:p>
        </w:tc>
        <w:tc>
          <w:tcPr>
            <w:tcW w:w="1375"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46" w:right="0"/>
              <w:jc w:val="center"/>
              <w:rPr>
                <w:rFonts w:ascii="宋体" w:hAnsi="宋体" w:cs="宋体" w:eastAsia="宋体" w:hint="default"/>
                <w:sz w:val="18"/>
                <w:szCs w:val="18"/>
              </w:rPr>
            </w:pPr>
            <w:r>
              <w:rPr>
                <w:rFonts w:ascii="宋体"/>
                <w:sz w:val="18"/>
              </w:rPr>
              <w:t>797,360,392.32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501,356,098.11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55.75%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-10.27%</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、文化产品</w:t>
            </w:r>
          </w:p>
        </w:tc>
        <w:tc>
          <w:tcPr>
            <w:tcW w:w="1375"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46" w:right="0"/>
              <w:jc w:val="center"/>
              <w:rPr>
                <w:rFonts w:ascii="宋体" w:hAnsi="宋体" w:cs="宋体" w:eastAsia="宋体" w:hint="default"/>
                <w:sz w:val="18"/>
                <w:szCs w:val="18"/>
              </w:rPr>
            </w:pPr>
            <w:r>
              <w:rPr>
                <w:rFonts w:ascii="宋体"/>
                <w:sz w:val="18"/>
              </w:rPr>
              <w:t>797,360,392.32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501,356,098.11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55.75%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-10.27%</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、华东地区</w:t>
            </w:r>
          </w:p>
        </w:tc>
        <w:tc>
          <w:tcPr>
            <w:tcW w:w="1375"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46" w:right="0"/>
              <w:jc w:val="center"/>
              <w:rPr>
                <w:rFonts w:ascii="宋体" w:hAnsi="宋体" w:cs="宋体" w:eastAsia="宋体" w:hint="default"/>
                <w:sz w:val="18"/>
                <w:szCs w:val="18"/>
              </w:rPr>
            </w:pPr>
            <w:r>
              <w:rPr>
                <w:rFonts w:ascii="宋体"/>
                <w:sz w:val="18"/>
              </w:rPr>
              <w:t>237,094,072.41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188,424,799.26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39.05%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-27.85%</w:t>
            </w:r>
          </w:p>
        </w:tc>
      </w:tr>
      <w:tr>
        <w:trPr>
          <w:trHeight w:val="402" w:hRule="exact"/>
        </w:trPr>
        <w:tc>
          <w:tcPr>
            <w:tcW w:w="13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、华北地区</w:t>
            </w:r>
          </w:p>
        </w:tc>
        <w:tc>
          <w:tcPr>
            <w:tcW w:w="1375"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46" w:right="0"/>
              <w:jc w:val="center"/>
              <w:rPr>
                <w:rFonts w:ascii="宋体" w:hAnsi="宋体" w:cs="宋体" w:eastAsia="宋体" w:hint="default"/>
                <w:sz w:val="18"/>
                <w:szCs w:val="18"/>
              </w:rPr>
            </w:pPr>
            <w:r>
              <w:rPr>
                <w:rFonts w:ascii="宋体"/>
                <w:sz w:val="18"/>
              </w:rPr>
              <w:t>249,933,463.58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229,088,612.62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107.88%</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-35.82%</w:t>
            </w:r>
          </w:p>
        </w:tc>
      </w:tr>
      <w:tr>
        <w:trPr>
          <w:trHeight w:val="402" w:hRule="exact"/>
        </w:trPr>
        <w:tc>
          <w:tcPr>
            <w:tcW w:w="13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、华南地区</w:t>
            </w:r>
          </w:p>
        </w:tc>
        <w:tc>
          <w:tcPr>
            <w:tcW w:w="1375"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46" w:right="0"/>
              <w:jc w:val="center"/>
              <w:rPr>
                <w:rFonts w:ascii="宋体" w:hAnsi="宋体" w:cs="宋体" w:eastAsia="宋体" w:hint="default"/>
                <w:sz w:val="18"/>
                <w:szCs w:val="18"/>
              </w:rPr>
            </w:pPr>
            <w:r>
              <w:rPr>
                <w:rFonts w:ascii="宋体"/>
                <w:sz w:val="18"/>
              </w:rPr>
              <w:t>179,924,614.41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50,370,954.03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73.40%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6.57%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17.56%</w:t>
            </w:r>
          </w:p>
        </w:tc>
      </w:tr>
    </w:tbl>
    <w:p>
      <w:pPr>
        <w:spacing w:after="0" w:line="240" w:lineRule="auto"/>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6"/>
        <w:gridCol w:w="1367"/>
        <w:gridCol w:w="1367"/>
        <w:gridCol w:w="1367"/>
        <w:gridCol w:w="1372"/>
      </w:tblGrid>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、境外</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73" w:right="0"/>
              <w:jc w:val="left"/>
              <w:rPr>
                <w:rFonts w:ascii="宋体" w:hAnsi="宋体" w:cs="宋体" w:eastAsia="宋体" w:hint="default"/>
                <w:sz w:val="18"/>
                <w:szCs w:val="18"/>
              </w:rPr>
            </w:pPr>
            <w:r>
              <w:rPr>
                <w:rFonts w:ascii="宋体"/>
                <w:sz w:val="18"/>
              </w:rPr>
              <w:t>176,267,700.51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3" w:right="0"/>
              <w:jc w:val="left"/>
              <w:rPr>
                <w:rFonts w:ascii="宋体" w:hAnsi="宋体" w:cs="宋体" w:eastAsia="宋体" w:hint="default"/>
                <w:sz w:val="18"/>
                <w:szCs w:val="18"/>
              </w:rPr>
            </w:pPr>
            <w:r>
              <w:rPr>
                <w:rFonts w:ascii="宋体"/>
                <w:sz w:val="18"/>
              </w:rPr>
              <w:t>49,828,696.40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94" w:right="0"/>
              <w:jc w:val="left"/>
              <w:rPr>
                <w:rFonts w:ascii="宋体" w:hAnsi="宋体" w:cs="宋体" w:eastAsia="宋体" w:hint="default"/>
                <w:sz w:val="18"/>
                <w:szCs w:val="18"/>
              </w:rPr>
            </w:pPr>
            <w:r>
              <w:rPr>
                <w:rFonts w:ascii="宋体"/>
                <w:sz w:val="18"/>
              </w:rPr>
              <w:t>71.73%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04" w:right="0"/>
              <w:jc w:val="left"/>
              <w:rPr>
                <w:rFonts w:ascii="宋体" w:hAnsi="宋体" w:cs="宋体" w:eastAsia="宋体" w:hint="default"/>
                <w:sz w:val="18"/>
                <w:szCs w:val="18"/>
              </w:rPr>
            </w:pPr>
            <w:r>
              <w:rPr>
                <w:rFonts w:ascii="宋体"/>
                <w:sz w:val="18"/>
              </w:rPr>
              <w:t>917.76%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34" w:right="0"/>
              <w:jc w:val="left"/>
              <w:rPr>
                <w:rFonts w:ascii="宋体" w:hAnsi="宋体" w:cs="宋体" w:eastAsia="宋体" w:hint="default"/>
                <w:sz w:val="18"/>
                <w:szCs w:val="18"/>
              </w:rPr>
            </w:pPr>
            <w:r>
              <w:rPr>
                <w:rFonts w:ascii="宋体"/>
                <w:sz w:val="18"/>
              </w:rPr>
              <w:t>76,314.99%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09" w:right="0"/>
              <w:jc w:val="left"/>
              <w:rPr>
                <w:rFonts w:ascii="宋体" w:hAnsi="宋体" w:cs="宋体" w:eastAsia="宋体" w:hint="default"/>
                <w:sz w:val="18"/>
                <w:szCs w:val="18"/>
              </w:rPr>
            </w:pPr>
            <w:r>
              <w:rPr>
                <w:rFonts w:ascii="宋体"/>
                <w:sz w:val="18"/>
              </w:rPr>
              <w:t>-27.89%</w:t>
            </w:r>
          </w:p>
        </w:tc>
      </w:tr>
    </w:tbl>
    <w:p>
      <w:pPr>
        <w:spacing w:line="240" w:lineRule="auto" w:before="10"/>
        <w:rPr>
          <w:rFonts w:ascii="宋体" w:hAnsi="宋体" w:cs="宋体" w:eastAsia="宋体" w:hint="default"/>
          <w:sz w:val="8"/>
          <w:szCs w:val="8"/>
        </w:rPr>
      </w:pPr>
    </w:p>
    <w:p>
      <w:pPr>
        <w:pStyle w:val="BodyText"/>
        <w:spacing w:line="357" w:lineRule="auto" w:before="26"/>
        <w:ind w:right="1113" w:firstLine="480"/>
        <w:jc w:val="left"/>
      </w:pPr>
      <w:r>
        <w:rPr/>
        <w:t>公司主营业务数据统计口径在报告期发生调整的情况下，公司最近 </w:t>
      </w:r>
      <w:r>
        <w:rPr>
          <w:rFonts w:ascii="宋体" w:hAnsi="宋体" w:cs="宋体" w:eastAsia="宋体" w:hint="default"/>
        </w:rPr>
        <w:t>1</w:t>
      </w:r>
      <w:r>
        <w:rPr>
          <w:rFonts w:ascii="宋体" w:hAnsi="宋体" w:cs="宋体" w:eastAsia="宋体" w:hint="default"/>
          <w:spacing w:val="-81"/>
        </w:rPr>
        <w:t> </w:t>
      </w:r>
      <w:r>
        <w:rPr/>
        <w:t>年按报告期末口径 调整后的主营业务数据</w:t>
      </w:r>
    </w:p>
    <w:p>
      <w:pPr>
        <w:pStyle w:val="BodyText"/>
        <w:spacing w:line="240" w:lineRule="auto" w:before="136"/>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公司实物销售收入是否大于劳务收入" w:id="29"/>
      <w:bookmarkEnd w:id="29"/>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）公司实物销售收入是否大于劳务收入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是 √ 否</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公司已签订的重大销售合同截至本报告期的履行情况" w:id="30"/>
      <w:bookmarkEnd w:id="30"/>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）公司已签订的重大销售合同截至本报告期的履行情况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营业成本构成" w:id="31"/>
      <w:bookmarkEnd w:id="31"/>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）营业成本构成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行业和产品分类</w:t>
      </w:r>
    </w:p>
    <w:p>
      <w:pPr>
        <w:spacing w:line="240" w:lineRule="auto" w:before="3"/>
        <w:rPr>
          <w:rFonts w:ascii="宋体" w:hAnsi="宋体" w:cs="宋体" w:eastAsia="宋体" w:hint="default"/>
          <w:sz w:val="17"/>
          <w:szCs w:val="1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58"/>
        <w:gridCol w:w="1379"/>
        <w:gridCol w:w="1367"/>
        <w:gridCol w:w="1367"/>
        <w:gridCol w:w="1368"/>
        <w:gridCol w:w="1367"/>
        <w:gridCol w:w="1367"/>
      </w:tblGrid>
      <w:tr>
        <w:trPr>
          <w:trHeight w:val="402" w:hRule="exact"/>
        </w:trPr>
        <w:tc>
          <w:tcPr>
            <w:tcW w:w="13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58" w:type="dxa"/>
            <w:vMerge/>
            <w:tcBorders>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版税成本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199,667,568.39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161,588,324.29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44.89%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23.57%</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渠道成本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201,102,071.64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122,808,166.12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34.12%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63.75%</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硬件成本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1,292,186.46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5,628,650.74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-77.04%</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运维成本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7,133,215.64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34,611,642.53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6.49%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影视成本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9,643,690.71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维权成本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1,805,953.43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2,333,681.68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-22.61%</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运营成本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45,690,536.15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27,084,935.47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68.69%</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409,233.16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2,219,649.57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-81.56%</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5,811,421.19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9,229,945.41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-37.04%</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渠道成本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12,752,329.10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14,030,432.35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-9.11%</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硬件成本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9,568,547.08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14,065,915.60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-31.97%</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运维成本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574,528.35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0.11%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运营成本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134,592.60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2,082,326.38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741,095.77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180.98%</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其他行业</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1,105,209.19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238,612.68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363.18%</w:t>
            </w:r>
          </w:p>
        </w:tc>
      </w:tr>
    </w:tbl>
    <w:p>
      <w:pPr>
        <w:spacing w:after="0" w:line="240" w:lineRule="auto"/>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1358"/>
        <w:gridCol w:w="1379"/>
        <w:gridCol w:w="1367"/>
        <w:gridCol w:w="1367"/>
        <w:gridCol w:w="1368"/>
        <w:gridCol w:w="1367"/>
        <w:gridCol w:w="1367"/>
      </w:tblGrid>
      <w:tr>
        <w:trPr>
          <w:trHeight w:val="402" w:hRule="exact"/>
        </w:trPr>
        <w:tc>
          <w:tcPr>
            <w:tcW w:w="13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358" w:type="dxa"/>
            <w:vMerge/>
            <w:tcBorders>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版税成本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199,667,568.39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37.43%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161,588,324.29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44.89%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23.57%</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渠道成本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201,102,071.64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37.70%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122,808,166.12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34.12%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63.75%</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硬件成本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1,292,186.46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5,628,650.74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-77.04%</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运维成本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7,133,215.64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1.34%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游戏成本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34,611,642.53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6.49%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影视成本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9,643,690.71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维权成本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1,805,953.43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2,333,681.68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-22.61%</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运营成本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45,690,536.15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8.57%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27,084,935.47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7.52%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68.69%</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409,233.16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2,219,649.57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-81.56%</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版权成本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5,811,421.19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9,229,945.41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-37.04%</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渠道成本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12,752,329.10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14,030,432.35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-9.11%</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硬件成本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9,568,547.08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14,065,915.60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-31.97%</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运维成本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574,528.35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0.11%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运营成本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134,592.60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r>
        <w:trPr>
          <w:trHeight w:val="402"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教育产品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2,082,326.38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741,095.77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180.98%</w:t>
            </w:r>
          </w:p>
        </w:tc>
      </w:tr>
      <w:tr>
        <w:trPr>
          <w:trHeight w:val="403" w:hRule="exact"/>
        </w:trPr>
        <w:tc>
          <w:tcPr>
            <w:tcW w:w="13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1,105,209.19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238,612.68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363.18%</w:t>
            </w:r>
          </w:p>
        </w:tc>
      </w:tr>
    </w:tbl>
    <w:p>
      <w:pPr>
        <w:spacing w:line="240" w:lineRule="auto" w:before="2"/>
        <w:rPr>
          <w:rFonts w:ascii="宋体" w:hAnsi="宋体" w:cs="宋体" w:eastAsia="宋体" w:hint="default"/>
          <w:sz w:val="19"/>
          <w:szCs w:val="19"/>
        </w:rPr>
      </w:pPr>
    </w:p>
    <w:p>
      <w:pPr>
        <w:spacing w:before="35"/>
        <w:ind w:left="214" w:right="1120" w:firstLine="0"/>
        <w:jc w:val="left"/>
        <w:rPr>
          <w:rFonts w:ascii="宋体" w:hAnsi="宋体" w:cs="宋体" w:eastAsia="宋体" w:hint="default"/>
          <w:sz w:val="21"/>
          <w:szCs w:val="21"/>
        </w:rPr>
      </w:pPr>
      <w:bookmarkStart w:name="（6）报告期内合并范围是否发生变动" w:id="32"/>
      <w:bookmarkEnd w:id="32"/>
      <w:r>
        <w:rPr/>
      </w:r>
      <w:r>
        <w:rPr>
          <w:rFonts w:ascii="宋体" w:hAnsi="宋体" w:cs="宋体" w:eastAsia="宋体" w:hint="default"/>
          <w:b/>
          <w:bCs/>
          <w:sz w:val="21"/>
          <w:szCs w:val="21"/>
        </w:rPr>
        <w:t>（</w:t>
      </w:r>
      <w:r>
        <w:rPr>
          <w:rFonts w:ascii="宋体" w:hAnsi="宋体" w:cs="宋体" w:eastAsia="宋体" w:hint="default"/>
          <w:b/>
          <w:bCs/>
          <w:sz w:val="21"/>
          <w:szCs w:val="21"/>
        </w:rPr>
        <w:t>6</w:t>
      </w:r>
      <w:r>
        <w:rPr>
          <w:rFonts w:ascii="宋体" w:hAnsi="宋体" w:cs="宋体" w:eastAsia="宋体" w:hint="default"/>
          <w:b/>
          <w:bCs/>
          <w:sz w:val="21"/>
          <w:szCs w:val="21"/>
        </w:rPr>
        <w:t>）报告期内合并范围是否发生变动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94" w:right="7512"/>
        <w:jc w:val="left"/>
      </w:pPr>
      <w:r>
        <w:rPr/>
        <w:t>√ 是 □ 否 </w:t>
      </w:r>
      <w:r>
        <w:rPr>
          <w:rFonts w:ascii="宋体" w:hAnsi="宋体" w:cs="宋体" w:eastAsia="宋体" w:hint="default"/>
        </w:rPr>
        <w:t>1</w:t>
      </w:r>
      <w:r>
        <w:rPr/>
        <w:t>）非同一控制下企业合并</w:t>
      </w:r>
    </w:p>
    <w:p>
      <w:pPr>
        <w:pStyle w:val="BodyText"/>
        <w:spacing w:line="240" w:lineRule="auto" w:before="59"/>
        <w:ind w:left="694" w:right="1120"/>
        <w:jc w:val="left"/>
      </w:pPr>
      <w:r>
        <w:rPr/>
        <w:t>①本年发生的非同一控制下企业合并</w:t>
      </w:r>
    </w:p>
    <w:p>
      <w:pPr>
        <w:spacing w:line="240" w:lineRule="auto" w:before="1"/>
        <w:rPr>
          <w:rFonts w:ascii="宋体" w:hAnsi="宋体" w:cs="宋体" w:eastAsia="宋体" w:hint="default"/>
          <w:sz w:val="17"/>
          <w:szCs w:val="17"/>
        </w:rPr>
      </w:pPr>
    </w:p>
    <w:tbl>
      <w:tblPr>
        <w:tblW w:w="0" w:type="auto"/>
        <w:jc w:val="left"/>
        <w:tblInd w:w="101" w:type="dxa"/>
        <w:tblLayout w:type="fixed"/>
        <w:tblCellMar>
          <w:top w:w="0" w:type="dxa"/>
          <w:left w:w="0" w:type="dxa"/>
          <w:bottom w:w="0" w:type="dxa"/>
          <w:right w:w="0" w:type="dxa"/>
        </w:tblCellMar>
        <w:tblLook w:val="01E0"/>
      </w:tblPr>
      <w:tblGrid>
        <w:gridCol w:w="1140"/>
        <w:gridCol w:w="1106"/>
        <w:gridCol w:w="948"/>
        <w:gridCol w:w="946"/>
        <w:gridCol w:w="1577"/>
        <w:gridCol w:w="947"/>
        <w:gridCol w:w="1581"/>
        <w:gridCol w:w="1610"/>
      </w:tblGrid>
      <w:tr>
        <w:trPr>
          <w:trHeight w:val="733" w:hRule="exact"/>
        </w:trPr>
        <w:tc>
          <w:tcPr>
            <w:tcW w:w="1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41"/>
              <w:ind w:left="385" w:right="203" w:hanging="180"/>
              <w:jc w:val="left"/>
              <w:rPr>
                <w:rFonts w:ascii="宋体" w:hAnsi="宋体" w:cs="宋体" w:eastAsia="宋体" w:hint="default"/>
                <w:sz w:val="18"/>
                <w:szCs w:val="18"/>
              </w:rPr>
            </w:pPr>
            <w:r>
              <w:rPr>
                <w:rFonts w:ascii="宋体" w:hAnsi="宋体" w:cs="宋体" w:eastAsia="宋体" w:hint="default"/>
                <w:sz w:val="18"/>
                <w:szCs w:val="18"/>
              </w:rPr>
              <w:t>被购买方 名称</w:t>
            </w:r>
          </w:p>
        </w:tc>
        <w:tc>
          <w:tcPr>
            <w:tcW w:w="1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61"/>
              <w:ind w:left="368" w:right="186" w:hanging="180"/>
              <w:jc w:val="left"/>
              <w:rPr>
                <w:rFonts w:ascii="宋体" w:hAnsi="宋体" w:cs="宋体" w:eastAsia="宋体" w:hint="default"/>
                <w:sz w:val="18"/>
                <w:szCs w:val="18"/>
              </w:rPr>
            </w:pPr>
            <w:r>
              <w:rPr>
                <w:rFonts w:ascii="宋体" w:hAnsi="宋体" w:cs="宋体" w:eastAsia="宋体" w:hint="default"/>
                <w:sz w:val="18"/>
                <w:szCs w:val="18"/>
              </w:rPr>
              <w:t>股权取得 时点</w:t>
            </w:r>
          </w:p>
        </w:tc>
        <w:tc>
          <w:tcPr>
            <w:tcW w:w="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61"/>
              <w:ind w:left="289" w:right="107" w:hanging="180"/>
              <w:jc w:val="left"/>
              <w:rPr>
                <w:rFonts w:ascii="宋体" w:hAnsi="宋体" w:cs="宋体" w:eastAsia="宋体" w:hint="default"/>
                <w:sz w:val="18"/>
                <w:szCs w:val="18"/>
              </w:rPr>
            </w:pPr>
            <w:r>
              <w:rPr>
                <w:rFonts w:ascii="宋体" w:hAnsi="宋体" w:cs="宋体" w:eastAsia="宋体" w:hint="default"/>
                <w:sz w:val="18"/>
                <w:szCs w:val="18"/>
              </w:rPr>
              <w:t>股权取得 成本</w:t>
            </w:r>
          </w:p>
        </w:tc>
        <w:tc>
          <w:tcPr>
            <w:tcW w:w="9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61"/>
              <w:ind w:left="103" w:right="11" w:firstLine="4"/>
              <w:jc w:val="left"/>
              <w:rPr>
                <w:rFonts w:ascii="宋体" w:hAnsi="宋体" w:cs="宋体" w:eastAsia="宋体" w:hint="default"/>
                <w:sz w:val="18"/>
                <w:szCs w:val="18"/>
              </w:rPr>
            </w:pPr>
            <w:r>
              <w:rPr>
                <w:rFonts w:ascii="宋体" w:hAnsi="宋体" w:cs="宋体" w:eastAsia="宋体" w:hint="default"/>
                <w:sz w:val="18"/>
                <w:szCs w:val="18"/>
              </w:rPr>
              <w:t>股权取得 </w:t>
            </w:r>
            <w:r>
              <w:rPr>
                <w:rFonts w:ascii="宋体" w:hAnsi="宋体" w:cs="宋体" w:eastAsia="宋体" w:hint="default"/>
                <w:spacing w:val="-11"/>
                <w:sz w:val="18"/>
                <w:szCs w:val="18"/>
              </w:rPr>
              <w:t>比例（</w:t>
            </w:r>
            <w:r>
              <w:rPr>
                <w:rFonts w:ascii="Times New Roman" w:hAnsi="Times New Roman" w:cs="Times New Roman" w:eastAsia="Times New Roman" w:hint="default"/>
                <w:spacing w:val="-11"/>
                <w:sz w:val="18"/>
                <w:szCs w:val="18"/>
              </w:rPr>
              <w:t>%</w:t>
            </w:r>
            <w:r>
              <w:rPr>
                <w:rFonts w:ascii="宋体" w:hAnsi="宋体" w:cs="宋体" w:eastAsia="宋体" w:hint="default"/>
                <w:spacing w:val="-11"/>
                <w:sz w:val="18"/>
                <w:szCs w:val="18"/>
              </w:rPr>
              <w:t>）</w:t>
            </w:r>
          </w:p>
        </w:tc>
        <w:tc>
          <w:tcPr>
            <w:tcW w:w="15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股权取得方式</w:t>
            </w:r>
          </w:p>
        </w:tc>
        <w:tc>
          <w:tcPr>
            <w:tcW w:w="9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5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61"/>
              <w:ind w:left="244" w:right="154" w:hanging="90"/>
              <w:jc w:val="left"/>
              <w:rPr>
                <w:rFonts w:ascii="宋体" w:hAnsi="宋体" w:cs="宋体" w:eastAsia="宋体" w:hint="default"/>
                <w:sz w:val="18"/>
                <w:szCs w:val="18"/>
              </w:rPr>
            </w:pPr>
            <w:r>
              <w:rPr>
                <w:rFonts w:ascii="宋体" w:hAnsi="宋体" w:cs="宋体" w:eastAsia="宋体" w:hint="default"/>
                <w:sz w:val="18"/>
                <w:szCs w:val="18"/>
              </w:rPr>
              <w:t>购买日至年末被 购买方的收入</w:t>
            </w:r>
          </w:p>
        </w:tc>
        <w:tc>
          <w:tcPr>
            <w:tcW w:w="16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61"/>
              <w:ind w:left="170" w:right="168"/>
              <w:jc w:val="left"/>
              <w:rPr>
                <w:rFonts w:ascii="宋体" w:hAnsi="宋体" w:cs="宋体" w:eastAsia="宋体" w:hint="default"/>
                <w:sz w:val="18"/>
                <w:szCs w:val="18"/>
              </w:rPr>
            </w:pPr>
            <w:r>
              <w:rPr>
                <w:rFonts w:ascii="宋体" w:hAnsi="宋体" w:cs="宋体" w:eastAsia="宋体" w:hint="default"/>
                <w:sz w:val="18"/>
                <w:szCs w:val="18"/>
              </w:rPr>
              <w:t>购买日至年末被 购买方的净利润</w:t>
            </w:r>
          </w:p>
        </w:tc>
      </w:tr>
      <w:tr>
        <w:trPr>
          <w:trHeight w:val="724" w:hRule="exact"/>
        </w:trPr>
        <w:tc>
          <w:tcPr>
            <w:tcW w:w="114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0"/>
                <w:szCs w:val="20"/>
              </w:rPr>
            </w:pPr>
          </w:p>
          <w:p>
            <w:pPr>
              <w:pStyle w:val="TableParagraph"/>
              <w:spacing w:line="316" w:lineRule="auto"/>
              <w:ind w:left="115" w:right="113"/>
              <w:jc w:val="center"/>
              <w:rPr>
                <w:rFonts w:ascii="宋体" w:hAnsi="宋体" w:cs="宋体" w:eastAsia="宋体" w:hint="default"/>
                <w:sz w:val="18"/>
                <w:szCs w:val="18"/>
              </w:rPr>
            </w:pPr>
            <w:r>
              <w:rPr>
                <w:rFonts w:ascii="宋体" w:hAnsi="宋体" w:cs="宋体" w:eastAsia="宋体" w:hint="default"/>
                <w:sz w:val="18"/>
                <w:szCs w:val="18"/>
              </w:rPr>
              <w:t>上海晨之科 信息技有限 公司</w:t>
            </w:r>
          </w:p>
        </w:tc>
        <w:tc>
          <w:tcPr>
            <w:tcW w:w="1106" w:type="dxa"/>
            <w:tcBorders>
              <w:top w:val="single" w:sz="12" w:space="0" w:color="D9D9D9"/>
              <w:left w:val="single" w:sz="4" w:space="0" w:color="000000"/>
              <w:bottom w:val="single" w:sz="4" w:space="0" w:color="000000"/>
              <w:right w:val="single" w:sz="4" w:space="0" w:color="000000"/>
            </w:tcBorders>
          </w:tcPr>
          <w:p>
            <w:pPr>
              <w:pStyle w:val="TableParagraph"/>
              <w:spacing w:line="240" w:lineRule="auto" w:before="51"/>
              <w:ind w:left="14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3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8" w:type="dxa"/>
            <w:tcBorders>
              <w:top w:val="single" w:sz="12" w:space="0" w:color="D9D9D9"/>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w:t>
            </w:r>
          </w:p>
        </w:tc>
        <w:tc>
          <w:tcPr>
            <w:tcW w:w="946" w:type="dxa"/>
            <w:tcBorders>
              <w:top w:val="single" w:sz="12" w:space="0" w:color="D9D9D9"/>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20.00</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现金支付</w:t>
            </w:r>
          </w:p>
        </w:tc>
        <w:tc>
          <w:tcPr>
            <w:tcW w:w="947"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p>
          <w:p>
            <w:pPr>
              <w:pStyle w:val="TableParagraph"/>
              <w:spacing w:line="240" w:lineRule="auto" w:before="64"/>
              <w:ind w:right="1"/>
              <w:jc w:val="center"/>
              <w:rPr>
                <w:rFonts w:ascii="宋体" w:hAnsi="宋体" w:cs="宋体" w:eastAsia="宋体" w:hint="default"/>
                <w:sz w:val="18"/>
                <w:szCs w:val="18"/>
              </w:rPr>
            </w:pPr>
            <w:r>
              <w:rPr>
                <w:rFonts w:ascii="宋体" w:hAnsi="宋体" w:cs="宋体" w:eastAsia="宋体" w:hint="default"/>
                <w:sz w:val="18"/>
                <w:szCs w:val="18"/>
              </w:rPr>
              <w:t>月</w:t>
            </w:r>
          </w:p>
          <w:p>
            <w:pPr>
              <w:pStyle w:val="TableParagraph"/>
              <w:spacing w:line="240" w:lineRule="auto" w:before="11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81" w:type="dxa"/>
            <w:vMerge w:val="restart"/>
            <w:tcBorders>
              <w:top w:val="single" w:sz="12" w:space="0" w:color="D9D9D9"/>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3"/>
              <w:ind w:left="222" w:right="0"/>
              <w:jc w:val="left"/>
              <w:rPr>
                <w:rFonts w:ascii="Times New Roman" w:hAnsi="Times New Roman" w:cs="Times New Roman" w:eastAsia="Times New Roman" w:hint="default"/>
                <w:sz w:val="18"/>
                <w:szCs w:val="18"/>
              </w:rPr>
            </w:pPr>
            <w:r>
              <w:rPr>
                <w:rFonts w:ascii="Times New Roman"/>
                <w:sz w:val="18"/>
              </w:rPr>
              <w:t>125,843,436.33</w:t>
            </w:r>
          </w:p>
        </w:tc>
        <w:tc>
          <w:tcPr>
            <w:tcW w:w="1610" w:type="dxa"/>
            <w:vMerge w:val="restart"/>
            <w:tcBorders>
              <w:top w:val="single" w:sz="12" w:space="0" w:color="D9D9D9"/>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3"/>
              <w:ind w:left="207" w:right="0"/>
              <w:jc w:val="left"/>
              <w:rPr>
                <w:rFonts w:ascii="Times New Roman" w:hAnsi="Times New Roman" w:cs="Times New Roman" w:eastAsia="Times New Roman" w:hint="default"/>
                <w:sz w:val="18"/>
                <w:szCs w:val="18"/>
              </w:rPr>
            </w:pPr>
            <w:r>
              <w:rPr>
                <w:rFonts w:ascii="Times New Roman"/>
                <w:sz w:val="18"/>
              </w:rPr>
              <w:t>-266,979,335.74</w:t>
            </w:r>
          </w:p>
        </w:tc>
      </w:tr>
      <w:tr>
        <w:trPr>
          <w:trHeight w:val="714" w:hRule="exact"/>
        </w:trPr>
        <w:tc>
          <w:tcPr>
            <w:tcW w:w="1140" w:type="dxa"/>
            <w:vMerge/>
            <w:tcBorders>
              <w:left w:val="single" w:sz="4" w:space="0" w:color="000000"/>
              <w:bottom w:val="single" w:sz="4" w:space="0" w:color="000000"/>
              <w:right w:val="single" w:sz="4" w:space="0" w:color="000000"/>
            </w:tcBorders>
            <w:shd w:val="clear" w:color="auto" w:fill="D9D9D9"/>
          </w:tcPr>
          <w:p>
            <w:pP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p>
          <w:p>
            <w:pPr>
              <w:pStyle w:val="TableParagraph"/>
              <w:spacing w:line="240" w:lineRule="auto" w:before="6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14.726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80.00</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23" w:right="151" w:hanging="270"/>
              <w:jc w:val="left"/>
              <w:rPr>
                <w:rFonts w:ascii="宋体" w:hAnsi="宋体" w:cs="宋体" w:eastAsia="宋体" w:hint="default"/>
                <w:sz w:val="18"/>
                <w:szCs w:val="18"/>
              </w:rPr>
            </w:pPr>
            <w:r>
              <w:rPr>
                <w:rFonts w:ascii="宋体" w:hAnsi="宋体" w:cs="宋体" w:eastAsia="宋体" w:hint="default"/>
                <w:sz w:val="18"/>
                <w:szCs w:val="18"/>
              </w:rPr>
              <w:t>现金支付与定向 增发股票</w:t>
            </w:r>
          </w:p>
        </w:tc>
        <w:tc>
          <w:tcPr>
            <w:tcW w:w="947" w:type="dxa"/>
            <w:vMerge/>
            <w:tcBorders>
              <w:left w:val="single" w:sz="4" w:space="0" w:color="000000"/>
              <w:bottom w:val="single" w:sz="4" w:space="0" w:color="000000"/>
              <w:right w:val="single" w:sz="4" w:space="0" w:color="000000"/>
            </w:tcBorders>
          </w:tcPr>
          <w:p>
            <w:pPr/>
          </w:p>
        </w:tc>
        <w:tc>
          <w:tcPr>
            <w:tcW w:w="1581" w:type="dxa"/>
            <w:vMerge/>
            <w:tcBorders>
              <w:left w:val="single" w:sz="4" w:space="0" w:color="000000"/>
              <w:bottom w:val="single" w:sz="4" w:space="0" w:color="000000"/>
              <w:right w:val="single" w:sz="4" w:space="0" w:color="000000"/>
            </w:tcBorders>
          </w:tcPr>
          <w:p>
            <w:pPr/>
          </w:p>
        </w:tc>
        <w:tc>
          <w:tcPr>
            <w:tcW w:w="1610" w:type="dxa"/>
            <w:vMerge/>
            <w:tcBorders>
              <w:left w:val="single" w:sz="4" w:space="0" w:color="000000"/>
              <w:bottom w:val="single" w:sz="4" w:space="0" w:color="000000"/>
              <w:right w:val="single" w:sz="4" w:space="0" w:color="000000"/>
            </w:tcBorders>
          </w:tcPr>
          <w:p>
            <w:pPr/>
          </w:p>
        </w:tc>
      </w:tr>
    </w:tbl>
    <w:p>
      <w:pPr>
        <w:spacing w:line="240" w:lineRule="auto" w:before="11"/>
        <w:rPr>
          <w:rFonts w:ascii="宋体" w:hAnsi="宋体" w:cs="宋体" w:eastAsia="宋体" w:hint="default"/>
          <w:sz w:val="8"/>
          <w:szCs w:val="8"/>
        </w:rPr>
      </w:pPr>
    </w:p>
    <w:p>
      <w:pPr>
        <w:pStyle w:val="BodyText"/>
        <w:spacing w:line="357" w:lineRule="auto" w:before="26"/>
        <w:ind w:left="214" w:right="1120" w:firstLine="480"/>
        <w:jc w:val="left"/>
        <w:rPr>
          <w:rFonts w:ascii="宋体" w:hAnsi="宋体" w:cs="宋体" w:eastAsia="宋体" w:hint="default"/>
        </w:rPr>
      </w:pPr>
      <w:r>
        <w:rPr/>
        <w:t>注：本公司原持有晨之科股权</w:t>
      </w:r>
      <w:r>
        <w:rPr>
          <w:spacing w:val="8"/>
        </w:rPr>
        <w:t> </w:t>
      </w:r>
      <w:r>
        <w:rPr>
          <w:rFonts w:ascii="宋体" w:hAnsi="宋体" w:cs="宋体" w:eastAsia="宋体" w:hint="default"/>
        </w:rPr>
        <w:t>20%</w:t>
      </w:r>
      <w:r>
        <w:rPr/>
        <w:t>，采用权益法核算。报告期内，公司通过重大资产重 组获得晨之科剩余</w:t>
      </w:r>
      <w:r>
        <w:rPr>
          <w:spacing w:val="-59"/>
        </w:rPr>
        <w:t> </w:t>
      </w:r>
      <w:r>
        <w:rPr>
          <w:rFonts w:ascii="宋体" w:hAnsi="宋体" w:cs="宋体" w:eastAsia="宋体" w:hint="default"/>
          <w:spacing w:val="-6"/>
        </w:rPr>
        <w:t>80%</w:t>
      </w:r>
      <w:r>
        <w:rPr>
          <w:spacing w:val="-6"/>
        </w:rPr>
        <w:t>股权，于</w:t>
      </w:r>
      <w:r>
        <w:rPr>
          <w:spacing w:val="-59"/>
        </w:rPr>
        <w:t> </w:t>
      </w:r>
      <w:r>
        <w:rPr>
          <w:rFonts w:ascii="宋体" w:hAnsi="宋体" w:cs="宋体" w:eastAsia="宋体" w:hint="default"/>
        </w:rPr>
        <w:t>2018</w:t>
      </w:r>
      <w:r>
        <w:rPr>
          <w:rFonts w:ascii="宋体" w:hAnsi="宋体" w:cs="宋体" w:eastAsia="宋体" w:hint="default"/>
          <w:spacing w:val="-59"/>
        </w:rPr>
        <w:t> </w:t>
      </w:r>
      <w:r>
        <w:rPr/>
        <w:t>年</w:t>
      </w:r>
      <w:r>
        <w:rPr>
          <w:spacing w:val="-59"/>
        </w:rPr>
        <w:t> </w:t>
      </w:r>
      <w:r>
        <w:rPr>
          <w:rFonts w:ascii="宋体" w:hAnsi="宋体" w:cs="宋体" w:eastAsia="宋体" w:hint="default"/>
        </w:rPr>
        <w:t>3</w:t>
      </w:r>
      <w:r>
        <w:rPr>
          <w:rFonts w:ascii="宋体" w:hAnsi="宋体" w:cs="宋体" w:eastAsia="宋体" w:hint="default"/>
          <w:spacing w:val="-59"/>
        </w:rPr>
        <w:t> </w:t>
      </w:r>
      <w:r>
        <w:rPr/>
        <w:t>月</w:t>
      </w:r>
      <w:r>
        <w:rPr>
          <w:spacing w:val="-59"/>
        </w:rPr>
        <w:t> </w:t>
      </w:r>
      <w:r>
        <w:rPr>
          <w:rFonts w:ascii="宋体" w:hAnsi="宋体" w:cs="宋体" w:eastAsia="宋体" w:hint="default"/>
        </w:rPr>
        <w:t>5</w:t>
      </w:r>
      <w:r>
        <w:rPr>
          <w:rFonts w:ascii="宋体" w:hAnsi="宋体" w:cs="宋体" w:eastAsia="宋体" w:hint="default"/>
          <w:spacing w:val="-59"/>
        </w:rPr>
        <w:t> </w:t>
      </w:r>
      <w:r>
        <w:rPr>
          <w:spacing w:val="-3"/>
        </w:rPr>
        <w:t>日完成了晨之科资产股权过户手续，并于</w:t>
      </w:r>
      <w:r>
        <w:rPr>
          <w:spacing w:val="-59"/>
        </w:rPr>
        <w:t> </w:t>
      </w:r>
      <w:r>
        <w:rPr>
          <w:rFonts w:ascii="宋体" w:hAnsi="宋体" w:cs="宋体" w:eastAsia="宋体" w:hint="default"/>
        </w:rPr>
        <w:t>2018</w:t>
      </w:r>
    </w:p>
    <w:p>
      <w:pPr>
        <w:pStyle w:val="BodyText"/>
        <w:spacing w:line="240" w:lineRule="auto" w:before="36"/>
        <w:ind w:left="214" w:right="998"/>
        <w:jc w:val="left"/>
      </w:pP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15</w:t>
      </w:r>
      <w:r>
        <w:rPr>
          <w:rFonts w:ascii="宋体" w:hAnsi="宋体" w:cs="宋体" w:eastAsia="宋体" w:hint="default"/>
          <w:spacing w:val="-60"/>
        </w:rPr>
        <w:t> </w:t>
      </w:r>
      <w:r>
        <w:rPr/>
        <w:t>日在中国证券登记结算有限责任公司深圳分公司完成本公司增发股份的受理确认，</w:t>
      </w:r>
    </w:p>
    <w:p>
      <w:pPr>
        <w:spacing w:after="0" w:line="240" w:lineRule="auto"/>
        <w:jc w:val="left"/>
        <w:sectPr>
          <w:pgSz w:w="11910" w:h="16840"/>
          <w:pgMar w:header="747" w:footer="979" w:top="1060" w:bottom="1160" w:left="920" w:right="0"/>
        </w:sectPr>
      </w:pPr>
    </w:p>
    <w:p>
      <w:pPr>
        <w:spacing w:line="240" w:lineRule="auto" w:before="7"/>
        <w:rPr>
          <w:rFonts w:ascii="宋体" w:hAnsi="宋体" w:cs="宋体" w:eastAsia="宋体" w:hint="default"/>
          <w:sz w:val="29"/>
          <w:szCs w:val="29"/>
        </w:rPr>
      </w:pPr>
    </w:p>
    <w:p>
      <w:pPr>
        <w:pStyle w:val="BodyText"/>
        <w:spacing w:line="357" w:lineRule="auto" w:before="26"/>
        <w:ind w:left="214" w:right="1130"/>
        <w:jc w:val="both"/>
      </w:pPr>
      <w:r>
        <w:rPr/>
        <w:t>新增股份于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29</w:t>
      </w:r>
      <w:r>
        <w:rPr>
          <w:rFonts w:ascii="宋体" w:hAnsi="宋体" w:cs="宋体" w:eastAsia="宋体" w:hint="default"/>
          <w:spacing w:val="-60"/>
        </w:rPr>
        <w:t> </w:t>
      </w:r>
      <w:r>
        <w:rPr>
          <w:spacing w:val="-6"/>
        </w:rPr>
        <w:t>日上市。公司从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spacing w:val="-3"/>
        </w:rPr>
        <w:t>日开始合并晨之科财务报表，含晨</w:t>
      </w:r>
      <w:r>
        <w:rPr/>
        <w:t> 之科合并范围内的全资子公司上海乐纷数码科技有限公司、上海乐芝信息技术有限公司、霍 尔果斯乐氪信息技术有限公司、晨之科亚洲控股有限公司、</w:t>
      </w:r>
      <w:r>
        <w:rPr>
          <w:rFonts w:ascii="宋体" w:hAnsi="宋体" w:cs="宋体" w:eastAsia="宋体" w:hint="default"/>
        </w:rPr>
        <w:t>MorningTec Japan</w:t>
      </w:r>
      <w:r>
        <w:rPr>
          <w:rFonts w:ascii="宋体" w:hAnsi="宋体" w:cs="宋体" w:eastAsia="宋体" w:hint="default"/>
          <w:spacing w:val="-82"/>
        </w:rPr>
        <w:t> </w:t>
      </w:r>
      <w:r>
        <w:rPr/>
        <w:t>株式会社与控 股子公司上海岚魔信息技术有限公司、多彩互娱有限公司。</w:t>
      </w:r>
    </w:p>
    <w:p>
      <w:pPr>
        <w:pStyle w:val="BodyText"/>
        <w:spacing w:line="240" w:lineRule="auto" w:before="136"/>
        <w:ind w:left="694" w:right="1120"/>
        <w:jc w:val="left"/>
      </w:pPr>
      <w:r>
        <w:rPr/>
        <w:t>②合并成本及商誉</w:t>
      </w:r>
    </w:p>
    <w:p>
      <w:pPr>
        <w:spacing w:line="240" w:lineRule="auto" w:before="4"/>
        <w:rPr>
          <w:rFonts w:ascii="宋体" w:hAnsi="宋体" w:cs="宋体" w:eastAsia="宋体"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4928"/>
        <w:gridCol w:w="4928"/>
      </w:tblGrid>
      <w:tr>
        <w:trPr>
          <w:trHeight w:val="402" w:hRule="exact"/>
        </w:trPr>
        <w:tc>
          <w:tcPr>
            <w:tcW w:w="49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9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晨之科</w:t>
            </w:r>
          </w:p>
        </w:tc>
      </w:tr>
      <w:tr>
        <w:trPr>
          <w:trHeight w:val="322"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合并成本</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1,840,750,000.00</w:t>
            </w:r>
          </w:p>
        </w:tc>
      </w:tr>
      <w:tr>
        <w:trPr>
          <w:trHeight w:val="322"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其中：现金</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449,560,300.00</w:t>
            </w:r>
          </w:p>
        </w:tc>
      </w:tr>
      <w:tr>
        <w:trPr>
          <w:trHeight w:val="323"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53" w:right="0"/>
              <w:jc w:val="left"/>
              <w:rPr>
                <w:rFonts w:ascii="宋体" w:hAnsi="宋体" w:cs="宋体" w:eastAsia="宋体" w:hint="default"/>
                <w:sz w:val="18"/>
                <w:szCs w:val="18"/>
              </w:rPr>
            </w:pPr>
            <w:r>
              <w:rPr>
                <w:rFonts w:ascii="宋体" w:hAnsi="宋体" w:cs="宋体" w:eastAsia="宋体" w:hint="default"/>
                <w:sz w:val="18"/>
                <w:szCs w:val="18"/>
              </w:rPr>
              <w:t>发行权益证券的公允价值</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1,023,039,700.00</w:t>
            </w:r>
          </w:p>
        </w:tc>
      </w:tr>
      <w:tr>
        <w:trPr>
          <w:trHeight w:val="322"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586,535,413.89</w:t>
            </w:r>
          </w:p>
        </w:tc>
      </w:tr>
      <w:tr>
        <w:trPr>
          <w:trHeight w:val="323"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1,254,214,586.11</w:t>
            </w:r>
          </w:p>
        </w:tc>
      </w:tr>
    </w:tbl>
    <w:p>
      <w:pPr>
        <w:spacing w:line="240" w:lineRule="auto" w:before="10"/>
        <w:rPr>
          <w:rFonts w:ascii="宋体" w:hAnsi="宋体" w:cs="宋体" w:eastAsia="宋体" w:hint="default"/>
          <w:sz w:val="8"/>
          <w:szCs w:val="8"/>
        </w:rPr>
      </w:pPr>
    </w:p>
    <w:p>
      <w:pPr>
        <w:pStyle w:val="BodyText"/>
        <w:spacing w:line="240" w:lineRule="auto" w:before="26"/>
        <w:ind w:left="694" w:right="1120"/>
        <w:jc w:val="left"/>
      </w:pPr>
      <w:r>
        <w:rPr/>
        <w:t>③被购买方于购买日可辨认资产、负债</w:t>
      </w:r>
    </w:p>
    <w:p>
      <w:pPr>
        <w:spacing w:line="240" w:lineRule="auto" w:before="3"/>
        <w:rPr>
          <w:rFonts w:ascii="宋体" w:hAnsi="宋体" w:cs="宋体" w:eastAsia="宋体"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3648"/>
        <w:gridCol w:w="3105"/>
        <w:gridCol w:w="3102"/>
      </w:tblGrid>
      <w:tr>
        <w:trPr>
          <w:trHeight w:val="401" w:hRule="exact"/>
        </w:trPr>
        <w:tc>
          <w:tcPr>
            <w:tcW w:w="364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20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晨之科</w:t>
            </w:r>
          </w:p>
        </w:tc>
      </w:tr>
      <w:tr>
        <w:trPr>
          <w:trHeight w:val="402" w:hRule="exact"/>
        </w:trPr>
        <w:tc>
          <w:tcPr>
            <w:tcW w:w="3648" w:type="dxa"/>
            <w:vMerge/>
            <w:tcBorders>
              <w:left w:val="single" w:sz="4" w:space="0" w:color="000000"/>
              <w:bottom w:val="single" w:sz="4" w:space="0" w:color="000000"/>
              <w:right w:val="single" w:sz="4" w:space="0" w:color="000000"/>
            </w:tcBorders>
            <w:shd w:val="clear" w:color="auto" w:fill="D9D9D9"/>
          </w:tcPr>
          <w:p>
            <w:pPr/>
          </w:p>
        </w:tc>
        <w:tc>
          <w:tcPr>
            <w:tcW w:w="31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917"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916"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323"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资产：</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1"/>
              <w:jc w:val="right"/>
              <w:rPr>
                <w:rFonts w:ascii="宋体" w:hAnsi="宋体" w:cs="宋体" w:eastAsia="宋体" w:hint="default"/>
                <w:sz w:val="20"/>
                <w:szCs w:val="20"/>
              </w:rPr>
            </w:pPr>
            <w:r>
              <w:rPr>
                <w:rFonts w:ascii="宋体"/>
                <w:spacing w:val="-1"/>
                <w:sz w:val="20"/>
              </w:rPr>
              <w:t>643,850,180.45</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1"/>
              <w:jc w:val="right"/>
              <w:rPr>
                <w:rFonts w:ascii="宋体" w:hAnsi="宋体" w:cs="宋体" w:eastAsia="宋体" w:hint="default"/>
                <w:sz w:val="20"/>
                <w:szCs w:val="20"/>
              </w:rPr>
            </w:pPr>
            <w:r>
              <w:rPr>
                <w:rFonts w:ascii="宋体"/>
                <w:spacing w:val="-1"/>
                <w:sz w:val="20"/>
              </w:rPr>
              <w:t>461,482,676.78</w:t>
            </w: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111,803,845.26</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111,803,845.26</w:t>
            </w: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应收款项</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101,613,242.23</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101,613,242.23</w:t>
            </w:r>
          </w:p>
        </w:tc>
      </w:tr>
      <w:tr>
        <w:trPr>
          <w:trHeight w:val="323"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0"/>
              <w:jc w:val="right"/>
              <w:rPr>
                <w:rFonts w:ascii="宋体" w:hAnsi="宋体" w:cs="宋体" w:eastAsia="宋体" w:hint="default"/>
                <w:sz w:val="20"/>
                <w:szCs w:val="20"/>
              </w:rPr>
            </w:pPr>
            <w:r>
              <w:rPr>
                <w:rFonts w:ascii="宋体"/>
                <w:spacing w:val="-1"/>
                <w:sz w:val="20"/>
              </w:rPr>
              <w:t>7,746,035.90</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0"/>
              <w:jc w:val="right"/>
              <w:rPr>
                <w:rFonts w:ascii="宋体" w:hAnsi="宋体" w:cs="宋体" w:eastAsia="宋体" w:hint="default"/>
                <w:sz w:val="20"/>
                <w:szCs w:val="20"/>
              </w:rPr>
            </w:pPr>
            <w:r>
              <w:rPr>
                <w:rFonts w:ascii="宋体"/>
                <w:spacing w:val="-1"/>
                <w:sz w:val="20"/>
              </w:rPr>
              <w:t>6,773,792.47</w:t>
            </w: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无形资产</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189,365,000.00</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36,439.76</w:t>
            </w: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1,030,576.83</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1,030,576.83</w:t>
            </w:r>
          </w:p>
        </w:tc>
      </w:tr>
      <w:tr>
        <w:trPr>
          <w:trHeight w:val="323"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负债：</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0"/>
              <w:jc w:val="right"/>
              <w:rPr>
                <w:rFonts w:ascii="宋体" w:hAnsi="宋体" w:cs="宋体" w:eastAsia="宋体" w:hint="default"/>
                <w:sz w:val="20"/>
                <w:szCs w:val="20"/>
              </w:rPr>
            </w:pPr>
            <w:r>
              <w:rPr>
                <w:rFonts w:ascii="宋体"/>
                <w:spacing w:val="-1"/>
                <w:sz w:val="20"/>
              </w:rPr>
              <w:t>57,314,766.56</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0"/>
              <w:jc w:val="right"/>
              <w:rPr>
                <w:rFonts w:ascii="宋体" w:hAnsi="宋体" w:cs="宋体" w:eastAsia="宋体" w:hint="default"/>
                <w:sz w:val="20"/>
                <w:szCs w:val="20"/>
              </w:rPr>
            </w:pPr>
            <w:r>
              <w:rPr>
                <w:rFonts w:ascii="宋体"/>
                <w:spacing w:val="-1"/>
                <w:sz w:val="20"/>
              </w:rPr>
              <w:t>41,611,755.77</w:t>
            </w: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应付款项</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16,029,288.34</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16,029,288.34</w:t>
            </w: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2,209,109.32</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2,209,109.32</w:t>
            </w:r>
          </w:p>
        </w:tc>
      </w:tr>
      <w:tr>
        <w:trPr>
          <w:trHeight w:val="323"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0"/>
              <w:jc w:val="right"/>
              <w:rPr>
                <w:rFonts w:ascii="宋体" w:hAnsi="宋体" w:cs="宋体" w:eastAsia="宋体" w:hint="default"/>
                <w:sz w:val="20"/>
                <w:szCs w:val="20"/>
              </w:rPr>
            </w:pPr>
            <w:r>
              <w:rPr>
                <w:rFonts w:ascii="宋体"/>
                <w:spacing w:val="-1"/>
                <w:sz w:val="20"/>
              </w:rPr>
              <w:t>12,183,770.31</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0"/>
              <w:jc w:val="right"/>
              <w:rPr>
                <w:rFonts w:ascii="宋体" w:hAnsi="宋体" w:cs="宋体" w:eastAsia="宋体" w:hint="default"/>
                <w:sz w:val="20"/>
                <w:szCs w:val="20"/>
              </w:rPr>
            </w:pPr>
            <w:r>
              <w:rPr>
                <w:rFonts w:ascii="宋体"/>
                <w:spacing w:val="-1"/>
                <w:sz w:val="20"/>
              </w:rPr>
              <w:t>12,183,770.31</w:t>
            </w: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递延所得税负债</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23,809,213.27</w:t>
            </w:r>
          </w:p>
        </w:tc>
        <w:tc>
          <w:tcPr>
            <w:tcW w:w="31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净资产</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586,535,413.89</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419,870,921.01</w:t>
            </w:r>
          </w:p>
        </w:tc>
      </w:tr>
      <w:tr>
        <w:trPr>
          <w:trHeight w:val="323"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减：少数股东权益</w:t>
            </w:r>
          </w:p>
        </w:tc>
        <w:tc>
          <w:tcPr>
            <w:tcW w:w="3105" w:type="dxa"/>
            <w:tcBorders>
              <w:top w:val="single" w:sz="4" w:space="0" w:color="000000"/>
              <w:left w:val="single" w:sz="4" w:space="0" w:color="000000"/>
              <w:bottom w:val="single" w:sz="4" w:space="0" w:color="000000"/>
              <w:right w:val="single" w:sz="4" w:space="0" w:color="000000"/>
            </w:tcBorders>
          </w:tcPr>
          <w:p>
            <w:pPr/>
          </w:p>
        </w:tc>
        <w:tc>
          <w:tcPr>
            <w:tcW w:w="31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取得的净资产</w:t>
            </w:r>
          </w:p>
        </w:tc>
        <w:tc>
          <w:tcPr>
            <w:tcW w:w="3105"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586,535,413.89</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419,870,921.01</w:t>
            </w:r>
          </w:p>
        </w:tc>
      </w:tr>
    </w:tbl>
    <w:p>
      <w:pPr>
        <w:spacing w:line="240" w:lineRule="auto" w:before="10"/>
        <w:rPr>
          <w:rFonts w:ascii="宋体" w:hAnsi="宋体" w:cs="宋体" w:eastAsia="宋体" w:hint="default"/>
          <w:sz w:val="8"/>
          <w:szCs w:val="8"/>
        </w:rPr>
      </w:pPr>
    </w:p>
    <w:p>
      <w:pPr>
        <w:pStyle w:val="BodyText"/>
        <w:spacing w:line="357" w:lineRule="auto" w:before="26"/>
        <w:ind w:left="214" w:right="1131" w:firstLine="480"/>
        <w:jc w:val="both"/>
      </w:pPr>
      <w:r>
        <w:rPr/>
        <w:t>注：晨之科于购买日可辨认净资产公允价值系依据上海东洲资产评估有限公司出具的东 洲咨报字</w:t>
      </w:r>
      <w:r>
        <w:rPr>
          <w:rFonts w:ascii="宋体" w:hAnsi="宋体" w:cs="宋体" w:eastAsia="宋体" w:hint="default"/>
        </w:rPr>
        <w:t>[2018]</w:t>
      </w:r>
      <w:r>
        <w:rPr/>
        <w:t>第</w:t>
      </w:r>
      <w:r>
        <w:rPr>
          <w:spacing w:val="-57"/>
        </w:rPr>
        <w:t> </w:t>
      </w:r>
      <w:r>
        <w:rPr>
          <w:rFonts w:ascii="宋体" w:hAnsi="宋体" w:cs="宋体" w:eastAsia="宋体" w:hint="default"/>
        </w:rPr>
        <w:t>0583</w:t>
      </w:r>
      <w:r>
        <w:rPr>
          <w:rFonts w:ascii="宋体" w:hAnsi="宋体" w:cs="宋体" w:eastAsia="宋体" w:hint="default"/>
          <w:spacing w:val="-57"/>
        </w:rPr>
        <w:t> </w:t>
      </w:r>
      <w:r>
        <w:rPr>
          <w:spacing w:val="-3"/>
        </w:rPr>
        <w:t>号《上海晨之科信息技术有限公司以财务报告目的涉及的可辨认资产</w:t>
      </w:r>
      <w:r>
        <w:rPr/>
        <w:t> 及负债市场价值估值报告》确定。</w:t>
      </w:r>
    </w:p>
    <w:p>
      <w:pPr>
        <w:pStyle w:val="BodyText"/>
        <w:spacing w:line="240" w:lineRule="auto" w:before="136"/>
        <w:ind w:left="694" w:right="1120"/>
        <w:jc w:val="left"/>
      </w:pPr>
      <w:r>
        <w:rPr>
          <w:rFonts w:ascii="宋体" w:hAnsi="宋体" w:cs="宋体" w:eastAsia="宋体" w:hint="default"/>
        </w:rPr>
        <w:t>2</w:t>
      </w:r>
      <w:r>
        <w:rPr/>
        <w:t>）其他原因的合并范围变动</w:t>
      </w:r>
    </w:p>
    <w:p>
      <w:pPr>
        <w:spacing w:line="240" w:lineRule="auto" w:before="4"/>
        <w:rPr>
          <w:rFonts w:ascii="宋体" w:hAnsi="宋体" w:cs="宋体" w:eastAsia="宋体" w:hint="default"/>
          <w:sz w:val="19"/>
          <w:szCs w:val="19"/>
        </w:rPr>
      </w:pPr>
    </w:p>
    <w:p>
      <w:pPr>
        <w:pStyle w:val="BodyText"/>
        <w:spacing w:line="240" w:lineRule="auto"/>
        <w:ind w:left="694" w:right="1120"/>
        <w:jc w:val="left"/>
      </w:pPr>
      <w:r>
        <w:rPr/>
        <w:t>本公司之子公司中文在线天津公司持</w:t>
      </w:r>
      <w:r>
        <w:rPr>
          <w:spacing w:val="9"/>
        </w:rPr>
        <w:t> </w:t>
      </w:r>
      <w:r>
        <w:rPr>
          <w:rFonts w:ascii="宋体" w:hAnsi="宋体" w:cs="宋体" w:eastAsia="宋体" w:hint="default"/>
        </w:rPr>
        <w:t>70%</w:t>
      </w:r>
      <w:r>
        <w:rPr/>
        <w:t>股权比例的子公司北京中文万维科技有限公司</w:t>
      </w:r>
    </w:p>
    <w:p>
      <w:pPr>
        <w:pStyle w:val="BodyText"/>
        <w:spacing w:line="240" w:lineRule="auto" w:before="154"/>
        <w:ind w:left="214" w:right="998"/>
        <w:jc w:val="left"/>
      </w:pPr>
      <w:r>
        <w:rPr>
          <w:spacing w:val="-3"/>
        </w:rPr>
        <w:t>（以下简称中文万维）于</w:t>
      </w:r>
      <w:r>
        <w:rPr>
          <w:spacing w:val="-58"/>
        </w:rPr>
        <w:t> </w:t>
      </w:r>
      <w:r>
        <w:rPr>
          <w:rFonts w:ascii="宋体" w:hAnsi="宋体" w:cs="宋体" w:eastAsia="宋体" w:hint="default"/>
        </w:rPr>
        <w:t>2018</w:t>
      </w:r>
      <w:r>
        <w:rPr>
          <w:rFonts w:ascii="宋体" w:hAnsi="宋体" w:cs="宋体" w:eastAsia="宋体" w:hint="default"/>
          <w:spacing w:val="-58"/>
        </w:rPr>
        <w:t> </w:t>
      </w:r>
      <w:r>
        <w:rPr/>
        <w:t>年</w:t>
      </w:r>
      <w:r>
        <w:rPr>
          <w:spacing w:val="-58"/>
        </w:rPr>
        <w:t> </w:t>
      </w:r>
      <w:r>
        <w:rPr>
          <w:rFonts w:ascii="宋体" w:hAnsi="宋体" w:cs="宋体" w:eastAsia="宋体" w:hint="default"/>
        </w:rPr>
        <w:t>10</w:t>
      </w:r>
      <w:r>
        <w:rPr>
          <w:rFonts w:ascii="宋体" w:hAnsi="宋体" w:cs="宋体" w:eastAsia="宋体" w:hint="default"/>
          <w:spacing w:val="-58"/>
        </w:rPr>
        <w:t> </w:t>
      </w:r>
      <w:r>
        <w:rPr/>
        <w:t>月</w:t>
      </w:r>
      <w:r>
        <w:rPr>
          <w:spacing w:val="-58"/>
        </w:rPr>
        <w:t> </w:t>
      </w:r>
      <w:r>
        <w:rPr>
          <w:rFonts w:ascii="宋体" w:hAnsi="宋体" w:cs="宋体" w:eastAsia="宋体" w:hint="default"/>
        </w:rPr>
        <w:t>31</w:t>
      </w:r>
      <w:r>
        <w:rPr>
          <w:rFonts w:ascii="宋体" w:hAnsi="宋体" w:cs="宋体" w:eastAsia="宋体" w:hint="default"/>
          <w:spacing w:val="-58"/>
        </w:rPr>
        <w:t> </w:t>
      </w:r>
      <w:r>
        <w:rPr/>
        <w:t>日完成</w:t>
      </w:r>
      <w:r>
        <w:rPr>
          <w:spacing w:val="-58"/>
        </w:rPr>
        <w:t> </w:t>
      </w:r>
      <w:r>
        <w:rPr>
          <w:rFonts w:ascii="宋体" w:hAnsi="宋体" w:cs="宋体" w:eastAsia="宋体" w:hint="default"/>
        </w:rPr>
        <w:t>MBO</w:t>
      </w:r>
      <w:r>
        <w:rPr>
          <w:rFonts w:ascii="宋体" w:hAnsi="宋体" w:cs="宋体" w:eastAsia="宋体" w:hint="default"/>
          <w:spacing w:val="-58"/>
        </w:rPr>
        <w:t> </w:t>
      </w:r>
      <w:r>
        <w:rPr>
          <w:spacing w:val="-4"/>
        </w:rPr>
        <w:t>及投资方永利投资咨询（广州）有限公</w:t>
      </w:r>
    </w:p>
    <w:p>
      <w:pPr>
        <w:spacing w:after="0" w:line="240" w:lineRule="auto"/>
        <w:jc w:val="left"/>
        <w:sectPr>
          <w:pgSz w:w="11910" w:h="16840"/>
          <w:pgMar w:header="747" w:footer="979" w:top="1060" w:bottom="1160" w:left="920" w:right="0"/>
        </w:sectPr>
      </w:pPr>
    </w:p>
    <w:p>
      <w:pPr>
        <w:spacing w:line="240" w:lineRule="auto" w:before="7"/>
        <w:rPr>
          <w:rFonts w:ascii="宋体" w:hAnsi="宋体" w:cs="宋体" w:eastAsia="宋体" w:hint="default"/>
          <w:sz w:val="29"/>
          <w:szCs w:val="29"/>
        </w:rPr>
      </w:pPr>
    </w:p>
    <w:p>
      <w:pPr>
        <w:pStyle w:val="BodyText"/>
        <w:spacing w:line="357" w:lineRule="auto" w:before="26"/>
        <w:ind w:right="1130"/>
        <w:jc w:val="both"/>
      </w:pPr>
      <w:r>
        <w:rPr/>
        <w:t>司的增资，股权变更后，中文在线天津公司持股由 </w:t>
      </w:r>
      <w:r>
        <w:rPr>
          <w:rFonts w:ascii="宋体" w:hAnsi="宋体" w:cs="宋体" w:eastAsia="宋体" w:hint="default"/>
        </w:rPr>
        <w:t>70%</w:t>
      </w:r>
      <w:r>
        <w:rPr/>
        <w:t>减少为</w:t>
      </w:r>
      <w:r>
        <w:rPr>
          <w:spacing w:val="-81"/>
        </w:rPr>
        <w:t> </w:t>
      </w:r>
      <w:r>
        <w:rPr>
          <w:rFonts w:ascii="宋体" w:hAnsi="宋体" w:cs="宋体" w:eastAsia="宋体" w:hint="default"/>
        </w:rPr>
        <w:t>34.41%</w:t>
      </w:r>
      <w:r>
        <w:rPr/>
        <w:t>，姜斌通过直接和间接 </w:t>
      </w:r>
      <w:r>
        <w:rPr>
          <w:spacing w:val="-4"/>
        </w:rPr>
        <w:t>持股（员工激励股权持股平台恒正（天津）文化合伙企业（有限合伙））实际共持有</w:t>
      </w:r>
      <w:r>
        <w:rPr>
          <w:spacing w:val="-57"/>
        </w:rPr>
        <w:t> </w:t>
      </w:r>
      <w:r>
        <w:rPr>
          <w:rFonts w:ascii="宋体" w:hAnsi="宋体" w:cs="宋体" w:eastAsia="宋体" w:hint="default"/>
        </w:rPr>
        <w:t>45%</w:t>
      </w:r>
      <w:r>
        <w:rPr/>
        <w:t>的股 </w:t>
      </w:r>
      <w:r>
        <w:rPr>
          <w:spacing w:val="-4"/>
        </w:rPr>
        <w:t>权，成为中文万维的第一大股东。因此，中文在线天津公司于</w:t>
      </w:r>
      <w:r>
        <w:rPr>
          <w:spacing w:val="-57"/>
        </w:rPr>
        <w:t> </w:t>
      </w:r>
      <w:r>
        <w:rPr>
          <w:rFonts w:ascii="宋体" w:hAnsi="宋体" w:cs="宋体" w:eastAsia="宋体" w:hint="default"/>
        </w:rPr>
        <w:t>2018</w:t>
      </w:r>
      <w:r>
        <w:rPr>
          <w:rFonts w:ascii="宋体" w:hAnsi="宋体" w:cs="宋体" w:eastAsia="宋体" w:hint="default"/>
          <w:spacing w:val="-57"/>
        </w:rPr>
        <w:t> </w:t>
      </w:r>
      <w:r>
        <w:rPr/>
        <w:t>年</w:t>
      </w:r>
      <w:r>
        <w:rPr>
          <w:spacing w:val="-57"/>
        </w:rPr>
        <w:t> </w:t>
      </w:r>
      <w:r>
        <w:rPr>
          <w:rFonts w:ascii="宋体" w:hAnsi="宋体" w:cs="宋体" w:eastAsia="宋体" w:hint="default"/>
        </w:rPr>
        <w:t>10</w:t>
      </w:r>
      <w:r>
        <w:rPr>
          <w:rFonts w:ascii="宋体" w:hAnsi="宋体" w:cs="宋体" w:eastAsia="宋体" w:hint="default"/>
          <w:spacing w:val="-57"/>
        </w:rPr>
        <w:t> </w:t>
      </w:r>
      <w:r>
        <w:rPr/>
        <w:t>月</w:t>
      </w:r>
      <w:r>
        <w:rPr>
          <w:spacing w:val="-57"/>
        </w:rPr>
        <w:t> </w:t>
      </w:r>
      <w:r>
        <w:rPr>
          <w:rFonts w:ascii="宋体" w:hAnsi="宋体" w:cs="宋体" w:eastAsia="宋体" w:hint="default"/>
        </w:rPr>
        <w:t>31</w:t>
      </w:r>
      <w:r>
        <w:rPr>
          <w:rFonts w:ascii="宋体" w:hAnsi="宋体" w:cs="宋体" w:eastAsia="宋体" w:hint="default"/>
          <w:spacing w:val="-57"/>
        </w:rPr>
        <w:t> </w:t>
      </w:r>
      <w:r>
        <w:rPr/>
        <w:t>日丧失对中文 万维的控制权，中文万维的最终控制方由本公司变更为自然人股东姜斌。同时，本公司对中 文万维全资子公司的霍尔果斯爱看书网信息科技有限公司、霍尔果斯鸿鹭华阅文化传播有限</w:t>
      </w:r>
      <w:r>
        <w:rPr>
          <w:spacing w:val="-117"/>
        </w:rPr>
        <w:t> </w:t>
      </w:r>
      <w:r>
        <w:rPr>
          <w:spacing w:val="-117"/>
        </w:rPr>
      </w:r>
      <w:r>
        <w:rPr>
          <w:spacing w:val="-6"/>
        </w:rPr>
        <w:t>公司失去控制。从</w:t>
      </w:r>
      <w:r>
        <w:rPr>
          <w:spacing w:val="-66"/>
        </w:rPr>
        <w:t> </w:t>
      </w:r>
      <w:r>
        <w:rPr>
          <w:rFonts w:ascii="宋体" w:hAnsi="宋体" w:cs="宋体" w:eastAsia="宋体" w:hint="default"/>
        </w:rPr>
        <w:t>2018</w:t>
      </w:r>
      <w:r>
        <w:rPr>
          <w:rFonts w:ascii="宋体" w:hAnsi="宋体" w:cs="宋体" w:eastAsia="宋体" w:hint="default"/>
          <w:spacing w:val="-66"/>
        </w:rPr>
        <w:t> </w:t>
      </w:r>
      <w:r>
        <w:rPr/>
        <w:t>年</w:t>
      </w:r>
      <w:r>
        <w:rPr>
          <w:spacing w:val="-66"/>
        </w:rPr>
        <w:t> </w:t>
      </w:r>
      <w:r>
        <w:rPr>
          <w:rFonts w:ascii="宋体" w:hAnsi="宋体" w:cs="宋体" w:eastAsia="宋体" w:hint="default"/>
        </w:rPr>
        <w:t>10</w:t>
      </w:r>
      <w:r>
        <w:rPr>
          <w:rFonts w:ascii="宋体" w:hAnsi="宋体" w:cs="宋体" w:eastAsia="宋体" w:hint="default"/>
          <w:spacing w:val="-66"/>
        </w:rPr>
        <w:t> </w:t>
      </w:r>
      <w:r>
        <w:rPr/>
        <w:t>月</w:t>
      </w:r>
      <w:r>
        <w:rPr>
          <w:spacing w:val="-66"/>
        </w:rPr>
        <w:t> </w:t>
      </w:r>
      <w:r>
        <w:rPr>
          <w:rFonts w:ascii="宋体" w:hAnsi="宋体" w:cs="宋体" w:eastAsia="宋体" w:hint="default"/>
        </w:rPr>
        <w:t>31</w:t>
      </w:r>
      <w:r>
        <w:rPr>
          <w:rFonts w:ascii="宋体" w:hAnsi="宋体" w:cs="宋体" w:eastAsia="宋体" w:hint="default"/>
          <w:spacing w:val="-66"/>
        </w:rPr>
        <w:t> </w:t>
      </w:r>
      <w:r>
        <w:rPr/>
        <w:t>日后不再将中文万维纳入合并范围。根据中文万维修改后</w:t>
      </w:r>
    </w:p>
    <w:p>
      <w:pPr>
        <w:pStyle w:val="BodyText"/>
        <w:spacing w:line="357" w:lineRule="auto" w:before="36"/>
        <w:ind w:right="1130"/>
        <w:jc w:val="both"/>
      </w:pPr>
      <w:r>
        <w:rPr/>
        <w:t>的公司章程，中文万维董事会设四人，本公司委派</w:t>
      </w:r>
      <w:r>
        <w:rPr>
          <w:spacing w:val="-54"/>
        </w:rPr>
        <w:t> </w:t>
      </w:r>
      <w:r>
        <w:rPr>
          <w:rFonts w:ascii="宋体" w:hAnsi="宋体" w:cs="宋体" w:eastAsia="宋体" w:hint="default"/>
        </w:rPr>
        <w:t>1</w:t>
      </w:r>
      <w:r>
        <w:rPr>
          <w:rFonts w:ascii="宋体" w:hAnsi="宋体" w:cs="宋体" w:eastAsia="宋体" w:hint="default"/>
          <w:spacing w:val="-54"/>
        </w:rPr>
        <w:t> </w:t>
      </w:r>
      <w:r>
        <w:rPr/>
        <w:t>人，姜斌委派</w:t>
      </w:r>
      <w:r>
        <w:rPr>
          <w:spacing w:val="-54"/>
        </w:rPr>
        <w:t> </w:t>
      </w:r>
      <w:r>
        <w:rPr>
          <w:rFonts w:ascii="宋体" w:hAnsi="宋体" w:cs="宋体" w:eastAsia="宋体" w:hint="default"/>
        </w:rPr>
        <w:t>2</w:t>
      </w:r>
      <w:r>
        <w:rPr>
          <w:rFonts w:ascii="宋体" w:hAnsi="宋体" w:cs="宋体" w:eastAsia="宋体" w:hint="default"/>
          <w:spacing w:val="-53"/>
        </w:rPr>
        <w:t> </w:t>
      </w:r>
      <w:r>
        <w:rPr/>
        <w:t>人，投资方委派</w:t>
      </w:r>
      <w:r>
        <w:rPr>
          <w:spacing w:val="-54"/>
        </w:rPr>
        <w:t> </w:t>
      </w:r>
      <w:r>
        <w:rPr>
          <w:rFonts w:ascii="宋体" w:hAnsi="宋体" w:cs="宋体" w:eastAsia="宋体" w:hint="default"/>
        </w:rPr>
        <w:t>1</w:t>
      </w:r>
      <w:r>
        <w:rPr>
          <w:rFonts w:ascii="宋体" w:hAnsi="宋体" w:cs="宋体" w:eastAsia="宋体" w:hint="default"/>
          <w:spacing w:val="-54"/>
        </w:rPr>
        <w:t> </w:t>
      </w:r>
      <w:r>
        <w:rPr/>
        <w:t>人， 本公司对中文万维的经营仍然产生重大影响而采用权益法核算。</w:t>
      </w:r>
    </w:p>
    <w:p>
      <w:pPr>
        <w:spacing w:line="240" w:lineRule="auto" w:before="5"/>
        <w:rPr>
          <w:rFonts w:ascii="宋体" w:hAnsi="宋体" w:cs="宋体" w:eastAsia="宋体" w:hint="default"/>
          <w:sz w:val="21"/>
          <w:szCs w:val="21"/>
        </w:rPr>
      </w:pPr>
    </w:p>
    <w:p>
      <w:pPr>
        <w:spacing w:before="0"/>
        <w:ind w:left="154" w:right="0" w:firstLine="0"/>
        <w:jc w:val="both"/>
        <w:rPr>
          <w:rFonts w:ascii="宋体" w:hAnsi="宋体" w:cs="宋体" w:eastAsia="宋体" w:hint="default"/>
          <w:sz w:val="21"/>
          <w:szCs w:val="21"/>
        </w:rPr>
      </w:pPr>
      <w:bookmarkStart w:name="（7）公司报告期内业务、产品或服务发生重大变化或调整有关情况" w:id="33"/>
      <w:bookmarkEnd w:id="33"/>
      <w:r>
        <w:rPr/>
      </w:r>
      <w:r>
        <w:rPr>
          <w:rFonts w:ascii="宋体" w:hAnsi="宋体" w:cs="宋体" w:eastAsia="宋体" w:hint="default"/>
          <w:b/>
          <w:bCs/>
          <w:sz w:val="21"/>
          <w:szCs w:val="21"/>
        </w:rPr>
        <w:t>（</w:t>
      </w:r>
      <w:r>
        <w:rPr>
          <w:rFonts w:ascii="宋体" w:hAnsi="宋体" w:cs="宋体" w:eastAsia="宋体" w:hint="default"/>
          <w:b/>
          <w:bCs/>
          <w:sz w:val="21"/>
          <w:szCs w:val="21"/>
        </w:rPr>
        <w:t>7</w:t>
      </w:r>
      <w:r>
        <w:rPr>
          <w:rFonts w:ascii="宋体" w:hAnsi="宋体" w:cs="宋体" w:eastAsia="宋体" w:hint="default"/>
          <w:b/>
          <w:bCs/>
          <w:sz w:val="21"/>
          <w:szCs w:val="21"/>
        </w:rPr>
        <w:t>）公司报告期内业务、产品或服务发生重大变化或调整有关情况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8）主要销售客户和主要供应商情况" w:id="34"/>
      <w:bookmarkEnd w:id="34"/>
      <w:r>
        <w:rPr/>
      </w:r>
      <w:r>
        <w:rPr>
          <w:rFonts w:ascii="宋体" w:hAnsi="宋体" w:cs="宋体" w:eastAsia="宋体" w:hint="default"/>
          <w:b/>
          <w:bCs/>
          <w:sz w:val="21"/>
          <w:szCs w:val="21"/>
        </w:rPr>
        <w:t>（</w:t>
      </w:r>
      <w:r>
        <w:rPr>
          <w:rFonts w:ascii="宋体" w:hAnsi="宋体" w:cs="宋体" w:eastAsia="宋体" w:hint="default"/>
          <w:b/>
          <w:bCs/>
          <w:sz w:val="21"/>
          <w:szCs w:val="21"/>
        </w:rPr>
        <w:t>8</w:t>
      </w:r>
      <w:r>
        <w:rPr>
          <w:rFonts w:ascii="宋体" w:hAnsi="宋体" w:cs="宋体" w:eastAsia="宋体" w:hint="default"/>
          <w:b/>
          <w:bCs/>
          <w:sz w:val="21"/>
          <w:szCs w:val="21"/>
        </w:rPr>
        <w:t>）主要销售客户和主要供应商情况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公司主要销售客户情况</w:t>
      </w:r>
    </w:p>
    <w:p>
      <w:pPr>
        <w:spacing w:line="240" w:lineRule="auto" w:before="3"/>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6380"/>
        <w:gridCol w:w="3189"/>
      </w:tblGrid>
      <w:tr>
        <w:trPr>
          <w:trHeight w:val="402" w:hRule="exact"/>
        </w:trPr>
        <w:tc>
          <w:tcPr>
            <w:tcW w:w="6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280,825,190.11</w:t>
            </w:r>
          </w:p>
        </w:tc>
      </w:tr>
      <w:tr>
        <w:trPr>
          <w:trHeight w:val="402" w:hRule="exact"/>
        </w:trPr>
        <w:tc>
          <w:tcPr>
            <w:tcW w:w="6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31.71%</w:t>
            </w:r>
          </w:p>
        </w:tc>
      </w:tr>
      <w:tr>
        <w:trPr>
          <w:trHeight w:val="402" w:hRule="exact"/>
        </w:trPr>
        <w:tc>
          <w:tcPr>
            <w:tcW w:w="6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r>
    </w:tbl>
    <w:p>
      <w:pPr>
        <w:spacing w:line="240" w:lineRule="auto" w:before="11"/>
        <w:rPr>
          <w:rFonts w:ascii="宋体" w:hAnsi="宋体" w:cs="宋体" w:eastAsia="宋体" w:hint="default"/>
          <w:sz w:val="8"/>
          <w:szCs w:val="8"/>
        </w:rPr>
      </w:pPr>
    </w:p>
    <w:p>
      <w:pPr>
        <w:pStyle w:val="BodyText"/>
        <w:spacing w:line="240" w:lineRule="auto" w:before="26"/>
        <w:ind w:left="634" w:right="1092"/>
        <w:jc w:val="left"/>
      </w:pPr>
      <w:r>
        <w:rPr/>
        <w:t>公司前</w:t>
      </w:r>
      <w:r>
        <w:rPr>
          <w:spacing w:val="-60"/>
        </w:rPr>
        <w:t> </w:t>
      </w:r>
      <w:r>
        <w:rPr>
          <w:rFonts w:ascii="宋体" w:hAnsi="宋体" w:cs="宋体" w:eastAsia="宋体" w:hint="default"/>
        </w:rPr>
        <w:t>5</w:t>
      </w:r>
      <w:r>
        <w:rPr>
          <w:rFonts w:ascii="宋体" w:hAnsi="宋体" w:cs="宋体" w:eastAsia="宋体" w:hint="default"/>
          <w:spacing w:val="-60"/>
        </w:rPr>
        <w:t> </w:t>
      </w:r>
      <w:r>
        <w:rPr/>
        <w:t>大客户资料</w:t>
      </w:r>
    </w:p>
    <w:p>
      <w:pPr>
        <w:spacing w:line="240" w:lineRule="auto" w:before="3"/>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803"/>
        <w:gridCol w:w="3301"/>
        <w:gridCol w:w="2322"/>
        <w:gridCol w:w="3143"/>
      </w:tblGrid>
      <w:tr>
        <w:trPr>
          <w:trHeight w:val="401" w:hRule="exact"/>
        </w:trPr>
        <w:tc>
          <w:tcPr>
            <w:tcW w:w="8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3" w:hRule="exact"/>
        </w:trPr>
        <w:tc>
          <w:tcPr>
            <w:tcW w:w="803" w:type="dxa"/>
            <w:tcBorders>
              <w:top w:val="single" w:sz="4" w:space="0" w:color="000000"/>
              <w:left w:val="single" w:sz="4" w:space="0" w:color="000000"/>
              <w:bottom w:val="single" w:sz="4" w:space="0" w:color="000000"/>
              <w:right w:val="single" w:sz="13" w:space="0" w:color="D9D9D9"/>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sz w:val="18"/>
              </w:rPr>
              <w:t>1</w:t>
            </w:r>
          </w:p>
        </w:tc>
        <w:tc>
          <w:tcPr>
            <w:tcW w:w="3301"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客户一</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106,097,582.81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11.98%</w:t>
            </w:r>
          </w:p>
        </w:tc>
      </w:tr>
      <w:tr>
        <w:trPr>
          <w:trHeight w:val="402" w:hRule="exact"/>
        </w:trPr>
        <w:tc>
          <w:tcPr>
            <w:tcW w:w="803" w:type="dxa"/>
            <w:tcBorders>
              <w:top w:val="single" w:sz="4" w:space="0" w:color="000000"/>
              <w:left w:val="single" w:sz="4" w:space="0" w:color="000000"/>
              <w:bottom w:val="single" w:sz="4" w:space="0" w:color="000000"/>
              <w:right w:val="single" w:sz="13" w:space="0" w:color="D9D9D9"/>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sz w:val="18"/>
              </w:rPr>
              <w:t>2</w:t>
            </w:r>
          </w:p>
        </w:tc>
        <w:tc>
          <w:tcPr>
            <w:tcW w:w="3301"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客户二</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80,395,864.92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9.08%</w:t>
            </w:r>
          </w:p>
        </w:tc>
      </w:tr>
      <w:tr>
        <w:trPr>
          <w:trHeight w:val="402" w:hRule="exact"/>
        </w:trPr>
        <w:tc>
          <w:tcPr>
            <w:tcW w:w="803" w:type="dxa"/>
            <w:tcBorders>
              <w:top w:val="single" w:sz="4" w:space="0" w:color="000000"/>
              <w:left w:val="single" w:sz="4" w:space="0" w:color="000000"/>
              <w:bottom w:val="single" w:sz="4" w:space="0" w:color="000000"/>
              <w:right w:val="single" w:sz="13" w:space="0" w:color="D9D9D9"/>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sz w:val="18"/>
              </w:rPr>
              <w:t>3</w:t>
            </w:r>
          </w:p>
        </w:tc>
        <w:tc>
          <w:tcPr>
            <w:tcW w:w="3301"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客户三</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39,624,277.16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4.47%</w:t>
            </w:r>
          </w:p>
        </w:tc>
      </w:tr>
      <w:tr>
        <w:trPr>
          <w:trHeight w:val="402" w:hRule="exact"/>
        </w:trPr>
        <w:tc>
          <w:tcPr>
            <w:tcW w:w="803" w:type="dxa"/>
            <w:tcBorders>
              <w:top w:val="single" w:sz="4" w:space="0" w:color="000000"/>
              <w:left w:val="single" w:sz="4" w:space="0" w:color="000000"/>
              <w:bottom w:val="single" w:sz="4" w:space="0" w:color="000000"/>
              <w:right w:val="single" w:sz="13" w:space="0" w:color="D9D9D9"/>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sz w:val="18"/>
              </w:rPr>
              <w:t>4</w:t>
            </w:r>
          </w:p>
        </w:tc>
        <w:tc>
          <w:tcPr>
            <w:tcW w:w="3301"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客户四</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32,959,892.90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3.72%</w:t>
            </w:r>
          </w:p>
        </w:tc>
      </w:tr>
      <w:tr>
        <w:trPr>
          <w:trHeight w:val="402" w:hRule="exact"/>
        </w:trPr>
        <w:tc>
          <w:tcPr>
            <w:tcW w:w="803" w:type="dxa"/>
            <w:tcBorders>
              <w:top w:val="single" w:sz="4" w:space="0" w:color="000000"/>
              <w:left w:val="single" w:sz="4" w:space="0" w:color="000000"/>
              <w:bottom w:val="single" w:sz="4" w:space="0" w:color="000000"/>
              <w:right w:val="single" w:sz="13" w:space="0" w:color="D9D9D9"/>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sz w:val="18"/>
              </w:rPr>
              <w:t>5</w:t>
            </w:r>
          </w:p>
        </w:tc>
        <w:tc>
          <w:tcPr>
            <w:tcW w:w="3301"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客户五</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21,747,572.32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2.46%</w:t>
            </w:r>
          </w:p>
        </w:tc>
      </w:tr>
      <w:tr>
        <w:trPr>
          <w:trHeight w:val="403" w:hRule="exact"/>
        </w:trPr>
        <w:tc>
          <w:tcPr>
            <w:tcW w:w="8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280,825,190.11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31.71%</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主要客户其他情况说明</w:t>
      </w:r>
    </w:p>
    <w:p>
      <w:pPr>
        <w:spacing w:line="240" w:lineRule="auto" w:before="5"/>
        <w:rPr>
          <w:rFonts w:ascii="宋体" w:hAnsi="宋体" w:cs="宋体" w:eastAsia="宋体" w:hint="default"/>
          <w:sz w:val="19"/>
          <w:szCs w:val="19"/>
        </w:rPr>
      </w:pPr>
    </w:p>
    <w:p>
      <w:pPr>
        <w:pStyle w:val="BodyText"/>
        <w:spacing w:line="434" w:lineRule="auto"/>
        <w:ind w:left="634" w:right="8112"/>
        <w:jc w:val="left"/>
      </w:pPr>
      <w:r>
        <w:rPr/>
        <w:t>□ 适用 √ 不适用 公司主要供应商情况</w:t>
      </w: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141,795,224.03</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20.74%</w:t>
            </w:r>
          </w:p>
        </w:tc>
      </w:tr>
    </w:tbl>
    <w:p>
      <w:pPr>
        <w:spacing w:after="0" w:line="240" w:lineRule="auto"/>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714"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公司前</w:t>
      </w:r>
      <w:r>
        <w:rPr>
          <w:spacing w:val="-60"/>
        </w:rPr>
        <w:t> </w:t>
      </w:r>
      <w:r>
        <w:rPr>
          <w:rFonts w:ascii="宋体" w:hAnsi="宋体" w:cs="宋体" w:eastAsia="宋体" w:hint="default"/>
        </w:rPr>
        <w:t>5</w:t>
      </w:r>
      <w:r>
        <w:rPr>
          <w:rFonts w:ascii="宋体" w:hAnsi="宋体" w:cs="宋体" w:eastAsia="宋体" w:hint="default"/>
          <w:spacing w:val="-60"/>
        </w:rPr>
        <w:t> </w:t>
      </w:r>
      <w:r>
        <w:rPr/>
        <w:t>名供应商资料</w:t>
      </w:r>
    </w:p>
    <w:p>
      <w:pPr>
        <w:spacing w:line="240" w:lineRule="auto" w:before="4"/>
        <w:rPr>
          <w:rFonts w:ascii="宋体" w:hAnsi="宋体" w:cs="宋体" w:eastAsia="宋体" w:hint="default"/>
          <w:sz w:val="16"/>
          <w:szCs w:val="16"/>
        </w:rPr>
      </w:pPr>
    </w:p>
    <w:tbl>
      <w:tblPr>
        <w:tblW w:w="0" w:type="auto"/>
        <w:jc w:val="left"/>
        <w:tblInd w:w="160" w:type="dxa"/>
        <w:tblLayout w:type="fixed"/>
        <w:tblCellMar>
          <w:top w:w="0" w:type="dxa"/>
          <w:left w:w="0" w:type="dxa"/>
          <w:bottom w:w="0" w:type="dxa"/>
          <w:right w:w="0" w:type="dxa"/>
        </w:tblCellMar>
        <w:tblLook w:val="01E0"/>
      </w:tblPr>
      <w:tblGrid>
        <w:gridCol w:w="912"/>
        <w:gridCol w:w="3180"/>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1</w:t>
            </w:r>
          </w:p>
        </w:tc>
        <w:tc>
          <w:tcPr>
            <w:tcW w:w="3180"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供应商一</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33,807,657.16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4.94%</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2</w:t>
            </w:r>
          </w:p>
        </w:tc>
        <w:tc>
          <w:tcPr>
            <w:tcW w:w="3180"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供应商二</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33,502,821.14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4.90%</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3</w:t>
            </w:r>
          </w:p>
        </w:tc>
        <w:tc>
          <w:tcPr>
            <w:tcW w:w="3180"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供应商三</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27,014,308.52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3.95%</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4</w:t>
            </w:r>
          </w:p>
        </w:tc>
        <w:tc>
          <w:tcPr>
            <w:tcW w:w="3180"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供应商四</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25,772,324.01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3.77%</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5</w:t>
            </w:r>
          </w:p>
        </w:tc>
        <w:tc>
          <w:tcPr>
            <w:tcW w:w="3180"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供应商五</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21,698,113.21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3.17%</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sz w:val="18"/>
              </w:rPr>
              <w:t>--</w:t>
            </w:r>
          </w:p>
        </w:tc>
        <w:tc>
          <w:tcPr>
            <w:tcW w:w="23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141,795,224.03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20.74%</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主要供应商其他情况说明</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费用" w:id="35"/>
      <w:bookmarkEnd w:id="35"/>
      <w:r>
        <w:rPr/>
      </w:r>
      <w:r>
        <w:rPr>
          <w:rFonts w:ascii="宋体" w:hAnsi="宋体" w:cs="宋体" w:eastAsia="宋体" w:hint="default"/>
          <w:b/>
          <w:bCs/>
          <w:sz w:val="21"/>
          <w:szCs w:val="21"/>
        </w:rPr>
        <w:t>3</w:t>
      </w:r>
      <w:r>
        <w:rPr>
          <w:rFonts w:ascii="宋体" w:hAnsi="宋体" w:cs="宋体" w:eastAsia="宋体" w:hint="default"/>
          <w:b/>
          <w:bCs/>
          <w:sz w:val="21"/>
          <w:szCs w:val="21"/>
        </w:rPr>
        <w:t>、费用</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12"/>
        <w:gridCol w:w="1571"/>
        <w:gridCol w:w="1559"/>
        <w:gridCol w:w="992"/>
        <w:gridCol w:w="4323"/>
      </w:tblGrid>
      <w:tr>
        <w:trPr>
          <w:trHeight w:val="402" w:hRule="exact"/>
        </w:trPr>
        <w:tc>
          <w:tcPr>
            <w:tcW w:w="11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81"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0"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4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62" w:hRule="exact"/>
        </w:trPr>
        <w:tc>
          <w:tcPr>
            <w:tcW w:w="11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71"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71" w:right="0"/>
              <w:jc w:val="left"/>
              <w:rPr>
                <w:rFonts w:ascii="宋体" w:hAnsi="宋体" w:cs="宋体" w:eastAsia="宋体" w:hint="default"/>
                <w:sz w:val="18"/>
                <w:szCs w:val="18"/>
              </w:rPr>
            </w:pPr>
            <w:r>
              <w:rPr>
                <w:rFonts w:ascii="宋体"/>
                <w:sz w:val="18"/>
              </w:rPr>
              <w:t>312,567,466.97</w:t>
            </w:r>
          </w:p>
        </w:tc>
        <w:tc>
          <w:tcPr>
            <w:tcW w:w="155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65" w:right="0"/>
              <w:jc w:val="left"/>
              <w:rPr>
                <w:rFonts w:ascii="宋体" w:hAnsi="宋体" w:cs="宋体" w:eastAsia="宋体" w:hint="default"/>
                <w:sz w:val="18"/>
                <w:szCs w:val="18"/>
              </w:rPr>
            </w:pPr>
            <w:r>
              <w:rPr>
                <w:rFonts w:ascii="宋体"/>
                <w:sz w:val="18"/>
              </w:rPr>
              <w:t>105,083,437.65</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28" w:right="0"/>
              <w:jc w:val="left"/>
              <w:rPr>
                <w:rFonts w:ascii="宋体" w:hAnsi="宋体" w:cs="宋体" w:eastAsia="宋体" w:hint="default"/>
                <w:sz w:val="18"/>
                <w:szCs w:val="18"/>
              </w:rPr>
            </w:pPr>
            <w:r>
              <w:rPr>
                <w:rFonts w:ascii="宋体"/>
                <w:sz w:val="18"/>
              </w:rPr>
              <w:t>197.45%</w:t>
            </w:r>
          </w:p>
        </w:tc>
        <w:tc>
          <w:tcPr>
            <w:tcW w:w="4323"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148"/>
              <w:jc w:val="left"/>
              <w:rPr>
                <w:rFonts w:ascii="宋体" w:hAnsi="宋体" w:cs="宋体" w:eastAsia="宋体" w:hint="default"/>
                <w:sz w:val="18"/>
                <w:szCs w:val="18"/>
              </w:rPr>
            </w:pPr>
            <w:r>
              <w:rPr>
                <w:rFonts w:ascii="宋体" w:hAnsi="宋体" w:cs="宋体" w:eastAsia="宋体" w:hint="default"/>
                <w:sz w:val="18"/>
                <w:szCs w:val="18"/>
              </w:rPr>
              <w:t>主要为自有视觉平台营销推广费用与职工薪酬增加及 本年度合并增加晨之科销售费用所致</w:t>
            </w:r>
          </w:p>
        </w:tc>
      </w:tr>
      <w:tr>
        <w:trPr>
          <w:trHeight w:val="391" w:hRule="exact"/>
        </w:trPr>
        <w:tc>
          <w:tcPr>
            <w:tcW w:w="11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89"/>
              <w:jc w:val="right"/>
              <w:rPr>
                <w:rFonts w:ascii="宋体" w:hAnsi="宋体" w:cs="宋体" w:eastAsia="宋体" w:hint="default"/>
                <w:sz w:val="18"/>
                <w:szCs w:val="18"/>
              </w:rPr>
            </w:pPr>
            <w:r>
              <w:rPr>
                <w:rFonts w:ascii="宋体" w:hAnsi="宋体" w:cs="宋体" w:eastAsia="宋体" w:hint="default"/>
                <w:sz w:val="18"/>
                <w:szCs w:val="18"/>
              </w:rPr>
              <w:t>销售费用</w:t>
            </w:r>
          </w:p>
        </w:tc>
        <w:tc>
          <w:tcPr>
            <w:tcW w:w="1571" w:type="dxa"/>
            <w:vMerge/>
            <w:tcBorders>
              <w:left w:val="single" w:sz="9" w:space="0" w:color="D2D2D2"/>
              <w:right w:val="single" w:sz="4" w:space="0" w:color="000000"/>
            </w:tcBorders>
          </w:tcPr>
          <w:p>
            <w:pPr/>
          </w:p>
        </w:tc>
        <w:tc>
          <w:tcPr>
            <w:tcW w:w="1559"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4323" w:type="dxa"/>
            <w:vMerge/>
            <w:tcBorders>
              <w:left w:val="single" w:sz="4" w:space="0" w:color="000000"/>
              <w:right w:val="single" w:sz="4" w:space="0" w:color="000000"/>
            </w:tcBorders>
          </w:tcPr>
          <w:p>
            <w:pPr/>
          </w:p>
        </w:tc>
      </w:tr>
      <w:tr>
        <w:trPr>
          <w:trHeight w:val="161" w:hRule="exact"/>
        </w:trPr>
        <w:tc>
          <w:tcPr>
            <w:tcW w:w="11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71" w:type="dxa"/>
            <w:vMerge/>
            <w:tcBorders>
              <w:left w:val="single" w:sz="9" w:space="0" w:color="D2D2D2"/>
              <w:bottom w:val="single" w:sz="4" w:space="0" w:color="000000"/>
              <w:right w:val="single" w:sz="4" w:space="0" w:color="000000"/>
            </w:tcBorders>
          </w:tcPr>
          <w:p>
            <w:pPr/>
          </w:p>
        </w:tc>
        <w:tc>
          <w:tcPr>
            <w:tcW w:w="1559"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4323" w:type="dxa"/>
            <w:vMerge/>
            <w:tcBorders>
              <w:left w:val="single" w:sz="4" w:space="0" w:color="000000"/>
              <w:bottom w:val="single" w:sz="4" w:space="0" w:color="000000"/>
              <w:right w:val="single" w:sz="4" w:space="0" w:color="000000"/>
            </w:tcBorders>
          </w:tcPr>
          <w:p>
            <w:pPr/>
          </w:p>
        </w:tc>
      </w:tr>
      <w:tr>
        <w:trPr>
          <w:trHeight w:val="402" w:hRule="exact"/>
        </w:trPr>
        <w:tc>
          <w:tcPr>
            <w:tcW w:w="1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89"/>
              <w:jc w:val="right"/>
              <w:rPr>
                <w:rFonts w:ascii="宋体" w:hAnsi="宋体" w:cs="宋体" w:eastAsia="宋体" w:hint="default"/>
                <w:sz w:val="18"/>
                <w:szCs w:val="18"/>
              </w:rPr>
            </w:pPr>
            <w:r>
              <w:rPr>
                <w:rFonts w:ascii="宋体" w:hAnsi="宋体" w:cs="宋体" w:eastAsia="宋体" w:hint="default"/>
                <w:sz w:val="18"/>
                <w:szCs w:val="18"/>
              </w:rPr>
              <w:t>管理费用</w:t>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129,351,270.04</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145,226,376.19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-10.93%</w:t>
            </w:r>
          </w:p>
        </w:tc>
        <w:tc>
          <w:tcPr>
            <w:tcW w:w="4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主要为本年度中介机构服务费与股份支付减少所致</w:t>
            </w:r>
          </w:p>
        </w:tc>
      </w:tr>
      <w:tr>
        <w:trPr>
          <w:trHeight w:val="402" w:hRule="exact"/>
        </w:trPr>
        <w:tc>
          <w:tcPr>
            <w:tcW w:w="1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89"/>
              <w:jc w:val="right"/>
              <w:rPr>
                <w:rFonts w:ascii="宋体" w:hAnsi="宋体" w:cs="宋体" w:eastAsia="宋体" w:hint="default"/>
                <w:sz w:val="18"/>
                <w:szCs w:val="18"/>
              </w:rPr>
            </w:pPr>
            <w:r>
              <w:rPr>
                <w:rFonts w:ascii="宋体" w:hAnsi="宋体" w:cs="宋体" w:eastAsia="宋体" w:hint="default"/>
                <w:sz w:val="18"/>
                <w:szCs w:val="18"/>
              </w:rPr>
              <w:t>财务费用</w:t>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-11,931,378.62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-22,780,152.39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47.62%</w:t>
            </w:r>
          </w:p>
        </w:tc>
        <w:tc>
          <w:tcPr>
            <w:tcW w:w="4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主要为本年度货币资金减少、利息收入下降所致</w:t>
            </w:r>
          </w:p>
        </w:tc>
      </w:tr>
      <w:tr>
        <w:trPr>
          <w:trHeight w:val="403" w:hRule="exact"/>
        </w:trPr>
        <w:tc>
          <w:tcPr>
            <w:tcW w:w="1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89"/>
              <w:jc w:val="right"/>
              <w:rPr>
                <w:rFonts w:ascii="宋体" w:hAnsi="宋体" w:cs="宋体" w:eastAsia="宋体" w:hint="default"/>
                <w:sz w:val="18"/>
                <w:szCs w:val="18"/>
              </w:rPr>
            </w:pPr>
            <w:r>
              <w:rPr>
                <w:rFonts w:ascii="宋体" w:hAnsi="宋体" w:cs="宋体" w:eastAsia="宋体" w:hint="default"/>
                <w:sz w:val="18"/>
                <w:szCs w:val="18"/>
              </w:rPr>
              <w:t>研发费用</w:t>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88,025,095.33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77,715,675.33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13.27%</w:t>
            </w:r>
          </w:p>
        </w:tc>
        <w:tc>
          <w:tcPr>
            <w:tcW w:w="432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4、研发投入" w:id="36"/>
      <w:bookmarkEnd w:id="36"/>
      <w:r>
        <w:rPr/>
      </w:r>
      <w:r>
        <w:rPr>
          <w:rFonts w:ascii="宋体" w:hAnsi="宋体" w:cs="宋体" w:eastAsia="宋体" w:hint="default"/>
          <w:b/>
          <w:bCs/>
          <w:sz w:val="21"/>
          <w:szCs w:val="21"/>
        </w:rPr>
        <w:t>4</w:t>
      </w:r>
      <w:r>
        <w:rPr>
          <w:rFonts w:ascii="宋体" w:hAnsi="宋体" w:cs="宋体" w:eastAsia="宋体" w:hint="default"/>
          <w:b/>
          <w:bCs/>
          <w:sz w:val="21"/>
          <w:szCs w:val="21"/>
        </w:rPr>
        <w:t>、研发投入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2" w:lineRule="auto" w:before="131"/>
        <w:ind w:left="634" w:right="1092"/>
        <w:jc w:val="left"/>
      </w:pPr>
      <w:r>
        <w:rPr/>
        <w:t>√ 适用 □ 不适用 为了巩固公司核心技术优势、全媒体出版优势，公司持续增加了对移动互联网产品、教</w:t>
      </w:r>
    </w:p>
    <w:p>
      <w:pPr>
        <w:pStyle w:val="BodyText"/>
        <w:spacing w:line="276" w:lineRule="exact"/>
        <w:ind w:right="1092"/>
        <w:jc w:val="left"/>
      </w:pPr>
      <w:r>
        <w:rPr/>
        <w:t>育阅读产品、资产管理平台等项目的研发投入。报告期研发投入 </w:t>
      </w:r>
      <w:r>
        <w:rPr>
          <w:rFonts w:ascii="宋体" w:hAnsi="宋体" w:cs="宋体" w:eastAsia="宋体" w:hint="default"/>
        </w:rPr>
        <w:t>12,289.30</w:t>
      </w:r>
      <w:r>
        <w:rPr>
          <w:rFonts w:ascii="宋体" w:hAnsi="宋体" w:cs="宋体" w:eastAsia="宋体" w:hint="default"/>
          <w:spacing w:val="-81"/>
        </w:rPr>
        <w:t> </w:t>
      </w:r>
      <w:r>
        <w:rPr/>
        <w:t>万元，占营业收</w:t>
      </w:r>
    </w:p>
    <w:p>
      <w:pPr>
        <w:pStyle w:val="BodyText"/>
        <w:spacing w:line="357" w:lineRule="auto" w:before="154"/>
        <w:ind w:right="1113"/>
        <w:jc w:val="left"/>
      </w:pPr>
      <w:r>
        <w:rPr/>
        <w:t>入的</w:t>
      </w:r>
      <w:r>
        <w:rPr>
          <w:spacing w:val="-81"/>
        </w:rPr>
        <w:t> </w:t>
      </w:r>
      <w:r>
        <w:rPr>
          <w:rFonts w:ascii="宋体" w:hAnsi="宋体" w:cs="宋体" w:eastAsia="宋体" w:hint="default"/>
        </w:rPr>
        <w:t>13.88%</w:t>
      </w:r>
      <w:r>
        <w:rPr/>
        <w:t>。项目研发已完成阶段性工作，极大地提升了创作和阅读体验，提升了版权管理 效果。</w:t>
      </w:r>
    </w:p>
    <w:p>
      <w:pPr>
        <w:pStyle w:val="BodyText"/>
        <w:spacing w:line="240" w:lineRule="auto" w:before="136"/>
        <w:ind w:left="634" w:right="1092"/>
        <w:jc w:val="left"/>
      </w:pPr>
      <w:r>
        <w:rPr/>
        <w:t>近三年公司研发投入金额及占营业收入的比例</w:t>
      </w:r>
    </w:p>
    <w:p>
      <w:pPr>
        <w:spacing w:line="240" w:lineRule="auto" w:before="4"/>
        <w:rPr>
          <w:rFonts w:ascii="宋体" w:hAnsi="宋体" w:cs="宋体" w:eastAsia="宋体" w:hint="default"/>
          <w:sz w:val="16"/>
          <w:szCs w:val="16"/>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216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209</w:t>
            </w:r>
          </w:p>
        </w:tc>
      </w:tr>
    </w:tbl>
    <w:p>
      <w:pPr>
        <w:spacing w:after="0" w:line="240" w:lineRule="auto"/>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41.83%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27.03%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28.28%</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122,893,045.72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114,588,405.64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99,380,627.35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13.88%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16.52%</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17,009,713.78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4,206,901.90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6,270,569.78</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13.84%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3.67%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6.31%</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5.19%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17.07%</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研发投入总额占营业收入的比重较上年发生显著变化的原因</w:t>
      </w:r>
    </w:p>
    <w:p>
      <w:pPr>
        <w:spacing w:line="240" w:lineRule="auto" w:before="6"/>
        <w:rPr>
          <w:rFonts w:ascii="宋体" w:hAnsi="宋体" w:cs="宋体" w:eastAsia="宋体" w:hint="default"/>
          <w:sz w:val="19"/>
          <w:szCs w:val="19"/>
        </w:rPr>
      </w:pPr>
    </w:p>
    <w:p>
      <w:pPr>
        <w:pStyle w:val="BodyText"/>
        <w:spacing w:line="434" w:lineRule="auto"/>
        <w:ind w:left="634" w:right="4992"/>
        <w:jc w:val="left"/>
      </w:pPr>
      <w:r>
        <w:rPr/>
        <w:t>□ 适用 √ 不适用 研发投入资本化率大幅变动的原因及其合理性说明</w:t>
      </w:r>
    </w:p>
    <w:p>
      <w:pPr>
        <w:pStyle w:val="BodyText"/>
        <w:spacing w:line="240" w:lineRule="auto" w:before="60"/>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现金流" w:id="37"/>
      <w:bookmarkEnd w:id="37"/>
      <w:r>
        <w:rPr/>
      </w:r>
      <w:r>
        <w:rPr>
          <w:rFonts w:ascii="宋体" w:hAnsi="宋体" w:cs="宋体" w:eastAsia="宋体" w:hint="default"/>
          <w:b/>
          <w:bCs/>
          <w:sz w:val="21"/>
          <w:szCs w:val="21"/>
        </w:rPr>
        <w:t>5</w:t>
      </w:r>
      <w:r>
        <w:rPr>
          <w:rFonts w:ascii="宋体" w:hAnsi="宋体" w:cs="宋体" w:eastAsia="宋体" w:hint="default"/>
          <w:b/>
          <w:bCs/>
          <w:sz w:val="21"/>
          <w:szCs w:val="21"/>
        </w:rPr>
        <w:t>、现金流</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813"/>
        <w:gridCol w:w="2256"/>
        <w:gridCol w:w="2244"/>
        <w:gridCol w:w="2244"/>
      </w:tblGrid>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2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2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1,125,987,655.19</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867,871,573.15</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29.74%</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1,215,377,023.54</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628,619,308.95</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93.34%</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-89,389,368.35</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239,252,264.20</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-137.36%</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344,305,496.03</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998,367.00</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34,386.87%</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598,455,681.75</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898,963,766.00</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-33.43%</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-254,150,185.72</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-897,965,399.00</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71.90%</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406,151,726.00</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499,384,353.81</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-18.67%</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306,855,443.65</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531,963,464.20</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-42.32%</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99,296,282.35</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-32,579,110.39</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404.79%</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-243,437,317.21</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-691,582,611.05</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65.06%</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相关数据同比发生重大变动的主要影响因素说明</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4"/>
        <w:rPr>
          <w:rFonts w:ascii="宋体" w:hAnsi="宋体" w:cs="宋体" w:eastAsia="宋体" w:hint="default"/>
          <w:sz w:val="19"/>
          <w:szCs w:val="19"/>
        </w:rPr>
      </w:pPr>
    </w:p>
    <w:p>
      <w:pPr>
        <w:pStyle w:val="BodyText"/>
        <w:spacing w:line="360" w:lineRule="auto"/>
        <w:ind w:right="1092" w:firstLine="480"/>
        <w:jc w:val="left"/>
      </w:pPr>
      <w:r>
        <w:rPr>
          <w:rFonts w:ascii="宋体" w:hAnsi="宋体" w:cs="宋体" w:eastAsia="宋体" w:hint="default"/>
        </w:rPr>
        <w:t>1</w:t>
      </w:r>
      <w:r>
        <w:rPr/>
        <w:t>、经营活动现金流入较上年同期增长</w:t>
      </w:r>
      <w:r>
        <w:rPr>
          <w:spacing w:val="17"/>
        </w:rPr>
        <w:t> </w:t>
      </w:r>
      <w:r>
        <w:rPr>
          <w:rFonts w:ascii="宋体" w:hAnsi="宋体" w:cs="宋体" w:eastAsia="宋体" w:hint="default"/>
        </w:rPr>
        <w:t>29.74%</w:t>
      </w:r>
      <w:r>
        <w:rPr/>
        <w:t>，主要为本年度自有视觉小说平台收入与 回款大幅增长、影视剧制作项目完成拍摄回款增加以及合并增加晨之科现金流入所致；</w:t>
      </w:r>
    </w:p>
    <w:p>
      <w:pPr>
        <w:pStyle w:val="BodyText"/>
        <w:spacing w:line="240" w:lineRule="auto" w:before="133"/>
        <w:ind w:left="634" w:right="1092"/>
        <w:jc w:val="left"/>
      </w:pPr>
      <w:r>
        <w:rPr>
          <w:rFonts w:ascii="宋体" w:hAnsi="宋体" w:cs="宋体" w:eastAsia="宋体" w:hint="default"/>
        </w:rPr>
        <w:t>2</w:t>
      </w:r>
      <w:r>
        <w:rPr/>
        <w:t>、经营活动现金流出较上年同期增长</w:t>
      </w:r>
      <w:r>
        <w:rPr>
          <w:spacing w:val="17"/>
        </w:rPr>
        <w:t> </w:t>
      </w:r>
      <w:r>
        <w:rPr>
          <w:rFonts w:ascii="宋体" w:hAnsi="宋体" w:cs="宋体" w:eastAsia="宋体" w:hint="default"/>
        </w:rPr>
        <w:t>93.34%</w:t>
      </w:r>
      <w:r>
        <w:rPr/>
        <w:t>，主要为本年度自有视觉小说平台与游戏</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9"/>
          <w:szCs w:val="29"/>
        </w:rPr>
      </w:pPr>
    </w:p>
    <w:p>
      <w:pPr>
        <w:pStyle w:val="BodyText"/>
        <w:spacing w:line="432" w:lineRule="auto" w:before="26"/>
        <w:ind w:left="634" w:right="1114" w:hanging="480"/>
        <w:jc w:val="left"/>
      </w:pPr>
      <w:r>
        <w:rPr/>
        <w:t>运营加大营销推广投入、支付影视剧制作拍摄款以及合并增加晨之科现金流出所致； </w:t>
      </w:r>
      <w:r>
        <w:rPr>
          <w:rFonts w:ascii="宋体" w:hAnsi="宋体" w:cs="宋体" w:eastAsia="宋体" w:hint="default"/>
        </w:rPr>
        <w:t>3</w:t>
      </w:r>
      <w:r>
        <w:rPr/>
        <w:t>、投资活动现金流入较上年同期增长</w:t>
      </w:r>
      <w:r>
        <w:rPr>
          <w:spacing w:val="-82"/>
        </w:rPr>
        <w:t> </w:t>
      </w:r>
      <w:r>
        <w:rPr>
          <w:rFonts w:ascii="宋体" w:hAnsi="宋体" w:cs="宋体" w:eastAsia="宋体" w:hint="default"/>
        </w:rPr>
        <w:t>34386.87%</w:t>
      </w:r>
      <w:r>
        <w:rPr/>
        <w:t>，主要为本年度收回弹幕投资款与影视</w:t>
      </w:r>
    </w:p>
    <w:p>
      <w:pPr>
        <w:pStyle w:val="BodyText"/>
        <w:spacing w:line="277" w:lineRule="exact"/>
        <w:ind w:right="1092"/>
        <w:jc w:val="left"/>
      </w:pPr>
      <w:r>
        <w:rPr/>
        <w:t>项目投资款返还所致；</w:t>
      </w:r>
    </w:p>
    <w:p>
      <w:pPr>
        <w:spacing w:line="240" w:lineRule="auto" w:before="7"/>
        <w:rPr>
          <w:rFonts w:ascii="宋体" w:hAnsi="宋体" w:cs="宋体" w:eastAsia="宋体" w:hint="default"/>
          <w:sz w:val="19"/>
          <w:szCs w:val="19"/>
        </w:rPr>
      </w:pPr>
    </w:p>
    <w:p>
      <w:pPr>
        <w:pStyle w:val="BodyText"/>
        <w:spacing w:line="240" w:lineRule="auto"/>
        <w:ind w:left="634" w:right="1092"/>
        <w:jc w:val="left"/>
      </w:pPr>
      <w:r>
        <w:rPr>
          <w:rFonts w:ascii="宋体" w:hAnsi="宋体" w:cs="宋体" w:eastAsia="宋体" w:hint="default"/>
        </w:rPr>
        <w:t>4</w:t>
      </w:r>
      <w:r>
        <w:rPr/>
        <w:t>、投资活动现金流出较上年同期下降</w:t>
      </w:r>
      <w:r>
        <w:rPr>
          <w:spacing w:val="-60"/>
        </w:rPr>
        <w:t> </w:t>
      </w:r>
      <w:r>
        <w:rPr>
          <w:rFonts w:ascii="宋体" w:hAnsi="宋体" w:cs="宋体" w:eastAsia="宋体" w:hint="default"/>
        </w:rPr>
        <w:t>33.43%</w:t>
      </w:r>
      <w:r>
        <w:rPr/>
        <w:t>，主要为本年度减少影视项目投资所致；</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rFonts w:ascii="宋体" w:hAnsi="宋体" w:cs="宋体" w:eastAsia="宋体" w:hint="default"/>
        </w:rPr>
        <w:t>5</w:t>
      </w:r>
      <w:r>
        <w:rPr/>
        <w:t>、筹资活动现金流入较上年同期下降</w:t>
      </w:r>
      <w:r>
        <w:rPr>
          <w:spacing w:val="-60"/>
        </w:rPr>
        <w:t> </w:t>
      </w:r>
      <w:r>
        <w:rPr>
          <w:rFonts w:ascii="宋体" w:hAnsi="宋体" w:cs="宋体" w:eastAsia="宋体" w:hint="default"/>
        </w:rPr>
        <w:t>18.67%</w:t>
      </w:r>
      <w:r>
        <w:rPr/>
        <w:t>，主要为本年度银行借款减少所致；</w:t>
      </w:r>
    </w:p>
    <w:p>
      <w:pPr>
        <w:spacing w:line="240" w:lineRule="auto" w:before="4"/>
        <w:rPr>
          <w:rFonts w:ascii="宋体" w:hAnsi="宋体" w:cs="宋体" w:eastAsia="宋体" w:hint="default"/>
          <w:sz w:val="19"/>
          <w:szCs w:val="19"/>
        </w:rPr>
      </w:pPr>
    </w:p>
    <w:p>
      <w:pPr>
        <w:pStyle w:val="BodyText"/>
        <w:spacing w:line="357" w:lineRule="auto"/>
        <w:ind w:right="1092" w:firstLine="480"/>
        <w:jc w:val="left"/>
      </w:pPr>
      <w:r>
        <w:rPr>
          <w:rFonts w:ascii="宋体" w:hAnsi="宋体" w:cs="宋体" w:eastAsia="宋体" w:hint="default"/>
        </w:rPr>
        <w:t>6</w:t>
      </w:r>
      <w:r>
        <w:rPr/>
        <w:t>、筹资活动现金流出较上年同期下降</w:t>
      </w:r>
      <w:r>
        <w:rPr>
          <w:spacing w:val="15"/>
        </w:rPr>
        <w:t> </w:t>
      </w:r>
      <w:r>
        <w:rPr>
          <w:rFonts w:ascii="宋体" w:hAnsi="宋体" w:cs="宋体" w:eastAsia="宋体" w:hint="default"/>
        </w:rPr>
        <w:t>42.32%</w:t>
      </w:r>
      <w:r>
        <w:rPr/>
        <w:t>，主要为本年度归还银行借款及借款利息 减少所致。</w:t>
      </w:r>
    </w:p>
    <w:p>
      <w:pPr>
        <w:pStyle w:val="BodyText"/>
        <w:spacing w:line="240" w:lineRule="auto" w:before="137"/>
        <w:ind w:left="634" w:right="1092"/>
        <w:jc w:val="left"/>
      </w:pPr>
      <w:r>
        <w:rPr/>
        <w:t>报告期内公司经营活动产生的现金净流量与本年度净利润存在重大差异的原因说明</w:t>
      </w:r>
    </w:p>
    <w:p>
      <w:pPr>
        <w:spacing w:line="240" w:lineRule="auto" w:before="5"/>
        <w:rPr>
          <w:rFonts w:ascii="宋体" w:hAnsi="宋体" w:cs="宋体" w:eastAsia="宋体" w:hint="default"/>
          <w:sz w:val="19"/>
          <w:szCs w:val="19"/>
        </w:rPr>
      </w:pPr>
    </w:p>
    <w:p>
      <w:pPr>
        <w:pStyle w:val="BodyText"/>
        <w:spacing w:line="432" w:lineRule="auto"/>
        <w:ind w:left="634" w:right="1092"/>
        <w:jc w:val="left"/>
      </w:pPr>
      <w:r>
        <w:rPr/>
        <w:t>√ 适用 □ 不适用 </w:t>
      </w:r>
      <w:r>
        <w:rPr>
          <w:rFonts w:ascii="宋体" w:hAnsi="宋体" w:cs="宋体" w:eastAsia="宋体" w:hint="default"/>
          <w:spacing w:val="-3"/>
        </w:rPr>
        <w:t>1</w:t>
      </w:r>
      <w:r>
        <w:rPr>
          <w:spacing w:val="-3"/>
        </w:rPr>
        <w:t>、因子公司晨之科未完成业绩对赌承诺，公司对收购其形成的商誉全额计提了商誉减值</w:t>
      </w:r>
    </w:p>
    <w:p>
      <w:pPr>
        <w:pStyle w:val="BodyText"/>
        <w:spacing w:line="276" w:lineRule="exact"/>
        <w:ind w:right="1092"/>
        <w:jc w:val="left"/>
      </w:pPr>
      <w:r>
        <w:rPr/>
        <w:t>准备</w:t>
      </w:r>
      <w:r>
        <w:rPr>
          <w:spacing w:val="-55"/>
        </w:rPr>
        <w:t> </w:t>
      </w:r>
      <w:r>
        <w:rPr>
          <w:rFonts w:ascii="宋体" w:hAnsi="宋体" w:cs="宋体" w:eastAsia="宋体" w:hint="default"/>
        </w:rPr>
        <w:t>125,421.46</w:t>
      </w:r>
      <w:r>
        <w:rPr>
          <w:rFonts w:ascii="宋体" w:hAnsi="宋体" w:cs="宋体" w:eastAsia="宋体" w:hint="default"/>
          <w:spacing w:val="-55"/>
        </w:rPr>
        <w:t> </w:t>
      </w:r>
      <w:r>
        <w:rPr>
          <w:spacing w:val="-4"/>
        </w:rPr>
        <w:t>万元，对收购时晨之科经评估的可辩认净资产计提减值准备</w:t>
      </w:r>
      <w:r>
        <w:rPr>
          <w:spacing w:val="-55"/>
        </w:rPr>
        <w:t> </w:t>
      </w:r>
      <w:r>
        <w:rPr>
          <w:rFonts w:ascii="宋体" w:hAnsi="宋体" w:cs="宋体" w:eastAsia="宋体" w:hint="default"/>
        </w:rPr>
        <w:t>16,841.45</w:t>
      </w:r>
      <w:r>
        <w:rPr>
          <w:rFonts w:ascii="宋体" w:hAnsi="宋体" w:cs="宋体" w:eastAsia="宋体" w:hint="default"/>
          <w:spacing w:val="-55"/>
        </w:rPr>
        <w:t> </w:t>
      </w:r>
      <w:r>
        <w:rPr/>
        <w:t>万元</w:t>
      </w:r>
    </w:p>
    <w:p>
      <w:pPr>
        <w:pStyle w:val="BodyText"/>
        <w:spacing w:line="357" w:lineRule="auto" w:before="154"/>
        <w:ind w:right="999"/>
        <w:jc w:val="left"/>
      </w:pPr>
      <w:r>
        <w:rPr>
          <w:rFonts w:ascii="宋体" w:hAnsi="宋体" w:cs="宋体" w:eastAsia="宋体" w:hint="default"/>
          <w:spacing w:val="-8"/>
        </w:rPr>
        <w:t>(</w:t>
      </w:r>
      <w:r>
        <w:rPr>
          <w:spacing w:val="-8"/>
        </w:rPr>
        <w:t>已剔除所得税影响）；</w:t>
      </w:r>
      <w:r>
        <w:rPr>
          <w:rFonts w:ascii="宋体" w:hAnsi="宋体" w:cs="宋体" w:eastAsia="宋体" w:hint="default"/>
          <w:spacing w:val="-8"/>
        </w:rPr>
        <w:t>2</w:t>
      </w:r>
      <w:r>
        <w:rPr>
          <w:spacing w:val="-8"/>
        </w:rPr>
        <w:t>、因对新浪阅读派出一名董事，对新浪阅读的生产经营产生重大影响，</w:t>
      </w:r>
      <w:r>
        <w:rPr>
          <w:spacing w:val="-99"/>
        </w:rPr>
        <w:t> </w:t>
      </w:r>
      <w:r>
        <w:rPr>
          <w:spacing w:val="-99"/>
        </w:rPr>
      </w:r>
      <w:r>
        <w:rPr>
          <w:spacing w:val="-3"/>
        </w:rPr>
        <w:t>从影响之日起采用权益法核算。根据</w:t>
      </w:r>
      <w:r>
        <w:rPr>
          <w:spacing w:val="-57"/>
        </w:rPr>
        <w:t> </w:t>
      </w:r>
      <w:r>
        <w:rPr>
          <w:rFonts w:ascii="宋体" w:hAnsi="宋体" w:cs="宋体" w:eastAsia="宋体" w:hint="default"/>
        </w:rPr>
        <w:t>2019</w:t>
      </w:r>
      <w:r>
        <w:rPr>
          <w:rFonts w:ascii="宋体" w:hAnsi="宋体" w:cs="宋体" w:eastAsia="宋体" w:hint="default"/>
          <w:spacing w:val="-57"/>
        </w:rPr>
        <w:t> </w:t>
      </w:r>
      <w:r>
        <w:rPr/>
        <w:t>年</w:t>
      </w:r>
      <w:r>
        <w:rPr>
          <w:spacing w:val="-57"/>
        </w:rPr>
        <w:t> </w:t>
      </w:r>
      <w:r>
        <w:rPr>
          <w:rFonts w:ascii="宋体" w:hAnsi="宋体" w:cs="宋体" w:eastAsia="宋体" w:hint="default"/>
        </w:rPr>
        <w:t>3</w:t>
      </w:r>
      <w:r>
        <w:rPr>
          <w:rFonts w:ascii="宋体" w:hAnsi="宋体" w:cs="宋体" w:eastAsia="宋体" w:hint="default"/>
          <w:spacing w:val="-57"/>
        </w:rPr>
        <w:t> </w:t>
      </w:r>
      <w:r>
        <w:rPr/>
        <w:t>月</w:t>
      </w:r>
      <w:r>
        <w:rPr>
          <w:spacing w:val="-57"/>
        </w:rPr>
        <w:t> </w:t>
      </w:r>
      <w:r>
        <w:rPr>
          <w:rFonts w:ascii="宋体" w:hAnsi="宋体" w:cs="宋体" w:eastAsia="宋体" w:hint="default"/>
        </w:rPr>
        <w:t>1</w:t>
      </w:r>
      <w:r>
        <w:rPr>
          <w:rFonts w:ascii="宋体" w:hAnsi="宋体" w:cs="宋体" w:eastAsia="宋体" w:hint="default"/>
          <w:spacing w:val="-57"/>
        </w:rPr>
        <w:t> </w:t>
      </w:r>
      <w:r>
        <w:rPr>
          <w:spacing w:val="-3"/>
        </w:rPr>
        <w:t>日北方亚事资产评估事务所《中文在线拟</w:t>
      </w:r>
    </w:p>
    <w:p>
      <w:pPr>
        <w:pStyle w:val="BodyText"/>
        <w:spacing w:line="240" w:lineRule="auto" w:before="36"/>
        <w:ind w:right="1092"/>
        <w:jc w:val="left"/>
      </w:pPr>
      <w:r>
        <w:rPr/>
        <w:t>对长期投资减值测试涉及新浪阅读可收回价值的资产评估咨询报告书</w:t>
      </w:r>
      <w:r>
        <w:rPr>
          <w:spacing w:val="-120"/>
        </w:rPr>
        <w:t>》</w:t>
      </w:r>
      <w:r>
        <w:rPr/>
        <w:t>，截止</w:t>
      </w:r>
      <w:r>
        <w:rPr>
          <w:spacing w:val="-20"/>
        </w:rPr>
        <w:t> </w:t>
      </w:r>
      <w:r>
        <w:rPr>
          <w:rFonts w:ascii="宋体" w:hAnsi="宋体" w:cs="宋体" w:eastAsia="宋体" w:hint="default"/>
        </w:rPr>
        <w:t>2018</w:t>
      </w:r>
      <w:r>
        <w:rPr>
          <w:rFonts w:ascii="宋体" w:hAnsi="宋体" w:cs="宋体" w:eastAsia="宋体" w:hint="default"/>
          <w:spacing w:val="-21"/>
        </w:rPr>
        <w:t> </w:t>
      </w:r>
      <w:r>
        <w:rPr/>
        <w:t>年</w:t>
      </w:r>
      <w:r>
        <w:rPr>
          <w:spacing w:val="-21"/>
        </w:rPr>
        <w:t> </w:t>
      </w:r>
      <w:r>
        <w:rPr>
          <w:rFonts w:ascii="宋体" w:hAnsi="宋体" w:cs="宋体" w:eastAsia="宋体" w:hint="default"/>
        </w:rPr>
        <w:t>12</w:t>
      </w:r>
      <w:r>
        <w:rPr>
          <w:rFonts w:ascii="宋体" w:hAnsi="宋体" w:cs="宋体" w:eastAsia="宋体" w:hint="default"/>
          <w:spacing w:val="-21"/>
        </w:rPr>
        <w:t> </w:t>
      </w:r>
      <w:r>
        <w:rPr/>
        <w:t>月</w:t>
      </w:r>
    </w:p>
    <w:p>
      <w:pPr>
        <w:pStyle w:val="BodyText"/>
        <w:spacing w:line="240" w:lineRule="auto" w:before="154"/>
        <w:ind w:right="1092"/>
        <w:jc w:val="left"/>
      </w:pPr>
      <w:r>
        <w:rPr>
          <w:rFonts w:ascii="宋体" w:hAnsi="宋体" w:cs="宋体" w:eastAsia="宋体" w:hint="default"/>
        </w:rPr>
        <w:t>31</w:t>
      </w:r>
      <w:r>
        <w:rPr>
          <w:rFonts w:ascii="宋体" w:hAnsi="宋体" w:cs="宋体" w:eastAsia="宋体" w:hint="default"/>
          <w:spacing w:val="-60"/>
        </w:rPr>
        <w:t> </w:t>
      </w:r>
      <w:r>
        <w:rPr/>
        <w:t>日经评估后的中文在线</w:t>
      </w:r>
      <w:r>
        <w:rPr>
          <w:spacing w:val="-60"/>
        </w:rPr>
        <w:t> </w:t>
      </w:r>
      <w:r>
        <w:rPr>
          <w:rFonts w:ascii="宋体" w:hAnsi="宋体" w:cs="宋体" w:eastAsia="宋体" w:hint="default"/>
        </w:rPr>
        <w:t>16.67%</w:t>
      </w:r>
      <w:r>
        <w:rPr/>
        <w:t>的股权可收回价值为</w:t>
      </w:r>
      <w:r>
        <w:rPr>
          <w:spacing w:val="-60"/>
        </w:rPr>
        <w:t> </w:t>
      </w:r>
      <w:r>
        <w:rPr>
          <w:rFonts w:ascii="宋体" w:hAnsi="宋体" w:cs="宋体" w:eastAsia="宋体" w:hint="default"/>
        </w:rPr>
        <w:t>3,749.98</w:t>
      </w:r>
      <w:r>
        <w:rPr>
          <w:rFonts w:ascii="宋体" w:hAnsi="宋体" w:cs="宋体" w:eastAsia="宋体" w:hint="default"/>
          <w:spacing w:val="-60"/>
        </w:rPr>
        <w:t> </w:t>
      </w:r>
      <w:r>
        <w:rPr/>
        <w:t>万元，</w:t>
      </w:r>
      <w:r>
        <w:rPr>
          <w:spacing w:val="-82"/>
        </w:rPr>
        <w:t> </w:t>
      </w:r>
      <w:r>
        <w:rPr/>
        <w:t>公司据此计提减值准</w:t>
      </w:r>
    </w:p>
    <w:p>
      <w:pPr>
        <w:spacing w:line="528" w:lineRule="auto" w:before="155"/>
        <w:ind w:left="154" w:right="8583" w:firstLine="0"/>
        <w:jc w:val="left"/>
        <w:rPr>
          <w:rFonts w:ascii="宋体" w:hAnsi="宋体" w:cs="宋体" w:eastAsia="宋体" w:hint="default"/>
          <w:sz w:val="24"/>
          <w:szCs w:val="24"/>
        </w:rPr>
      </w:pPr>
      <w:r>
        <w:rPr>
          <w:rFonts w:ascii="宋体" w:hAnsi="宋体" w:cs="宋体" w:eastAsia="宋体" w:hint="default"/>
          <w:sz w:val="24"/>
          <w:szCs w:val="24"/>
        </w:rPr>
        <w:t>备</w:t>
      </w:r>
      <w:r>
        <w:rPr>
          <w:rFonts w:ascii="宋体" w:hAnsi="宋体" w:cs="宋体" w:eastAsia="宋体" w:hint="default"/>
          <w:spacing w:val="-60"/>
          <w:sz w:val="24"/>
          <w:szCs w:val="24"/>
        </w:rPr>
        <w:t> </w:t>
      </w:r>
      <w:r>
        <w:rPr>
          <w:rFonts w:ascii="宋体" w:hAnsi="宋体" w:cs="宋体" w:eastAsia="宋体" w:hint="default"/>
          <w:sz w:val="24"/>
          <w:szCs w:val="24"/>
        </w:rPr>
        <w:t>2.08</w:t>
      </w:r>
      <w:r>
        <w:rPr>
          <w:rFonts w:ascii="宋体" w:hAnsi="宋体" w:cs="宋体" w:eastAsia="宋体" w:hint="default"/>
          <w:spacing w:val="-60"/>
          <w:sz w:val="24"/>
          <w:szCs w:val="24"/>
        </w:rPr>
        <w:t> </w:t>
      </w:r>
      <w:r>
        <w:rPr>
          <w:rFonts w:ascii="宋体" w:hAnsi="宋体" w:cs="宋体" w:eastAsia="宋体" w:hint="default"/>
          <w:sz w:val="24"/>
          <w:szCs w:val="24"/>
        </w:rPr>
        <w:t>亿元。 </w:t>
      </w:r>
      <w:bookmarkStart w:name="三、非主营业务情况" w:id="38"/>
      <w:bookmarkEnd w:id="38"/>
      <w:r>
        <w:rPr>
          <w:rFonts w:ascii="宋体" w:hAnsi="宋体" w:cs="宋体" w:eastAsia="宋体" w:hint="default"/>
          <w:sz w:val="24"/>
          <w:szCs w:val="24"/>
        </w:rPr>
      </w:r>
      <w:r>
        <w:rPr>
          <w:rFonts w:ascii="宋体" w:hAnsi="宋体" w:cs="宋体" w:eastAsia="宋体" w:hint="default"/>
          <w:b/>
          <w:bCs/>
          <w:sz w:val="24"/>
          <w:szCs w:val="24"/>
        </w:rPr>
        <w:t>三、非主营业务情况</w:t>
      </w:r>
      <w:r>
        <w:rPr>
          <w:rFonts w:ascii="宋体" w:hAnsi="宋体" w:cs="宋体" w:eastAsia="宋体" w:hint="default"/>
          <w:sz w:val="24"/>
          <w:szCs w:val="24"/>
        </w:rPr>
      </w:r>
    </w:p>
    <w:p>
      <w:pPr>
        <w:pStyle w:val="BodyText"/>
        <w:spacing w:line="240" w:lineRule="auto" w:before="89"/>
        <w:ind w:left="634" w:right="1092"/>
        <w:jc w:val="left"/>
      </w:pPr>
      <w:r>
        <w:rPr/>
        <w:t>√ 适用 □ 不适用</w:t>
      </w:r>
    </w:p>
    <w:p>
      <w:pPr>
        <w:spacing w:line="240" w:lineRule="auto" w:before="3"/>
        <w:rPr>
          <w:rFonts w:ascii="宋体" w:hAnsi="宋体" w:cs="宋体" w:eastAsia="宋体" w:hint="default"/>
          <w:sz w:val="17"/>
          <w:szCs w:val="1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512"/>
        <w:gridCol w:w="1596"/>
        <w:gridCol w:w="1134"/>
        <w:gridCol w:w="4253"/>
        <w:gridCol w:w="1062"/>
      </w:tblGrid>
      <w:tr>
        <w:trPr>
          <w:trHeight w:val="161"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81" w:right="111" w:hanging="270"/>
              <w:jc w:val="left"/>
              <w:rPr>
                <w:rFonts w:ascii="宋体" w:hAnsi="宋体" w:cs="宋体" w:eastAsia="宋体" w:hint="default"/>
                <w:sz w:val="18"/>
                <w:szCs w:val="18"/>
              </w:rPr>
            </w:pPr>
            <w:r>
              <w:rPr>
                <w:rFonts w:ascii="宋体" w:hAnsi="宋体" w:cs="宋体" w:eastAsia="宋体" w:hint="default"/>
                <w:sz w:val="18"/>
                <w:szCs w:val="18"/>
              </w:rPr>
              <w:t>占利润总额 比例</w:t>
            </w:r>
          </w:p>
        </w:tc>
        <w:tc>
          <w:tcPr>
            <w:tcW w:w="425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55" w:right="74" w:hanging="180"/>
              <w:jc w:val="left"/>
              <w:rPr>
                <w:rFonts w:ascii="宋体" w:hAnsi="宋体" w:cs="宋体" w:eastAsia="宋体" w:hint="default"/>
                <w:sz w:val="18"/>
                <w:szCs w:val="18"/>
              </w:rPr>
            </w:pPr>
            <w:r>
              <w:rPr>
                <w:rFonts w:ascii="宋体" w:hAnsi="宋体" w:cs="宋体" w:eastAsia="宋体" w:hint="default"/>
                <w:sz w:val="18"/>
                <w:szCs w:val="18"/>
              </w:rPr>
              <w:t>是否具有可 持续性</w:t>
            </w:r>
          </w:p>
        </w:tc>
      </w:tr>
      <w:tr>
        <w:trPr>
          <w:trHeight w:val="392"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
        </w:tc>
        <w:tc>
          <w:tcPr>
            <w:tcW w:w="15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4" w:type="dxa"/>
            <w:vMerge/>
            <w:tcBorders>
              <w:left w:val="single" w:sz="4" w:space="0" w:color="000000"/>
              <w:right w:val="single" w:sz="4" w:space="0" w:color="000000"/>
            </w:tcBorders>
            <w:shd w:val="clear" w:color="auto" w:fill="D2D2D2"/>
          </w:tcPr>
          <w:p>
            <w:pPr/>
          </w:p>
        </w:tc>
        <w:tc>
          <w:tcPr>
            <w:tcW w:w="4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形成原因说明</w:t>
            </w:r>
          </w:p>
        </w:tc>
        <w:tc>
          <w:tcPr>
            <w:tcW w:w="1062" w:type="dxa"/>
            <w:vMerge/>
            <w:tcBorders>
              <w:left w:val="single" w:sz="4" w:space="0" w:color="000000"/>
              <w:right w:val="single" w:sz="4" w:space="0" w:color="000000"/>
            </w:tcBorders>
            <w:shd w:val="clear" w:color="auto" w:fill="D2D2D2"/>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425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vMerge/>
            <w:tcBorders>
              <w:left w:val="single" w:sz="4" w:space="0" w:color="000000"/>
              <w:bottom w:val="single" w:sz="4" w:space="0" w:color="000000"/>
              <w:right w:val="single" w:sz="4" w:space="0" w:color="000000"/>
            </w:tcBorders>
            <w:shd w:val="clear" w:color="auto" w:fill="D2D2D2"/>
          </w:tcPr>
          <w:p>
            <w:pPr/>
          </w:p>
        </w:tc>
      </w:tr>
      <w:tr>
        <w:trPr>
          <w:trHeight w:val="649"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6"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95" w:right="0"/>
              <w:jc w:val="left"/>
              <w:rPr>
                <w:rFonts w:ascii="宋体" w:hAnsi="宋体" w:cs="宋体" w:eastAsia="宋体" w:hint="default"/>
                <w:sz w:val="18"/>
                <w:szCs w:val="18"/>
              </w:rPr>
            </w:pPr>
            <w:r>
              <w:rPr>
                <w:rFonts w:ascii="宋体"/>
                <w:sz w:val="18"/>
              </w:rPr>
              <w:t>194,384,031.53</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70" w:right="0"/>
              <w:jc w:val="left"/>
              <w:rPr>
                <w:rFonts w:ascii="宋体" w:hAnsi="宋体" w:cs="宋体" w:eastAsia="宋体" w:hint="default"/>
                <w:sz w:val="18"/>
                <w:szCs w:val="18"/>
              </w:rPr>
            </w:pPr>
            <w:r>
              <w:rPr>
                <w:rFonts w:ascii="宋体"/>
                <w:sz w:val="18"/>
              </w:rPr>
              <w:t>-12.83%</w:t>
            </w:r>
          </w:p>
        </w:tc>
        <w:tc>
          <w:tcPr>
            <w:tcW w:w="4253" w:type="dxa"/>
            <w:vMerge w:val="restart"/>
            <w:tcBorders>
              <w:top w:val="single" w:sz="4" w:space="0" w:color="000000"/>
              <w:left w:val="single" w:sz="4" w:space="0" w:color="000000"/>
              <w:right w:val="single" w:sz="4" w:space="0" w:color="000000"/>
            </w:tcBorders>
          </w:tcPr>
          <w:p>
            <w:pPr>
              <w:pStyle w:val="TableParagraph"/>
              <w:spacing w:line="319" w:lineRule="auto" w:before="51"/>
              <w:ind w:left="22" w:right="22"/>
              <w:jc w:val="both"/>
              <w:rPr>
                <w:rFonts w:ascii="宋体" w:hAnsi="宋体" w:cs="宋体" w:eastAsia="宋体" w:hint="default"/>
                <w:sz w:val="18"/>
                <w:szCs w:val="18"/>
              </w:rPr>
            </w:pPr>
            <w:r>
              <w:rPr>
                <w:rFonts w:ascii="宋体" w:hAnsi="宋体" w:cs="宋体" w:eastAsia="宋体" w:hint="default"/>
                <w:spacing w:val="-2"/>
                <w:sz w:val="18"/>
                <w:szCs w:val="18"/>
              </w:rPr>
              <w:t>主要原因为：</w:t>
            </w:r>
            <w:r>
              <w:rPr>
                <w:rFonts w:ascii="宋体" w:hAnsi="宋体" w:cs="宋体" w:eastAsia="宋体" w:hint="default"/>
                <w:spacing w:val="-2"/>
                <w:sz w:val="18"/>
                <w:szCs w:val="18"/>
              </w:rPr>
              <w:t>1</w:t>
            </w:r>
            <w:r>
              <w:rPr>
                <w:rFonts w:ascii="宋体" w:hAnsi="宋体" w:cs="宋体" w:eastAsia="宋体" w:hint="default"/>
                <w:spacing w:val="-2"/>
                <w:sz w:val="18"/>
                <w:szCs w:val="18"/>
              </w:rPr>
              <w:t>、处置原控股子公司中文万维部分股权</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收益，与失去控制权后剩余股权按照公允价值重新计 量的损益；</w:t>
            </w:r>
            <w:r>
              <w:rPr>
                <w:rFonts w:ascii="宋体" w:hAnsi="宋体" w:cs="宋体" w:eastAsia="宋体" w:hint="default"/>
                <w:sz w:val="18"/>
                <w:szCs w:val="18"/>
              </w:rPr>
              <w:t>2</w:t>
            </w:r>
            <w:r>
              <w:rPr>
                <w:rFonts w:ascii="宋体" w:hAnsi="宋体" w:cs="宋体" w:eastAsia="宋体" w:hint="default"/>
                <w:sz w:val="18"/>
                <w:szCs w:val="18"/>
              </w:rPr>
              <w:t>、处置</w:t>
            </w:r>
            <w:r>
              <w:rPr>
                <w:rFonts w:ascii="宋体" w:hAnsi="宋体" w:cs="宋体" w:eastAsia="宋体" w:hint="default"/>
                <w:spacing w:val="-46"/>
                <w:sz w:val="18"/>
                <w:szCs w:val="18"/>
              </w:rPr>
              <w:t> </w:t>
            </w:r>
            <w:r>
              <w:rPr>
                <w:rFonts w:ascii="宋体" w:hAnsi="宋体" w:cs="宋体" w:eastAsia="宋体" w:hint="default"/>
                <w:sz w:val="18"/>
                <w:szCs w:val="18"/>
              </w:rPr>
              <w:t>JOINGEAR LIMITED</w:t>
            </w:r>
            <w:r>
              <w:rPr>
                <w:rFonts w:ascii="宋体" w:hAnsi="宋体" w:cs="宋体" w:eastAsia="宋体" w:hint="default"/>
                <w:spacing w:val="-46"/>
                <w:sz w:val="18"/>
                <w:szCs w:val="18"/>
              </w:rPr>
              <w:t> </w:t>
            </w:r>
            <w:r>
              <w:rPr>
                <w:rFonts w:ascii="宋体" w:hAnsi="宋体" w:cs="宋体" w:eastAsia="宋体" w:hint="default"/>
                <w:sz w:val="18"/>
                <w:szCs w:val="18"/>
              </w:rPr>
              <w:t>股权的收益；</w:t>
            </w:r>
          </w:p>
          <w:p>
            <w:pPr>
              <w:pStyle w:val="TableParagraph"/>
              <w:spacing w:line="319" w:lineRule="auto" w:before="55"/>
              <w:ind w:left="22" w:right="81"/>
              <w:jc w:val="both"/>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、并购晨之科</w:t>
            </w:r>
            <w:r>
              <w:rPr>
                <w:rFonts w:ascii="宋体" w:hAnsi="宋体" w:cs="宋体" w:eastAsia="宋体" w:hint="default"/>
                <w:spacing w:val="-46"/>
                <w:sz w:val="18"/>
                <w:szCs w:val="18"/>
              </w:rPr>
              <w:t> </w:t>
            </w:r>
            <w:r>
              <w:rPr>
                <w:rFonts w:ascii="宋体" w:hAnsi="宋体" w:cs="宋体" w:eastAsia="宋体" w:hint="default"/>
                <w:sz w:val="18"/>
                <w:szCs w:val="18"/>
              </w:rPr>
              <w:t>80%</w:t>
            </w:r>
            <w:r>
              <w:rPr>
                <w:rFonts w:ascii="宋体" w:hAnsi="宋体" w:cs="宋体" w:eastAsia="宋体" w:hint="default"/>
                <w:sz w:val="18"/>
                <w:szCs w:val="18"/>
              </w:rPr>
              <w:t>股权，原</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z w:val="18"/>
                <w:szCs w:val="18"/>
              </w:rPr>
              <w:t>股权按照公允价值重 新计量的损益。</w:t>
            </w:r>
          </w:p>
        </w:tc>
        <w:tc>
          <w:tcPr>
            <w:tcW w:w="10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92"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596" w:type="dxa"/>
            <w:vMerge/>
            <w:tcBorders>
              <w:left w:val="single" w:sz="9" w:space="0" w:color="D2D2D2"/>
              <w:right w:val="single" w:sz="4" w:space="0" w:color="000000"/>
            </w:tcBorders>
          </w:tcPr>
          <w:p>
            <w:pPr/>
          </w:p>
        </w:tc>
        <w:tc>
          <w:tcPr>
            <w:tcW w:w="1134" w:type="dxa"/>
            <w:vMerge/>
            <w:tcBorders>
              <w:left w:val="single" w:sz="4" w:space="0" w:color="000000"/>
              <w:right w:val="single" w:sz="4" w:space="0" w:color="000000"/>
            </w:tcBorders>
          </w:tcPr>
          <w:p>
            <w:pPr/>
          </w:p>
        </w:tc>
        <w:tc>
          <w:tcPr>
            <w:tcW w:w="4253" w:type="dxa"/>
            <w:vMerge/>
            <w:tcBorders>
              <w:left w:val="single" w:sz="4" w:space="0" w:color="000000"/>
              <w:right w:val="single" w:sz="4" w:space="0" w:color="000000"/>
            </w:tcBorders>
          </w:tcPr>
          <w:p>
            <w:pPr/>
          </w:p>
        </w:tc>
        <w:tc>
          <w:tcPr>
            <w:tcW w:w="1062" w:type="dxa"/>
            <w:vMerge/>
            <w:tcBorders>
              <w:left w:val="single" w:sz="4" w:space="0" w:color="000000"/>
              <w:right w:val="single" w:sz="4" w:space="0" w:color="000000"/>
            </w:tcBorders>
          </w:tcPr>
          <w:p>
            <w:pPr/>
          </w:p>
        </w:tc>
      </w:tr>
      <w:tr>
        <w:trPr>
          <w:trHeight w:val="648"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6" w:type="dxa"/>
            <w:vMerge/>
            <w:tcBorders>
              <w:left w:val="single" w:sz="9" w:space="0" w:color="D2D2D2"/>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4253" w:type="dxa"/>
            <w:vMerge/>
            <w:tcBorders>
              <w:left w:val="single" w:sz="4" w:space="0" w:color="000000"/>
              <w:bottom w:val="single" w:sz="4" w:space="0" w:color="000000"/>
              <w:right w:val="single" w:sz="4" w:space="0" w:color="000000"/>
            </w:tcBorders>
          </w:tcPr>
          <w:p>
            <w:pPr/>
          </w:p>
        </w:tc>
        <w:tc>
          <w:tcPr>
            <w:tcW w:w="1062" w:type="dxa"/>
            <w:vMerge/>
            <w:tcBorders>
              <w:left w:val="single" w:sz="4" w:space="0" w:color="000000"/>
              <w:bottom w:val="single" w:sz="4" w:space="0" w:color="000000"/>
              <w:right w:val="single" w:sz="4" w:space="0" w:color="000000"/>
            </w:tcBorders>
          </w:tcPr>
          <w:p>
            <w:pPr/>
          </w:p>
        </w:tc>
      </w:tr>
      <w:tr>
        <w:trPr>
          <w:trHeight w:val="318"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6"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95" w:right="0"/>
              <w:jc w:val="left"/>
              <w:rPr>
                <w:rFonts w:ascii="宋体" w:hAnsi="宋体" w:cs="宋体" w:eastAsia="宋体" w:hint="default"/>
                <w:sz w:val="18"/>
                <w:szCs w:val="18"/>
              </w:rPr>
            </w:pPr>
            <w:r>
              <w:rPr>
                <w:rFonts w:ascii="宋体"/>
                <w:sz w:val="18"/>
              </w:rPr>
              <w:t>260,502,000.00</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70" w:right="0"/>
              <w:jc w:val="left"/>
              <w:rPr>
                <w:rFonts w:ascii="宋体" w:hAnsi="宋体" w:cs="宋体" w:eastAsia="宋体" w:hint="default"/>
                <w:sz w:val="18"/>
                <w:szCs w:val="18"/>
              </w:rPr>
            </w:pPr>
            <w:r>
              <w:rPr>
                <w:rFonts w:ascii="宋体"/>
                <w:sz w:val="18"/>
              </w:rPr>
              <w:t>-17.20%</w:t>
            </w:r>
          </w:p>
        </w:tc>
        <w:tc>
          <w:tcPr>
            <w:tcW w:w="4253" w:type="dxa"/>
            <w:vMerge w:val="restart"/>
            <w:tcBorders>
              <w:top w:val="single" w:sz="4" w:space="0" w:color="000000"/>
              <w:left w:val="single" w:sz="4" w:space="0" w:color="000000"/>
              <w:right w:val="single" w:sz="4" w:space="0" w:color="000000"/>
            </w:tcBorders>
          </w:tcPr>
          <w:p>
            <w:pPr>
              <w:pStyle w:val="TableParagraph"/>
              <w:spacing w:line="316" w:lineRule="auto" w:before="53"/>
              <w:ind w:left="22" w:right="78"/>
              <w:jc w:val="both"/>
              <w:rPr>
                <w:rFonts w:ascii="宋体" w:hAnsi="宋体" w:cs="宋体" w:eastAsia="宋体" w:hint="default"/>
                <w:sz w:val="18"/>
                <w:szCs w:val="18"/>
              </w:rPr>
            </w:pPr>
            <w:r>
              <w:rPr>
                <w:rFonts w:ascii="宋体" w:hAnsi="宋体" w:cs="宋体" w:eastAsia="宋体" w:hint="default"/>
                <w:sz w:val="18"/>
                <w:szCs w:val="18"/>
              </w:rPr>
              <w:t>子公司晨之科管理层朱明对晨之科本年度未完成并购 业绩对赌承诺，对母公司的股票补偿按照公允价值计 量的损益。</w:t>
            </w:r>
          </w:p>
        </w:tc>
        <w:tc>
          <w:tcPr>
            <w:tcW w:w="10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596" w:type="dxa"/>
            <w:vMerge/>
            <w:tcBorders>
              <w:left w:val="single" w:sz="9" w:space="0" w:color="D2D2D2"/>
              <w:right w:val="single" w:sz="4" w:space="0" w:color="000000"/>
            </w:tcBorders>
          </w:tcPr>
          <w:p>
            <w:pPr/>
          </w:p>
        </w:tc>
        <w:tc>
          <w:tcPr>
            <w:tcW w:w="1134" w:type="dxa"/>
            <w:vMerge/>
            <w:tcBorders>
              <w:left w:val="single" w:sz="4" w:space="0" w:color="000000"/>
              <w:right w:val="single" w:sz="4" w:space="0" w:color="000000"/>
            </w:tcBorders>
          </w:tcPr>
          <w:p>
            <w:pPr/>
          </w:p>
        </w:tc>
        <w:tc>
          <w:tcPr>
            <w:tcW w:w="4253" w:type="dxa"/>
            <w:vMerge/>
            <w:tcBorders>
              <w:left w:val="single" w:sz="4" w:space="0" w:color="000000"/>
              <w:right w:val="single" w:sz="4" w:space="0" w:color="000000"/>
            </w:tcBorders>
          </w:tcPr>
          <w:p>
            <w:pPr/>
          </w:p>
        </w:tc>
        <w:tc>
          <w:tcPr>
            <w:tcW w:w="1062" w:type="dxa"/>
            <w:vMerge/>
            <w:tcBorders>
              <w:left w:val="single" w:sz="4" w:space="0" w:color="000000"/>
              <w:right w:val="single" w:sz="4" w:space="0" w:color="000000"/>
            </w:tcBorders>
          </w:tcPr>
          <w:p>
            <w:pPr/>
          </w:p>
        </w:tc>
      </w:tr>
      <w:tr>
        <w:trPr>
          <w:trHeight w:val="317"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6" w:type="dxa"/>
            <w:vMerge/>
            <w:tcBorders>
              <w:left w:val="single" w:sz="9" w:space="0" w:color="D2D2D2"/>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4253" w:type="dxa"/>
            <w:vMerge/>
            <w:tcBorders>
              <w:left w:val="single" w:sz="4" w:space="0" w:color="000000"/>
              <w:bottom w:val="single" w:sz="4" w:space="0" w:color="000000"/>
              <w:right w:val="single" w:sz="4" w:space="0" w:color="000000"/>
            </w:tcBorders>
          </w:tcPr>
          <w:p>
            <w:pPr/>
          </w:p>
        </w:tc>
        <w:tc>
          <w:tcPr>
            <w:tcW w:w="1062" w:type="dxa"/>
            <w:vMerge/>
            <w:tcBorders>
              <w:left w:val="single" w:sz="4" w:space="0" w:color="000000"/>
              <w:bottom w:val="single" w:sz="4" w:space="0" w:color="000000"/>
              <w:right w:val="single" w:sz="4" w:space="0" w:color="000000"/>
            </w:tcBorders>
          </w:tcPr>
          <w:p>
            <w:pPr/>
          </w:p>
        </w:tc>
      </w:tr>
      <w:tr>
        <w:trPr>
          <w:trHeight w:val="403"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87" w:right="0"/>
              <w:jc w:val="center"/>
              <w:rPr>
                <w:rFonts w:ascii="宋体" w:hAnsi="宋体" w:cs="宋体" w:eastAsia="宋体" w:hint="default"/>
                <w:sz w:val="18"/>
                <w:szCs w:val="18"/>
              </w:rPr>
            </w:pPr>
            <w:r>
              <w:rPr>
                <w:rFonts w:ascii="宋体"/>
                <w:sz w:val="18"/>
              </w:rPr>
              <w:t>1,813,765,064.67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80" w:right="0"/>
              <w:jc w:val="left"/>
              <w:rPr>
                <w:rFonts w:ascii="宋体" w:hAnsi="宋体" w:cs="宋体" w:eastAsia="宋体" w:hint="default"/>
                <w:sz w:val="18"/>
                <w:szCs w:val="18"/>
              </w:rPr>
            </w:pPr>
            <w:r>
              <w:rPr>
                <w:rFonts w:ascii="宋体"/>
                <w:sz w:val="18"/>
              </w:rPr>
              <w:t>-119.73%</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56"/>
              <w:jc w:val="center"/>
              <w:rPr>
                <w:rFonts w:ascii="宋体" w:hAnsi="宋体" w:cs="宋体" w:eastAsia="宋体" w:hint="default"/>
                <w:sz w:val="18"/>
                <w:szCs w:val="18"/>
              </w:rPr>
            </w:pPr>
            <w:r>
              <w:rPr>
                <w:rFonts w:ascii="宋体" w:hAnsi="宋体" w:cs="宋体" w:eastAsia="宋体" w:hint="default"/>
                <w:sz w:val="18"/>
                <w:szCs w:val="18"/>
              </w:rPr>
              <w:t>主要为本年度收购晨之科形成的大额商誉减值与对新</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23"/>
        <w:gridCol w:w="1596"/>
        <w:gridCol w:w="1134"/>
        <w:gridCol w:w="4253"/>
        <w:gridCol w:w="1062"/>
      </w:tblGrid>
      <w:tr>
        <w:trPr>
          <w:trHeight w:val="36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浪阅读的股权投资减值。</w:t>
            </w: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9,315,658.06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-0.61%</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子公司晨之科项目合同终止，被豁免的债务。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3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1,950,827.09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-0.13%</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主要为对外捐赠支出。</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35"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18"/>
          <w:szCs w:val="18"/>
        </w:rPr>
      </w:pPr>
    </w:p>
    <w:p>
      <w:pPr>
        <w:pStyle w:val="Heading2"/>
        <w:spacing w:line="240" w:lineRule="auto"/>
        <w:ind w:right="1092"/>
        <w:jc w:val="left"/>
        <w:rPr>
          <w:b w:val="0"/>
          <w:bCs w:val="0"/>
        </w:rPr>
      </w:pPr>
      <w:bookmarkStart w:name="四、资产及负债状况" w:id="39"/>
      <w:bookmarkEnd w:id="39"/>
      <w:r>
        <w:rPr>
          <w:b w:val="0"/>
          <w:bCs w:val="0"/>
        </w:rPr>
      </w:r>
      <w:r>
        <w:rPr/>
        <w:t>四、资产及负债状况</w:t>
      </w:r>
      <w:r>
        <w:rPr>
          <w:b w:val="0"/>
          <w:bCs w:val="0"/>
        </w:rPr>
      </w:r>
    </w:p>
    <w:p>
      <w:pPr>
        <w:spacing w:line="240" w:lineRule="auto" w:before="8"/>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资产构成重大变动情况" w:id="40"/>
      <w:bookmarkEnd w:id="40"/>
      <w:r>
        <w:rPr/>
      </w:r>
      <w:r>
        <w:rPr>
          <w:rFonts w:ascii="宋体" w:hAnsi="宋体" w:cs="宋体" w:eastAsia="宋体" w:hint="default"/>
          <w:b/>
          <w:bCs/>
          <w:sz w:val="21"/>
          <w:szCs w:val="21"/>
        </w:rPr>
        <w:t>1</w:t>
      </w:r>
      <w:r>
        <w:rPr>
          <w:rFonts w:ascii="宋体" w:hAnsi="宋体" w:cs="宋体" w:eastAsia="宋体" w:hint="default"/>
          <w:b/>
          <w:bCs/>
          <w:sz w:val="21"/>
          <w:szCs w:val="21"/>
        </w:rPr>
        <w:t>、资产构成重大变动情况</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57"/>
        <w:gridCol w:w="1326"/>
        <w:gridCol w:w="901"/>
        <w:gridCol w:w="1367"/>
        <w:gridCol w:w="892"/>
        <w:gridCol w:w="798"/>
        <w:gridCol w:w="2918"/>
      </w:tblGrid>
      <w:tr>
        <w:trPr>
          <w:trHeight w:val="385"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22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25"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1"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291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79" w:hRule="exact"/>
        </w:trPr>
        <w:tc>
          <w:tcPr>
            <w:tcW w:w="1357" w:type="dxa"/>
            <w:vMerge w:val="restart"/>
            <w:tcBorders>
              <w:top w:val="nil" w:sz="6" w:space="0" w:color="auto"/>
              <w:left w:val="single" w:sz="4" w:space="0" w:color="000000"/>
              <w:right w:val="single" w:sz="4" w:space="0" w:color="000000"/>
            </w:tcBorders>
            <w:shd w:val="clear" w:color="auto" w:fill="D2D2D2"/>
          </w:tcPr>
          <w:p>
            <w:pPr/>
          </w:p>
        </w:tc>
        <w:tc>
          <w:tcPr>
            <w:tcW w:w="1326" w:type="dxa"/>
            <w:tcBorders>
              <w:top w:val="single" w:sz="4" w:space="0" w:color="000000"/>
              <w:left w:val="single" w:sz="4" w:space="0" w:color="000000"/>
              <w:bottom w:val="nil" w:sz="6" w:space="0" w:color="auto"/>
              <w:right w:val="single" w:sz="4" w:space="0" w:color="000000"/>
            </w:tcBorders>
            <w:shd w:val="clear" w:color="auto" w:fill="D2D2D2"/>
          </w:tcPr>
          <w:p>
            <w:pPr/>
          </w:p>
        </w:tc>
        <w:tc>
          <w:tcPr>
            <w:tcW w:w="90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69"/>
              <w:ind w:left="265" w:right="84"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8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69"/>
              <w:ind w:left="260" w:right="79"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8"/>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8"/>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1" w:hRule="exact"/>
        </w:trPr>
        <w:tc>
          <w:tcPr>
            <w:tcW w:w="1357" w:type="dxa"/>
            <w:vMerge/>
            <w:tcBorders>
              <w:left w:val="single" w:sz="4" w:space="0" w:color="000000"/>
              <w:bottom w:val="nil" w:sz="6" w:space="0" w:color="auto"/>
              <w:right w:val="single" w:sz="4" w:space="0" w:color="000000"/>
            </w:tcBorders>
            <w:shd w:val="clear" w:color="auto" w:fill="D2D2D2"/>
          </w:tcPr>
          <w:p>
            <w:pPr/>
          </w:p>
        </w:tc>
        <w:tc>
          <w:tcPr>
            <w:tcW w:w="13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01" w:type="dxa"/>
            <w:vMerge/>
            <w:tcBorders>
              <w:left w:val="single" w:sz="4" w:space="0" w:color="000000"/>
              <w:right w:val="single" w:sz="4" w:space="0" w:color="000000"/>
            </w:tcBorders>
            <w:shd w:val="clear" w:color="auto" w:fill="D2D2D2"/>
          </w:tcPr>
          <w:p>
            <w:pPr/>
          </w:p>
        </w:tc>
        <w:tc>
          <w:tcPr>
            <w:tcW w:w="136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92"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2918"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357" w:type="dxa"/>
            <w:vMerge w:val="restart"/>
            <w:tcBorders>
              <w:top w:val="nil" w:sz="6" w:space="0" w:color="auto"/>
              <w:left w:val="single" w:sz="4" w:space="0" w:color="000000"/>
              <w:right w:val="single" w:sz="4" w:space="0" w:color="000000"/>
            </w:tcBorders>
            <w:shd w:val="clear" w:color="auto" w:fill="D2D2D2"/>
          </w:tcPr>
          <w:p>
            <w:pPr/>
          </w:p>
        </w:tc>
        <w:tc>
          <w:tcPr>
            <w:tcW w:w="1326" w:type="dxa"/>
            <w:vMerge/>
            <w:tcBorders>
              <w:left w:val="single" w:sz="4" w:space="0" w:color="000000"/>
              <w:bottom w:val="nil" w:sz="6" w:space="0" w:color="auto"/>
              <w:right w:val="single" w:sz="4" w:space="0" w:color="000000"/>
            </w:tcBorders>
            <w:shd w:val="clear" w:color="auto" w:fill="D2D2D2"/>
          </w:tcPr>
          <w:p>
            <w:pPr/>
          </w:p>
        </w:tc>
        <w:tc>
          <w:tcPr>
            <w:tcW w:w="901" w:type="dxa"/>
            <w:vMerge/>
            <w:tcBorders>
              <w:left w:val="single" w:sz="4" w:space="0" w:color="000000"/>
              <w:right w:val="single" w:sz="4" w:space="0" w:color="000000"/>
            </w:tcBorders>
            <w:shd w:val="clear" w:color="auto" w:fill="D2D2D2"/>
          </w:tcPr>
          <w:p>
            <w:pPr/>
          </w:p>
        </w:tc>
        <w:tc>
          <w:tcPr>
            <w:tcW w:w="1367" w:type="dxa"/>
            <w:vMerge/>
            <w:tcBorders>
              <w:left w:val="single" w:sz="4" w:space="0" w:color="000000"/>
              <w:bottom w:val="nil" w:sz="6" w:space="0" w:color="auto"/>
              <w:right w:val="single" w:sz="4" w:space="0" w:color="000000"/>
            </w:tcBorders>
            <w:shd w:val="clear" w:color="auto" w:fill="D2D2D2"/>
          </w:tcPr>
          <w:p>
            <w:pPr/>
          </w:p>
        </w:tc>
        <w:tc>
          <w:tcPr>
            <w:tcW w:w="892"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
        </w:tc>
        <w:tc>
          <w:tcPr>
            <w:tcW w:w="2918"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357" w:type="dxa"/>
            <w:vMerge/>
            <w:tcBorders>
              <w:left w:val="single" w:sz="4" w:space="0" w:color="000000"/>
              <w:bottom w:val="single" w:sz="4" w:space="0" w:color="000000"/>
              <w:right w:val="single" w:sz="4" w:space="0" w:color="000000"/>
            </w:tcBorders>
            <w:shd w:val="clear" w:color="auto" w:fill="D2D2D2"/>
          </w:tcPr>
          <w:p>
            <w:pPr/>
          </w:p>
        </w:tc>
        <w:tc>
          <w:tcPr>
            <w:tcW w:w="1326" w:type="dxa"/>
            <w:tcBorders>
              <w:top w:val="nil" w:sz="6" w:space="0" w:color="auto"/>
              <w:left w:val="single" w:sz="4" w:space="0" w:color="000000"/>
              <w:bottom w:val="single" w:sz="4" w:space="0" w:color="000000"/>
              <w:right w:val="single" w:sz="4" w:space="0" w:color="000000"/>
            </w:tcBorders>
            <w:shd w:val="clear" w:color="auto" w:fill="D2D2D2"/>
          </w:tcPr>
          <w:p>
            <w:pPr/>
          </w:p>
        </w:tc>
        <w:tc>
          <w:tcPr>
            <w:tcW w:w="901"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892"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2918" w:type="dxa"/>
            <w:vMerge/>
            <w:tcBorders>
              <w:left w:val="single" w:sz="4" w:space="0" w:color="000000"/>
              <w:bottom w:val="single" w:sz="4" w:space="0" w:color="000000"/>
              <w:right w:val="single" w:sz="4" w:space="0" w:color="000000"/>
            </w:tcBorders>
            <w:shd w:val="clear" w:color="auto" w:fill="D2D2D2"/>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2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484,756,200.85</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27" w:right="0"/>
              <w:jc w:val="left"/>
              <w:rPr>
                <w:rFonts w:ascii="宋体" w:hAnsi="宋体" w:cs="宋体" w:eastAsia="宋体" w:hint="default"/>
                <w:sz w:val="18"/>
                <w:szCs w:val="18"/>
              </w:rPr>
            </w:pPr>
            <w:r>
              <w:rPr>
                <w:rFonts w:ascii="宋体"/>
                <w:sz w:val="18"/>
              </w:rPr>
              <w:t>18.71%</w:t>
            </w: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759,480,058.06</w:t>
            </w:r>
          </w:p>
        </w:tc>
        <w:tc>
          <w:tcPr>
            <w:tcW w:w="8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sz w:val="18"/>
              </w:rPr>
              <w:t>25.63%</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4" w:right="0"/>
              <w:jc w:val="left"/>
              <w:rPr>
                <w:rFonts w:ascii="宋体" w:hAnsi="宋体" w:cs="宋体" w:eastAsia="宋体" w:hint="default"/>
                <w:sz w:val="18"/>
                <w:szCs w:val="18"/>
              </w:rPr>
            </w:pPr>
            <w:r>
              <w:rPr>
                <w:rFonts w:ascii="宋体"/>
                <w:sz w:val="18"/>
              </w:rPr>
              <w:t>-6.92%</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183"/>
              <w:jc w:val="left"/>
              <w:rPr>
                <w:rFonts w:ascii="宋体" w:hAnsi="宋体" w:cs="宋体" w:eastAsia="宋体" w:hint="default"/>
                <w:sz w:val="18"/>
                <w:szCs w:val="18"/>
              </w:rPr>
            </w:pPr>
            <w:r>
              <w:rPr>
                <w:rFonts w:ascii="宋体" w:hAnsi="宋体" w:cs="宋体" w:eastAsia="宋体" w:hint="default"/>
                <w:sz w:val="18"/>
                <w:szCs w:val="18"/>
              </w:rPr>
              <w:t>主要为本年度支付并购晨之科的交 易对价与日常经营致货币资金减少</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326" w:type="dxa"/>
            <w:vMerge/>
            <w:tcBorders>
              <w:left w:val="single" w:sz="9" w:space="0" w:color="D2D2D2"/>
              <w:right w:val="single" w:sz="4" w:space="0" w:color="000000"/>
            </w:tcBorders>
          </w:tcPr>
          <w:p>
            <w:pPr/>
          </w:p>
        </w:tc>
        <w:tc>
          <w:tcPr>
            <w:tcW w:w="901"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892"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26" w:type="dxa"/>
            <w:vMerge/>
            <w:tcBorders>
              <w:left w:val="single" w:sz="9"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892"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2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232,940,409.42</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sz w:val="18"/>
              </w:rPr>
              <w:t>8.99%</w:t>
            </w: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133,383,639.60</w:t>
            </w:r>
          </w:p>
        </w:tc>
        <w:tc>
          <w:tcPr>
            <w:tcW w:w="8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sz w:val="18"/>
              </w:rPr>
              <w:t>4.50%</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4" w:right="0"/>
              <w:jc w:val="left"/>
              <w:rPr>
                <w:rFonts w:ascii="宋体" w:hAnsi="宋体" w:cs="宋体" w:eastAsia="宋体" w:hint="default"/>
                <w:sz w:val="18"/>
                <w:szCs w:val="18"/>
              </w:rPr>
            </w:pPr>
            <w:r>
              <w:rPr>
                <w:rFonts w:ascii="宋体"/>
                <w:sz w:val="18"/>
              </w:rPr>
              <w:t>4.49%</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183"/>
              <w:jc w:val="left"/>
              <w:rPr>
                <w:rFonts w:ascii="宋体" w:hAnsi="宋体" w:cs="宋体" w:eastAsia="宋体" w:hint="default"/>
                <w:sz w:val="18"/>
                <w:szCs w:val="18"/>
              </w:rPr>
            </w:pPr>
            <w:r>
              <w:rPr>
                <w:rFonts w:ascii="宋体" w:hAnsi="宋体" w:cs="宋体" w:eastAsia="宋体" w:hint="default"/>
                <w:sz w:val="18"/>
                <w:szCs w:val="18"/>
              </w:rPr>
              <w:t>主要为影视剧完成拍摄应收款增加 与合并增加晨之科应收账款所致</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326" w:type="dxa"/>
            <w:vMerge/>
            <w:tcBorders>
              <w:left w:val="single" w:sz="9" w:space="0" w:color="D2D2D2"/>
              <w:right w:val="single" w:sz="4" w:space="0" w:color="000000"/>
            </w:tcBorders>
          </w:tcPr>
          <w:p>
            <w:pPr/>
          </w:p>
        </w:tc>
        <w:tc>
          <w:tcPr>
            <w:tcW w:w="901"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892"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26" w:type="dxa"/>
            <w:vMerge/>
            <w:tcBorders>
              <w:left w:val="single" w:sz="9"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892"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3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87" w:right="0"/>
              <w:jc w:val="center"/>
              <w:rPr>
                <w:rFonts w:ascii="宋体" w:hAnsi="宋体" w:cs="宋体" w:eastAsia="宋体" w:hint="default"/>
                <w:sz w:val="18"/>
                <w:szCs w:val="18"/>
              </w:rPr>
            </w:pPr>
            <w:r>
              <w:rPr>
                <w:rFonts w:ascii="宋体"/>
                <w:sz w:val="18"/>
              </w:rPr>
              <w:t>18,764,753.88</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11,176,207.01</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0.38%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0.34%</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2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5" w:right="0"/>
              <w:jc w:val="left"/>
              <w:rPr>
                <w:rFonts w:ascii="宋体" w:hAnsi="宋体" w:cs="宋体" w:eastAsia="宋体" w:hint="default"/>
                <w:sz w:val="18"/>
                <w:szCs w:val="18"/>
              </w:rPr>
            </w:pPr>
            <w:r>
              <w:rPr>
                <w:rFonts w:ascii="宋体"/>
                <w:sz w:val="18"/>
              </w:rPr>
              <w:t>46,768,739.93</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sz w:val="18"/>
              </w:rPr>
              <w:t>1.81%</w:t>
            </w: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4" w:right="0"/>
              <w:jc w:val="left"/>
              <w:rPr>
                <w:rFonts w:ascii="宋体" w:hAnsi="宋体" w:cs="宋体" w:eastAsia="宋体" w:hint="default"/>
                <w:sz w:val="18"/>
                <w:szCs w:val="18"/>
              </w:rPr>
            </w:pPr>
            <w:r>
              <w:rPr>
                <w:rFonts w:ascii="宋体"/>
                <w:sz w:val="18"/>
              </w:rPr>
              <w:t>21,738,872.26</w:t>
            </w:r>
          </w:p>
        </w:tc>
        <w:tc>
          <w:tcPr>
            <w:tcW w:w="8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sz w:val="18"/>
              </w:rPr>
              <w:t>0.73%</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4" w:right="0"/>
              <w:jc w:val="left"/>
              <w:rPr>
                <w:rFonts w:ascii="宋体" w:hAnsi="宋体" w:cs="宋体" w:eastAsia="宋体" w:hint="default"/>
                <w:sz w:val="18"/>
                <w:szCs w:val="18"/>
              </w:rPr>
            </w:pPr>
            <w:r>
              <w:rPr>
                <w:rFonts w:ascii="宋体"/>
                <w:sz w:val="18"/>
              </w:rPr>
              <w:t>1.08%</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183"/>
              <w:jc w:val="left"/>
              <w:rPr>
                <w:rFonts w:ascii="宋体" w:hAnsi="宋体" w:cs="宋体" w:eastAsia="宋体" w:hint="default"/>
                <w:sz w:val="18"/>
                <w:szCs w:val="18"/>
              </w:rPr>
            </w:pPr>
            <w:r>
              <w:rPr>
                <w:rFonts w:ascii="宋体" w:hAnsi="宋体" w:cs="宋体" w:eastAsia="宋体" w:hint="default"/>
                <w:sz w:val="18"/>
                <w:szCs w:val="18"/>
              </w:rPr>
              <w:t>主要为购置杭州办公楼投入使用对 外出租所致</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326" w:type="dxa"/>
            <w:vMerge/>
            <w:tcBorders>
              <w:left w:val="single" w:sz="9" w:space="0" w:color="D2D2D2"/>
              <w:right w:val="single" w:sz="4" w:space="0" w:color="000000"/>
            </w:tcBorders>
          </w:tcPr>
          <w:p>
            <w:pPr/>
          </w:p>
        </w:tc>
        <w:tc>
          <w:tcPr>
            <w:tcW w:w="901"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892"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26" w:type="dxa"/>
            <w:vMerge/>
            <w:tcBorders>
              <w:left w:val="single" w:sz="9"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892"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26" w:type="dxa"/>
            <w:vMerge w:val="restart"/>
            <w:tcBorders>
              <w:top w:val="single" w:sz="4" w:space="0" w:color="000000"/>
              <w:left w:val="single" w:sz="9" w:space="0" w:color="D2D2D2"/>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261,323,498.96</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327" w:right="0"/>
              <w:jc w:val="left"/>
              <w:rPr>
                <w:rFonts w:ascii="宋体" w:hAnsi="宋体" w:cs="宋体" w:eastAsia="宋体" w:hint="default"/>
                <w:sz w:val="18"/>
                <w:szCs w:val="18"/>
              </w:rPr>
            </w:pPr>
            <w:r>
              <w:rPr>
                <w:rFonts w:ascii="宋体"/>
                <w:sz w:val="18"/>
              </w:rPr>
              <w:t>10.09%</w:t>
            </w: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484,790,611.25</w:t>
            </w:r>
          </w:p>
        </w:tc>
        <w:tc>
          <w:tcPr>
            <w:tcW w:w="89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sz w:val="18"/>
              </w:rPr>
              <w:t>16.36%</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4" w:right="0"/>
              <w:jc w:val="left"/>
              <w:rPr>
                <w:rFonts w:ascii="宋体" w:hAnsi="宋体" w:cs="宋体" w:eastAsia="宋体" w:hint="default"/>
                <w:sz w:val="18"/>
                <w:szCs w:val="18"/>
              </w:rPr>
            </w:pPr>
            <w:r>
              <w:rPr>
                <w:rFonts w:ascii="宋体"/>
                <w:sz w:val="18"/>
              </w:rPr>
              <w:t>-6.27%</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3"/>
              <w:ind w:left="22" w:right="183"/>
              <w:jc w:val="left"/>
              <w:rPr>
                <w:rFonts w:ascii="宋体" w:hAnsi="宋体" w:cs="宋体" w:eastAsia="宋体" w:hint="default"/>
                <w:sz w:val="18"/>
                <w:szCs w:val="18"/>
              </w:rPr>
            </w:pPr>
            <w:r>
              <w:rPr>
                <w:rFonts w:ascii="宋体" w:hAnsi="宋体" w:cs="宋体" w:eastAsia="宋体" w:hint="default"/>
                <w:sz w:val="18"/>
                <w:szCs w:val="18"/>
              </w:rPr>
              <w:t>主要为本年度晨之科纳入公司合并 范围致长期股权投资减少</w:t>
            </w:r>
          </w:p>
        </w:tc>
      </w:tr>
      <w:tr>
        <w:trPr>
          <w:trHeight w:val="392"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326" w:type="dxa"/>
            <w:vMerge/>
            <w:tcBorders>
              <w:left w:val="single" w:sz="9" w:space="0" w:color="D2D2D2"/>
              <w:right w:val="single" w:sz="4" w:space="0" w:color="000000"/>
            </w:tcBorders>
          </w:tcPr>
          <w:p>
            <w:pPr/>
          </w:p>
        </w:tc>
        <w:tc>
          <w:tcPr>
            <w:tcW w:w="901"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892"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26" w:type="dxa"/>
            <w:vMerge/>
            <w:tcBorders>
              <w:left w:val="single" w:sz="9"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892"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2"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2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5" w:right="0"/>
              <w:jc w:val="left"/>
              <w:rPr>
                <w:rFonts w:ascii="宋体" w:hAnsi="宋体" w:cs="宋体" w:eastAsia="宋体" w:hint="default"/>
                <w:sz w:val="18"/>
                <w:szCs w:val="18"/>
              </w:rPr>
            </w:pPr>
            <w:r>
              <w:rPr>
                <w:rFonts w:ascii="宋体"/>
                <w:sz w:val="18"/>
              </w:rPr>
              <w:t>95,391,564.50</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sz w:val="18"/>
              </w:rPr>
              <w:t>3.68%</w:t>
            </w: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4" w:right="0"/>
              <w:jc w:val="left"/>
              <w:rPr>
                <w:rFonts w:ascii="宋体" w:hAnsi="宋体" w:cs="宋体" w:eastAsia="宋体" w:hint="default"/>
                <w:sz w:val="18"/>
                <w:szCs w:val="18"/>
              </w:rPr>
            </w:pPr>
            <w:r>
              <w:rPr>
                <w:rFonts w:ascii="宋体"/>
                <w:sz w:val="18"/>
              </w:rPr>
              <w:t>26,426,666.86</w:t>
            </w:r>
          </w:p>
        </w:tc>
        <w:tc>
          <w:tcPr>
            <w:tcW w:w="8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sz w:val="18"/>
              </w:rPr>
              <w:t>0.89%</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4" w:right="0"/>
              <w:jc w:val="left"/>
              <w:rPr>
                <w:rFonts w:ascii="宋体" w:hAnsi="宋体" w:cs="宋体" w:eastAsia="宋体" w:hint="default"/>
                <w:sz w:val="18"/>
                <w:szCs w:val="18"/>
              </w:rPr>
            </w:pPr>
            <w:r>
              <w:rPr>
                <w:rFonts w:ascii="宋体"/>
                <w:sz w:val="18"/>
              </w:rPr>
              <w:t>2.79%</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183"/>
              <w:jc w:val="left"/>
              <w:rPr>
                <w:rFonts w:ascii="宋体" w:hAnsi="宋体" w:cs="宋体" w:eastAsia="宋体" w:hint="default"/>
                <w:sz w:val="18"/>
                <w:szCs w:val="18"/>
              </w:rPr>
            </w:pPr>
            <w:r>
              <w:rPr>
                <w:rFonts w:ascii="宋体" w:hAnsi="宋体" w:cs="宋体" w:eastAsia="宋体" w:hint="default"/>
                <w:sz w:val="18"/>
                <w:szCs w:val="18"/>
              </w:rPr>
              <w:t>本年度购置杭州办公楼投入使用致 固定资产增加</w:t>
            </w:r>
          </w:p>
        </w:tc>
      </w:tr>
      <w:tr>
        <w:trPr>
          <w:trHeight w:val="391" w:hRule="exact"/>
        </w:trPr>
        <w:tc>
          <w:tcPr>
            <w:tcW w:w="13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326" w:type="dxa"/>
            <w:vMerge/>
            <w:tcBorders>
              <w:left w:val="single" w:sz="9" w:space="0" w:color="D2D2D2"/>
              <w:right w:val="single" w:sz="4" w:space="0" w:color="000000"/>
            </w:tcBorders>
          </w:tcPr>
          <w:p>
            <w:pPr/>
          </w:p>
        </w:tc>
        <w:tc>
          <w:tcPr>
            <w:tcW w:w="901"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892"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26" w:type="dxa"/>
            <w:vMerge/>
            <w:tcBorders>
              <w:left w:val="single" w:sz="9"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892"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26" w:type="dxa"/>
            <w:tcBorders>
              <w:top w:val="single" w:sz="4" w:space="0" w:color="000000"/>
              <w:left w:val="single" w:sz="13" w:space="0" w:color="D2D2D2"/>
              <w:bottom w:val="single" w:sz="4" w:space="0" w:color="000000"/>
              <w:right w:val="single" w:sz="4" w:space="0" w:color="000000"/>
            </w:tcBorders>
          </w:tcPr>
          <w:p>
            <w:pP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0.00%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3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
              <w:jc w:val="center"/>
              <w:rPr>
                <w:rFonts w:ascii="宋体" w:hAnsi="宋体" w:cs="宋体" w:eastAsia="宋体" w:hint="default"/>
                <w:sz w:val="18"/>
                <w:szCs w:val="18"/>
              </w:rPr>
            </w:pPr>
            <w:r>
              <w:rPr>
                <w:rFonts w:ascii="宋体"/>
                <w:sz w:val="18"/>
              </w:rPr>
              <w:t>100,000,000.00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3.86%</w:t>
            </w:r>
          </w:p>
        </w:tc>
        <w:tc>
          <w:tcPr>
            <w:tcW w:w="1367"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3.86%</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本年度新增银行短期借款所致</w:t>
            </w:r>
          </w:p>
        </w:tc>
      </w:tr>
      <w:tr>
        <w:trPr>
          <w:trHeight w:val="403"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326" w:type="dxa"/>
            <w:tcBorders>
              <w:top w:val="single" w:sz="4" w:space="0" w:color="000000"/>
              <w:left w:val="single" w:sz="13" w:space="0" w:color="D2D2D2"/>
              <w:bottom w:val="single" w:sz="4" w:space="0" w:color="000000"/>
              <w:right w:val="single" w:sz="4" w:space="0" w:color="000000"/>
            </w:tcBorders>
          </w:tcPr>
          <w:p>
            <w:pP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30,000,000.00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-1.01%</w:t>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34" w:right="7694" w:firstLine="0"/>
        <w:jc w:val="center"/>
        <w:rPr>
          <w:rFonts w:ascii="宋体" w:hAnsi="宋体" w:cs="宋体" w:eastAsia="宋体" w:hint="default"/>
          <w:sz w:val="21"/>
          <w:szCs w:val="21"/>
        </w:rPr>
      </w:pPr>
      <w:bookmarkStart w:name="2、以公允价值计量的资产和负债" w:id="41"/>
      <w:bookmarkEnd w:id="41"/>
      <w:r>
        <w:rPr/>
      </w:r>
      <w:r>
        <w:rPr>
          <w:rFonts w:ascii="宋体" w:hAnsi="宋体" w:cs="宋体" w:eastAsia="宋体" w:hint="default"/>
          <w:b/>
          <w:bCs/>
          <w:sz w:val="21"/>
          <w:szCs w:val="21"/>
        </w:rPr>
        <w:t>2</w:t>
      </w:r>
      <w:r>
        <w:rPr>
          <w:rFonts w:ascii="宋体" w:hAnsi="宋体" w:cs="宋体" w:eastAsia="宋体" w:hint="default"/>
          <w:b/>
          <w:bCs/>
          <w:sz w:val="21"/>
          <w:szCs w:val="21"/>
        </w:rPr>
        <w:t>、以公允价值计量的资产和负债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78" w:right="7694"/>
        <w:jc w:val="center"/>
      </w:pPr>
      <w:r>
        <w:rPr/>
        <w:t>√ 适用 □ 不适用</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85"/>
        <w:gridCol w:w="1287"/>
        <w:gridCol w:w="1413"/>
        <w:gridCol w:w="1417"/>
        <w:gridCol w:w="851"/>
        <w:gridCol w:w="850"/>
        <w:gridCol w:w="704"/>
        <w:gridCol w:w="1349"/>
      </w:tblGrid>
      <w:tr>
        <w:trPr>
          <w:trHeight w:val="161" w:hRule="exact"/>
        </w:trPr>
        <w:tc>
          <w:tcPr>
            <w:tcW w:w="168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87"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427" w:right="73" w:hanging="360"/>
              <w:jc w:val="left"/>
              <w:rPr>
                <w:rFonts w:ascii="宋体" w:hAnsi="宋体" w:cs="宋体" w:eastAsia="宋体" w:hint="default"/>
                <w:sz w:val="18"/>
                <w:szCs w:val="18"/>
              </w:rPr>
            </w:pPr>
            <w:r>
              <w:rPr>
                <w:rFonts w:ascii="宋体" w:hAnsi="宋体" w:cs="宋体" w:eastAsia="宋体" w:hint="default"/>
                <w:sz w:val="18"/>
                <w:szCs w:val="18"/>
              </w:rPr>
              <w:t>本期公允价值变 动损益</w:t>
            </w:r>
          </w:p>
        </w:tc>
        <w:tc>
          <w:tcPr>
            <w:tcW w:w="141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63" w:right="71"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50" w:right="58" w:hanging="90"/>
              <w:jc w:val="left"/>
              <w:rPr>
                <w:rFonts w:ascii="宋体" w:hAnsi="宋体" w:cs="宋体" w:eastAsia="宋体" w:hint="default"/>
                <w:sz w:val="18"/>
                <w:szCs w:val="18"/>
              </w:rPr>
            </w:pPr>
            <w:r>
              <w:rPr>
                <w:rFonts w:ascii="宋体" w:hAnsi="宋体" w:cs="宋体" w:eastAsia="宋体" w:hint="default"/>
                <w:sz w:val="18"/>
                <w:szCs w:val="18"/>
              </w:rPr>
              <w:t>本期计提 的减值</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40" w:right="58" w:hanging="180"/>
              <w:jc w:val="left"/>
              <w:rPr>
                <w:rFonts w:ascii="宋体" w:hAnsi="宋体" w:cs="宋体" w:eastAsia="宋体" w:hint="default"/>
                <w:sz w:val="18"/>
                <w:szCs w:val="18"/>
              </w:rPr>
            </w:pPr>
            <w:r>
              <w:rPr>
                <w:rFonts w:ascii="宋体" w:hAnsi="宋体" w:cs="宋体" w:eastAsia="宋体" w:hint="default"/>
                <w:sz w:val="18"/>
                <w:szCs w:val="18"/>
              </w:rPr>
              <w:t>本期购买 金额</w:t>
            </w:r>
          </w:p>
        </w:tc>
        <w:tc>
          <w:tcPr>
            <w:tcW w:w="70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79" w:right="72"/>
              <w:jc w:val="left"/>
              <w:rPr>
                <w:rFonts w:ascii="宋体" w:hAnsi="宋体" w:cs="宋体" w:eastAsia="宋体" w:hint="default"/>
                <w:sz w:val="18"/>
                <w:szCs w:val="18"/>
              </w:rPr>
            </w:pPr>
            <w:r>
              <w:rPr>
                <w:rFonts w:ascii="宋体" w:hAnsi="宋体" w:cs="宋体" w:eastAsia="宋体" w:hint="default"/>
                <w:sz w:val="18"/>
                <w:szCs w:val="18"/>
              </w:rPr>
              <w:t>本期出 售金额</w:t>
            </w:r>
          </w:p>
        </w:tc>
        <w:tc>
          <w:tcPr>
            <w:tcW w:w="134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6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5"/>
              <w:jc w:val="center"/>
              <w:rPr>
                <w:rFonts w:ascii="宋体" w:hAnsi="宋体" w:cs="宋体" w:eastAsia="宋体" w:hint="default"/>
                <w:sz w:val="18"/>
                <w:szCs w:val="18"/>
              </w:rPr>
            </w:pPr>
            <w:r>
              <w:rPr>
                <w:rFonts w:ascii="宋体" w:hAnsi="宋体" w:cs="宋体" w:eastAsia="宋体" w:hint="default"/>
                <w:sz w:val="18"/>
                <w:szCs w:val="18"/>
              </w:rPr>
              <w:t>项目</w:t>
            </w:r>
          </w:p>
        </w:tc>
        <w:tc>
          <w:tcPr>
            <w:tcW w:w="128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413" w:type="dxa"/>
            <w:vMerge/>
            <w:tcBorders>
              <w:left w:val="single" w:sz="4" w:space="0" w:color="000000"/>
              <w:right w:val="single" w:sz="4" w:space="0" w:color="000000"/>
            </w:tcBorders>
            <w:shd w:val="clear" w:color="auto" w:fill="D2D2D2"/>
          </w:tcPr>
          <w:p>
            <w:pPr/>
          </w:p>
        </w:tc>
        <w:tc>
          <w:tcPr>
            <w:tcW w:w="1417" w:type="dxa"/>
            <w:vMerge/>
            <w:tcBorders>
              <w:left w:val="single" w:sz="4" w:space="0" w:color="000000"/>
              <w:right w:val="single" w:sz="4" w:space="0" w:color="000000"/>
            </w:tcBorders>
            <w:shd w:val="clear" w:color="auto" w:fill="D2D2D2"/>
          </w:tcPr>
          <w:p>
            <w:pPr/>
          </w:p>
        </w:tc>
        <w:tc>
          <w:tcPr>
            <w:tcW w:w="851"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704" w:type="dxa"/>
            <w:vMerge/>
            <w:tcBorders>
              <w:left w:val="single" w:sz="4" w:space="0" w:color="000000"/>
              <w:right w:val="single" w:sz="4" w:space="0" w:color="000000"/>
            </w:tcBorders>
            <w:shd w:val="clear" w:color="auto" w:fill="D2D2D2"/>
          </w:tcPr>
          <w:p>
            <w:pPr/>
          </w:p>
        </w:tc>
        <w:tc>
          <w:tcPr>
            <w:tcW w:w="134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401"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166" w:hRule="exact"/>
        </w:trPr>
        <w:tc>
          <w:tcPr>
            <w:tcW w:w="168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7"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3" w:type="dxa"/>
            <w:vMerge/>
            <w:tcBorders>
              <w:left w:val="single" w:sz="4" w:space="0" w:color="000000"/>
              <w:bottom w:val="single" w:sz="4" w:space="0" w:color="000000"/>
              <w:right w:val="single" w:sz="4" w:space="0" w:color="000000"/>
            </w:tcBorders>
            <w:shd w:val="clear" w:color="auto" w:fill="D2D2D2"/>
          </w:tcPr>
          <w:p>
            <w:pPr/>
          </w:p>
        </w:tc>
        <w:tc>
          <w:tcPr>
            <w:tcW w:w="1417" w:type="dxa"/>
            <w:vMerge/>
            <w:tcBorders>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704" w:type="dxa"/>
            <w:vMerge/>
            <w:tcBorders>
              <w:left w:val="single" w:sz="4" w:space="0" w:color="000000"/>
              <w:bottom w:val="single" w:sz="4" w:space="0" w:color="000000"/>
              <w:right w:val="single" w:sz="4" w:space="0" w:color="000000"/>
            </w:tcBorders>
            <w:shd w:val="clear" w:color="auto" w:fill="D2D2D2"/>
          </w:tcPr>
          <w:p>
            <w:pPr/>
          </w:p>
        </w:tc>
        <w:tc>
          <w:tcPr>
            <w:tcW w:w="134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7" w:hRule="exact"/>
        </w:trPr>
        <w:tc>
          <w:tcPr>
            <w:tcW w:w="9555"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402"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衍生金融资产</w:t>
            </w:r>
          </w:p>
        </w:tc>
        <w:tc>
          <w:tcPr>
            <w:tcW w:w="1287" w:type="dxa"/>
            <w:tcBorders>
              <w:top w:val="single" w:sz="4" w:space="0" w:color="000000"/>
              <w:left w:val="single" w:sz="13" w:space="0" w:color="D2D2D2"/>
              <w:bottom w:val="single" w:sz="4" w:space="0" w:color="000000"/>
              <w:right w:val="single" w:sz="4" w:space="0" w:color="000000"/>
            </w:tcBorders>
          </w:tcPr>
          <w:p>
            <w:pP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216,395,000.00</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4"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216,395,000.00</w:t>
            </w:r>
          </w:p>
        </w:tc>
      </w:tr>
      <w:tr>
        <w:trPr>
          <w:trHeight w:val="402"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可供出售金融资产</w:t>
            </w:r>
          </w:p>
        </w:tc>
        <w:tc>
          <w:tcPr>
            <w:tcW w:w="12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38" w:right="0"/>
              <w:jc w:val="center"/>
              <w:rPr>
                <w:rFonts w:ascii="宋体" w:hAnsi="宋体" w:cs="宋体" w:eastAsia="宋体" w:hint="default"/>
                <w:sz w:val="18"/>
                <w:szCs w:val="18"/>
              </w:rPr>
            </w:pPr>
            <w:r>
              <w:rPr>
                <w:rFonts w:ascii="宋体"/>
                <w:sz w:val="18"/>
              </w:rPr>
              <w:t>75,180,118.98</w:t>
            </w:r>
          </w:p>
        </w:tc>
        <w:tc>
          <w:tcPr>
            <w:tcW w:w="1413"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-24,734,361.99</w:t>
            </w: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4"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50,445,756.99</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2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38" w:right="0"/>
              <w:jc w:val="center"/>
              <w:rPr>
                <w:rFonts w:ascii="宋体" w:hAnsi="宋体" w:cs="宋体" w:eastAsia="宋体" w:hint="default"/>
                <w:sz w:val="18"/>
                <w:szCs w:val="18"/>
              </w:rPr>
            </w:pPr>
            <w:r>
              <w:rPr>
                <w:rFonts w:ascii="宋体"/>
                <w:sz w:val="18"/>
              </w:rPr>
              <w:t>75,180,118.98</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216,395,000.00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-24,734,361.99</w:t>
            </w: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4"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266,840,756.99</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28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38" w:right="0"/>
              <w:jc w:val="center"/>
              <w:rPr>
                <w:rFonts w:ascii="宋体" w:hAnsi="宋体" w:cs="宋体" w:eastAsia="宋体" w:hint="default"/>
                <w:sz w:val="18"/>
                <w:szCs w:val="18"/>
              </w:rPr>
            </w:pPr>
            <w:r>
              <w:rPr>
                <w:rFonts w:ascii="宋体"/>
                <w:sz w:val="18"/>
              </w:rPr>
              <w:t>75,180,118.98</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216,395,000.00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-24,734,361.99</w:t>
            </w: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4"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266,840,756.99</w:t>
            </w:r>
          </w:p>
        </w:tc>
      </w:tr>
    </w:tbl>
    <w:p>
      <w:pPr>
        <w:spacing w:after="0" w:line="240" w:lineRule="auto"/>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01"/>
        <w:gridCol w:w="1276"/>
        <w:gridCol w:w="1419"/>
        <w:gridCol w:w="1416"/>
        <w:gridCol w:w="852"/>
        <w:gridCol w:w="850"/>
        <w:gridCol w:w="709"/>
        <w:gridCol w:w="1343"/>
      </w:tblGrid>
      <w:tr>
        <w:trPr>
          <w:trHeight w:val="402"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4" w:right="0"/>
              <w:jc w:val="left"/>
              <w:rPr>
                <w:rFonts w:ascii="宋体" w:hAnsi="宋体" w:cs="宋体" w:eastAsia="宋体" w:hint="default"/>
                <w:sz w:val="18"/>
                <w:szCs w:val="18"/>
              </w:rPr>
            </w:pPr>
            <w:r>
              <w:rPr>
                <w:rFonts w:ascii="宋体"/>
                <w:sz w:val="18"/>
              </w:rPr>
              <w:t>44,107,000.00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0" w:right="0"/>
              <w:jc w:val="left"/>
              <w:rPr>
                <w:rFonts w:ascii="宋体" w:hAnsi="宋体" w:cs="宋体" w:eastAsia="宋体" w:hint="default"/>
                <w:sz w:val="18"/>
                <w:szCs w:val="18"/>
              </w:rPr>
            </w:pPr>
            <w:r>
              <w:rPr>
                <w:rFonts w:ascii="宋体"/>
                <w:sz w:val="18"/>
              </w:rPr>
              <w:t>22,055,864.54</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报告期内公司主要资产计量属性是否发生重大变化</w:t>
      </w:r>
    </w:p>
    <w:p>
      <w:pPr>
        <w:spacing w:line="240" w:lineRule="auto" w:before="7"/>
        <w:rPr>
          <w:rFonts w:ascii="宋体" w:hAnsi="宋体" w:cs="宋体" w:eastAsia="宋体" w:hint="default"/>
          <w:sz w:val="19"/>
          <w:szCs w:val="19"/>
        </w:rPr>
      </w:pPr>
    </w:p>
    <w:p>
      <w:pPr>
        <w:pStyle w:val="BodyText"/>
        <w:spacing w:line="240" w:lineRule="auto"/>
        <w:ind w:left="634" w:right="1092"/>
        <w:jc w:val="left"/>
      </w:pPr>
      <w:r>
        <w:rPr/>
        <w:t>□ 是 √ 否</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截至报告期末的资产权利受限情况" w:id="42"/>
      <w:bookmarkEnd w:id="42"/>
      <w:r>
        <w:rPr/>
      </w:r>
      <w:r>
        <w:rPr>
          <w:rFonts w:ascii="宋体" w:hAnsi="宋体" w:cs="宋体" w:eastAsia="宋体" w:hint="default"/>
          <w:b/>
          <w:bCs/>
          <w:sz w:val="21"/>
          <w:szCs w:val="21"/>
        </w:rPr>
        <w:t>3</w:t>
      </w:r>
      <w:r>
        <w:rPr>
          <w:rFonts w:ascii="宋体" w:hAnsi="宋体" w:cs="宋体" w:eastAsia="宋体" w:hint="default"/>
          <w:b/>
          <w:bCs/>
          <w:sz w:val="21"/>
          <w:szCs w:val="21"/>
        </w:rPr>
        <w:t>、截至报告期末的资产权利受限情况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保函保证金</w:t>
      </w:r>
      <w:r>
        <w:rPr>
          <w:rFonts w:ascii="宋体" w:hAnsi="宋体" w:cs="宋体" w:eastAsia="宋体" w:hint="default"/>
        </w:rPr>
        <w:t>/</w:t>
      </w:r>
      <w:r>
        <w:rPr/>
        <w:t>信用卡业务保证金：</w:t>
      </w:r>
      <w:r>
        <w:rPr>
          <w:rFonts w:ascii="宋体" w:hAnsi="宋体" w:cs="宋体" w:eastAsia="宋体" w:hint="default"/>
        </w:rPr>
        <w:t>5,106,660.00</w:t>
      </w:r>
      <w:r>
        <w:rPr>
          <w:rFonts w:ascii="宋体" w:hAnsi="宋体" w:cs="宋体" w:eastAsia="宋体" w:hint="default"/>
          <w:spacing w:val="-60"/>
        </w:rPr>
        <w:t> </w:t>
      </w:r>
      <w:r>
        <w:rPr/>
        <w:t>元。</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1"/>
          <w:szCs w:val="11"/>
        </w:rPr>
      </w:pPr>
    </w:p>
    <w:p>
      <w:pPr>
        <w:pStyle w:val="Heading2"/>
        <w:spacing w:line="240" w:lineRule="auto"/>
        <w:ind w:left="140" w:right="5438"/>
        <w:jc w:val="left"/>
        <w:rPr>
          <w:b w:val="0"/>
          <w:bCs w:val="0"/>
        </w:rPr>
      </w:pPr>
      <w:bookmarkStart w:name="五、投资状况分析" w:id="43"/>
      <w:bookmarkEnd w:id="43"/>
      <w:r>
        <w:rPr>
          <w:b w:val="0"/>
          <w:bCs w:val="0"/>
        </w:rPr>
      </w:r>
      <w:r>
        <w:rPr/>
        <w:t>五、投资状况分析</w:t>
      </w:r>
      <w:r>
        <w:rPr>
          <w:b w:val="0"/>
          <w:bCs w:val="0"/>
        </w:rPr>
      </w:r>
    </w:p>
    <w:p>
      <w:pPr>
        <w:spacing w:line="240" w:lineRule="auto" w:before="10"/>
        <w:rPr>
          <w:rFonts w:ascii="宋体" w:hAnsi="宋体" w:cs="宋体" w:eastAsia="宋体" w:hint="default"/>
          <w:b/>
          <w:bCs/>
          <w:sz w:val="24"/>
          <w:szCs w:val="24"/>
        </w:rPr>
      </w:pPr>
    </w:p>
    <w:p>
      <w:pPr>
        <w:spacing w:before="0"/>
        <w:ind w:left="140" w:right="5438" w:firstLine="0"/>
        <w:jc w:val="left"/>
        <w:rPr>
          <w:rFonts w:ascii="宋体" w:hAnsi="宋体" w:cs="宋体" w:eastAsia="宋体" w:hint="default"/>
          <w:sz w:val="21"/>
          <w:szCs w:val="21"/>
        </w:rPr>
      </w:pPr>
      <w:bookmarkStart w:name="1、总体情况" w:id="44"/>
      <w:bookmarkEnd w:id="44"/>
      <w:r>
        <w:rPr/>
      </w:r>
      <w:r>
        <w:rPr>
          <w:rFonts w:ascii="宋体" w:hAnsi="宋体" w:cs="宋体" w:eastAsia="宋体" w:hint="default"/>
          <w:b/>
          <w:bCs/>
          <w:sz w:val="21"/>
          <w:szCs w:val="21"/>
        </w:rPr>
        <w:t>1</w:t>
      </w:r>
      <w:r>
        <w:rPr>
          <w:rFonts w:ascii="宋体" w:hAnsi="宋体" w:cs="宋体" w:eastAsia="宋体" w:hint="default"/>
          <w:b/>
          <w:bCs/>
          <w:sz w:val="21"/>
          <w:szCs w:val="21"/>
        </w:rPr>
        <w:t>、总体情况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20" w:right="5438"/>
        <w:jc w:val="left"/>
      </w:pPr>
      <w:r>
        <w:rPr/>
        <w:t>√ 适用 □ 不适用</w:t>
      </w:r>
    </w:p>
    <w:p>
      <w:pPr>
        <w:spacing w:line="240" w:lineRule="auto" w:before="3"/>
        <w:rPr>
          <w:rFonts w:ascii="宋体" w:hAnsi="宋体" w:cs="宋体" w:eastAsia="宋体"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4670"/>
        <w:gridCol w:w="4673"/>
        <w:gridCol w:w="4672"/>
      </w:tblGrid>
      <w:tr>
        <w:trPr>
          <w:trHeight w:val="402" w:hRule="exact"/>
        </w:trPr>
        <w:tc>
          <w:tcPr>
            <w:tcW w:w="46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19"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4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3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4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4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1,593,154,561.92</w:t>
            </w:r>
          </w:p>
        </w:tc>
        <w:tc>
          <w:tcPr>
            <w:tcW w:w="4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20,000,000.00</w:t>
            </w:r>
          </w:p>
        </w:tc>
        <w:tc>
          <w:tcPr>
            <w:tcW w:w="4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7,865.77%</w:t>
            </w:r>
          </w:p>
        </w:tc>
      </w:tr>
    </w:tbl>
    <w:p>
      <w:pPr>
        <w:spacing w:line="240" w:lineRule="auto" w:before="2"/>
        <w:rPr>
          <w:rFonts w:ascii="宋体" w:hAnsi="宋体" w:cs="宋体" w:eastAsia="宋体" w:hint="default"/>
          <w:sz w:val="19"/>
          <w:szCs w:val="19"/>
        </w:rPr>
      </w:pPr>
    </w:p>
    <w:p>
      <w:pPr>
        <w:spacing w:before="35"/>
        <w:ind w:left="140" w:right="5438" w:firstLine="0"/>
        <w:jc w:val="left"/>
        <w:rPr>
          <w:rFonts w:ascii="宋体" w:hAnsi="宋体" w:cs="宋体" w:eastAsia="宋体" w:hint="default"/>
          <w:sz w:val="21"/>
          <w:szCs w:val="21"/>
        </w:rPr>
      </w:pPr>
      <w:bookmarkStart w:name="2、报告期内获取的重大的股权投资情况" w:id="45"/>
      <w:bookmarkEnd w:id="45"/>
      <w:r>
        <w:rPr/>
      </w:r>
      <w:r>
        <w:rPr>
          <w:rFonts w:ascii="宋体" w:hAnsi="宋体" w:cs="宋体" w:eastAsia="宋体" w:hint="default"/>
          <w:b/>
          <w:bCs/>
          <w:sz w:val="21"/>
          <w:szCs w:val="21"/>
        </w:rPr>
        <w:t>2</w:t>
      </w:r>
      <w:r>
        <w:rPr>
          <w:rFonts w:ascii="宋体" w:hAnsi="宋体" w:cs="宋体" w:eastAsia="宋体" w:hint="default"/>
          <w:b/>
          <w:bCs/>
          <w:sz w:val="21"/>
          <w:szCs w:val="21"/>
        </w:rPr>
        <w:t>、报告期内获取的重大的股权投资情况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20" w:right="5438"/>
        <w:jc w:val="left"/>
      </w:pPr>
      <w:r>
        <w:rPr/>
        <w:t>√ 适用 □ 不适用</w:t>
      </w:r>
    </w:p>
    <w:p>
      <w:pPr>
        <w:spacing w:line="240" w:lineRule="auto" w:before="9"/>
        <w:rPr>
          <w:rFonts w:ascii="宋体" w:hAnsi="宋体" w:cs="宋体" w:eastAsia="宋体" w:hint="default"/>
          <w:sz w:val="13"/>
          <w:szCs w:val="13"/>
        </w:rPr>
      </w:pPr>
    </w:p>
    <w:p>
      <w:pPr>
        <w:spacing w:before="44"/>
        <w:ind w:left="0" w:right="1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826"/>
        <w:gridCol w:w="825"/>
        <w:gridCol w:w="779"/>
        <w:gridCol w:w="1496"/>
        <w:gridCol w:w="779"/>
        <w:gridCol w:w="779"/>
        <w:gridCol w:w="773"/>
        <w:gridCol w:w="768"/>
        <w:gridCol w:w="774"/>
        <w:gridCol w:w="732"/>
        <w:gridCol w:w="1136"/>
        <w:gridCol w:w="886"/>
        <w:gridCol w:w="886"/>
        <w:gridCol w:w="2577"/>
      </w:tblGrid>
      <w:tr>
        <w:trPr>
          <w:trHeight w:val="713" w:hRule="exact"/>
        </w:trPr>
        <w:tc>
          <w:tcPr>
            <w:tcW w:w="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7" w:right="47" w:hanging="90"/>
              <w:jc w:val="left"/>
              <w:rPr>
                <w:rFonts w:ascii="宋体" w:hAnsi="宋体" w:cs="宋体" w:eastAsia="宋体" w:hint="default"/>
                <w:sz w:val="18"/>
                <w:szCs w:val="18"/>
              </w:rPr>
            </w:pPr>
            <w:r>
              <w:rPr>
                <w:rFonts w:ascii="宋体" w:hAnsi="宋体" w:cs="宋体" w:eastAsia="宋体" w:hint="default"/>
                <w:sz w:val="18"/>
                <w:szCs w:val="18"/>
              </w:rPr>
              <w:t>被投资公 司名称</w:t>
            </w:r>
          </w:p>
        </w:tc>
        <w:tc>
          <w:tcPr>
            <w:tcW w:w="8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主要业务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投资方式</w:t>
            </w:r>
          </w:p>
        </w:tc>
        <w:tc>
          <w:tcPr>
            <w:tcW w:w="1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投资金额</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资金来源</w:t>
            </w:r>
          </w:p>
        </w:tc>
        <w:tc>
          <w:tcPr>
            <w:tcW w:w="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合作方</w:t>
            </w:r>
          </w:p>
        </w:tc>
        <w:tc>
          <w:tcPr>
            <w:tcW w:w="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87" w:right="108" w:hanging="180"/>
              <w:jc w:val="left"/>
              <w:rPr>
                <w:rFonts w:ascii="宋体" w:hAnsi="宋体" w:cs="宋体" w:eastAsia="宋体" w:hint="default"/>
                <w:sz w:val="18"/>
                <w:szCs w:val="18"/>
              </w:rPr>
            </w:pPr>
            <w:r>
              <w:rPr>
                <w:rFonts w:ascii="宋体" w:hAnsi="宋体" w:cs="宋体" w:eastAsia="宋体" w:hint="default"/>
                <w:sz w:val="18"/>
                <w:szCs w:val="18"/>
              </w:rPr>
              <w:t>投资期 限</w:t>
            </w:r>
          </w:p>
        </w:tc>
        <w:tc>
          <w:tcPr>
            <w:tcW w:w="7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91" w:right="110" w:hanging="180"/>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69" w:right="90" w:hanging="180"/>
              <w:jc w:val="left"/>
              <w:rPr>
                <w:rFonts w:ascii="宋体" w:hAnsi="宋体" w:cs="宋体" w:eastAsia="宋体" w:hint="default"/>
                <w:sz w:val="18"/>
                <w:szCs w:val="18"/>
              </w:rPr>
            </w:pPr>
            <w:r>
              <w:rPr>
                <w:rFonts w:ascii="宋体" w:hAnsi="宋体" w:cs="宋体" w:eastAsia="宋体" w:hint="default"/>
                <w:sz w:val="18"/>
                <w:szCs w:val="18"/>
              </w:rPr>
              <w:t>预计收 益</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本期投资盈亏</w:t>
            </w:r>
          </w:p>
        </w:tc>
        <w:tc>
          <w:tcPr>
            <w:tcW w:w="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7" w:right="0"/>
              <w:jc w:val="left"/>
              <w:rPr>
                <w:rFonts w:ascii="宋体" w:hAnsi="宋体" w:cs="宋体" w:eastAsia="宋体" w:hint="default"/>
                <w:sz w:val="18"/>
                <w:szCs w:val="18"/>
              </w:rPr>
            </w:pPr>
            <w:r>
              <w:rPr>
                <w:rFonts w:ascii="宋体" w:hAnsi="宋体" w:cs="宋体" w:eastAsia="宋体" w:hint="default"/>
                <w:sz w:val="18"/>
                <w:szCs w:val="18"/>
              </w:rPr>
              <w:t>是否涉诉</w:t>
            </w:r>
          </w:p>
        </w:tc>
        <w:tc>
          <w:tcPr>
            <w:tcW w:w="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 w:right="0"/>
              <w:jc w:val="left"/>
              <w:rPr>
                <w:rFonts w:ascii="宋体" w:hAnsi="宋体" w:cs="宋体" w:eastAsia="宋体" w:hint="default"/>
                <w:sz w:val="18"/>
                <w:szCs w:val="18"/>
              </w:rPr>
            </w:pPr>
            <w:r>
              <w:rPr>
                <w:rFonts w:ascii="宋体" w:hAnsi="宋体" w:cs="宋体" w:eastAsia="宋体" w:hint="default"/>
                <w:sz w:val="18"/>
                <w:szCs w:val="18"/>
              </w:rPr>
              <w:t>披露日期</w:t>
            </w:r>
          </w:p>
          <w:p>
            <w:pPr>
              <w:pStyle w:val="TableParagraph"/>
              <w:spacing w:line="240" w:lineRule="auto" w:before="76"/>
              <w:ind w:left="78" w:right="0"/>
              <w:jc w:val="left"/>
              <w:rPr>
                <w:rFonts w:ascii="宋体" w:hAnsi="宋体" w:cs="宋体" w:eastAsia="宋体" w:hint="default"/>
                <w:sz w:val="18"/>
                <w:szCs w:val="18"/>
              </w:rPr>
            </w:pPr>
            <w:r>
              <w:rPr>
                <w:rFonts w:ascii="宋体" w:hAnsi="宋体" w:cs="宋体" w:eastAsia="宋体" w:hint="default"/>
                <w:sz w:val="18"/>
                <w:szCs w:val="18"/>
              </w:rPr>
              <w:t>（如有）</w:t>
            </w:r>
          </w:p>
        </w:tc>
        <w:tc>
          <w:tcPr>
            <w:tcW w:w="25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披露索引（如有）</w:t>
            </w:r>
          </w:p>
        </w:tc>
      </w:tr>
      <w:tr>
        <w:trPr>
          <w:trHeight w:val="1338" w:hRule="exact"/>
        </w:trPr>
        <w:tc>
          <w:tcPr>
            <w:tcW w:w="8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71"/>
              <w:jc w:val="both"/>
              <w:rPr>
                <w:rFonts w:ascii="宋体" w:hAnsi="宋体" w:cs="宋体" w:eastAsia="宋体" w:hint="default"/>
                <w:sz w:val="18"/>
                <w:szCs w:val="18"/>
              </w:rPr>
            </w:pPr>
            <w:r>
              <w:rPr>
                <w:rFonts w:ascii="宋体" w:hAnsi="宋体" w:cs="宋体" w:eastAsia="宋体" w:hint="default"/>
                <w:sz w:val="18"/>
                <w:szCs w:val="18"/>
              </w:rPr>
              <w:t>上海晨之 科信息技 有限公司</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70"/>
              <w:jc w:val="left"/>
              <w:rPr>
                <w:rFonts w:ascii="宋体" w:hAnsi="宋体" w:cs="宋体" w:eastAsia="宋体" w:hint="default"/>
                <w:sz w:val="18"/>
                <w:szCs w:val="18"/>
              </w:rPr>
            </w:pPr>
            <w:r>
              <w:rPr>
                <w:rFonts w:ascii="宋体" w:hAnsi="宋体" w:cs="宋体" w:eastAsia="宋体" w:hint="default"/>
                <w:sz w:val="18"/>
                <w:szCs w:val="18"/>
              </w:rPr>
              <w:t>游戏运营 及互联网</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sz w:val="18"/>
              </w:rPr>
              <w:t>1,472,600,000.00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91" w:right="0"/>
              <w:jc w:val="center"/>
              <w:rPr>
                <w:rFonts w:ascii="宋体" w:hAnsi="宋体" w:cs="宋体" w:eastAsia="宋体" w:hint="default"/>
                <w:sz w:val="18"/>
                <w:szCs w:val="18"/>
              </w:rPr>
            </w:pPr>
            <w:r>
              <w:rPr>
                <w:rFonts w:ascii="宋体"/>
                <w:sz w:val="18"/>
              </w:rPr>
              <w:t>100.00%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24"/>
              <w:jc w:val="both"/>
              <w:rPr>
                <w:rFonts w:ascii="宋体" w:hAnsi="宋体" w:cs="宋体" w:eastAsia="宋体" w:hint="default"/>
                <w:sz w:val="18"/>
                <w:szCs w:val="18"/>
              </w:rPr>
            </w:pPr>
            <w:r>
              <w:rPr>
                <w:rFonts w:ascii="宋体" w:hAnsi="宋体" w:cs="宋体" w:eastAsia="宋体" w:hint="default"/>
                <w:sz w:val="18"/>
                <w:szCs w:val="18"/>
              </w:rPr>
              <w:t>发行股票 与募集资 金</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198"/>
              <w:jc w:val="left"/>
              <w:rPr>
                <w:rFonts w:ascii="宋体" w:hAnsi="宋体" w:cs="宋体" w:eastAsia="宋体" w:hint="default"/>
                <w:sz w:val="18"/>
                <w:szCs w:val="18"/>
              </w:rPr>
            </w:pPr>
            <w:r>
              <w:rPr>
                <w:rFonts w:ascii="宋体" w:hAnsi="宋体" w:cs="宋体" w:eastAsia="宋体" w:hint="default"/>
                <w:sz w:val="18"/>
                <w:szCs w:val="18"/>
              </w:rPr>
              <w:t>朱明等 原股东</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3"/>
              <w:jc w:val="right"/>
              <w:rPr>
                <w:rFonts w:ascii="宋体" w:hAnsi="宋体" w:cs="宋体" w:eastAsia="宋体" w:hint="default"/>
                <w:sz w:val="18"/>
                <w:szCs w:val="18"/>
              </w:rPr>
            </w:pPr>
            <w:r>
              <w:rPr>
                <w:rFonts w:ascii="宋体"/>
                <w:sz w:val="18"/>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3"/>
              <w:jc w:val="right"/>
              <w:rPr>
                <w:rFonts w:ascii="宋体" w:hAnsi="宋体" w:cs="宋体" w:eastAsia="宋体" w:hint="default"/>
                <w:sz w:val="18"/>
                <w:szCs w:val="18"/>
              </w:rPr>
            </w:pPr>
            <w:r>
              <w:rPr>
                <w:rFonts w:ascii="宋体"/>
                <w:sz w:val="18"/>
              </w:rPr>
              <w:t>2,579,721.14</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03</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5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20"/>
              <w:jc w:val="left"/>
              <w:rPr>
                <w:rFonts w:ascii="宋体" w:hAnsi="宋体" w:cs="宋体" w:eastAsia="宋体" w:hint="default"/>
                <w:sz w:val="18"/>
                <w:szCs w:val="18"/>
              </w:rPr>
            </w:pPr>
            <w:r>
              <w:rPr>
                <w:rFonts w:ascii="宋体" w:hAnsi="宋体" w:cs="宋体" w:eastAsia="宋体" w:hint="default"/>
                <w:sz w:val="18"/>
                <w:szCs w:val="18"/>
              </w:rPr>
              <w:t>关于发行股份及支付现金购买资 产暨关联交易之标的资产过户完 成的公告 （公告 编号： </w:t>
            </w:r>
            <w:r>
              <w:rPr>
                <w:rFonts w:ascii="宋体" w:hAnsi="宋体" w:cs="宋体" w:eastAsia="宋体" w:hint="default"/>
                <w:sz w:val="18"/>
                <w:szCs w:val="18"/>
              </w:rPr>
              <w:t>2018201820182018-020020020</w:t>
            </w:r>
            <w:r>
              <w:rPr>
                <w:rFonts w:ascii="宋体" w:hAnsi="宋体" w:cs="宋体" w:eastAsia="宋体" w:hint="default"/>
                <w:sz w:val="18"/>
                <w:szCs w:val="18"/>
              </w:rPr>
              <w:t>）</w:t>
            </w:r>
          </w:p>
        </w:tc>
      </w:tr>
      <w:tr>
        <w:trPr>
          <w:trHeight w:val="404" w:hRule="exact"/>
        </w:trPr>
        <w:tc>
          <w:tcPr>
            <w:tcW w:w="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sz w:val="18"/>
              </w:rPr>
              <w:t>--</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sz w:val="18"/>
              </w:rPr>
              <w:t>--</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1,472,600,000.00</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sz w:val="18"/>
              </w:rPr>
              <w:t>--</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sz w:val="18"/>
              </w:rPr>
              <w:t>--</w:t>
            </w:r>
          </w:p>
        </w:tc>
        <w:tc>
          <w:tcPr>
            <w:tcW w:w="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7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sz w:val="18"/>
              </w:rPr>
              <w:t>--</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0.00</w:t>
            </w:r>
          </w:p>
        </w:tc>
        <w:tc>
          <w:tcPr>
            <w:tcW w:w="11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2"/>
              <w:ind w:right="15"/>
              <w:jc w:val="right"/>
              <w:rPr>
                <w:rFonts w:ascii="宋体" w:hAnsi="宋体" w:cs="宋体" w:eastAsia="宋体" w:hint="default"/>
                <w:sz w:val="18"/>
                <w:szCs w:val="18"/>
              </w:rPr>
            </w:pPr>
            <w:r>
              <w:rPr>
                <w:rFonts w:ascii="宋体"/>
                <w:sz w:val="18"/>
              </w:rPr>
              <w:t>2,579,721.14</w:t>
            </w:r>
          </w:p>
        </w:tc>
        <w:tc>
          <w:tcPr>
            <w:tcW w:w="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25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sz w:val="18"/>
              </w:rPr>
              <w:t>--</w:t>
            </w:r>
          </w:p>
        </w:tc>
      </w:tr>
    </w:tbl>
    <w:p>
      <w:pPr>
        <w:spacing w:line="240" w:lineRule="auto" w:before="2"/>
        <w:rPr>
          <w:rFonts w:ascii="宋体" w:hAnsi="宋体" w:cs="宋体" w:eastAsia="宋体" w:hint="default"/>
          <w:sz w:val="19"/>
          <w:szCs w:val="19"/>
        </w:rPr>
      </w:pPr>
    </w:p>
    <w:p>
      <w:pPr>
        <w:spacing w:before="35"/>
        <w:ind w:left="140" w:right="5438" w:firstLine="0"/>
        <w:jc w:val="left"/>
        <w:rPr>
          <w:rFonts w:ascii="宋体" w:hAnsi="宋体" w:cs="宋体" w:eastAsia="宋体" w:hint="default"/>
          <w:sz w:val="21"/>
          <w:szCs w:val="21"/>
        </w:rPr>
      </w:pPr>
      <w:bookmarkStart w:name="3、报告期内正在进行的重大的非股权投资情况" w:id="46"/>
      <w:bookmarkEnd w:id="46"/>
      <w:r>
        <w:rPr/>
      </w:r>
      <w:r>
        <w:rPr>
          <w:rFonts w:ascii="宋体" w:hAnsi="宋体" w:cs="宋体" w:eastAsia="宋体" w:hint="default"/>
          <w:b/>
          <w:bCs/>
          <w:sz w:val="21"/>
          <w:szCs w:val="21"/>
        </w:rPr>
        <w:t>3</w:t>
      </w:r>
      <w:r>
        <w:rPr>
          <w:rFonts w:ascii="宋体" w:hAnsi="宋体" w:cs="宋体" w:eastAsia="宋体" w:hint="default"/>
          <w:b/>
          <w:bCs/>
          <w:sz w:val="21"/>
          <w:szCs w:val="21"/>
        </w:rPr>
        <w:t>、报告期内正在进行的重大的非股权投资情况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20" w:right="5438"/>
        <w:jc w:val="left"/>
      </w:pPr>
      <w:r>
        <w:rPr/>
        <w:t>□ 适用 √ 不适用</w:t>
      </w:r>
    </w:p>
    <w:p>
      <w:pPr>
        <w:spacing w:after="0" w:line="240" w:lineRule="auto"/>
        <w:jc w:val="left"/>
        <w:sectPr>
          <w:headerReference w:type="default" r:id="rId19"/>
          <w:footerReference w:type="default" r:id="rId20"/>
          <w:pgSz w:w="16840" w:h="11910" w:orient="landscape"/>
          <w:pgMar w:header="867" w:footer="979" w:top="1060" w:bottom="1160" w:left="1300" w:right="1300"/>
          <w:pgNumType w:start="35"/>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before="0"/>
        <w:ind w:left="120" w:right="11231" w:firstLine="0"/>
        <w:jc w:val="center"/>
        <w:rPr>
          <w:rFonts w:ascii="宋体" w:hAnsi="宋体" w:cs="宋体" w:eastAsia="宋体" w:hint="default"/>
          <w:sz w:val="21"/>
          <w:szCs w:val="21"/>
        </w:rPr>
      </w:pPr>
      <w:bookmarkStart w:name="4、以公允价值计量的金融资产" w:id="47"/>
      <w:bookmarkEnd w:id="47"/>
      <w:r>
        <w:rPr/>
      </w:r>
      <w:r>
        <w:rPr>
          <w:rFonts w:ascii="宋体" w:hAnsi="宋体" w:cs="宋体" w:eastAsia="宋体" w:hint="default"/>
          <w:b/>
          <w:bCs/>
          <w:sz w:val="21"/>
          <w:szCs w:val="21"/>
        </w:rPr>
        <w:t>4</w:t>
      </w:r>
      <w:r>
        <w:rPr>
          <w:rFonts w:ascii="宋体" w:hAnsi="宋体" w:cs="宋体" w:eastAsia="宋体" w:hint="default"/>
          <w:b/>
          <w:bCs/>
          <w:sz w:val="21"/>
          <w:szCs w:val="21"/>
        </w:rPr>
        <w:t>、以公允价值计量的金融资产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20" w:right="11077"/>
        <w:jc w:val="center"/>
      </w:pPr>
      <w:r>
        <w:rPr/>
        <w:t>√ 适用 □ 不适用</w:t>
      </w:r>
    </w:p>
    <w:p>
      <w:pPr>
        <w:spacing w:line="240" w:lineRule="auto" w:before="9"/>
        <w:rPr>
          <w:rFonts w:ascii="宋体" w:hAnsi="宋体" w:cs="宋体" w:eastAsia="宋体" w:hint="default"/>
          <w:sz w:val="13"/>
          <w:szCs w:val="13"/>
        </w:rPr>
      </w:pPr>
    </w:p>
    <w:p>
      <w:pPr>
        <w:spacing w:before="44"/>
        <w:ind w:left="0" w:right="1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2033"/>
        <w:gridCol w:w="1915"/>
        <w:gridCol w:w="2075"/>
        <w:gridCol w:w="2078"/>
        <w:gridCol w:w="829"/>
        <w:gridCol w:w="623"/>
        <w:gridCol w:w="622"/>
        <w:gridCol w:w="2077"/>
        <w:gridCol w:w="1763"/>
      </w:tblGrid>
      <w:tr>
        <w:trPr>
          <w:trHeight w:val="1026" w:hRule="exact"/>
        </w:trPr>
        <w:tc>
          <w:tcPr>
            <w:tcW w:w="20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651"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11" w:right="0"/>
              <w:jc w:val="left"/>
              <w:rPr>
                <w:rFonts w:ascii="宋体" w:hAnsi="宋体" w:cs="宋体" w:eastAsia="宋体" w:hint="default"/>
                <w:sz w:val="18"/>
                <w:szCs w:val="18"/>
              </w:rPr>
            </w:pPr>
            <w:r>
              <w:rPr>
                <w:rFonts w:ascii="宋体" w:hAnsi="宋体" w:cs="宋体" w:eastAsia="宋体" w:hint="default"/>
                <w:sz w:val="18"/>
                <w:szCs w:val="18"/>
              </w:rPr>
              <w:t>初始投资成本</w:t>
            </w:r>
          </w:p>
        </w:tc>
        <w:tc>
          <w:tcPr>
            <w:tcW w:w="20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1" w:right="0"/>
              <w:jc w:val="left"/>
              <w:rPr>
                <w:rFonts w:ascii="宋体" w:hAnsi="宋体" w:cs="宋体" w:eastAsia="宋体" w:hint="default"/>
                <w:sz w:val="18"/>
                <w:szCs w:val="18"/>
              </w:rPr>
            </w:pPr>
            <w:r>
              <w:rPr>
                <w:rFonts w:ascii="宋体" w:hAnsi="宋体" w:cs="宋体" w:eastAsia="宋体" w:hint="default"/>
                <w:sz w:val="18"/>
                <w:szCs w:val="18"/>
              </w:rPr>
              <w:t>本期公允价值变动损益</w:t>
            </w:r>
          </w:p>
        </w:tc>
        <w:tc>
          <w:tcPr>
            <w:tcW w:w="20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53" w:right="42" w:hanging="810"/>
              <w:jc w:val="left"/>
              <w:rPr>
                <w:rFonts w:ascii="宋体" w:hAnsi="宋体" w:cs="宋体" w:eastAsia="宋体" w:hint="default"/>
                <w:sz w:val="18"/>
                <w:szCs w:val="18"/>
              </w:rPr>
            </w:pPr>
            <w:r>
              <w:rPr>
                <w:rFonts w:ascii="宋体" w:hAnsi="宋体" w:cs="宋体" w:eastAsia="宋体" w:hint="default"/>
                <w:sz w:val="18"/>
                <w:szCs w:val="18"/>
              </w:rPr>
              <w:t>计入权益的累计公允价值 变动</w:t>
            </w:r>
          </w:p>
        </w:tc>
        <w:tc>
          <w:tcPr>
            <w:tcW w:w="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9" w:right="48"/>
              <w:jc w:val="left"/>
              <w:rPr>
                <w:rFonts w:ascii="宋体" w:hAnsi="宋体" w:cs="宋体" w:eastAsia="宋体" w:hint="default"/>
                <w:sz w:val="18"/>
                <w:szCs w:val="18"/>
              </w:rPr>
            </w:pPr>
            <w:r>
              <w:rPr>
                <w:rFonts w:ascii="宋体" w:hAnsi="宋体" w:cs="宋体" w:eastAsia="宋体" w:hint="default"/>
                <w:sz w:val="18"/>
                <w:szCs w:val="18"/>
              </w:rPr>
              <w:t>报告期内 购入金额</w:t>
            </w:r>
          </w:p>
        </w:tc>
        <w:tc>
          <w:tcPr>
            <w:tcW w:w="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7" w:right="35"/>
              <w:jc w:val="both"/>
              <w:rPr>
                <w:rFonts w:ascii="宋体" w:hAnsi="宋体" w:cs="宋体" w:eastAsia="宋体" w:hint="default"/>
                <w:sz w:val="18"/>
                <w:szCs w:val="18"/>
              </w:rPr>
            </w:pPr>
            <w:r>
              <w:rPr>
                <w:rFonts w:ascii="宋体" w:hAnsi="宋体" w:cs="宋体" w:eastAsia="宋体" w:hint="default"/>
                <w:sz w:val="18"/>
                <w:szCs w:val="18"/>
              </w:rPr>
              <w:t>报告期 内售出 金额</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累计投 资收益</w:t>
            </w:r>
          </w:p>
        </w:tc>
        <w:tc>
          <w:tcPr>
            <w:tcW w:w="20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673"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516" w:right="0"/>
              <w:jc w:val="left"/>
              <w:rPr>
                <w:rFonts w:ascii="宋体" w:hAnsi="宋体" w:cs="宋体" w:eastAsia="宋体" w:hint="default"/>
                <w:sz w:val="18"/>
                <w:szCs w:val="18"/>
              </w:rPr>
            </w:pPr>
            <w:r>
              <w:rPr>
                <w:rFonts w:ascii="宋体" w:hAnsi="宋体" w:cs="宋体" w:eastAsia="宋体" w:hint="default"/>
                <w:sz w:val="18"/>
                <w:szCs w:val="18"/>
              </w:rPr>
              <w:t>资金来源</w:t>
            </w:r>
          </w:p>
        </w:tc>
      </w:tr>
      <w:tr>
        <w:trPr>
          <w:trHeight w:val="402" w:hRule="exact"/>
        </w:trPr>
        <w:tc>
          <w:tcPr>
            <w:tcW w:w="2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股票</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70,629,300.00</w:t>
            </w:r>
          </w:p>
        </w:tc>
        <w:tc>
          <w:tcPr>
            <w:tcW w:w="2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-20,183,543.01</w:t>
            </w:r>
          </w:p>
        </w:tc>
        <w:tc>
          <w:tcPr>
            <w:tcW w:w="829"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2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50,445,756.99</w:t>
            </w:r>
          </w:p>
        </w:tc>
        <w:tc>
          <w:tcPr>
            <w:tcW w:w="1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r>
      <w:tr>
        <w:trPr>
          <w:trHeight w:val="402" w:hRule="exact"/>
        </w:trPr>
        <w:tc>
          <w:tcPr>
            <w:tcW w:w="2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金融衍生工具</w:t>
            </w:r>
          </w:p>
        </w:tc>
        <w:tc>
          <w:tcPr>
            <w:tcW w:w="1915" w:type="dxa"/>
            <w:tcBorders>
              <w:top w:val="single" w:sz="4" w:space="0" w:color="000000"/>
              <w:left w:val="single" w:sz="4" w:space="0" w:color="000000"/>
              <w:bottom w:val="single" w:sz="4" w:space="0" w:color="000000"/>
              <w:right w:val="single" w:sz="4" w:space="0" w:color="000000"/>
            </w:tcBorders>
          </w:tcPr>
          <w:p>
            <w:pPr/>
          </w:p>
        </w:tc>
        <w:tc>
          <w:tcPr>
            <w:tcW w:w="2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216,395,000.00</w:t>
            </w:r>
          </w:p>
        </w:tc>
        <w:tc>
          <w:tcPr>
            <w:tcW w:w="2078" w:type="dxa"/>
            <w:tcBorders>
              <w:top w:val="single" w:sz="4" w:space="0" w:color="000000"/>
              <w:left w:val="single" w:sz="4" w:space="0" w:color="000000"/>
              <w:bottom w:val="single" w:sz="4" w:space="0" w:color="000000"/>
              <w:right w:val="single" w:sz="4" w:space="0" w:color="000000"/>
            </w:tcBorders>
          </w:tcPr>
          <w:p>
            <w:pPr/>
          </w:p>
        </w:tc>
        <w:tc>
          <w:tcPr>
            <w:tcW w:w="829"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2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216,395,000.00</w:t>
            </w:r>
          </w:p>
        </w:tc>
        <w:tc>
          <w:tcPr>
            <w:tcW w:w="1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股票业绩补偿</w:t>
            </w:r>
          </w:p>
        </w:tc>
      </w:tr>
      <w:tr>
        <w:trPr>
          <w:trHeight w:val="402" w:hRule="exact"/>
        </w:trPr>
        <w:tc>
          <w:tcPr>
            <w:tcW w:w="20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70,629,300.00</w:t>
            </w:r>
          </w:p>
        </w:tc>
        <w:tc>
          <w:tcPr>
            <w:tcW w:w="2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216,395,000.00</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-20,183,543.01</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36" w:right="0"/>
              <w:jc w:val="left"/>
              <w:rPr>
                <w:rFonts w:ascii="宋体" w:hAnsi="宋体" w:cs="宋体" w:eastAsia="宋体" w:hint="default"/>
                <w:sz w:val="18"/>
                <w:szCs w:val="18"/>
              </w:rPr>
            </w:pPr>
            <w:r>
              <w:rPr>
                <w:rFonts w:ascii="宋体"/>
                <w:sz w:val="18"/>
              </w:rPr>
              <w:t>0.00</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0" w:right="0"/>
              <w:jc w:val="left"/>
              <w:rPr>
                <w:rFonts w:ascii="宋体" w:hAnsi="宋体" w:cs="宋体" w:eastAsia="宋体" w:hint="default"/>
                <w:sz w:val="18"/>
                <w:szCs w:val="18"/>
              </w:rPr>
            </w:pPr>
            <w:r>
              <w:rPr>
                <w:rFonts w:ascii="宋体"/>
                <w:sz w:val="18"/>
              </w:rPr>
              <w:t>0.00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9" w:right="0"/>
              <w:jc w:val="left"/>
              <w:rPr>
                <w:rFonts w:ascii="宋体" w:hAnsi="宋体" w:cs="宋体" w:eastAsia="宋体" w:hint="default"/>
                <w:sz w:val="18"/>
                <w:szCs w:val="18"/>
              </w:rPr>
            </w:pPr>
            <w:r>
              <w:rPr>
                <w:rFonts w:ascii="宋体"/>
                <w:sz w:val="18"/>
              </w:rPr>
              <w:t>0.00</w:t>
            </w:r>
          </w:p>
        </w:tc>
        <w:tc>
          <w:tcPr>
            <w:tcW w:w="2077"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right="15"/>
              <w:jc w:val="right"/>
              <w:rPr>
                <w:rFonts w:ascii="宋体" w:hAnsi="宋体" w:cs="宋体" w:eastAsia="宋体" w:hint="default"/>
                <w:sz w:val="18"/>
                <w:szCs w:val="18"/>
              </w:rPr>
            </w:pPr>
            <w:r>
              <w:rPr>
                <w:rFonts w:ascii="宋体"/>
                <w:sz w:val="18"/>
              </w:rPr>
              <w:t>266,840,756.99</w:t>
            </w:r>
          </w:p>
        </w:tc>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r>
    </w:tbl>
    <w:p>
      <w:pPr>
        <w:spacing w:line="240" w:lineRule="auto" w:before="2"/>
        <w:rPr>
          <w:rFonts w:ascii="宋体" w:hAnsi="宋体" w:cs="宋体" w:eastAsia="宋体" w:hint="default"/>
          <w:sz w:val="19"/>
          <w:szCs w:val="19"/>
        </w:rPr>
      </w:pPr>
    </w:p>
    <w:p>
      <w:pPr>
        <w:spacing w:before="35"/>
        <w:ind w:left="140" w:right="5438" w:firstLine="0"/>
        <w:jc w:val="left"/>
        <w:rPr>
          <w:rFonts w:ascii="宋体" w:hAnsi="宋体" w:cs="宋体" w:eastAsia="宋体" w:hint="default"/>
          <w:sz w:val="21"/>
          <w:szCs w:val="21"/>
        </w:rPr>
      </w:pPr>
      <w:bookmarkStart w:name="5、募集资金使用情况" w:id="48"/>
      <w:bookmarkEnd w:id="48"/>
      <w:r>
        <w:rPr/>
      </w:r>
      <w:r>
        <w:rPr>
          <w:rFonts w:ascii="宋体" w:hAnsi="宋体" w:cs="宋体" w:eastAsia="宋体" w:hint="default"/>
          <w:b/>
          <w:bCs/>
          <w:sz w:val="21"/>
          <w:szCs w:val="21"/>
        </w:rPr>
        <w:t>5</w:t>
      </w:r>
      <w:r>
        <w:rPr>
          <w:rFonts w:ascii="宋体" w:hAnsi="宋体" w:cs="宋体" w:eastAsia="宋体" w:hint="default"/>
          <w:b/>
          <w:bCs/>
          <w:sz w:val="21"/>
          <w:szCs w:val="21"/>
        </w:rPr>
        <w:t>、募集资金使用情况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20" w:right="5438"/>
        <w:jc w:val="left"/>
      </w:pPr>
      <w:r>
        <w:rPr/>
        <w:t>√ 适用 □ 不适用</w:t>
      </w:r>
    </w:p>
    <w:p>
      <w:pPr>
        <w:spacing w:line="240" w:lineRule="auto" w:before="5"/>
        <w:rPr>
          <w:rFonts w:ascii="宋体" w:hAnsi="宋体" w:cs="宋体" w:eastAsia="宋体" w:hint="default"/>
          <w:sz w:val="30"/>
          <w:szCs w:val="30"/>
        </w:rPr>
      </w:pPr>
    </w:p>
    <w:p>
      <w:pPr>
        <w:spacing w:before="0"/>
        <w:ind w:left="140" w:right="5438" w:firstLine="0"/>
        <w:jc w:val="left"/>
        <w:rPr>
          <w:rFonts w:ascii="宋体" w:hAnsi="宋体" w:cs="宋体" w:eastAsia="宋体" w:hint="default"/>
          <w:sz w:val="21"/>
          <w:szCs w:val="21"/>
        </w:rPr>
      </w:pPr>
      <w:bookmarkStart w:name="（1）募集资金总体使用情况" w:id="49"/>
      <w:bookmarkEnd w:id="49"/>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）募集资金总体使用情况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20" w:right="5438"/>
        <w:jc w:val="left"/>
      </w:pPr>
      <w:r>
        <w:rPr/>
        <w:t>√ 适用 □ 不适用</w:t>
      </w:r>
    </w:p>
    <w:p>
      <w:pPr>
        <w:spacing w:line="240" w:lineRule="auto" w:before="11"/>
        <w:rPr>
          <w:rFonts w:ascii="宋体" w:hAnsi="宋体" w:cs="宋体" w:eastAsia="宋体" w:hint="default"/>
          <w:sz w:val="13"/>
          <w:szCs w:val="13"/>
        </w:rPr>
      </w:pPr>
    </w:p>
    <w:p>
      <w:pPr>
        <w:spacing w:before="44"/>
        <w:ind w:left="0" w:right="13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1267"/>
        <w:gridCol w:w="1277"/>
        <w:gridCol w:w="1276"/>
        <w:gridCol w:w="1276"/>
        <w:gridCol w:w="1274"/>
        <w:gridCol w:w="1272"/>
        <w:gridCol w:w="1276"/>
        <w:gridCol w:w="1274"/>
        <w:gridCol w:w="1276"/>
        <w:gridCol w:w="1275"/>
        <w:gridCol w:w="1272"/>
      </w:tblGrid>
      <w:tr>
        <w:trPr>
          <w:trHeight w:val="1026" w:hRule="exact"/>
        </w:trPr>
        <w:tc>
          <w:tcPr>
            <w:tcW w:w="1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68"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73" w:right="0"/>
              <w:jc w:val="left"/>
              <w:rPr>
                <w:rFonts w:ascii="宋体" w:hAnsi="宋体" w:cs="宋体" w:eastAsia="宋体" w:hint="default"/>
                <w:sz w:val="18"/>
                <w:szCs w:val="18"/>
              </w:rPr>
            </w:pPr>
            <w:r>
              <w:rPr>
                <w:rFonts w:ascii="宋体" w:hAnsi="宋体" w:cs="宋体" w:eastAsia="宋体" w:hint="default"/>
                <w:sz w:val="18"/>
                <w:szCs w:val="18"/>
              </w:rPr>
              <w:t>募集方式</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2"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91" w:hanging="90"/>
              <w:jc w:val="left"/>
              <w:rPr>
                <w:rFonts w:ascii="宋体" w:hAnsi="宋体" w:cs="宋体" w:eastAsia="宋体" w:hint="default"/>
                <w:sz w:val="18"/>
                <w:szCs w:val="18"/>
              </w:rPr>
            </w:pPr>
            <w:r>
              <w:rPr>
                <w:rFonts w:ascii="宋体" w:hAnsi="宋体" w:cs="宋体" w:eastAsia="宋体" w:hint="default"/>
                <w:sz w:val="18"/>
                <w:szCs w:val="18"/>
              </w:rPr>
              <w:t>本期已使用募 集资金总额</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90" w:hanging="90"/>
              <w:jc w:val="left"/>
              <w:rPr>
                <w:rFonts w:ascii="宋体" w:hAnsi="宋体" w:cs="宋体" w:eastAsia="宋体" w:hint="default"/>
                <w:sz w:val="18"/>
                <w:szCs w:val="18"/>
              </w:rPr>
            </w:pPr>
            <w:r>
              <w:rPr>
                <w:rFonts w:ascii="宋体" w:hAnsi="宋体" w:cs="宋体" w:eastAsia="宋体" w:hint="default"/>
                <w:sz w:val="18"/>
                <w:szCs w:val="18"/>
              </w:rPr>
              <w:t>已累计使用募 集资金总额</w:t>
            </w:r>
          </w:p>
        </w:tc>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0" w:right="90"/>
              <w:jc w:val="center"/>
              <w:rPr>
                <w:rFonts w:ascii="宋体" w:hAnsi="宋体" w:cs="宋体" w:eastAsia="宋体" w:hint="default"/>
                <w:sz w:val="18"/>
                <w:szCs w:val="18"/>
              </w:rPr>
            </w:pPr>
            <w:r>
              <w:rPr>
                <w:rFonts w:ascii="宋体" w:hAnsi="宋体" w:cs="宋体" w:eastAsia="宋体" w:hint="default"/>
                <w:sz w:val="18"/>
                <w:szCs w:val="18"/>
              </w:rPr>
              <w:t>报告期内变更 用途的募集资 金总额</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1"/>
              <w:jc w:val="center"/>
              <w:rPr>
                <w:rFonts w:ascii="宋体" w:hAnsi="宋体" w:cs="宋体" w:eastAsia="宋体" w:hint="default"/>
                <w:sz w:val="18"/>
                <w:szCs w:val="18"/>
              </w:rPr>
            </w:pPr>
            <w:r>
              <w:rPr>
                <w:rFonts w:ascii="宋体" w:hAnsi="宋体" w:cs="宋体" w:eastAsia="宋体" w:hint="default"/>
                <w:sz w:val="18"/>
                <w:szCs w:val="18"/>
              </w:rPr>
              <w:t>累计变更用途 的募集资金总 额</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0"/>
              <w:jc w:val="center"/>
              <w:rPr>
                <w:rFonts w:ascii="宋体" w:hAnsi="宋体" w:cs="宋体" w:eastAsia="宋体" w:hint="default"/>
                <w:sz w:val="18"/>
                <w:szCs w:val="18"/>
              </w:rPr>
            </w:pPr>
            <w:r>
              <w:rPr>
                <w:rFonts w:ascii="宋体" w:hAnsi="宋体" w:cs="宋体" w:eastAsia="宋体" w:hint="default"/>
                <w:sz w:val="18"/>
                <w:szCs w:val="18"/>
              </w:rPr>
              <w:t>累计变更用途 的募集资金总 额比例</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72" w:right="91" w:hanging="180"/>
              <w:jc w:val="left"/>
              <w:rPr>
                <w:rFonts w:ascii="宋体" w:hAnsi="宋体" w:cs="宋体" w:eastAsia="宋体" w:hint="default"/>
                <w:sz w:val="18"/>
                <w:szCs w:val="18"/>
              </w:rPr>
            </w:pPr>
            <w:r>
              <w:rPr>
                <w:rFonts w:ascii="宋体" w:hAnsi="宋体" w:cs="宋体" w:eastAsia="宋体" w:hint="default"/>
                <w:sz w:val="18"/>
                <w:szCs w:val="18"/>
              </w:rPr>
              <w:t>尚未使用募集 资金总额</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0"/>
              <w:jc w:val="center"/>
              <w:rPr>
                <w:rFonts w:ascii="宋体" w:hAnsi="宋体" w:cs="宋体" w:eastAsia="宋体" w:hint="default"/>
                <w:sz w:val="18"/>
                <w:szCs w:val="18"/>
              </w:rPr>
            </w:pPr>
            <w:r>
              <w:rPr>
                <w:rFonts w:ascii="宋体" w:hAnsi="宋体" w:cs="宋体" w:eastAsia="宋体" w:hint="default"/>
                <w:sz w:val="18"/>
                <w:szCs w:val="18"/>
              </w:rPr>
              <w:t>尚未使用募集 资金用途及去 向</w:t>
            </w:r>
          </w:p>
        </w:tc>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89" w:right="90"/>
              <w:jc w:val="left"/>
              <w:rPr>
                <w:rFonts w:ascii="宋体" w:hAnsi="宋体" w:cs="宋体" w:eastAsia="宋体" w:hint="default"/>
                <w:sz w:val="18"/>
                <w:szCs w:val="18"/>
              </w:rPr>
            </w:pPr>
            <w:r>
              <w:rPr>
                <w:rFonts w:ascii="宋体" w:hAnsi="宋体" w:cs="宋体" w:eastAsia="宋体" w:hint="default"/>
                <w:sz w:val="18"/>
                <w:szCs w:val="18"/>
              </w:rPr>
              <w:t>闲置两年以上 募集资金金额</w:t>
            </w:r>
          </w:p>
        </w:tc>
      </w:tr>
      <w:tr>
        <w:trPr>
          <w:trHeight w:val="1338" w:hRule="exact"/>
        </w:trPr>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3" w:right="161"/>
              <w:jc w:val="left"/>
              <w:rPr>
                <w:rFonts w:ascii="宋体" w:hAnsi="宋体" w:cs="宋体" w:eastAsia="宋体" w:hint="default"/>
                <w:sz w:val="18"/>
                <w:szCs w:val="18"/>
              </w:rPr>
            </w:pPr>
            <w:r>
              <w:rPr>
                <w:rFonts w:ascii="宋体" w:hAnsi="宋体" w:cs="宋体" w:eastAsia="宋体" w:hint="default"/>
                <w:sz w:val="18"/>
                <w:szCs w:val="18"/>
              </w:rPr>
              <w:t>非公开发行股 票</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43" w:right="0"/>
              <w:jc w:val="left"/>
              <w:rPr>
                <w:rFonts w:ascii="宋体" w:hAnsi="宋体" w:cs="宋体" w:eastAsia="宋体" w:hint="default"/>
                <w:sz w:val="18"/>
                <w:szCs w:val="18"/>
              </w:rPr>
            </w:pPr>
            <w:r>
              <w:rPr>
                <w:rFonts w:ascii="宋体"/>
                <w:sz w:val="18"/>
              </w:rPr>
              <w:t>195,269.31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32" w:right="0"/>
              <w:jc w:val="left"/>
              <w:rPr>
                <w:rFonts w:ascii="宋体" w:hAnsi="宋体" w:cs="宋体" w:eastAsia="宋体" w:hint="default"/>
                <w:sz w:val="18"/>
                <w:szCs w:val="18"/>
              </w:rPr>
            </w:pPr>
            <w:r>
              <w:rPr>
                <w:rFonts w:ascii="宋体"/>
                <w:sz w:val="18"/>
              </w:rPr>
              <w:t>58,825.29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32" w:right="0"/>
              <w:jc w:val="left"/>
              <w:rPr>
                <w:rFonts w:ascii="宋体" w:hAnsi="宋体" w:cs="宋体" w:eastAsia="宋体" w:hint="default"/>
                <w:sz w:val="18"/>
                <w:szCs w:val="18"/>
              </w:rPr>
            </w:pPr>
            <w:r>
              <w:rPr>
                <w:rFonts w:ascii="宋体"/>
                <w:sz w:val="18"/>
              </w:rPr>
              <w:t>157,329.8</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28" w:right="0"/>
              <w:jc w:val="left"/>
              <w:rPr>
                <w:rFonts w:ascii="宋体" w:hAnsi="宋体" w:cs="宋体" w:eastAsia="宋体" w:hint="default"/>
                <w:sz w:val="18"/>
                <w:szCs w:val="18"/>
              </w:rPr>
            </w:pPr>
            <w:r>
              <w:rPr>
                <w:rFonts w:ascii="宋体"/>
                <w:sz w:val="18"/>
              </w:rPr>
              <w:t>44,956.03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32" w:right="0"/>
              <w:jc w:val="left"/>
              <w:rPr>
                <w:rFonts w:ascii="宋体" w:hAnsi="宋体" w:cs="宋体" w:eastAsia="宋体" w:hint="default"/>
                <w:sz w:val="18"/>
                <w:szCs w:val="18"/>
              </w:rPr>
            </w:pPr>
            <w:r>
              <w:rPr>
                <w:rFonts w:ascii="宋体"/>
                <w:sz w:val="18"/>
              </w:rPr>
              <w:t>44,956.03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701" w:right="0"/>
              <w:jc w:val="left"/>
              <w:rPr>
                <w:rFonts w:ascii="宋体" w:hAnsi="宋体" w:cs="宋体" w:eastAsia="宋体" w:hint="default"/>
                <w:sz w:val="18"/>
                <w:szCs w:val="18"/>
              </w:rPr>
            </w:pPr>
            <w:r>
              <w:rPr>
                <w:rFonts w:ascii="宋体"/>
                <w:sz w:val="18"/>
              </w:rPr>
              <w:t>23.02%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522" w:right="0"/>
              <w:jc w:val="left"/>
              <w:rPr>
                <w:rFonts w:ascii="宋体" w:hAnsi="宋体" w:cs="宋体" w:eastAsia="宋体" w:hint="default"/>
                <w:sz w:val="18"/>
                <w:szCs w:val="18"/>
              </w:rPr>
            </w:pPr>
            <w:r>
              <w:rPr>
                <w:rFonts w:ascii="宋体"/>
                <w:sz w:val="18"/>
              </w:rPr>
              <w:t>40,134.7</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7"/>
              <w:jc w:val="left"/>
              <w:rPr>
                <w:rFonts w:ascii="宋体" w:hAnsi="宋体" w:cs="宋体" w:eastAsia="宋体" w:hint="default"/>
                <w:sz w:val="18"/>
                <w:szCs w:val="18"/>
              </w:rPr>
            </w:pPr>
            <w:r>
              <w:rPr>
                <w:rFonts w:ascii="宋体" w:hAnsi="宋体" w:cs="宋体" w:eastAsia="宋体" w:hint="default"/>
                <w:sz w:val="18"/>
                <w:szCs w:val="18"/>
              </w:rPr>
              <w:t>暂时补充流动 资金</w:t>
            </w:r>
            <w:r>
              <w:rPr>
                <w:rFonts w:ascii="宋体" w:hAnsi="宋体" w:cs="宋体" w:eastAsia="宋体" w:hint="default"/>
                <w:spacing w:val="-46"/>
                <w:sz w:val="18"/>
                <w:szCs w:val="18"/>
              </w:rPr>
              <w:t> </w:t>
            </w:r>
            <w:r>
              <w:rPr>
                <w:rFonts w:ascii="宋体" w:hAnsi="宋体" w:cs="宋体" w:eastAsia="宋体" w:hint="default"/>
                <w:sz w:val="18"/>
                <w:szCs w:val="18"/>
              </w:rPr>
              <w:t>36,675.00</w:t>
            </w:r>
          </w:p>
          <w:p>
            <w:pPr>
              <w:pStyle w:val="TableParagraph"/>
              <w:spacing w:line="319" w:lineRule="auto" w:before="19"/>
              <w:ind w:left="22" w:right="-18"/>
              <w:jc w:val="left"/>
              <w:rPr>
                <w:rFonts w:ascii="宋体" w:hAnsi="宋体" w:cs="宋体" w:eastAsia="宋体" w:hint="default"/>
                <w:sz w:val="18"/>
                <w:szCs w:val="18"/>
              </w:rPr>
            </w:pPr>
            <w:r>
              <w:rPr>
                <w:rFonts w:ascii="宋体" w:hAnsi="宋体" w:cs="宋体" w:eastAsia="宋体" w:hint="default"/>
                <w:spacing w:val="-6"/>
                <w:sz w:val="18"/>
                <w:szCs w:val="18"/>
              </w:rPr>
              <w:t>万元，其余存放</w:t>
            </w:r>
            <w:r>
              <w:rPr>
                <w:rFonts w:ascii="宋体" w:hAnsi="宋体" w:cs="宋体" w:eastAsia="宋体" w:hint="default"/>
                <w:sz w:val="18"/>
                <w:szCs w:val="18"/>
              </w:rPr>
              <w:t> 募集资金专户。</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r>
    </w:tbl>
    <w:p>
      <w:pPr>
        <w:spacing w:after="0" w:line="240" w:lineRule="auto"/>
        <w:jc w:val="righ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1268"/>
        <w:gridCol w:w="1265"/>
        <w:gridCol w:w="1288"/>
        <w:gridCol w:w="1276"/>
        <w:gridCol w:w="1274"/>
        <w:gridCol w:w="1272"/>
        <w:gridCol w:w="1276"/>
        <w:gridCol w:w="1274"/>
        <w:gridCol w:w="1287"/>
        <w:gridCol w:w="1252"/>
        <w:gridCol w:w="1283"/>
      </w:tblGrid>
      <w:tr>
        <w:trPr>
          <w:trHeight w:val="416" w:hRule="exact"/>
        </w:trPr>
        <w:tc>
          <w:tcPr>
            <w:tcW w:w="1268"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65"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sz w:val="18"/>
              </w:rPr>
              <w:t>--</w:t>
            </w:r>
          </w:p>
        </w:tc>
        <w:tc>
          <w:tcPr>
            <w:tcW w:w="1288" w:type="dxa"/>
            <w:tcBorders>
              <w:top w:val="single" w:sz="15" w:space="0" w:color="000000"/>
              <w:left w:val="single" w:sz="13" w:space="0" w:color="D2D2D2"/>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195,269.31</w:t>
            </w:r>
          </w:p>
        </w:tc>
        <w:tc>
          <w:tcPr>
            <w:tcW w:w="127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432" w:right="0"/>
              <w:jc w:val="left"/>
              <w:rPr>
                <w:rFonts w:ascii="宋体" w:hAnsi="宋体" w:cs="宋体" w:eastAsia="宋体" w:hint="default"/>
                <w:sz w:val="18"/>
                <w:szCs w:val="18"/>
              </w:rPr>
            </w:pPr>
            <w:r>
              <w:rPr>
                <w:rFonts w:ascii="宋体"/>
                <w:sz w:val="18"/>
              </w:rPr>
              <w:t>58,825.29</w:t>
            </w:r>
          </w:p>
        </w:tc>
        <w:tc>
          <w:tcPr>
            <w:tcW w:w="127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432" w:right="0"/>
              <w:jc w:val="left"/>
              <w:rPr>
                <w:rFonts w:ascii="宋体" w:hAnsi="宋体" w:cs="宋体" w:eastAsia="宋体" w:hint="default"/>
                <w:sz w:val="18"/>
                <w:szCs w:val="18"/>
              </w:rPr>
            </w:pPr>
            <w:r>
              <w:rPr>
                <w:rFonts w:ascii="宋体"/>
                <w:sz w:val="18"/>
              </w:rPr>
              <w:t>157,329.8</w:t>
            </w:r>
          </w:p>
        </w:tc>
        <w:tc>
          <w:tcPr>
            <w:tcW w:w="127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428" w:right="0"/>
              <w:jc w:val="left"/>
              <w:rPr>
                <w:rFonts w:ascii="宋体" w:hAnsi="宋体" w:cs="宋体" w:eastAsia="宋体" w:hint="default"/>
                <w:sz w:val="18"/>
                <w:szCs w:val="18"/>
              </w:rPr>
            </w:pPr>
            <w:r>
              <w:rPr>
                <w:rFonts w:ascii="宋体"/>
                <w:sz w:val="18"/>
              </w:rPr>
              <w:t>44,956.03</w:t>
            </w:r>
          </w:p>
        </w:tc>
        <w:tc>
          <w:tcPr>
            <w:tcW w:w="127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432" w:right="0"/>
              <w:jc w:val="left"/>
              <w:rPr>
                <w:rFonts w:ascii="宋体" w:hAnsi="宋体" w:cs="宋体" w:eastAsia="宋体" w:hint="default"/>
                <w:sz w:val="18"/>
                <w:szCs w:val="18"/>
              </w:rPr>
            </w:pPr>
            <w:r>
              <w:rPr>
                <w:rFonts w:ascii="宋体"/>
                <w:sz w:val="18"/>
              </w:rPr>
              <w:t>44,956.03</w:t>
            </w:r>
          </w:p>
        </w:tc>
        <w:tc>
          <w:tcPr>
            <w:tcW w:w="127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701" w:right="0"/>
              <w:jc w:val="left"/>
              <w:rPr>
                <w:rFonts w:ascii="宋体" w:hAnsi="宋体" w:cs="宋体" w:eastAsia="宋体" w:hint="default"/>
                <w:sz w:val="18"/>
                <w:szCs w:val="18"/>
              </w:rPr>
            </w:pPr>
            <w:r>
              <w:rPr>
                <w:rFonts w:ascii="宋体"/>
                <w:sz w:val="18"/>
              </w:rPr>
              <w:t>23.02%</w:t>
            </w:r>
          </w:p>
        </w:tc>
        <w:tc>
          <w:tcPr>
            <w:tcW w:w="1287" w:type="dxa"/>
            <w:tcBorders>
              <w:top w:val="single" w:sz="15" w:space="0" w:color="000000"/>
              <w:left w:val="single" w:sz="4" w:space="0" w:color="000000"/>
              <w:bottom w:val="single" w:sz="4" w:space="0" w:color="000000"/>
              <w:right w:val="single" w:sz="9" w:space="0" w:color="D2D2D2"/>
            </w:tcBorders>
          </w:tcPr>
          <w:p>
            <w:pPr>
              <w:pStyle w:val="TableParagraph"/>
              <w:spacing w:line="240" w:lineRule="auto" w:before="51"/>
              <w:ind w:left="522" w:right="0"/>
              <w:jc w:val="left"/>
              <w:rPr>
                <w:rFonts w:ascii="宋体" w:hAnsi="宋体" w:cs="宋体" w:eastAsia="宋体" w:hint="default"/>
                <w:sz w:val="18"/>
                <w:szCs w:val="18"/>
              </w:rPr>
            </w:pPr>
            <w:r>
              <w:rPr>
                <w:rFonts w:ascii="宋体"/>
                <w:sz w:val="18"/>
              </w:rPr>
              <w:t>40,134.7</w:t>
            </w:r>
          </w:p>
        </w:tc>
        <w:tc>
          <w:tcPr>
            <w:tcW w:w="1252"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283" w:type="dxa"/>
            <w:tcBorders>
              <w:top w:val="single" w:sz="15"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r>
      <w:tr>
        <w:trPr>
          <w:trHeight w:val="402" w:hRule="exact"/>
        </w:trPr>
        <w:tc>
          <w:tcPr>
            <w:tcW w:w="14015"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714" w:hRule="exact"/>
        </w:trPr>
        <w:tc>
          <w:tcPr>
            <w:tcW w:w="14015"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62"/>
                <w:sz w:val="18"/>
                <w:szCs w:val="18"/>
              </w:rPr>
              <w:t> </w:t>
            </w:r>
            <w:r>
              <w:rPr>
                <w:rFonts w:ascii="宋体" w:hAnsi="宋体" w:cs="宋体" w:eastAsia="宋体" w:hint="default"/>
                <w:sz w:val="18"/>
                <w:szCs w:val="18"/>
              </w:rPr>
              <w:t>2018</w:t>
            </w:r>
            <w:r>
              <w:rPr>
                <w:rFonts w:ascii="宋体" w:hAnsi="宋体" w:cs="宋体" w:eastAsia="宋体" w:hint="default"/>
                <w:spacing w:val="-62"/>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宋体" w:hAnsi="宋体" w:cs="宋体" w:eastAsia="宋体" w:hint="default"/>
                <w:spacing w:val="-2"/>
                <w:sz w:val="18"/>
                <w:szCs w:val="18"/>
              </w:rPr>
              <w:t>1</w:t>
            </w:r>
            <w:r>
              <w:rPr>
                <w:rFonts w:ascii="宋体" w:hAnsi="宋体" w:cs="宋体" w:eastAsia="宋体" w:hint="default"/>
                <w:sz w:val="18"/>
                <w:szCs w:val="18"/>
              </w:rPr>
              <w:t>2</w:t>
            </w:r>
            <w:r>
              <w:rPr>
                <w:rFonts w:ascii="宋体" w:hAnsi="宋体" w:cs="宋体" w:eastAsia="宋体" w:hint="default"/>
                <w:spacing w:val="-63"/>
                <w:sz w:val="18"/>
                <w:szCs w:val="18"/>
              </w:rPr>
              <w:t> </w:t>
            </w:r>
            <w:r>
              <w:rPr>
                <w:rFonts w:ascii="宋体" w:hAnsi="宋体" w:cs="宋体" w:eastAsia="宋体" w:hint="default"/>
                <w:sz w:val="18"/>
                <w:szCs w:val="18"/>
              </w:rPr>
              <w:t>月</w:t>
            </w:r>
            <w:r>
              <w:rPr>
                <w:rFonts w:ascii="宋体" w:hAnsi="宋体" w:cs="宋体" w:eastAsia="宋体" w:hint="default"/>
                <w:spacing w:val="-61"/>
                <w:sz w:val="18"/>
                <w:szCs w:val="18"/>
              </w:rPr>
              <w:t> </w:t>
            </w:r>
            <w:r>
              <w:rPr>
                <w:rFonts w:ascii="宋体" w:hAnsi="宋体" w:cs="宋体" w:eastAsia="宋体" w:hint="default"/>
                <w:sz w:val="18"/>
                <w:szCs w:val="18"/>
              </w:rPr>
              <w:t>31</w:t>
            </w:r>
            <w:r>
              <w:rPr>
                <w:rFonts w:ascii="宋体" w:hAnsi="宋体" w:cs="宋体" w:eastAsia="宋体" w:hint="default"/>
                <w:spacing w:val="-62"/>
                <w:sz w:val="18"/>
                <w:szCs w:val="18"/>
              </w:rPr>
              <w:t> </w:t>
            </w:r>
            <w:r>
              <w:rPr>
                <w:rFonts w:ascii="宋体" w:hAnsi="宋体" w:cs="宋体" w:eastAsia="宋体" w:hint="default"/>
                <w:sz w:val="18"/>
                <w:szCs w:val="18"/>
              </w:rPr>
              <w:t>日止</w:t>
            </w:r>
            <w:r>
              <w:rPr>
                <w:rFonts w:ascii="宋体" w:hAnsi="宋体" w:cs="宋体" w:eastAsia="宋体" w:hint="default"/>
                <w:spacing w:val="-90"/>
                <w:sz w:val="18"/>
                <w:szCs w:val="18"/>
              </w:rPr>
              <w:t>，</w:t>
            </w:r>
            <w:r>
              <w:rPr>
                <w:rFonts w:ascii="宋体" w:hAnsi="宋体" w:cs="宋体" w:eastAsia="宋体" w:hint="default"/>
                <w:sz w:val="18"/>
                <w:szCs w:val="18"/>
              </w:rPr>
              <w:t>尚</w:t>
            </w:r>
            <w:r>
              <w:rPr>
                <w:rFonts w:ascii="宋体" w:hAnsi="宋体" w:cs="宋体" w:eastAsia="宋体" w:hint="default"/>
                <w:spacing w:val="-2"/>
                <w:sz w:val="18"/>
                <w:szCs w:val="18"/>
              </w:rPr>
              <w:t>未</w:t>
            </w:r>
            <w:r>
              <w:rPr>
                <w:rFonts w:ascii="宋体" w:hAnsi="宋体" w:cs="宋体" w:eastAsia="宋体" w:hint="default"/>
                <w:sz w:val="18"/>
                <w:szCs w:val="18"/>
              </w:rPr>
              <w:t>使用的募集资金</w:t>
            </w:r>
            <w:r>
              <w:rPr>
                <w:rFonts w:ascii="宋体" w:hAnsi="宋体" w:cs="宋体" w:eastAsia="宋体" w:hint="default"/>
                <w:spacing w:val="-62"/>
                <w:sz w:val="18"/>
                <w:szCs w:val="18"/>
              </w:rPr>
              <w:t> </w:t>
            </w:r>
            <w:r>
              <w:rPr>
                <w:rFonts w:ascii="宋体" w:hAnsi="宋体" w:cs="宋体" w:eastAsia="宋体" w:hint="default"/>
                <w:sz w:val="18"/>
                <w:szCs w:val="18"/>
              </w:rPr>
              <w:t>40,134.70</w:t>
            </w:r>
            <w:r>
              <w:rPr>
                <w:rFonts w:ascii="宋体" w:hAnsi="宋体" w:cs="宋体" w:eastAsia="宋体" w:hint="default"/>
                <w:spacing w:val="-62"/>
                <w:sz w:val="18"/>
                <w:szCs w:val="18"/>
              </w:rPr>
              <w:t> </w:t>
            </w:r>
            <w:r>
              <w:rPr>
                <w:rFonts w:ascii="宋体" w:hAnsi="宋体" w:cs="宋体" w:eastAsia="宋体" w:hint="default"/>
                <w:spacing w:val="-2"/>
                <w:sz w:val="18"/>
                <w:szCs w:val="18"/>
              </w:rPr>
              <w:t>万</w:t>
            </w:r>
            <w:r>
              <w:rPr>
                <w:rFonts w:ascii="宋体" w:hAnsi="宋体" w:cs="宋体" w:eastAsia="宋体" w:hint="default"/>
                <w:spacing w:val="-90"/>
                <w:sz w:val="18"/>
                <w:szCs w:val="18"/>
              </w:rPr>
              <w:t>元</w:t>
            </w:r>
            <w:r>
              <w:rPr>
                <w:rFonts w:ascii="宋体" w:hAnsi="宋体" w:cs="宋体" w:eastAsia="宋体" w:hint="default"/>
                <w:sz w:val="18"/>
                <w:szCs w:val="18"/>
              </w:rPr>
              <w:t>（含利息收入</w:t>
            </w:r>
            <w:r>
              <w:rPr>
                <w:rFonts w:ascii="宋体" w:hAnsi="宋体" w:cs="宋体" w:eastAsia="宋体" w:hint="default"/>
                <w:spacing w:val="-62"/>
                <w:sz w:val="18"/>
                <w:szCs w:val="18"/>
              </w:rPr>
              <w:t> </w:t>
            </w:r>
            <w:r>
              <w:rPr>
                <w:rFonts w:ascii="宋体" w:hAnsi="宋体" w:cs="宋体" w:eastAsia="宋体" w:hint="default"/>
                <w:sz w:val="18"/>
                <w:szCs w:val="18"/>
              </w:rPr>
              <w:t>2,195.19</w:t>
            </w:r>
            <w:r>
              <w:rPr>
                <w:rFonts w:ascii="宋体" w:hAnsi="宋体" w:cs="宋体" w:eastAsia="宋体" w:hint="default"/>
                <w:spacing w:val="-62"/>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z w:val="18"/>
                <w:szCs w:val="18"/>
              </w:rPr>
              <w:t>其中使用闲置募集资金暂时补充流动资金</w:t>
            </w:r>
            <w:r>
              <w:rPr>
                <w:rFonts w:ascii="宋体" w:hAnsi="宋体" w:cs="宋体" w:eastAsia="宋体" w:hint="default"/>
                <w:spacing w:val="-61"/>
                <w:sz w:val="18"/>
                <w:szCs w:val="18"/>
              </w:rPr>
              <w:t> </w:t>
            </w:r>
            <w:r>
              <w:rPr>
                <w:rFonts w:ascii="宋体" w:hAnsi="宋体" w:cs="宋体" w:eastAsia="宋体" w:hint="default"/>
                <w:sz w:val="18"/>
                <w:szCs w:val="18"/>
              </w:rPr>
              <w:t>36,675.00</w:t>
            </w:r>
            <w:r>
              <w:rPr>
                <w:rFonts w:ascii="宋体" w:hAnsi="宋体" w:cs="宋体" w:eastAsia="宋体" w:hint="default"/>
                <w:spacing w:val="-62"/>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z w:val="18"/>
                <w:szCs w:val="18"/>
              </w:rPr>
              <w:t>募集资金账户余额</w:t>
            </w:r>
            <w:r>
              <w:rPr>
                <w:rFonts w:ascii="宋体" w:hAnsi="宋体" w:cs="宋体" w:eastAsia="宋体" w:hint="default"/>
                <w:spacing w:val="-61"/>
                <w:sz w:val="18"/>
                <w:szCs w:val="18"/>
              </w:rPr>
              <w:t> </w:t>
            </w:r>
            <w:r>
              <w:rPr>
                <w:rFonts w:ascii="宋体" w:hAnsi="宋体" w:cs="宋体" w:eastAsia="宋体" w:hint="default"/>
                <w:sz w:val="18"/>
                <w:szCs w:val="18"/>
              </w:rPr>
              <w:t>5,461.30</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万元（因合同约定的回款账户为募集资金专户，产生业务回款</w:t>
            </w:r>
            <w:r>
              <w:rPr>
                <w:rFonts w:ascii="宋体" w:hAnsi="宋体" w:cs="宋体" w:eastAsia="宋体" w:hint="default"/>
                <w:spacing w:val="-46"/>
                <w:sz w:val="18"/>
                <w:szCs w:val="18"/>
              </w:rPr>
              <w:t> </w:t>
            </w:r>
            <w:r>
              <w:rPr>
                <w:rFonts w:ascii="宋体" w:hAnsi="宋体" w:cs="宋体" w:eastAsia="宋体" w:hint="default"/>
                <w:sz w:val="18"/>
                <w:szCs w:val="18"/>
              </w:rPr>
              <w:t>2,001.60</w:t>
            </w:r>
            <w:r>
              <w:rPr>
                <w:rFonts w:ascii="宋体" w:hAnsi="宋体" w:cs="宋体" w:eastAsia="宋体" w:hint="default"/>
                <w:spacing w:val="-46"/>
                <w:sz w:val="18"/>
                <w:szCs w:val="18"/>
              </w:rPr>
              <w:t> </w:t>
            </w:r>
            <w:r>
              <w:rPr>
                <w:rFonts w:ascii="宋体" w:hAnsi="宋体" w:cs="宋体" w:eastAsia="宋体" w:hint="default"/>
                <w:sz w:val="18"/>
                <w:szCs w:val="18"/>
              </w:rPr>
              <w:t>万元，扣除该项回款募集资金实际账户余额为</w:t>
            </w:r>
            <w:r>
              <w:rPr>
                <w:rFonts w:ascii="宋体" w:hAnsi="宋体" w:cs="宋体" w:eastAsia="宋体" w:hint="default"/>
                <w:spacing w:val="-46"/>
                <w:sz w:val="18"/>
                <w:szCs w:val="18"/>
              </w:rPr>
              <w:t> </w:t>
            </w:r>
            <w:r>
              <w:rPr>
                <w:rFonts w:ascii="宋体" w:hAnsi="宋体" w:cs="宋体" w:eastAsia="宋体" w:hint="default"/>
                <w:sz w:val="18"/>
                <w:szCs w:val="18"/>
              </w:rPr>
              <w:t>3,459.70</w:t>
            </w:r>
            <w:r>
              <w:rPr>
                <w:rFonts w:ascii="宋体" w:hAnsi="宋体" w:cs="宋体" w:eastAsia="宋体" w:hint="default"/>
                <w:spacing w:val="-45"/>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z w:val="18"/>
                <w:szCs w:val="18"/>
              </w:rPr>
              <w:t>。</w:t>
            </w:r>
          </w:p>
        </w:tc>
      </w:tr>
    </w:tbl>
    <w:p>
      <w:pPr>
        <w:spacing w:line="240" w:lineRule="auto" w:before="2"/>
        <w:rPr>
          <w:rFonts w:ascii="宋体" w:hAnsi="宋体" w:cs="宋体" w:eastAsia="宋体" w:hint="default"/>
          <w:sz w:val="19"/>
          <w:szCs w:val="19"/>
        </w:rPr>
      </w:pPr>
    </w:p>
    <w:p>
      <w:pPr>
        <w:spacing w:before="35"/>
        <w:ind w:left="140" w:right="5438" w:firstLine="0"/>
        <w:jc w:val="left"/>
        <w:rPr>
          <w:rFonts w:ascii="宋体" w:hAnsi="宋体" w:cs="宋体" w:eastAsia="宋体" w:hint="default"/>
          <w:sz w:val="21"/>
          <w:szCs w:val="21"/>
        </w:rPr>
      </w:pPr>
      <w:bookmarkStart w:name="（2）募集资金承诺项目情况" w:id="50"/>
      <w:bookmarkEnd w:id="50"/>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）募集资金承诺项目情况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20" w:right="5438"/>
        <w:jc w:val="left"/>
      </w:pPr>
      <w:r>
        <w:rPr/>
        <w:t>√ 适用 □ 不适用</w:t>
      </w:r>
    </w:p>
    <w:p>
      <w:pPr>
        <w:spacing w:line="240" w:lineRule="auto" w:before="11"/>
        <w:rPr>
          <w:rFonts w:ascii="宋体" w:hAnsi="宋体" w:cs="宋体" w:eastAsia="宋体" w:hint="default"/>
          <w:sz w:val="13"/>
          <w:szCs w:val="13"/>
        </w:rPr>
      </w:pPr>
    </w:p>
    <w:p>
      <w:pPr>
        <w:spacing w:before="44"/>
        <w:ind w:left="0" w:right="13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2393"/>
        <w:gridCol w:w="1056"/>
        <w:gridCol w:w="1056"/>
        <w:gridCol w:w="1056"/>
        <w:gridCol w:w="1054"/>
        <w:gridCol w:w="1058"/>
        <w:gridCol w:w="1057"/>
        <w:gridCol w:w="1057"/>
        <w:gridCol w:w="1057"/>
        <w:gridCol w:w="1056"/>
        <w:gridCol w:w="1058"/>
        <w:gridCol w:w="1057"/>
      </w:tblGrid>
      <w:tr>
        <w:trPr>
          <w:trHeight w:val="1026"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01" w:right="111" w:hanging="990"/>
              <w:jc w:val="left"/>
              <w:rPr>
                <w:rFonts w:ascii="宋体" w:hAnsi="宋体" w:cs="宋体" w:eastAsia="宋体" w:hint="default"/>
                <w:sz w:val="18"/>
                <w:szCs w:val="18"/>
              </w:rPr>
            </w:pPr>
            <w:r>
              <w:rPr>
                <w:rFonts w:ascii="宋体" w:hAnsi="宋体" w:cs="宋体" w:eastAsia="宋体" w:hint="default"/>
                <w:sz w:val="18"/>
                <w:szCs w:val="18"/>
              </w:rPr>
              <w:t>承诺投资项目和超募资金投 向</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 w:right="26" w:hanging="2"/>
              <w:jc w:val="center"/>
              <w:rPr>
                <w:rFonts w:ascii="宋体" w:hAnsi="宋体" w:cs="宋体" w:eastAsia="宋体" w:hint="default"/>
                <w:sz w:val="18"/>
                <w:szCs w:val="18"/>
              </w:rPr>
            </w:pPr>
            <w:r>
              <w:rPr>
                <w:rFonts w:ascii="宋体" w:hAnsi="宋体" w:cs="宋体" w:eastAsia="宋体" w:hint="default"/>
                <w:sz w:val="18"/>
                <w:szCs w:val="18"/>
              </w:rPr>
              <w:t>是否已变更 项目</w:t>
            </w:r>
            <w:r>
              <w:rPr>
                <w:rFonts w:ascii="宋体" w:hAnsi="宋体" w:cs="宋体" w:eastAsia="宋体" w:hint="default"/>
                <w:sz w:val="18"/>
                <w:szCs w:val="18"/>
              </w:rPr>
              <w:t>(</w:t>
            </w:r>
            <w:r>
              <w:rPr>
                <w:rFonts w:ascii="宋体" w:hAnsi="宋体" w:cs="宋体" w:eastAsia="宋体" w:hint="default"/>
                <w:sz w:val="18"/>
                <w:szCs w:val="18"/>
              </w:rPr>
              <w:t>含部分 变更</w:t>
            </w:r>
            <w:r>
              <w:rPr>
                <w:rFonts w:ascii="宋体" w:hAnsi="宋体" w:cs="宋体" w:eastAsia="宋体" w:hint="default"/>
                <w:sz w:val="18"/>
                <w:szCs w:val="18"/>
              </w:rPr>
              <w:t>)</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1" w:right="72"/>
              <w:jc w:val="left"/>
              <w:rPr>
                <w:rFonts w:ascii="宋体" w:hAnsi="宋体" w:cs="宋体" w:eastAsia="宋体" w:hint="default"/>
                <w:sz w:val="18"/>
                <w:szCs w:val="18"/>
              </w:rPr>
            </w:pPr>
            <w:r>
              <w:rPr>
                <w:rFonts w:ascii="宋体" w:hAnsi="宋体" w:cs="宋体" w:eastAsia="宋体" w:hint="default"/>
                <w:sz w:val="18"/>
                <w:szCs w:val="18"/>
              </w:rPr>
              <w:t>募集资金承 诺投资总额</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07" w:right="72" w:hanging="136"/>
              <w:jc w:val="left"/>
              <w:rPr>
                <w:rFonts w:ascii="宋体" w:hAnsi="宋体" w:cs="宋体" w:eastAsia="宋体" w:hint="default"/>
                <w:sz w:val="18"/>
                <w:szCs w:val="18"/>
              </w:rPr>
            </w:pPr>
            <w:r>
              <w:rPr>
                <w:rFonts w:ascii="宋体" w:hAnsi="宋体" w:cs="宋体" w:eastAsia="宋体" w:hint="default"/>
                <w:sz w:val="18"/>
                <w:szCs w:val="18"/>
              </w:rPr>
              <w:t>调整后投资 总额</w:t>
            </w:r>
            <w:r>
              <w:rPr>
                <w:rFonts w:ascii="宋体" w:hAnsi="宋体" w:cs="宋体" w:eastAsia="宋体" w:hint="default"/>
                <w:sz w:val="18"/>
                <w:szCs w:val="18"/>
              </w:rPr>
              <w:t>(1)</w:t>
            </w:r>
          </w:p>
        </w:tc>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52" w:right="71" w:hanging="180"/>
              <w:jc w:val="left"/>
              <w:rPr>
                <w:rFonts w:ascii="宋体" w:hAnsi="宋体" w:cs="宋体" w:eastAsia="宋体" w:hint="default"/>
                <w:sz w:val="18"/>
                <w:szCs w:val="18"/>
              </w:rPr>
            </w:pPr>
            <w:r>
              <w:rPr>
                <w:rFonts w:ascii="宋体" w:hAnsi="宋体" w:cs="宋体" w:eastAsia="宋体" w:hint="default"/>
                <w:sz w:val="18"/>
                <w:szCs w:val="18"/>
              </w:rPr>
              <w:t>本报告期投 入金额</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4" w:right="71"/>
              <w:jc w:val="center"/>
              <w:rPr>
                <w:rFonts w:ascii="宋体" w:hAnsi="宋体" w:cs="宋体" w:eastAsia="宋体" w:hint="default"/>
                <w:sz w:val="18"/>
                <w:szCs w:val="18"/>
              </w:rPr>
            </w:pPr>
            <w:r>
              <w:rPr>
                <w:rFonts w:ascii="宋体" w:hAnsi="宋体" w:cs="宋体" w:eastAsia="宋体" w:hint="default"/>
                <w:sz w:val="18"/>
                <w:szCs w:val="18"/>
              </w:rPr>
              <w:t>截至期末累 计投入金额 </w:t>
            </w:r>
            <w:r>
              <w:rPr>
                <w:rFonts w:ascii="宋体" w:hAnsi="宋体" w:cs="宋体" w:eastAsia="宋体" w:hint="default"/>
                <w:sz w:val="18"/>
                <w:szCs w:val="18"/>
              </w:rPr>
              <w:t>(2)</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 w:right="29" w:firstLine="1"/>
              <w:jc w:val="center"/>
              <w:rPr>
                <w:rFonts w:ascii="宋体" w:hAnsi="宋体" w:cs="宋体" w:eastAsia="宋体" w:hint="default"/>
                <w:sz w:val="18"/>
                <w:szCs w:val="18"/>
              </w:rPr>
            </w:pPr>
            <w:r>
              <w:rPr>
                <w:rFonts w:ascii="宋体" w:hAnsi="宋体" w:cs="宋体" w:eastAsia="宋体" w:hint="default"/>
                <w:sz w:val="18"/>
                <w:szCs w:val="18"/>
              </w:rPr>
              <w:t>截至期末投 资进度</w:t>
            </w:r>
            <w:r>
              <w:rPr>
                <w:rFonts w:ascii="宋体" w:hAnsi="宋体" w:cs="宋体" w:eastAsia="宋体" w:hint="default"/>
                <w:sz w:val="18"/>
                <w:szCs w:val="18"/>
              </w:rPr>
              <w:t>(3)</w:t>
            </w:r>
            <w:r>
              <w:rPr>
                <w:rFonts w:ascii="宋体" w:hAnsi="宋体" w:cs="宋体" w:eastAsia="宋体" w:hint="default"/>
                <w:sz w:val="18"/>
                <w:szCs w:val="18"/>
              </w:rPr>
              <w:t>＝ </w:t>
            </w:r>
            <w:r>
              <w:rPr>
                <w:rFonts w:ascii="宋体" w:hAnsi="宋体" w:cs="宋体" w:eastAsia="宋体" w:hint="default"/>
                <w:sz w:val="18"/>
                <w:szCs w:val="18"/>
              </w:rPr>
              <w:t>(2)/(1)</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3" w:right="72"/>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63" w:right="72" w:hanging="90"/>
              <w:jc w:val="left"/>
              <w:rPr>
                <w:rFonts w:ascii="宋体" w:hAnsi="宋体" w:cs="宋体" w:eastAsia="宋体" w:hint="default"/>
                <w:sz w:val="18"/>
                <w:szCs w:val="18"/>
              </w:rPr>
            </w:pPr>
            <w:r>
              <w:rPr>
                <w:rFonts w:ascii="宋体" w:hAnsi="宋体" w:cs="宋体" w:eastAsia="宋体" w:hint="default"/>
                <w:sz w:val="18"/>
                <w:szCs w:val="18"/>
              </w:rPr>
              <w:t>本报告期实 现的效益</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3" w:right="71"/>
              <w:jc w:val="center"/>
              <w:rPr>
                <w:rFonts w:ascii="宋体" w:hAnsi="宋体" w:cs="宋体" w:eastAsia="宋体" w:hint="default"/>
                <w:sz w:val="18"/>
                <w:szCs w:val="18"/>
              </w:rPr>
            </w:pPr>
            <w:r>
              <w:rPr>
                <w:rFonts w:ascii="宋体" w:hAnsi="宋体" w:cs="宋体" w:eastAsia="宋体" w:hint="default"/>
                <w:sz w:val="18"/>
                <w:szCs w:val="18"/>
              </w:rPr>
              <w:t>截止报告期 末累计实现 的效益</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54" w:right="71" w:hanging="180"/>
              <w:jc w:val="left"/>
              <w:rPr>
                <w:rFonts w:ascii="宋体" w:hAnsi="宋体" w:cs="宋体" w:eastAsia="宋体" w:hint="default"/>
                <w:sz w:val="18"/>
                <w:szCs w:val="18"/>
              </w:rPr>
            </w:pPr>
            <w:r>
              <w:rPr>
                <w:rFonts w:ascii="宋体" w:hAnsi="宋体" w:cs="宋体" w:eastAsia="宋体" w:hint="default"/>
                <w:sz w:val="18"/>
                <w:szCs w:val="18"/>
              </w:rPr>
              <w:t>是否达到预 计效益</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3" w:right="72"/>
              <w:jc w:val="center"/>
              <w:rPr>
                <w:rFonts w:ascii="宋体" w:hAnsi="宋体" w:cs="宋体" w:eastAsia="宋体" w:hint="default"/>
                <w:sz w:val="18"/>
                <w:szCs w:val="18"/>
              </w:rPr>
            </w:pPr>
            <w:r>
              <w:rPr>
                <w:rFonts w:ascii="宋体" w:hAnsi="宋体" w:cs="宋体" w:eastAsia="宋体" w:hint="default"/>
                <w:sz w:val="18"/>
                <w:szCs w:val="18"/>
              </w:rPr>
              <w:t>项目可行性 是否发生重 大变化</w:t>
            </w:r>
          </w:p>
        </w:tc>
      </w:tr>
      <w:tr>
        <w:trPr>
          <w:trHeight w:val="402" w:hRule="exact"/>
        </w:trPr>
        <w:tc>
          <w:tcPr>
            <w:tcW w:w="14015"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4" w:hRule="exact"/>
        </w:trPr>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宋体" w:hAnsi="宋体" w:cs="宋体" w:eastAsia="宋体" w:hint="default"/>
                <w:sz w:val="18"/>
                <w:szCs w:val="18"/>
              </w:rPr>
              <w:t>IP</w:t>
            </w:r>
            <w:r>
              <w:rPr>
                <w:rFonts w:ascii="宋体" w:hAnsi="宋体" w:cs="宋体" w:eastAsia="宋体" w:hint="default"/>
                <w:spacing w:val="-46"/>
                <w:sz w:val="18"/>
                <w:szCs w:val="18"/>
              </w:rPr>
              <w:t> </w:t>
            </w:r>
            <w:r>
              <w:rPr>
                <w:rFonts w:ascii="宋体" w:hAnsi="宋体" w:cs="宋体" w:eastAsia="宋体" w:hint="default"/>
                <w:sz w:val="18"/>
                <w:szCs w:val="18"/>
              </w:rPr>
              <w:t>的泛娱乐数字内容生 态系统建设项目</w:t>
            </w:r>
          </w:p>
        </w:tc>
        <w:tc>
          <w:tcPr>
            <w:tcW w:w="10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94,634.65</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94,634.65</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5,543.65</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93,375.39</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3" w:right="0"/>
              <w:jc w:val="left"/>
              <w:rPr>
                <w:rFonts w:ascii="宋体" w:hAnsi="宋体" w:cs="宋体" w:eastAsia="宋体" w:hint="default"/>
                <w:sz w:val="18"/>
                <w:szCs w:val="18"/>
              </w:rPr>
            </w:pPr>
            <w:r>
              <w:rPr>
                <w:rFonts w:ascii="宋体"/>
                <w:sz w:val="18"/>
              </w:rPr>
              <w:t>98.67%</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7"/>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12</w:t>
            </w:r>
            <w:r>
              <w:rPr>
                <w:rFonts w:ascii="宋体" w:hAnsi="宋体" w:cs="宋体" w:eastAsia="宋体" w:hint="default"/>
                <w:spacing w:val="-57"/>
                <w:sz w:val="18"/>
                <w:szCs w:val="18"/>
              </w:rPr>
              <w:t> </w:t>
            </w:r>
            <w:r>
              <w:rPr>
                <w:rFonts w:ascii="宋体" w:hAnsi="宋体" w:cs="宋体" w:eastAsia="宋体" w:hint="default"/>
                <w:sz w:val="18"/>
                <w:szCs w:val="18"/>
              </w:rPr>
              <w:t>月</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643.57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5,523.58</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83"/>
              <w:jc w:val="right"/>
              <w:rPr>
                <w:rFonts w:ascii="宋体" w:hAnsi="宋体" w:cs="宋体" w:eastAsia="宋体" w:hint="default"/>
                <w:sz w:val="18"/>
                <w:szCs w:val="18"/>
              </w:rPr>
            </w:pPr>
            <w:r>
              <w:rPr>
                <w:rFonts w:ascii="宋体" w:hAnsi="宋体" w:cs="宋体" w:eastAsia="宋体" w:hint="default"/>
                <w:sz w:val="18"/>
                <w:szCs w:val="18"/>
              </w:rPr>
              <w:t>不适用</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8"/>
              <w:jc w:val="left"/>
              <w:rPr>
                <w:rFonts w:ascii="宋体" w:hAnsi="宋体" w:cs="宋体" w:eastAsia="宋体" w:hint="default"/>
                <w:sz w:val="18"/>
                <w:szCs w:val="18"/>
              </w:rPr>
            </w:pPr>
            <w:r>
              <w:rPr>
                <w:rFonts w:ascii="宋体" w:hAnsi="宋体" w:cs="宋体" w:eastAsia="宋体" w:hint="default"/>
                <w:sz w:val="18"/>
                <w:szCs w:val="18"/>
              </w:rPr>
              <w:t>在线教育平台及资源建设项 目</w:t>
            </w:r>
          </w:p>
        </w:tc>
        <w:tc>
          <w:tcPr>
            <w:tcW w:w="10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94,634.66</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49,678.62</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14,941.9</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19,614.67</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3" w:right="0"/>
              <w:jc w:val="left"/>
              <w:rPr>
                <w:rFonts w:ascii="宋体" w:hAnsi="宋体" w:cs="宋体" w:eastAsia="宋体" w:hint="default"/>
                <w:sz w:val="18"/>
                <w:szCs w:val="18"/>
              </w:rPr>
            </w:pPr>
            <w:r>
              <w:rPr>
                <w:rFonts w:ascii="宋体"/>
                <w:sz w:val="18"/>
              </w:rPr>
              <w:t>39.48%</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7"/>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12</w:t>
            </w:r>
            <w:r>
              <w:rPr>
                <w:rFonts w:ascii="宋体" w:hAnsi="宋体" w:cs="宋体" w:eastAsia="宋体" w:hint="default"/>
                <w:spacing w:val="-57"/>
                <w:sz w:val="18"/>
                <w:szCs w:val="18"/>
              </w:rPr>
              <w:t> </w:t>
            </w:r>
            <w:r>
              <w:rPr>
                <w:rFonts w:ascii="宋体" w:hAnsi="宋体" w:cs="宋体" w:eastAsia="宋体" w:hint="default"/>
                <w:sz w:val="18"/>
                <w:szCs w:val="18"/>
              </w:rPr>
              <w:t>月</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15.6</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324.25</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83"/>
              <w:jc w:val="right"/>
              <w:rPr>
                <w:rFonts w:ascii="宋体" w:hAnsi="宋体" w:cs="宋体" w:eastAsia="宋体" w:hint="default"/>
                <w:sz w:val="18"/>
                <w:szCs w:val="18"/>
              </w:rPr>
            </w:pPr>
            <w:r>
              <w:rPr>
                <w:rFonts w:ascii="宋体" w:hAnsi="宋体" w:cs="宋体" w:eastAsia="宋体" w:hint="default"/>
                <w:sz w:val="18"/>
                <w:szCs w:val="18"/>
              </w:rPr>
              <w:t>不适用</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10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6,000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6,000</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6,000</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93" w:right="0"/>
              <w:jc w:val="left"/>
              <w:rPr>
                <w:rFonts w:ascii="宋体" w:hAnsi="宋体" w:cs="宋体" w:eastAsia="宋体" w:hint="default"/>
                <w:sz w:val="18"/>
                <w:szCs w:val="18"/>
              </w:rPr>
            </w:pPr>
            <w:r>
              <w:rPr>
                <w:rFonts w:ascii="宋体"/>
                <w:sz w:val="18"/>
              </w:rPr>
              <w:t>100.00%</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83"/>
              <w:jc w:val="right"/>
              <w:rPr>
                <w:rFonts w:ascii="宋体" w:hAnsi="宋体" w:cs="宋体" w:eastAsia="宋体" w:hint="default"/>
                <w:sz w:val="18"/>
                <w:szCs w:val="18"/>
              </w:rPr>
            </w:pPr>
            <w:r>
              <w:rPr>
                <w:rFonts w:ascii="宋体" w:hAnsi="宋体" w:cs="宋体" w:eastAsia="宋体" w:hint="default"/>
                <w:sz w:val="18"/>
                <w:szCs w:val="18"/>
              </w:rPr>
              <w:t>不适用</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2"/>
              <w:jc w:val="right"/>
              <w:rPr>
                <w:rFonts w:ascii="宋体" w:hAnsi="宋体" w:cs="宋体" w:eastAsia="宋体" w:hint="default"/>
                <w:sz w:val="18"/>
                <w:szCs w:val="18"/>
              </w:rPr>
            </w:pPr>
            <w:r>
              <w:rPr>
                <w:rFonts w:ascii="宋体"/>
                <w:sz w:val="18"/>
              </w:rPr>
              <w:t>--</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195,269.31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150,313.27</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20,485.55</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118,990.06</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sz w:val="18"/>
              </w:rPr>
              <w:t>--</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sz w:val="18"/>
              </w:rPr>
              <w:t>--</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659.17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5,847.83</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1"/>
              <w:jc w:val="right"/>
              <w:rPr>
                <w:rFonts w:ascii="宋体" w:hAnsi="宋体" w:cs="宋体" w:eastAsia="宋体" w:hint="default"/>
                <w:sz w:val="18"/>
                <w:szCs w:val="18"/>
              </w:rPr>
            </w:pPr>
            <w:r>
              <w:rPr>
                <w:rFonts w:ascii="宋体"/>
                <w:sz w:val="18"/>
              </w:rPr>
              <w:t>--</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2"/>
              <w:jc w:val="right"/>
              <w:rPr>
                <w:rFonts w:ascii="宋体" w:hAnsi="宋体" w:cs="宋体" w:eastAsia="宋体" w:hint="default"/>
                <w:sz w:val="18"/>
                <w:szCs w:val="18"/>
              </w:rPr>
            </w:pPr>
            <w:r>
              <w:rPr>
                <w:rFonts w:ascii="宋体"/>
                <w:sz w:val="18"/>
              </w:rPr>
              <w:t>--</w:t>
            </w:r>
          </w:p>
        </w:tc>
      </w:tr>
      <w:tr>
        <w:trPr>
          <w:trHeight w:val="402"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2"/>
              <w:jc w:val="right"/>
              <w:rPr>
                <w:rFonts w:ascii="宋体" w:hAnsi="宋体" w:cs="宋体" w:eastAsia="宋体" w:hint="default"/>
                <w:sz w:val="18"/>
                <w:szCs w:val="18"/>
              </w:rPr>
            </w:pPr>
            <w:r>
              <w:rPr>
                <w:rFonts w:ascii="宋体"/>
                <w:sz w:val="18"/>
              </w:rPr>
              <w:t>--</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195,269.31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150,313.27</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20,485.55</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118,990.06</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sz w:val="18"/>
              </w:rPr>
              <w:t>--</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sz w:val="18"/>
              </w:rPr>
              <w:t>--</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659.17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5,847.83</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1"/>
              <w:jc w:val="right"/>
              <w:rPr>
                <w:rFonts w:ascii="宋体" w:hAnsi="宋体" w:cs="宋体" w:eastAsia="宋体" w:hint="default"/>
                <w:sz w:val="18"/>
                <w:szCs w:val="18"/>
              </w:rPr>
            </w:pPr>
            <w:r>
              <w:rPr>
                <w:rFonts w:ascii="宋体"/>
                <w:sz w:val="18"/>
              </w:rPr>
              <w:t>--</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2"/>
              <w:jc w:val="right"/>
              <w:rPr>
                <w:rFonts w:ascii="宋体" w:hAnsi="宋体" w:cs="宋体" w:eastAsia="宋体" w:hint="default"/>
                <w:sz w:val="18"/>
                <w:szCs w:val="18"/>
              </w:rPr>
            </w:pPr>
            <w:r>
              <w:rPr>
                <w:rFonts w:ascii="宋体"/>
                <w:sz w:val="18"/>
              </w:rPr>
              <w:t>--</w:t>
            </w:r>
          </w:p>
        </w:tc>
      </w:tr>
      <w:tr>
        <w:trPr>
          <w:trHeight w:val="1338"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8"/>
              <w:jc w:val="left"/>
              <w:rPr>
                <w:rFonts w:ascii="宋体" w:hAnsi="宋体" w:cs="宋体" w:eastAsia="宋体" w:hint="default"/>
                <w:sz w:val="18"/>
                <w:szCs w:val="18"/>
              </w:rPr>
            </w:pPr>
            <w:r>
              <w:rPr>
                <w:rFonts w:ascii="宋体" w:hAnsi="宋体" w:cs="宋体" w:eastAsia="宋体" w:hint="default"/>
                <w:sz w:val="18"/>
                <w:szCs w:val="18"/>
              </w:rPr>
              <w:t>未达到计划进度或预计收益 的情况和原因（分具体项目）</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gridSpan w:val="10"/>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公司募投项目在线教育平台及资源建设项目投资进度滞后于原计划进度，虽仍符合公司目前的战略发展方向，但由于教育行业具有其 自身的特殊性以及市场环境及政策的变化影响，投入需要更为审慎。该项目前期调研周期较长，投入时间晚于原计划，目前未达到计 划进度，截至</w:t>
            </w:r>
            <w:r>
              <w:rPr>
                <w:rFonts w:ascii="宋体" w:hAnsi="宋体" w:cs="宋体" w:eastAsia="宋体" w:hint="default"/>
                <w:spacing w:val="-50"/>
                <w:sz w:val="18"/>
                <w:szCs w:val="18"/>
              </w:rPr>
              <w:t> </w:t>
            </w:r>
            <w:r>
              <w:rPr>
                <w:rFonts w:ascii="宋体" w:hAnsi="宋体" w:cs="宋体" w:eastAsia="宋体" w:hint="default"/>
                <w:sz w:val="18"/>
                <w:szCs w:val="18"/>
              </w:rPr>
              <w:t>2018</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12</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31</w:t>
            </w:r>
            <w:r>
              <w:rPr>
                <w:rFonts w:ascii="宋体" w:hAnsi="宋体" w:cs="宋体" w:eastAsia="宋体" w:hint="default"/>
                <w:spacing w:val="-49"/>
                <w:sz w:val="18"/>
                <w:szCs w:val="18"/>
              </w:rPr>
              <w:t> </w:t>
            </w:r>
            <w:r>
              <w:rPr>
                <w:rFonts w:ascii="宋体" w:hAnsi="宋体" w:cs="宋体" w:eastAsia="宋体" w:hint="default"/>
                <w:sz w:val="18"/>
                <w:szCs w:val="18"/>
              </w:rPr>
              <w:t>日该项目未达到预定可使用状态。后续公司将根据行业发展和市场情况适时对该项目投资进行动态规划 调整，并按规定履行必要的内部决策程序。</w:t>
            </w:r>
          </w:p>
        </w:tc>
      </w:tr>
      <w:tr>
        <w:trPr>
          <w:trHeight w:val="714"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8"/>
              <w:jc w:val="left"/>
              <w:rPr>
                <w:rFonts w:ascii="宋体" w:hAnsi="宋体" w:cs="宋体" w:eastAsia="宋体" w:hint="default"/>
                <w:sz w:val="18"/>
                <w:szCs w:val="18"/>
              </w:rPr>
            </w:pPr>
            <w:r>
              <w:rPr>
                <w:rFonts w:ascii="宋体" w:hAnsi="宋体" w:cs="宋体" w:eastAsia="宋体" w:hint="default"/>
                <w:sz w:val="18"/>
                <w:szCs w:val="18"/>
              </w:rPr>
              <w:t>项目可行性发生重大变化的 情况说明</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0"/>
        <w:rPr>
          <w:rFonts w:ascii="宋体" w:hAnsi="宋体" w:cs="宋体" w:eastAsia="宋体" w:hint="default"/>
          <w:sz w:val="20"/>
          <w:szCs w:val="20"/>
        </w:rPr>
      </w:pPr>
      <w:r>
        <w:rPr/>
        <w:pict>
          <v:shape style="position:absolute;margin-left:70.379997pt;margin-top:55.260006pt;width:701.5pt;height:477.3pt;mso-position-horizontal-relative:page;mso-position-vertical-relative:page;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93"/>
                    <w:gridCol w:w="1056"/>
                    <w:gridCol w:w="10566"/>
                  </w:tblGrid>
                  <w:tr>
                    <w:trPr>
                      <w:trHeight w:val="729" w:hRule="exact"/>
                    </w:trPr>
                    <w:tc>
                      <w:tcPr>
                        <w:tcW w:w="2393"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超募资金的金额、用途及使用 进展情况</w:t>
                        </w:r>
                      </w:p>
                    </w:tc>
                    <w:tc>
                      <w:tcPr>
                        <w:tcW w:w="1056" w:type="dxa"/>
                        <w:tcBorders>
                          <w:top w:val="single" w:sz="15"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319" w:lineRule="auto"/>
                          <w:ind w:left="22" w:right="198"/>
                          <w:jc w:val="left"/>
                          <w:rPr>
                            <w:rFonts w:ascii="宋体" w:hAnsi="宋体" w:cs="宋体" w:eastAsia="宋体" w:hint="default"/>
                            <w:sz w:val="18"/>
                            <w:szCs w:val="18"/>
                          </w:rPr>
                        </w:pPr>
                        <w:r>
                          <w:rPr>
                            <w:rFonts w:ascii="宋体" w:hAnsi="宋体" w:cs="宋体" w:eastAsia="宋体" w:hint="default"/>
                            <w:sz w:val="18"/>
                            <w:szCs w:val="18"/>
                          </w:rPr>
                          <w:t>募集资金投资项目实施地点 变更情况</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2" w:hRule="exact"/>
                    </w:trPr>
                    <w:tc>
                      <w:tcPr>
                        <w:tcW w:w="2393" w:type="dxa"/>
                        <w:vMerge/>
                        <w:tcBorders>
                          <w:left w:val="single" w:sz="4" w:space="0" w:color="000000"/>
                          <w:right w:val="single" w:sz="4" w:space="0" w:color="000000"/>
                        </w:tcBorders>
                        <w:shd w:val="clear" w:color="auto" w:fill="D2D2D2"/>
                      </w:tcPr>
                      <w:p>
                        <w:pP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以前年度发生</w:t>
                        </w:r>
                      </w:p>
                    </w:tc>
                  </w:tr>
                  <w:tr>
                    <w:trPr>
                      <w:trHeight w:val="1338"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4"/>
                            <w:sz w:val="18"/>
                            <w:szCs w:val="18"/>
                          </w:rPr>
                          <w:t>1</w:t>
                        </w:r>
                        <w:r>
                          <w:rPr>
                            <w:rFonts w:ascii="宋体" w:hAnsi="宋体" w:cs="宋体" w:eastAsia="宋体" w:hint="default"/>
                            <w:spacing w:val="-4"/>
                            <w:sz w:val="18"/>
                            <w:szCs w:val="18"/>
                          </w:rPr>
                          <w:t>、</w:t>
                        </w:r>
                        <w:r>
                          <w:rPr>
                            <w:rFonts w:ascii="宋体" w:hAnsi="宋体" w:cs="宋体" w:eastAsia="宋体" w:hint="default"/>
                            <w:spacing w:val="-4"/>
                            <w:sz w:val="18"/>
                            <w:szCs w:val="18"/>
                          </w:rPr>
                          <w:t>2016</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8</w:t>
                        </w:r>
                        <w:r>
                          <w:rPr>
                            <w:rFonts w:ascii="宋体" w:hAnsi="宋体" w:cs="宋体" w:eastAsia="宋体" w:hint="default"/>
                            <w:spacing w:val="-51"/>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宋体" w:hAnsi="宋体" w:cs="宋体" w:eastAsia="宋体" w:hint="default"/>
                            <w:sz w:val="18"/>
                            <w:szCs w:val="18"/>
                          </w:rPr>
                          <w:t>23</w:t>
                        </w:r>
                        <w:r>
                          <w:rPr>
                            <w:rFonts w:ascii="宋体" w:hAnsi="宋体" w:cs="宋体" w:eastAsia="宋体" w:hint="default"/>
                            <w:spacing w:val="-52"/>
                            <w:sz w:val="18"/>
                            <w:szCs w:val="18"/>
                          </w:rPr>
                          <w:t> </w:t>
                        </w:r>
                        <w:r>
                          <w:rPr>
                            <w:rFonts w:ascii="宋体" w:hAnsi="宋体" w:cs="宋体" w:eastAsia="宋体" w:hint="default"/>
                            <w:sz w:val="18"/>
                            <w:szCs w:val="18"/>
                          </w:rPr>
                          <w:t>日，公司第二届董事会第三十四次会议以及</w:t>
                        </w:r>
                        <w:r>
                          <w:rPr>
                            <w:rFonts w:ascii="宋体" w:hAnsi="宋体" w:cs="宋体" w:eastAsia="宋体" w:hint="default"/>
                            <w:spacing w:val="-52"/>
                            <w:sz w:val="18"/>
                            <w:szCs w:val="18"/>
                          </w:rPr>
                          <w:t> </w:t>
                        </w:r>
                        <w:r>
                          <w:rPr>
                            <w:rFonts w:ascii="宋体" w:hAnsi="宋体" w:cs="宋体" w:eastAsia="宋体" w:hint="default"/>
                            <w:sz w:val="18"/>
                            <w:szCs w:val="18"/>
                          </w:rPr>
                          <w:t>2016</w:t>
                        </w:r>
                        <w:r>
                          <w:rPr>
                            <w:rFonts w:ascii="宋体" w:hAnsi="宋体" w:cs="宋体" w:eastAsia="宋体" w:hint="default"/>
                            <w:spacing w:val="-52"/>
                            <w:sz w:val="18"/>
                            <w:szCs w:val="18"/>
                          </w:rPr>
                          <w:t> </w:t>
                        </w:r>
                        <w:r>
                          <w:rPr>
                            <w:rFonts w:ascii="宋体" w:hAnsi="宋体" w:cs="宋体" w:eastAsia="宋体" w:hint="default"/>
                            <w:sz w:val="18"/>
                            <w:szCs w:val="18"/>
                          </w:rPr>
                          <w:t>年第三次临时股东大会审议通过了《关于增加募投项目实施主体的</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议案</w:t>
                        </w:r>
                        <w:r>
                          <w:rPr>
                            <w:rFonts w:ascii="宋体" w:hAnsi="宋体" w:cs="宋体" w:eastAsia="宋体" w:hint="default"/>
                            <w:spacing w:val="-90"/>
                            <w:sz w:val="18"/>
                            <w:szCs w:val="18"/>
                          </w:rPr>
                          <w:t>》</w:t>
                        </w:r>
                        <w:r>
                          <w:rPr>
                            <w:rFonts w:ascii="宋体" w:hAnsi="宋体" w:cs="宋体" w:eastAsia="宋体" w:hint="default"/>
                            <w:spacing w:val="-11"/>
                            <w:sz w:val="18"/>
                            <w:szCs w:val="18"/>
                          </w:rPr>
                          <w:t>，</w:t>
                        </w:r>
                        <w:r>
                          <w:rPr>
                            <w:rFonts w:ascii="宋体" w:hAnsi="宋体" w:cs="宋体" w:eastAsia="宋体" w:hint="default"/>
                            <w:sz w:val="18"/>
                            <w:szCs w:val="18"/>
                          </w:rPr>
                          <w:t>同意公司将子公司中文在</w:t>
                        </w:r>
                        <w:r>
                          <w:rPr>
                            <w:rFonts w:ascii="宋体" w:hAnsi="宋体" w:cs="宋体" w:eastAsia="宋体" w:hint="default"/>
                            <w:spacing w:val="-11"/>
                            <w:sz w:val="18"/>
                            <w:szCs w:val="18"/>
                          </w:rPr>
                          <w:t>线</w:t>
                        </w:r>
                        <w:r>
                          <w:rPr>
                            <w:rFonts w:ascii="宋体" w:hAnsi="宋体" w:cs="宋体" w:eastAsia="宋体" w:hint="default"/>
                            <w:sz w:val="18"/>
                            <w:szCs w:val="18"/>
                          </w:rPr>
                          <w:t>（天津</w:t>
                        </w:r>
                        <w:r>
                          <w:rPr>
                            <w:rFonts w:ascii="宋体" w:hAnsi="宋体" w:cs="宋体" w:eastAsia="宋体" w:hint="default"/>
                            <w:spacing w:val="-11"/>
                            <w:sz w:val="18"/>
                            <w:szCs w:val="18"/>
                          </w:rPr>
                          <w:t>）</w:t>
                        </w:r>
                        <w:r>
                          <w:rPr>
                            <w:rFonts w:ascii="宋体" w:hAnsi="宋体" w:cs="宋体" w:eastAsia="宋体" w:hint="default"/>
                            <w:sz w:val="18"/>
                            <w:szCs w:val="18"/>
                          </w:rPr>
                          <w:t>文化发展有限公司增加为募投项目的实施主体</w:t>
                        </w:r>
                        <w:r>
                          <w:rPr>
                            <w:rFonts w:ascii="宋体" w:hAnsi="宋体" w:cs="宋体" w:eastAsia="宋体" w:hint="default"/>
                            <w:spacing w:val="-11"/>
                            <w:sz w:val="18"/>
                            <w:szCs w:val="18"/>
                          </w:rPr>
                          <w:t>，</w:t>
                        </w:r>
                        <w:r>
                          <w:rPr>
                            <w:rFonts w:ascii="宋体" w:hAnsi="宋体" w:cs="宋体" w:eastAsia="宋体" w:hint="default"/>
                            <w:sz w:val="18"/>
                            <w:szCs w:val="18"/>
                          </w:rPr>
                          <w:t>实施地点为天津</w:t>
                        </w:r>
                        <w:r>
                          <w:rPr>
                            <w:rFonts w:ascii="宋体" w:hAnsi="宋体" w:cs="宋体" w:eastAsia="宋体" w:hint="default"/>
                            <w:spacing w:val="-11"/>
                            <w:sz w:val="18"/>
                            <w:szCs w:val="18"/>
                          </w:rPr>
                          <w:t>。</w:t>
                        </w:r>
                        <w:r>
                          <w:rPr>
                            <w:rFonts w:ascii="宋体" w:hAnsi="宋体" w:cs="宋体" w:eastAsia="宋体" w:hint="default"/>
                            <w:sz w:val="18"/>
                            <w:szCs w:val="18"/>
                          </w:rPr>
                          <w:t>2</w:t>
                        </w:r>
                        <w:r>
                          <w:rPr>
                            <w:rFonts w:ascii="宋体" w:hAnsi="宋体" w:cs="宋体" w:eastAsia="宋体" w:hint="default"/>
                            <w:spacing w:val="-11"/>
                            <w:sz w:val="18"/>
                            <w:szCs w:val="18"/>
                          </w:rPr>
                          <w:t>、</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319" w:lineRule="auto" w:before="76"/>
                          <w:ind w:left="22" w:right="180"/>
                          <w:jc w:val="left"/>
                          <w:rPr>
                            <w:rFonts w:ascii="宋体" w:hAnsi="宋体" w:cs="宋体" w:eastAsia="宋体" w:hint="default"/>
                            <w:sz w:val="18"/>
                            <w:szCs w:val="18"/>
                          </w:rPr>
                        </w:pPr>
                        <w:r>
                          <w:rPr>
                            <w:rFonts w:ascii="宋体" w:hAnsi="宋体" w:cs="宋体" w:eastAsia="宋体" w:hint="default"/>
                            <w:sz w:val="18"/>
                            <w:szCs w:val="18"/>
                          </w:rPr>
                          <w:t>公司第三届董事会第七次会议及</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年第四次临时股东审议通过了《关于增加募投项目实施主体及部分变更募投项目实施地点的议 </w:t>
                        </w:r>
                        <w:r>
                          <w:rPr>
                            <w:rFonts w:ascii="宋体" w:hAnsi="宋体" w:cs="宋体" w:eastAsia="宋体" w:hint="default"/>
                            <w:spacing w:val="-3"/>
                            <w:sz w:val="18"/>
                            <w:szCs w:val="18"/>
                          </w:rPr>
                          <w:t>案》，同意公司将子公司邯郸中文在线文化发展有限公司增加为募投项目的实施主体。</w:t>
                        </w:r>
                      </w:p>
                    </w:tc>
                  </w:tr>
                  <w:tr>
                    <w:trPr>
                      <w:trHeight w:val="714"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8"/>
                          <w:jc w:val="left"/>
                          <w:rPr>
                            <w:rFonts w:ascii="宋体" w:hAnsi="宋体" w:cs="宋体" w:eastAsia="宋体" w:hint="default"/>
                            <w:sz w:val="18"/>
                            <w:szCs w:val="18"/>
                          </w:rPr>
                        </w:pPr>
                        <w:r>
                          <w:rPr>
                            <w:rFonts w:ascii="宋体" w:hAnsi="宋体" w:cs="宋体" w:eastAsia="宋体" w:hint="default"/>
                            <w:sz w:val="18"/>
                            <w:szCs w:val="18"/>
                          </w:rPr>
                          <w:t>募集资金投资项目实施方式 调整情况</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22" w:right="198"/>
                          <w:jc w:val="left"/>
                          <w:rPr>
                            <w:rFonts w:ascii="宋体" w:hAnsi="宋体" w:cs="宋体" w:eastAsia="宋体" w:hint="default"/>
                            <w:sz w:val="18"/>
                            <w:szCs w:val="18"/>
                          </w:rPr>
                        </w:pPr>
                        <w:r>
                          <w:rPr>
                            <w:rFonts w:ascii="宋体" w:hAnsi="宋体" w:cs="宋体" w:eastAsia="宋体" w:hint="default"/>
                            <w:sz w:val="18"/>
                            <w:szCs w:val="18"/>
                          </w:rPr>
                          <w:t>募集资金投资项目先期投入 及置换情况</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210"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、公司于</w:t>
                        </w:r>
                        <w:r>
                          <w:rPr>
                            <w:rFonts w:ascii="宋体" w:hAnsi="宋体" w:cs="宋体" w:eastAsia="宋体" w:hint="default"/>
                            <w:spacing w:val="-50"/>
                            <w:sz w:val="18"/>
                            <w:szCs w:val="18"/>
                          </w:rPr>
                          <w:t> </w:t>
                        </w:r>
                        <w:r>
                          <w:rPr>
                            <w:rFonts w:ascii="宋体" w:hAnsi="宋体" w:cs="宋体" w:eastAsia="宋体" w:hint="default"/>
                            <w:sz w:val="18"/>
                            <w:szCs w:val="18"/>
                          </w:rPr>
                          <w:t>2016</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8</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23</w:t>
                        </w:r>
                        <w:r>
                          <w:rPr>
                            <w:rFonts w:ascii="宋体" w:hAnsi="宋体" w:cs="宋体" w:eastAsia="宋体" w:hint="default"/>
                            <w:spacing w:val="-50"/>
                            <w:sz w:val="18"/>
                            <w:szCs w:val="18"/>
                          </w:rPr>
                          <w:t> </w:t>
                        </w:r>
                        <w:r>
                          <w:rPr>
                            <w:rFonts w:ascii="宋体" w:hAnsi="宋体" w:cs="宋体" w:eastAsia="宋体" w:hint="default"/>
                            <w:sz w:val="18"/>
                            <w:szCs w:val="18"/>
                          </w:rPr>
                          <w:t>日召开第二届董事会第三十四次会议，审议通过了《关于使用募集资金置换预先投入募投项目自筹资金的议</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案</w:t>
                        </w:r>
                        <w:r>
                          <w:rPr>
                            <w:rFonts w:ascii="宋体" w:hAnsi="宋体" w:cs="宋体" w:eastAsia="宋体" w:hint="default"/>
                            <w:spacing w:val="-90"/>
                            <w:sz w:val="18"/>
                            <w:szCs w:val="18"/>
                          </w:rPr>
                          <w:t>》</w:t>
                        </w:r>
                        <w:r>
                          <w:rPr>
                            <w:rFonts w:ascii="宋体" w:hAnsi="宋体" w:cs="宋体" w:eastAsia="宋体" w:hint="default"/>
                            <w:spacing w:val="-5"/>
                            <w:sz w:val="18"/>
                            <w:szCs w:val="18"/>
                          </w:rPr>
                          <w:t>，</w:t>
                        </w: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pacing w:val="1"/>
                            <w:sz w:val="18"/>
                            <w:szCs w:val="18"/>
                          </w:rPr>
                          <w:t>日</w:t>
                        </w:r>
                        <w:r>
                          <w:rPr>
                            <w:rFonts w:ascii="宋体" w:hAnsi="宋体" w:cs="宋体" w:eastAsia="宋体" w:hint="default"/>
                            <w:spacing w:val="-5"/>
                            <w:sz w:val="18"/>
                            <w:szCs w:val="18"/>
                          </w:rPr>
                          <w:t>，</w:t>
                        </w:r>
                        <w:r>
                          <w:rPr>
                            <w:rFonts w:ascii="宋体" w:hAnsi="宋体" w:cs="宋体" w:eastAsia="宋体" w:hint="default"/>
                            <w:sz w:val="18"/>
                            <w:szCs w:val="18"/>
                          </w:rPr>
                          <w:t>公司以自筹资金预先投入募投项目的实际金额为</w:t>
                        </w:r>
                        <w:r>
                          <w:rPr>
                            <w:rFonts w:ascii="宋体" w:hAnsi="宋体" w:cs="宋体" w:eastAsia="宋体" w:hint="default"/>
                            <w:spacing w:val="-46"/>
                            <w:sz w:val="18"/>
                            <w:szCs w:val="18"/>
                          </w:rPr>
                          <w:t> </w:t>
                        </w:r>
                        <w:r>
                          <w:rPr>
                            <w:rFonts w:ascii="宋体" w:hAnsi="宋体" w:cs="宋体" w:eastAsia="宋体" w:hint="default"/>
                            <w:sz w:val="18"/>
                            <w:szCs w:val="18"/>
                          </w:rPr>
                          <w:t>88,675,609.54</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pacing w:val="-5"/>
                            <w:sz w:val="18"/>
                            <w:szCs w:val="18"/>
                          </w:rPr>
                          <w:t>。</w:t>
                        </w:r>
                        <w:r>
                          <w:rPr>
                            <w:rFonts w:ascii="宋体" w:hAnsi="宋体" w:cs="宋体" w:eastAsia="宋体" w:hint="default"/>
                            <w:sz w:val="18"/>
                            <w:szCs w:val="18"/>
                          </w:rPr>
                          <w:t>2</w:t>
                        </w:r>
                        <w:r>
                          <w:rPr>
                            <w:rFonts w:ascii="宋体" w:hAnsi="宋体" w:cs="宋体" w:eastAsia="宋体" w:hint="default"/>
                            <w:spacing w:val="-5"/>
                            <w:sz w:val="18"/>
                            <w:szCs w:val="18"/>
                          </w:rPr>
                          <w:t>、</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pacing w:val="1"/>
                            <w:sz w:val="18"/>
                            <w:szCs w:val="18"/>
                          </w:rPr>
                          <w:t>3</w:t>
                        </w:r>
                        <w:r>
                          <w:rPr>
                            <w:rFonts w:ascii="宋体" w:hAnsi="宋体" w:cs="宋体" w:eastAsia="宋体" w:hint="default"/>
                            <w:sz w:val="18"/>
                            <w:szCs w:val="18"/>
                          </w:rPr>
                          <w:t>0</w:t>
                        </w:r>
                        <w:r>
                          <w:rPr>
                            <w:rFonts w:ascii="宋体" w:hAnsi="宋体" w:cs="宋体" w:eastAsia="宋体" w:hint="default"/>
                            <w:spacing w:val="-46"/>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召开</w:t>
                        </w:r>
                      </w:p>
                      <w:p>
                        <w:pPr>
                          <w:pStyle w:val="TableParagraph"/>
                          <w:spacing w:line="316" w:lineRule="auto" w:before="76"/>
                          <w:ind w:left="22" w:right="22"/>
                          <w:jc w:val="left"/>
                          <w:rPr>
                            <w:rFonts w:ascii="宋体" w:hAnsi="宋体" w:cs="宋体" w:eastAsia="宋体" w:hint="default"/>
                            <w:sz w:val="18"/>
                            <w:szCs w:val="18"/>
                          </w:rPr>
                        </w:pPr>
                        <w:r>
                          <w:rPr>
                            <w:rFonts w:ascii="宋体" w:hAnsi="宋体" w:cs="宋体" w:eastAsia="宋体" w:hint="default"/>
                            <w:spacing w:val="-2"/>
                            <w:sz w:val="18"/>
                            <w:szCs w:val="18"/>
                          </w:rPr>
                          <w:t>第二届董事会第四十一次会议，审议通过了《关于使用募集资金置换预先投入募投项目自筹资金的议案》，自</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宋体" w:hAnsi="宋体" w:cs="宋体" w:eastAsia="宋体" w:hint="default"/>
                            <w:sz w:val="18"/>
                            <w:szCs w:val="18"/>
                          </w:rPr>
                          <w:t>2016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日止，以募集资金置换预先投入募投项目“基于</w:t>
                        </w:r>
                        <w:r>
                          <w:rPr>
                            <w:rFonts w:ascii="宋体" w:hAnsi="宋体" w:cs="宋体" w:eastAsia="宋体" w:hint="default"/>
                            <w:spacing w:val="-46"/>
                            <w:sz w:val="18"/>
                            <w:szCs w:val="18"/>
                          </w:rPr>
                          <w:t> </w:t>
                        </w:r>
                        <w:r>
                          <w:rPr>
                            <w:rFonts w:ascii="宋体" w:hAnsi="宋体" w:cs="宋体" w:eastAsia="宋体" w:hint="default"/>
                            <w:sz w:val="18"/>
                            <w:szCs w:val="18"/>
                          </w:rPr>
                          <w:t>IP</w:t>
                        </w:r>
                        <w:r>
                          <w:rPr>
                            <w:rFonts w:ascii="宋体" w:hAnsi="宋体" w:cs="宋体" w:eastAsia="宋体" w:hint="default"/>
                            <w:spacing w:val="-46"/>
                            <w:sz w:val="18"/>
                            <w:szCs w:val="18"/>
                          </w:rPr>
                          <w:t> </w:t>
                        </w:r>
                        <w:r>
                          <w:rPr>
                            <w:rFonts w:ascii="宋体" w:hAnsi="宋体" w:cs="宋体" w:eastAsia="宋体" w:hint="default"/>
                            <w:sz w:val="18"/>
                            <w:szCs w:val="18"/>
                          </w:rPr>
                          <w:t>的泛娱乐数字内容生态系统建设项目”的自筹资金款项共计人民币 </w:t>
                        </w:r>
                        <w:r>
                          <w:rPr>
                            <w:rFonts w:ascii="宋体" w:hAnsi="宋体" w:cs="宋体" w:eastAsia="宋体" w:hint="default"/>
                            <w:sz w:val="18"/>
                            <w:szCs w:val="18"/>
                          </w:rPr>
                          <w:t>69,351,053.52</w:t>
                        </w:r>
                        <w:r>
                          <w:rPr>
                            <w:rFonts w:ascii="宋体" w:hAnsi="宋体" w:cs="宋体" w:eastAsia="宋体" w:hint="default"/>
                            <w:spacing w:val="-49"/>
                            <w:sz w:val="18"/>
                            <w:szCs w:val="18"/>
                          </w:rPr>
                          <w:t> </w:t>
                        </w:r>
                        <w:r>
                          <w:rPr>
                            <w:rFonts w:ascii="宋体" w:hAnsi="宋体" w:cs="宋体" w:eastAsia="宋体" w:hint="default"/>
                            <w:spacing w:val="-8"/>
                            <w:sz w:val="18"/>
                            <w:szCs w:val="18"/>
                          </w:rPr>
                          <w:t>元，自</w:t>
                        </w:r>
                        <w:r>
                          <w:rPr>
                            <w:rFonts w:ascii="宋体" w:hAnsi="宋体" w:cs="宋体" w:eastAsia="宋体" w:hint="default"/>
                            <w:spacing w:val="-49"/>
                            <w:sz w:val="18"/>
                            <w:szCs w:val="18"/>
                          </w:rPr>
                          <w:t> </w:t>
                        </w:r>
                        <w:r>
                          <w:rPr>
                            <w:rFonts w:ascii="宋体" w:hAnsi="宋体" w:cs="宋体" w:eastAsia="宋体" w:hint="default"/>
                            <w:sz w:val="18"/>
                            <w:szCs w:val="18"/>
                          </w:rPr>
                          <w:t>2016</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1</w:t>
                        </w:r>
                        <w:r>
                          <w:rPr>
                            <w:rFonts w:ascii="宋体" w:hAnsi="宋体" w:cs="宋体" w:eastAsia="宋体" w:hint="default"/>
                            <w:spacing w:val="-49"/>
                            <w:sz w:val="18"/>
                            <w:szCs w:val="18"/>
                          </w:rPr>
                          <w:t> </w:t>
                        </w:r>
                        <w:r>
                          <w:rPr>
                            <w:rFonts w:ascii="宋体" w:hAnsi="宋体" w:cs="宋体" w:eastAsia="宋体" w:hint="default"/>
                            <w:sz w:val="18"/>
                            <w:szCs w:val="18"/>
                          </w:rPr>
                          <w:t>日至</w:t>
                        </w:r>
                        <w:r>
                          <w:rPr>
                            <w:rFonts w:ascii="宋体" w:hAnsi="宋体" w:cs="宋体" w:eastAsia="宋体" w:hint="default"/>
                            <w:spacing w:val="-49"/>
                            <w:sz w:val="18"/>
                            <w:szCs w:val="18"/>
                          </w:rPr>
                          <w:t> </w:t>
                        </w:r>
                        <w:r>
                          <w:rPr>
                            <w:rFonts w:ascii="宋体" w:hAnsi="宋体" w:cs="宋体" w:eastAsia="宋体" w:hint="default"/>
                            <w:sz w:val="18"/>
                            <w:szCs w:val="18"/>
                          </w:rPr>
                          <w:t>2016</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10</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31</w:t>
                        </w:r>
                        <w:r>
                          <w:rPr>
                            <w:rFonts w:ascii="宋体" w:hAnsi="宋体" w:cs="宋体" w:eastAsia="宋体" w:hint="default"/>
                            <w:spacing w:val="-49"/>
                            <w:sz w:val="18"/>
                            <w:szCs w:val="18"/>
                          </w:rPr>
                          <w:t> </w:t>
                        </w:r>
                        <w:r>
                          <w:rPr>
                            <w:rFonts w:ascii="宋体" w:hAnsi="宋体" w:cs="宋体" w:eastAsia="宋体" w:hint="default"/>
                            <w:sz w:val="18"/>
                            <w:szCs w:val="18"/>
                          </w:rPr>
                          <w:t>日止，公司以自筹资金预先投入募集资金投资项目“在线教育平台及资源建</w:t>
                        </w:r>
                      </w:p>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设项目”的款项共计人民币</w:t>
                        </w:r>
                        <w:r>
                          <w:rPr>
                            <w:rFonts w:ascii="宋体" w:hAnsi="宋体" w:cs="宋体" w:eastAsia="宋体" w:hint="default"/>
                            <w:spacing w:val="-46"/>
                            <w:sz w:val="18"/>
                            <w:szCs w:val="18"/>
                          </w:rPr>
                          <w:t> </w:t>
                        </w:r>
                        <w:r>
                          <w:rPr>
                            <w:rFonts w:ascii="宋体" w:hAnsi="宋体" w:cs="宋体" w:eastAsia="宋体" w:hint="default"/>
                            <w:sz w:val="18"/>
                            <w:szCs w:val="18"/>
                          </w:rPr>
                          <w:t>11,183,504.82</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z w:val="18"/>
                            <w:szCs w:val="18"/>
                          </w:rPr>
                          <w:t>3</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日召开第三届董事会第十次会议，审议通过了《关于使用</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募集资金置换预先投入募投项目自筹资金的议案</w:t>
                        </w:r>
                        <w:r>
                          <w:rPr>
                            <w:rFonts w:ascii="宋体" w:hAnsi="宋体" w:cs="宋体" w:eastAsia="宋体" w:hint="default"/>
                            <w:spacing w:val="-90"/>
                            <w:sz w:val="18"/>
                            <w:szCs w:val="18"/>
                          </w:rPr>
                          <w:t>》</w:t>
                        </w: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pacing w:val="1"/>
                            <w:sz w:val="18"/>
                            <w:szCs w:val="18"/>
                          </w:rPr>
                          <w:t>1</w:t>
                        </w:r>
                        <w:r>
                          <w:rPr>
                            <w:rFonts w:ascii="宋体" w:hAnsi="宋体" w:cs="宋体" w:eastAsia="宋体" w:hint="default"/>
                            <w:sz w:val="18"/>
                            <w:szCs w:val="18"/>
                          </w:rPr>
                          <w:t>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日止，</w:t>
                        </w:r>
                        <w:r>
                          <w:rPr>
                            <w:rFonts w:ascii="宋体" w:hAnsi="宋体" w:cs="宋体" w:eastAsia="宋体" w:hint="default"/>
                            <w:spacing w:val="1"/>
                            <w:sz w:val="18"/>
                            <w:szCs w:val="18"/>
                          </w:rPr>
                          <w:t>公</w:t>
                        </w:r>
                        <w:r>
                          <w:rPr>
                            <w:rFonts w:ascii="宋体" w:hAnsi="宋体" w:cs="宋体" w:eastAsia="宋体" w:hint="default"/>
                            <w:sz w:val="18"/>
                            <w:szCs w:val="18"/>
                          </w:rPr>
                          <w:t>司拟置换的以自筹资金预先投入</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募集资金投资项目“在线教育平台及资源建设项目”的款项共计人民币</w:t>
                        </w:r>
                        <w:r>
                          <w:rPr>
                            <w:rFonts w:ascii="宋体" w:hAnsi="宋体" w:cs="宋体" w:eastAsia="宋体" w:hint="default"/>
                            <w:spacing w:val="-46"/>
                            <w:sz w:val="18"/>
                            <w:szCs w:val="18"/>
                          </w:rPr>
                          <w:t> </w:t>
                        </w:r>
                        <w:r>
                          <w:rPr>
                            <w:rFonts w:ascii="宋体" w:hAnsi="宋体" w:cs="宋体" w:eastAsia="宋体" w:hint="default"/>
                            <w:sz w:val="18"/>
                            <w:szCs w:val="18"/>
                          </w:rPr>
                          <w:t>29,732,747.99</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z w:val="18"/>
                            <w:szCs w:val="18"/>
                          </w:rPr>
                          <w:t>4</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6"/>
                            <w:sz w:val="18"/>
                            <w:szCs w:val="18"/>
                          </w:rPr>
                          <w:t> </w:t>
                        </w:r>
                        <w:r>
                          <w:rPr>
                            <w:rFonts w:ascii="宋体" w:hAnsi="宋体" w:cs="宋体" w:eastAsia="宋体" w:hint="default"/>
                            <w:sz w:val="18"/>
                            <w:szCs w:val="18"/>
                          </w:rPr>
                          <w:t>日召开第三届</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董事会第十九次会议，审议通过了《关于使用募集资金置换预先投入募投项目自筹资金的议案</w:t>
                        </w:r>
                        <w:r>
                          <w:rPr>
                            <w:rFonts w:ascii="宋体" w:hAnsi="宋体" w:cs="宋体" w:eastAsia="宋体" w:hint="default"/>
                            <w:spacing w:val="-90"/>
                            <w:sz w:val="18"/>
                            <w:szCs w:val="18"/>
                          </w:rPr>
                          <w:t>》</w:t>
                        </w: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pacing w:val="1"/>
                            <w:sz w:val="18"/>
                            <w:szCs w:val="18"/>
                          </w:rPr>
                          <w:t>1</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1"/>
                            <w:sz w:val="18"/>
                            <w:szCs w:val="18"/>
                          </w:rPr>
                          <w:t>1</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8"/>
                          <w:ind w:left="22" w:right="0"/>
                          <w:jc w:val="left"/>
                          <w:rPr>
                            <w:rFonts w:ascii="宋体" w:hAnsi="宋体" w:cs="宋体" w:eastAsia="宋体" w:hint="default"/>
                            <w:sz w:val="18"/>
                            <w:szCs w:val="18"/>
                          </w:rPr>
                        </w:pPr>
                        <w:r>
                          <w:rPr>
                            <w:rFonts w:ascii="宋体" w:hAnsi="宋体" w:cs="宋体" w:eastAsia="宋体" w:hint="default"/>
                            <w:sz w:val="18"/>
                            <w:szCs w:val="18"/>
                          </w:rPr>
                          <w:t>31</w:t>
                        </w:r>
                        <w:r>
                          <w:rPr>
                            <w:rFonts w:ascii="宋体" w:hAnsi="宋体" w:cs="宋体" w:eastAsia="宋体" w:hint="default"/>
                            <w:spacing w:val="-68"/>
                            <w:sz w:val="18"/>
                            <w:szCs w:val="18"/>
                          </w:rPr>
                          <w:t> </w:t>
                        </w:r>
                        <w:r>
                          <w:rPr>
                            <w:rFonts w:ascii="宋体" w:hAnsi="宋体" w:cs="宋体" w:eastAsia="宋体" w:hint="default"/>
                            <w:sz w:val="18"/>
                            <w:szCs w:val="18"/>
                          </w:rPr>
                          <w:t>日止，公司拟置换的以自筹资金预先投入募集资金投资项目“在线教育平台及资源建设项目”的款项共计人民币</w:t>
                        </w:r>
                        <w:r>
                          <w:rPr>
                            <w:rFonts w:ascii="宋体" w:hAnsi="宋体" w:cs="宋体" w:eastAsia="宋体" w:hint="default"/>
                            <w:spacing w:val="-68"/>
                            <w:sz w:val="18"/>
                            <w:szCs w:val="18"/>
                          </w:rPr>
                          <w:t> </w:t>
                        </w:r>
                        <w:r>
                          <w:rPr>
                            <w:rFonts w:ascii="宋体" w:hAnsi="宋体" w:cs="宋体" w:eastAsia="宋体" w:hint="default"/>
                            <w:sz w:val="18"/>
                            <w:szCs w:val="18"/>
                          </w:rPr>
                          <w:t>87,008,856.03</w:t>
                        </w:r>
                        <w:r>
                          <w:rPr>
                            <w:rFonts w:ascii="宋体" w:hAnsi="宋体" w:cs="宋体" w:eastAsia="宋体" w:hint="default"/>
                            <w:spacing w:val="-68"/>
                            <w:sz w:val="18"/>
                            <w:szCs w:val="18"/>
                          </w:rPr>
                          <w:t> </w:t>
                        </w:r>
                        <w:r>
                          <w:rPr>
                            <w:rFonts w:ascii="宋体" w:hAnsi="宋体" w:cs="宋体" w:eastAsia="宋体" w:hint="default"/>
                            <w:sz w:val="18"/>
                            <w:szCs w:val="18"/>
                          </w:rPr>
                          <w:t>元</w:t>
                        </w:r>
                      </w:p>
                    </w:tc>
                  </w:tr>
                  <w:tr>
                    <w:trPr>
                      <w:trHeight w:val="402"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0"/>
                          <w:ind w:left="22" w:right="198"/>
                          <w:jc w:val="left"/>
                          <w:rPr>
                            <w:rFonts w:ascii="宋体" w:hAnsi="宋体" w:cs="宋体" w:eastAsia="宋体" w:hint="default"/>
                            <w:sz w:val="18"/>
                            <w:szCs w:val="18"/>
                          </w:rPr>
                        </w:pPr>
                        <w:r>
                          <w:rPr>
                            <w:rFonts w:ascii="宋体" w:hAnsi="宋体" w:cs="宋体" w:eastAsia="宋体" w:hint="default"/>
                            <w:sz w:val="18"/>
                            <w:szCs w:val="18"/>
                          </w:rPr>
                          <w:t>用闲置募集资金暂时补充流 动资金情况</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922"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、公司于</w:t>
                        </w:r>
                        <w:r>
                          <w:rPr>
                            <w:rFonts w:ascii="宋体" w:hAnsi="宋体" w:cs="宋体" w:eastAsia="宋体" w:hint="default"/>
                            <w:spacing w:val="-50"/>
                            <w:sz w:val="18"/>
                            <w:szCs w:val="18"/>
                          </w:rPr>
                          <w:t> </w:t>
                        </w:r>
                        <w:r>
                          <w:rPr>
                            <w:rFonts w:ascii="宋体" w:hAnsi="宋体" w:cs="宋体" w:eastAsia="宋体" w:hint="default"/>
                            <w:sz w:val="18"/>
                            <w:szCs w:val="18"/>
                          </w:rPr>
                          <w:t>2016</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8</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23</w:t>
                        </w:r>
                        <w:r>
                          <w:rPr>
                            <w:rFonts w:ascii="宋体" w:hAnsi="宋体" w:cs="宋体" w:eastAsia="宋体" w:hint="default"/>
                            <w:spacing w:val="-50"/>
                            <w:sz w:val="18"/>
                            <w:szCs w:val="18"/>
                          </w:rPr>
                          <w:t> </w:t>
                        </w:r>
                        <w:r>
                          <w:rPr>
                            <w:rFonts w:ascii="宋体" w:hAnsi="宋体" w:cs="宋体" w:eastAsia="宋体" w:hint="default"/>
                            <w:sz w:val="18"/>
                            <w:szCs w:val="18"/>
                          </w:rPr>
                          <w:t>日召开第二届董事会第三十四次会议及第二届监事会第二十三次会议，审议通过了《关于使用部分闲置募集</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资金暂时补充流动资金的议案</w:t>
                        </w:r>
                        <w:r>
                          <w:rPr>
                            <w:rFonts w:ascii="宋体" w:hAnsi="宋体" w:cs="宋体" w:eastAsia="宋体" w:hint="default"/>
                            <w:spacing w:val="-90"/>
                            <w:sz w:val="18"/>
                            <w:szCs w:val="18"/>
                          </w:rPr>
                          <w:t>》</w:t>
                        </w:r>
                        <w:r>
                          <w:rPr>
                            <w:rFonts w:ascii="宋体" w:hAnsi="宋体" w:cs="宋体" w:eastAsia="宋体" w:hint="default"/>
                            <w:spacing w:val="-56"/>
                            <w:sz w:val="18"/>
                            <w:szCs w:val="18"/>
                          </w:rPr>
                          <w:t>。</w:t>
                        </w:r>
                        <w:r>
                          <w:rPr>
                            <w:rFonts w:ascii="宋体" w:hAnsi="宋体" w:cs="宋体" w:eastAsia="宋体" w:hint="default"/>
                            <w:sz w:val="18"/>
                            <w:szCs w:val="18"/>
                          </w:rPr>
                          <w:t>公司使用部分闲置募集资</w:t>
                        </w:r>
                        <w:r>
                          <w:rPr>
                            <w:rFonts w:ascii="宋体" w:hAnsi="宋体" w:cs="宋体" w:eastAsia="宋体" w:hint="default"/>
                            <w:spacing w:val="-46"/>
                            <w:sz w:val="18"/>
                            <w:szCs w:val="18"/>
                          </w:rPr>
                          <w:t> </w:t>
                        </w:r>
                        <w:r>
                          <w:rPr>
                            <w:rFonts w:ascii="宋体" w:hAnsi="宋体" w:cs="宋体" w:eastAsia="宋体" w:hint="default"/>
                            <w:sz w:val="18"/>
                            <w:szCs w:val="18"/>
                          </w:rPr>
                          <w:t>50,000</w:t>
                        </w:r>
                        <w:r>
                          <w:rPr>
                            <w:rFonts w:ascii="宋体" w:hAnsi="宋体" w:cs="宋体" w:eastAsia="宋体" w:hint="default"/>
                            <w:spacing w:val="-46"/>
                            <w:sz w:val="18"/>
                            <w:szCs w:val="18"/>
                          </w:rPr>
                          <w:t> </w:t>
                        </w:r>
                        <w:r>
                          <w:rPr>
                            <w:rFonts w:ascii="宋体" w:hAnsi="宋体" w:cs="宋体" w:eastAsia="宋体" w:hint="default"/>
                            <w:sz w:val="18"/>
                            <w:szCs w:val="18"/>
                          </w:rPr>
                          <w:t>万</w:t>
                        </w:r>
                        <w:r>
                          <w:rPr>
                            <w:rFonts w:ascii="宋体" w:hAnsi="宋体" w:cs="宋体" w:eastAsia="宋体" w:hint="default"/>
                            <w:spacing w:val="1"/>
                            <w:sz w:val="18"/>
                            <w:szCs w:val="18"/>
                          </w:rPr>
                          <w:t>元</w:t>
                        </w:r>
                        <w:r>
                          <w:rPr>
                            <w:rFonts w:ascii="宋体" w:hAnsi="宋体" w:cs="宋体" w:eastAsia="宋体" w:hint="default"/>
                            <w:sz w:val="18"/>
                            <w:szCs w:val="18"/>
                          </w:rPr>
                          <w:t>暂时补充流动资金</w:t>
                        </w:r>
                        <w:r>
                          <w:rPr>
                            <w:rFonts w:ascii="宋体" w:hAnsi="宋体" w:cs="宋体" w:eastAsia="宋体" w:hint="default"/>
                            <w:spacing w:val="-56"/>
                            <w:sz w:val="18"/>
                            <w:szCs w:val="18"/>
                          </w:rPr>
                          <w:t>，</w:t>
                        </w:r>
                        <w:r>
                          <w:rPr>
                            <w:rFonts w:ascii="宋体" w:hAnsi="宋体" w:cs="宋体" w:eastAsia="宋体" w:hint="default"/>
                            <w:sz w:val="18"/>
                            <w:szCs w:val="18"/>
                          </w:rPr>
                          <w:t>使用期限不超过董事会批准之日起</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个月</w:t>
                        </w:r>
                      </w:p>
                      <w:p>
                        <w:pPr>
                          <w:pStyle w:val="TableParagraph"/>
                          <w:spacing w:line="316" w:lineRule="auto" w:before="76"/>
                          <w:ind w:left="22" w:right="23"/>
                          <w:jc w:val="left"/>
                          <w:rPr>
                            <w:rFonts w:ascii="宋体" w:hAnsi="宋体" w:cs="宋体" w:eastAsia="宋体" w:hint="default"/>
                            <w:sz w:val="18"/>
                            <w:szCs w:val="18"/>
                          </w:rPr>
                        </w:pPr>
                        <w:r>
                          <w:rPr>
                            <w:rFonts w:ascii="宋体" w:hAnsi="宋体" w:cs="宋体" w:eastAsia="宋体" w:hint="default"/>
                            <w:sz w:val="18"/>
                            <w:szCs w:val="18"/>
                          </w:rPr>
                          <w:t>到期将归还至募集资金专户。该部分募集资金已于</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日全部归还至募集资金专户。</w:t>
                        </w:r>
                        <w:r>
                          <w:rPr>
                            <w:rFonts w:ascii="宋体" w:hAnsi="宋体" w:cs="宋体" w:eastAsia="宋体" w:hint="default"/>
                            <w:sz w:val="18"/>
                            <w:szCs w:val="18"/>
                          </w:rPr>
                          <w:t>2</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日召开第 </w:t>
                        </w:r>
                        <w:r>
                          <w:rPr>
                            <w:rFonts w:ascii="宋体" w:hAnsi="宋体" w:cs="宋体" w:eastAsia="宋体" w:hint="default"/>
                            <w:spacing w:val="-2"/>
                            <w:sz w:val="18"/>
                            <w:szCs w:val="18"/>
                          </w:rPr>
                          <w:t>二届董事会第三十七次会议及第二届监事会第二十六次会议，审议通过了《关于使用部分闲置募集资金暂时补充流动资金的议案》。公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司使用部分闲置募集资</w:t>
                        </w:r>
                        <w:r>
                          <w:rPr>
                            <w:rFonts w:ascii="宋体" w:hAnsi="宋体" w:cs="宋体" w:eastAsia="宋体" w:hint="default"/>
                            <w:spacing w:val="-52"/>
                            <w:sz w:val="18"/>
                            <w:szCs w:val="18"/>
                          </w:rPr>
                          <w:t> </w:t>
                        </w:r>
                        <w:r>
                          <w:rPr>
                            <w:rFonts w:ascii="宋体" w:hAnsi="宋体" w:cs="宋体" w:eastAsia="宋体" w:hint="default"/>
                            <w:sz w:val="18"/>
                            <w:szCs w:val="18"/>
                          </w:rPr>
                          <w:t>115,000</w:t>
                        </w:r>
                        <w:r>
                          <w:rPr>
                            <w:rFonts w:ascii="宋体" w:hAnsi="宋体" w:cs="宋体" w:eastAsia="宋体" w:hint="default"/>
                            <w:spacing w:val="-52"/>
                            <w:sz w:val="18"/>
                            <w:szCs w:val="18"/>
                          </w:rPr>
                          <w:t> </w:t>
                        </w:r>
                        <w:r>
                          <w:rPr>
                            <w:rFonts w:ascii="宋体" w:hAnsi="宋体" w:cs="宋体" w:eastAsia="宋体" w:hint="default"/>
                            <w:sz w:val="18"/>
                            <w:szCs w:val="18"/>
                          </w:rPr>
                          <w:t>万元暂时补充流动资金，使用期限不超过董事会批准之日起</w:t>
                        </w:r>
                        <w:r>
                          <w:rPr>
                            <w:rFonts w:ascii="宋体" w:hAnsi="宋体" w:cs="宋体" w:eastAsia="宋体" w:hint="default"/>
                            <w:spacing w:val="-52"/>
                            <w:sz w:val="18"/>
                            <w:szCs w:val="18"/>
                          </w:rPr>
                          <w:t> </w:t>
                        </w:r>
                        <w:r>
                          <w:rPr>
                            <w:rFonts w:ascii="宋体" w:hAnsi="宋体" w:cs="宋体" w:eastAsia="宋体" w:hint="default"/>
                            <w:sz w:val="18"/>
                            <w:szCs w:val="18"/>
                          </w:rPr>
                          <w:t>12</w:t>
                        </w:r>
                        <w:r>
                          <w:rPr>
                            <w:rFonts w:ascii="宋体" w:hAnsi="宋体" w:cs="宋体" w:eastAsia="宋体" w:hint="default"/>
                            <w:spacing w:val="-52"/>
                            <w:sz w:val="18"/>
                            <w:szCs w:val="18"/>
                          </w:rPr>
                          <w:t> </w:t>
                        </w:r>
                        <w:r>
                          <w:rPr>
                            <w:rFonts w:ascii="宋体" w:hAnsi="宋体" w:cs="宋体" w:eastAsia="宋体" w:hint="default"/>
                            <w:sz w:val="18"/>
                            <w:szCs w:val="18"/>
                          </w:rPr>
                          <w:t>个月，到期将归还至募集资金专户。该</w:t>
                        </w:r>
                      </w:p>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部分募集资金已于</w:t>
                        </w:r>
                        <w:r>
                          <w:rPr>
                            <w:rFonts w:ascii="宋体" w:hAnsi="宋体" w:cs="宋体" w:eastAsia="宋体" w:hint="default"/>
                            <w:spacing w:val="-48"/>
                            <w:sz w:val="18"/>
                            <w:szCs w:val="18"/>
                          </w:rPr>
                          <w:t> </w:t>
                        </w:r>
                        <w:r>
                          <w:rPr>
                            <w:rFonts w:ascii="宋体" w:hAnsi="宋体" w:cs="宋体" w:eastAsia="宋体" w:hint="default"/>
                            <w:sz w:val="18"/>
                            <w:szCs w:val="18"/>
                          </w:rPr>
                          <w:t>2017</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9</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21</w:t>
                        </w:r>
                        <w:r>
                          <w:rPr>
                            <w:rFonts w:ascii="宋体" w:hAnsi="宋体" w:cs="宋体" w:eastAsia="宋体" w:hint="default"/>
                            <w:spacing w:val="-48"/>
                            <w:sz w:val="18"/>
                            <w:szCs w:val="18"/>
                          </w:rPr>
                          <w:t> </w:t>
                        </w:r>
                        <w:r>
                          <w:rPr>
                            <w:rFonts w:ascii="宋体" w:hAnsi="宋体" w:cs="宋体" w:eastAsia="宋体" w:hint="default"/>
                            <w:sz w:val="18"/>
                            <w:szCs w:val="18"/>
                          </w:rPr>
                          <w:t>日全部归还至募集资金专户。</w:t>
                        </w:r>
                        <w:r>
                          <w:rPr>
                            <w:rFonts w:ascii="宋体" w:hAnsi="宋体" w:cs="宋体" w:eastAsia="宋体" w:hint="default"/>
                            <w:sz w:val="18"/>
                            <w:szCs w:val="18"/>
                          </w:rPr>
                          <w:t>3</w:t>
                        </w:r>
                        <w:r>
                          <w:rPr>
                            <w:rFonts w:ascii="宋体" w:hAnsi="宋体" w:cs="宋体" w:eastAsia="宋体" w:hint="default"/>
                            <w:sz w:val="18"/>
                            <w:szCs w:val="18"/>
                          </w:rPr>
                          <w:t>、公司于</w:t>
                        </w:r>
                        <w:r>
                          <w:rPr>
                            <w:rFonts w:ascii="宋体" w:hAnsi="宋体" w:cs="宋体" w:eastAsia="宋体" w:hint="default"/>
                            <w:spacing w:val="-48"/>
                            <w:sz w:val="18"/>
                            <w:szCs w:val="18"/>
                          </w:rPr>
                          <w:t> </w:t>
                        </w:r>
                        <w:r>
                          <w:rPr>
                            <w:rFonts w:ascii="宋体" w:hAnsi="宋体" w:cs="宋体" w:eastAsia="宋体" w:hint="default"/>
                            <w:sz w:val="18"/>
                            <w:szCs w:val="18"/>
                          </w:rPr>
                          <w:t>2017</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9</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28</w:t>
                        </w:r>
                        <w:r>
                          <w:rPr>
                            <w:rFonts w:ascii="宋体" w:hAnsi="宋体" w:cs="宋体" w:eastAsia="宋体" w:hint="default"/>
                            <w:spacing w:val="-48"/>
                            <w:sz w:val="18"/>
                            <w:szCs w:val="18"/>
                          </w:rPr>
                          <w:t> </w:t>
                        </w:r>
                        <w:r>
                          <w:rPr>
                            <w:rFonts w:ascii="宋体" w:hAnsi="宋体" w:cs="宋体" w:eastAsia="宋体" w:hint="default"/>
                            <w:sz w:val="18"/>
                            <w:szCs w:val="18"/>
                          </w:rPr>
                          <w:t>日召开第三届董事会第五次会议及第三届监</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spacing w:before="44"/>
        <w:ind w:left="0" w:right="10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7"/>
          <w:szCs w:val="17"/>
        </w:rPr>
      </w:pPr>
    </w:p>
    <w:p>
      <w:pPr>
        <w:spacing w:before="44"/>
        <w:ind w:left="0" w:right="10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spacing w:before="44"/>
        <w:ind w:left="0" w:right="106"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6840" w:h="11910" w:orient="landscape"/>
          <w:pgMar w:header="867" w:footer="979" w:top="1060" w:bottom="1240" w:left="1300" w:right="1240"/>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2393"/>
        <w:gridCol w:w="1056"/>
        <w:gridCol w:w="10566"/>
      </w:tblGrid>
      <w:tr>
        <w:trPr>
          <w:trHeight w:val="1937" w:hRule="exact"/>
        </w:trPr>
        <w:tc>
          <w:tcPr>
            <w:tcW w:w="2393" w:type="dxa"/>
            <w:tcBorders>
              <w:top w:val="single" w:sz="15" w:space="0" w:color="000000"/>
              <w:left w:val="single" w:sz="4" w:space="0" w:color="000000"/>
              <w:bottom w:val="single" w:sz="4" w:space="0" w:color="000000"/>
              <w:right w:val="single" w:sz="4" w:space="0" w:color="000000"/>
            </w:tcBorders>
            <w:shd w:val="clear" w:color="auto" w:fill="D2D2D2"/>
          </w:tcPr>
          <w:p>
            <w:pPr/>
          </w:p>
        </w:tc>
        <w:tc>
          <w:tcPr>
            <w:tcW w:w="1056" w:type="dxa"/>
            <w:tcBorders>
              <w:top w:val="single" w:sz="15"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事会第五次会议，审议通过了《关于使用部分闲置募集资金暂时补充流动资金的议案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z w:val="18"/>
                <w:szCs w:val="18"/>
              </w:rPr>
              <w:t>。公司拟使用部分闲置募集资</w:t>
            </w:r>
            <w:r>
              <w:rPr>
                <w:rFonts w:ascii="宋体" w:hAnsi="宋体" w:cs="宋体" w:eastAsia="宋体" w:hint="default"/>
                <w:spacing w:val="-45"/>
                <w:sz w:val="18"/>
                <w:szCs w:val="18"/>
              </w:rPr>
              <w:t> </w:t>
            </w:r>
            <w:r>
              <w:rPr>
                <w:rFonts w:ascii="宋体" w:hAnsi="宋体" w:cs="宋体" w:eastAsia="宋体" w:hint="default"/>
                <w:sz w:val="18"/>
                <w:szCs w:val="18"/>
              </w:rPr>
              <w:t>84,000</w:t>
            </w:r>
            <w:r>
              <w:rPr>
                <w:rFonts w:ascii="宋体" w:hAnsi="宋体" w:cs="宋体" w:eastAsia="宋体" w:hint="default"/>
                <w:spacing w:val="-46"/>
                <w:sz w:val="18"/>
                <w:szCs w:val="18"/>
              </w:rPr>
              <w:t> </w:t>
            </w:r>
            <w:r>
              <w:rPr>
                <w:rFonts w:ascii="宋体" w:hAnsi="宋体" w:cs="宋体" w:eastAsia="宋体" w:hint="default"/>
                <w:spacing w:val="1"/>
                <w:sz w:val="18"/>
                <w:szCs w:val="18"/>
              </w:rPr>
              <w:t>万</w:t>
            </w:r>
            <w:r>
              <w:rPr>
                <w:rFonts w:ascii="宋体" w:hAnsi="宋体" w:cs="宋体" w:eastAsia="宋体" w:hint="default"/>
                <w:sz w:val="18"/>
                <w:szCs w:val="18"/>
              </w:rPr>
              <w:t>元暂时</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补充流动资金，使用期限不超过董事会批准之日起</w:t>
            </w:r>
            <w:r>
              <w:rPr>
                <w:rFonts w:ascii="宋体" w:hAnsi="宋体" w:cs="宋体" w:eastAsia="宋体" w:hint="default"/>
                <w:spacing w:val="-49"/>
                <w:sz w:val="18"/>
                <w:szCs w:val="18"/>
              </w:rPr>
              <w:t> </w:t>
            </w:r>
            <w:r>
              <w:rPr>
                <w:rFonts w:ascii="宋体" w:hAnsi="宋体" w:cs="宋体" w:eastAsia="宋体" w:hint="default"/>
                <w:sz w:val="18"/>
                <w:szCs w:val="18"/>
              </w:rPr>
              <w:t>12</w:t>
            </w:r>
            <w:r>
              <w:rPr>
                <w:rFonts w:ascii="宋体" w:hAnsi="宋体" w:cs="宋体" w:eastAsia="宋体" w:hint="default"/>
                <w:spacing w:val="-49"/>
                <w:sz w:val="18"/>
                <w:szCs w:val="18"/>
              </w:rPr>
              <w:t> </w:t>
            </w:r>
            <w:r>
              <w:rPr>
                <w:rFonts w:ascii="宋体" w:hAnsi="宋体" w:cs="宋体" w:eastAsia="宋体" w:hint="default"/>
                <w:sz w:val="18"/>
                <w:szCs w:val="18"/>
              </w:rPr>
              <w:t>个月，到期将归还至募集资金专户。该部分募集资金已于</w:t>
            </w:r>
            <w:r>
              <w:rPr>
                <w:rFonts w:ascii="宋体" w:hAnsi="宋体" w:cs="宋体" w:eastAsia="宋体" w:hint="default"/>
                <w:spacing w:val="-49"/>
                <w:sz w:val="18"/>
                <w:szCs w:val="18"/>
              </w:rPr>
              <w:t> </w:t>
            </w:r>
            <w:r>
              <w:rPr>
                <w:rFonts w:ascii="宋体" w:hAnsi="宋体" w:cs="宋体" w:eastAsia="宋体" w:hint="default"/>
                <w:sz w:val="18"/>
                <w:szCs w:val="18"/>
              </w:rPr>
              <w:t>2018</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6</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29</w:t>
            </w:r>
            <w:r>
              <w:rPr>
                <w:rFonts w:ascii="宋体" w:hAnsi="宋体" w:cs="宋体" w:eastAsia="宋体" w:hint="default"/>
                <w:spacing w:val="-48"/>
                <w:sz w:val="18"/>
                <w:szCs w:val="18"/>
              </w:rPr>
              <w:t> </w:t>
            </w:r>
            <w:r>
              <w:rPr>
                <w:rFonts w:ascii="宋体" w:hAnsi="宋体" w:cs="宋体" w:eastAsia="宋体" w:hint="default"/>
                <w:sz w:val="18"/>
                <w:szCs w:val="18"/>
              </w:rPr>
              <w:t>日全部</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归还至募集资金专户。</w:t>
            </w:r>
            <w:r>
              <w:rPr>
                <w:rFonts w:ascii="宋体" w:hAnsi="宋体" w:cs="宋体" w:eastAsia="宋体" w:hint="default"/>
                <w:sz w:val="18"/>
                <w:szCs w:val="18"/>
              </w:rPr>
              <w:t>4</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日召开第三届董事会第十七次会议及第三届监事会第十四次会议，审议通过了《关于</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z w:val="18"/>
                <w:szCs w:val="18"/>
              </w:rPr>
              <w:t>。公司拟使用部分闲置募集资</w:t>
            </w:r>
            <w:r>
              <w:rPr>
                <w:rFonts w:ascii="宋体" w:hAnsi="宋体" w:cs="宋体" w:eastAsia="宋体" w:hint="default"/>
                <w:spacing w:val="-46"/>
                <w:sz w:val="18"/>
                <w:szCs w:val="18"/>
              </w:rPr>
              <w:t> </w:t>
            </w:r>
            <w:r>
              <w:rPr>
                <w:rFonts w:ascii="宋体" w:hAnsi="宋体" w:cs="宋体" w:eastAsia="宋体" w:hint="default"/>
                <w:sz w:val="18"/>
                <w:szCs w:val="18"/>
              </w:rPr>
              <w:t>51,600</w:t>
            </w:r>
            <w:r>
              <w:rPr>
                <w:rFonts w:ascii="宋体" w:hAnsi="宋体" w:cs="宋体" w:eastAsia="宋体" w:hint="default"/>
                <w:spacing w:val="-46"/>
                <w:sz w:val="18"/>
                <w:szCs w:val="18"/>
              </w:rPr>
              <w:t> </w:t>
            </w:r>
            <w:r>
              <w:rPr>
                <w:rFonts w:ascii="宋体" w:hAnsi="宋体" w:cs="宋体" w:eastAsia="宋体" w:hint="default"/>
                <w:sz w:val="18"/>
                <w:szCs w:val="18"/>
              </w:rPr>
              <w:t>万元暂时补充流动资金，使用期限不超过董事</w:t>
            </w:r>
          </w:p>
          <w:p>
            <w:pPr>
              <w:pStyle w:val="TableParagraph"/>
              <w:spacing w:line="319" w:lineRule="auto" w:before="76"/>
              <w:ind w:left="22" w:right="92"/>
              <w:jc w:val="left"/>
              <w:rPr>
                <w:rFonts w:ascii="宋体" w:hAnsi="宋体" w:cs="宋体" w:eastAsia="宋体" w:hint="default"/>
                <w:sz w:val="18"/>
                <w:szCs w:val="18"/>
              </w:rPr>
            </w:pPr>
            <w:r>
              <w:rPr>
                <w:rFonts w:ascii="宋体" w:hAnsi="宋体" w:cs="宋体" w:eastAsia="宋体" w:hint="default"/>
                <w:sz w:val="18"/>
                <w:szCs w:val="18"/>
              </w:rPr>
              <w:t>会批准之日起</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个月，到期将归还至募集资金专户。截至</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年底，公司共归还募集资金</w:t>
            </w:r>
            <w:r>
              <w:rPr>
                <w:rFonts w:ascii="宋体" w:hAnsi="宋体" w:cs="宋体" w:eastAsia="宋体" w:hint="default"/>
                <w:spacing w:val="-46"/>
                <w:sz w:val="18"/>
                <w:szCs w:val="18"/>
              </w:rPr>
              <w:t> </w:t>
            </w:r>
            <w:r>
              <w:rPr>
                <w:rFonts w:ascii="宋体" w:hAnsi="宋体" w:cs="宋体" w:eastAsia="宋体" w:hint="default"/>
                <w:sz w:val="18"/>
                <w:szCs w:val="18"/>
              </w:rPr>
              <w:t>14,925</w:t>
            </w:r>
            <w:r>
              <w:rPr>
                <w:rFonts w:ascii="宋体" w:hAnsi="宋体" w:cs="宋体" w:eastAsia="宋体" w:hint="default"/>
                <w:spacing w:val="-46"/>
                <w:sz w:val="18"/>
                <w:szCs w:val="18"/>
              </w:rPr>
              <w:t> </w:t>
            </w:r>
            <w:r>
              <w:rPr>
                <w:rFonts w:ascii="宋体" w:hAnsi="宋体" w:cs="宋体" w:eastAsia="宋体" w:hint="default"/>
                <w:sz w:val="18"/>
                <w:szCs w:val="18"/>
              </w:rPr>
              <w:t>万元，剩余</w:t>
            </w:r>
            <w:r>
              <w:rPr>
                <w:rFonts w:ascii="宋体" w:hAnsi="宋体" w:cs="宋体" w:eastAsia="宋体" w:hint="default"/>
                <w:spacing w:val="-46"/>
                <w:sz w:val="18"/>
                <w:szCs w:val="18"/>
              </w:rPr>
              <w:t> </w:t>
            </w:r>
            <w:r>
              <w:rPr>
                <w:rFonts w:ascii="宋体" w:hAnsi="宋体" w:cs="宋体" w:eastAsia="宋体" w:hint="default"/>
                <w:sz w:val="18"/>
                <w:szCs w:val="18"/>
              </w:rPr>
              <w:t>36,675</w:t>
            </w:r>
            <w:r>
              <w:rPr>
                <w:rFonts w:ascii="宋体" w:hAnsi="宋体" w:cs="宋体" w:eastAsia="宋体" w:hint="default"/>
                <w:spacing w:val="-44"/>
                <w:sz w:val="18"/>
                <w:szCs w:val="18"/>
              </w:rPr>
              <w:t> </w:t>
            </w:r>
            <w:r>
              <w:rPr>
                <w:rFonts w:ascii="宋体" w:hAnsi="宋体" w:cs="宋体" w:eastAsia="宋体" w:hint="default"/>
                <w:sz w:val="18"/>
                <w:szCs w:val="18"/>
              </w:rPr>
              <w:t>万元将根据公 司募投项目开展进度在规定期限内适时进行归还。</w:t>
            </w:r>
          </w:p>
        </w:tc>
      </w:tr>
      <w:tr>
        <w:trPr>
          <w:trHeight w:val="714"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98"/>
              <w:jc w:val="left"/>
              <w:rPr>
                <w:rFonts w:ascii="宋体" w:hAnsi="宋体" w:cs="宋体" w:eastAsia="宋体" w:hint="default"/>
                <w:sz w:val="18"/>
                <w:szCs w:val="18"/>
              </w:rPr>
            </w:pPr>
            <w:r>
              <w:rPr>
                <w:rFonts w:ascii="宋体" w:hAnsi="宋体" w:cs="宋体" w:eastAsia="宋体" w:hint="default"/>
                <w:sz w:val="18"/>
                <w:szCs w:val="18"/>
              </w:rPr>
              <w:t>项目实施出现募集资金结余 的金额及原因</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98"/>
              <w:jc w:val="left"/>
              <w:rPr>
                <w:rFonts w:ascii="宋体" w:hAnsi="宋体" w:cs="宋体" w:eastAsia="宋体" w:hint="default"/>
                <w:sz w:val="18"/>
                <w:szCs w:val="18"/>
              </w:rPr>
            </w:pPr>
            <w:r>
              <w:rPr>
                <w:rFonts w:ascii="宋体" w:hAnsi="宋体" w:cs="宋体" w:eastAsia="宋体" w:hint="default"/>
                <w:sz w:val="18"/>
                <w:szCs w:val="18"/>
              </w:rPr>
              <w:t>尚未使用的募集资金用途及 去向</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存放于募集资金专用账户。</w:t>
            </w:r>
          </w:p>
        </w:tc>
      </w:tr>
      <w:tr>
        <w:trPr>
          <w:trHeight w:val="714"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98"/>
              <w:jc w:val="left"/>
              <w:rPr>
                <w:rFonts w:ascii="宋体" w:hAnsi="宋体" w:cs="宋体" w:eastAsia="宋体" w:hint="default"/>
                <w:sz w:val="18"/>
                <w:szCs w:val="18"/>
              </w:rPr>
            </w:pPr>
            <w:r>
              <w:rPr>
                <w:rFonts w:ascii="宋体" w:hAnsi="宋体" w:cs="宋体" w:eastAsia="宋体" w:hint="default"/>
                <w:sz w:val="18"/>
                <w:szCs w:val="18"/>
              </w:rPr>
              <w:t>募集资金使用及披露中存在 的问题或其他情况</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2"/>
        <w:rPr>
          <w:rFonts w:ascii="宋体" w:hAnsi="宋体" w:cs="宋体" w:eastAsia="宋体" w:hint="default"/>
          <w:sz w:val="19"/>
          <w:szCs w:val="19"/>
        </w:rPr>
      </w:pPr>
    </w:p>
    <w:p>
      <w:pPr>
        <w:spacing w:before="35"/>
        <w:ind w:left="140" w:right="5438" w:firstLine="0"/>
        <w:jc w:val="left"/>
        <w:rPr>
          <w:rFonts w:ascii="宋体" w:hAnsi="宋体" w:cs="宋体" w:eastAsia="宋体" w:hint="default"/>
          <w:sz w:val="21"/>
          <w:szCs w:val="21"/>
        </w:rPr>
      </w:pPr>
      <w:bookmarkStart w:name="（3）募集资金变更项目情况" w:id="51"/>
      <w:bookmarkEnd w:id="51"/>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）募集资金变更项目情况</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140" w:right="5438"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3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1402"/>
        <w:gridCol w:w="1405"/>
        <w:gridCol w:w="1400"/>
        <w:gridCol w:w="1404"/>
        <w:gridCol w:w="1402"/>
        <w:gridCol w:w="1399"/>
        <w:gridCol w:w="1400"/>
        <w:gridCol w:w="1399"/>
        <w:gridCol w:w="1402"/>
        <w:gridCol w:w="1400"/>
      </w:tblGrid>
      <w:tr>
        <w:trPr>
          <w:trHeight w:val="1026" w:hRule="exact"/>
        </w:trPr>
        <w:tc>
          <w:tcPr>
            <w:tcW w:w="1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55" w:right="0"/>
              <w:jc w:val="left"/>
              <w:rPr>
                <w:rFonts w:ascii="宋体" w:hAnsi="宋体" w:cs="宋体" w:eastAsia="宋体" w:hint="default"/>
                <w:sz w:val="18"/>
                <w:szCs w:val="18"/>
              </w:rPr>
            </w:pPr>
            <w:r>
              <w:rPr>
                <w:rFonts w:ascii="宋体" w:hAnsi="宋体" w:cs="宋体" w:eastAsia="宋体" w:hint="default"/>
                <w:sz w:val="18"/>
                <w:szCs w:val="18"/>
              </w:rPr>
              <w:t>变更后的项目</w:t>
            </w:r>
          </w:p>
        </w:tc>
        <w:tc>
          <w:tcPr>
            <w:tcW w:w="1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07" w:right="66" w:hanging="540"/>
              <w:jc w:val="left"/>
              <w:rPr>
                <w:rFonts w:ascii="宋体" w:hAnsi="宋体" w:cs="宋体" w:eastAsia="宋体" w:hint="default"/>
                <w:sz w:val="18"/>
                <w:szCs w:val="18"/>
              </w:rPr>
            </w:pPr>
            <w:r>
              <w:rPr>
                <w:rFonts w:ascii="宋体" w:hAnsi="宋体" w:cs="宋体" w:eastAsia="宋体" w:hint="default"/>
                <w:sz w:val="18"/>
                <w:szCs w:val="18"/>
              </w:rPr>
              <w:t>对应的原承诺项 目</w:t>
            </w:r>
          </w:p>
        </w:tc>
        <w:tc>
          <w:tcPr>
            <w:tcW w:w="1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4" w:right="65"/>
              <w:jc w:val="center"/>
              <w:rPr>
                <w:rFonts w:ascii="宋体" w:hAnsi="宋体" w:cs="宋体" w:eastAsia="宋体" w:hint="default"/>
                <w:sz w:val="18"/>
                <w:szCs w:val="18"/>
              </w:rPr>
            </w:pPr>
            <w:r>
              <w:rPr>
                <w:rFonts w:ascii="宋体" w:hAnsi="宋体" w:cs="宋体" w:eastAsia="宋体" w:hint="default"/>
                <w:sz w:val="18"/>
                <w:szCs w:val="18"/>
              </w:rPr>
              <w:t>变更后项目拟投 入募集资金总额 </w:t>
            </w:r>
            <w:r>
              <w:rPr>
                <w:rFonts w:ascii="宋体" w:hAnsi="宋体" w:cs="宋体" w:eastAsia="宋体" w:hint="default"/>
                <w:sz w:val="18"/>
                <w:szCs w:val="18"/>
              </w:rPr>
              <w:t>(1)</w:t>
            </w:r>
          </w:p>
        </w:tc>
        <w:tc>
          <w:tcPr>
            <w:tcW w:w="1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27" w:right="65" w:hanging="360"/>
              <w:jc w:val="left"/>
              <w:rPr>
                <w:rFonts w:ascii="宋体" w:hAnsi="宋体" w:cs="宋体" w:eastAsia="宋体" w:hint="default"/>
                <w:sz w:val="18"/>
                <w:szCs w:val="18"/>
              </w:rPr>
            </w:pPr>
            <w:r>
              <w:rPr>
                <w:rFonts w:ascii="宋体" w:hAnsi="宋体" w:cs="宋体" w:eastAsia="宋体" w:hint="default"/>
                <w:sz w:val="18"/>
                <w:szCs w:val="18"/>
              </w:rPr>
              <w:t>本报告期实际投 入金额</w:t>
            </w:r>
          </w:p>
        </w:tc>
        <w:tc>
          <w:tcPr>
            <w:tcW w:w="1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11" w:right="64" w:hanging="46"/>
              <w:jc w:val="left"/>
              <w:rPr>
                <w:rFonts w:ascii="宋体" w:hAnsi="宋体" w:cs="宋体" w:eastAsia="宋体" w:hint="default"/>
                <w:sz w:val="18"/>
                <w:szCs w:val="18"/>
              </w:rPr>
            </w:pPr>
            <w:r>
              <w:rPr>
                <w:rFonts w:ascii="宋体" w:hAnsi="宋体" w:cs="宋体" w:eastAsia="宋体" w:hint="default"/>
                <w:sz w:val="18"/>
                <w:szCs w:val="18"/>
              </w:rPr>
              <w:t>截至期末实际累 计投入金额</w:t>
            </w:r>
            <w:r>
              <w:rPr>
                <w:rFonts w:ascii="宋体" w:hAnsi="宋体" w:cs="宋体" w:eastAsia="宋体" w:hint="default"/>
                <w:sz w:val="18"/>
                <w:szCs w:val="18"/>
              </w:rPr>
              <w:t>(2)</w:t>
            </w:r>
          </w:p>
        </w:tc>
        <w:tc>
          <w:tcPr>
            <w:tcW w:w="13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9" w:right="65" w:hanging="46"/>
              <w:jc w:val="left"/>
              <w:rPr>
                <w:rFonts w:ascii="宋体" w:hAnsi="宋体" w:cs="宋体" w:eastAsia="宋体" w:hint="default"/>
                <w:sz w:val="18"/>
                <w:szCs w:val="18"/>
              </w:rPr>
            </w:pPr>
            <w:r>
              <w:rPr>
                <w:rFonts w:ascii="宋体" w:hAnsi="宋体" w:cs="宋体" w:eastAsia="宋体" w:hint="default"/>
                <w:sz w:val="18"/>
                <w:szCs w:val="18"/>
              </w:rPr>
              <w:t>截至期末投资进 度</w:t>
            </w:r>
            <w:r>
              <w:rPr>
                <w:rFonts w:ascii="宋体" w:hAnsi="宋体" w:cs="宋体" w:eastAsia="宋体" w:hint="default"/>
                <w:sz w:val="18"/>
                <w:szCs w:val="18"/>
              </w:rPr>
              <w:t>(3)=(2)/(1)</w:t>
            </w:r>
          </w:p>
        </w:tc>
        <w:tc>
          <w:tcPr>
            <w:tcW w:w="1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4" w:right="65" w:hanging="90"/>
              <w:jc w:val="left"/>
              <w:rPr>
                <w:rFonts w:ascii="宋体" w:hAnsi="宋体" w:cs="宋体" w:eastAsia="宋体" w:hint="default"/>
                <w:sz w:val="18"/>
                <w:szCs w:val="18"/>
              </w:rPr>
            </w:pPr>
            <w:r>
              <w:rPr>
                <w:rFonts w:ascii="宋体" w:hAnsi="宋体" w:cs="宋体" w:eastAsia="宋体" w:hint="default"/>
                <w:sz w:val="18"/>
                <w:szCs w:val="18"/>
              </w:rPr>
              <w:t>项目达到预定可 使用状态日期</w:t>
            </w:r>
          </w:p>
        </w:tc>
        <w:tc>
          <w:tcPr>
            <w:tcW w:w="13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513" w:right="65" w:hanging="450"/>
              <w:jc w:val="left"/>
              <w:rPr>
                <w:rFonts w:ascii="宋体" w:hAnsi="宋体" w:cs="宋体" w:eastAsia="宋体" w:hint="default"/>
                <w:sz w:val="18"/>
                <w:szCs w:val="18"/>
              </w:rPr>
            </w:pPr>
            <w:r>
              <w:rPr>
                <w:rFonts w:ascii="宋体" w:hAnsi="宋体" w:cs="宋体" w:eastAsia="宋体" w:hint="default"/>
                <w:sz w:val="18"/>
                <w:szCs w:val="18"/>
              </w:rPr>
              <w:t>本报告期实现的 效益</w:t>
            </w:r>
          </w:p>
        </w:tc>
        <w:tc>
          <w:tcPr>
            <w:tcW w:w="1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04" w:right="65" w:hanging="540"/>
              <w:jc w:val="left"/>
              <w:rPr>
                <w:rFonts w:ascii="宋体" w:hAnsi="宋体" w:cs="宋体" w:eastAsia="宋体" w:hint="default"/>
                <w:sz w:val="18"/>
                <w:szCs w:val="18"/>
              </w:rPr>
            </w:pPr>
            <w:r>
              <w:rPr>
                <w:rFonts w:ascii="宋体" w:hAnsi="宋体" w:cs="宋体" w:eastAsia="宋体" w:hint="default"/>
                <w:sz w:val="18"/>
                <w:szCs w:val="18"/>
              </w:rPr>
              <w:t>是否达到预计效 益</w:t>
            </w:r>
          </w:p>
        </w:tc>
        <w:tc>
          <w:tcPr>
            <w:tcW w:w="1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4" w:right="65"/>
              <w:jc w:val="center"/>
              <w:rPr>
                <w:rFonts w:ascii="宋体" w:hAnsi="宋体" w:cs="宋体" w:eastAsia="宋体" w:hint="default"/>
                <w:sz w:val="18"/>
                <w:szCs w:val="18"/>
              </w:rPr>
            </w:pPr>
            <w:r>
              <w:rPr>
                <w:rFonts w:ascii="宋体" w:hAnsi="宋体" w:cs="宋体" w:eastAsia="宋体" w:hint="default"/>
                <w:sz w:val="18"/>
                <w:szCs w:val="18"/>
              </w:rPr>
              <w:t>变更后的项目可 行性是否发生重 大变化</w:t>
            </w:r>
          </w:p>
        </w:tc>
      </w:tr>
      <w:tr>
        <w:trPr>
          <w:trHeight w:val="1026" w:hRule="exact"/>
        </w:trPr>
        <w:tc>
          <w:tcPr>
            <w:tcW w:w="14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支付收购晨之科 </w:t>
            </w:r>
            <w:r>
              <w:rPr>
                <w:rFonts w:ascii="宋体" w:hAnsi="宋体" w:cs="宋体" w:eastAsia="宋体" w:hint="default"/>
                <w:sz w:val="18"/>
                <w:szCs w:val="18"/>
              </w:rPr>
              <w:t>80%</w:t>
            </w:r>
            <w:r>
              <w:rPr>
                <w:rFonts w:ascii="宋体" w:hAnsi="宋体" w:cs="宋体" w:eastAsia="宋体" w:hint="default"/>
                <w:sz w:val="18"/>
                <w:szCs w:val="18"/>
              </w:rPr>
              <w:t>股权中的全 部现金对价</w:t>
            </w:r>
          </w:p>
        </w:tc>
        <w:tc>
          <w:tcPr>
            <w:tcW w:w="14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10"/>
              <w:jc w:val="left"/>
              <w:rPr>
                <w:rFonts w:ascii="宋体" w:hAnsi="宋体" w:cs="宋体" w:eastAsia="宋体" w:hint="default"/>
                <w:sz w:val="18"/>
                <w:szCs w:val="18"/>
              </w:rPr>
            </w:pPr>
            <w:r>
              <w:rPr>
                <w:rFonts w:ascii="宋体" w:hAnsi="宋体" w:cs="宋体" w:eastAsia="宋体" w:hint="default"/>
                <w:sz w:val="18"/>
                <w:szCs w:val="18"/>
              </w:rPr>
              <w:t>在线教育平台及 资源建设项目</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44,956.03</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38,339.74</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1"/>
              <w:jc w:val="right"/>
              <w:rPr>
                <w:rFonts w:ascii="宋体" w:hAnsi="宋体" w:cs="宋体" w:eastAsia="宋体" w:hint="default"/>
                <w:sz w:val="18"/>
                <w:szCs w:val="18"/>
              </w:rPr>
            </w:pPr>
            <w:r>
              <w:rPr>
                <w:rFonts w:ascii="宋体"/>
                <w:sz w:val="18"/>
              </w:rPr>
              <w:t>38,339.74</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825" w:right="0"/>
              <w:jc w:val="left"/>
              <w:rPr>
                <w:rFonts w:ascii="宋体" w:hAnsi="宋体" w:cs="宋体" w:eastAsia="宋体" w:hint="default"/>
                <w:sz w:val="18"/>
                <w:szCs w:val="18"/>
              </w:rPr>
            </w:pPr>
            <w:r>
              <w:rPr>
                <w:rFonts w:ascii="宋体"/>
                <w:sz w:val="18"/>
              </w:rPr>
              <w:t>85.28%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-2,380.17</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c>
          <w:tcPr>
            <w:tcW w:w="14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44,956.03</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38,339.74</w:t>
            </w:r>
          </w:p>
        </w:tc>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38,339.74</w:t>
            </w:r>
          </w:p>
        </w:tc>
        <w:tc>
          <w:tcPr>
            <w:tcW w:w="13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c>
          <w:tcPr>
            <w:tcW w:w="1399"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51"/>
              <w:ind w:right="10"/>
              <w:jc w:val="right"/>
              <w:rPr>
                <w:rFonts w:ascii="宋体" w:hAnsi="宋体" w:cs="宋体" w:eastAsia="宋体" w:hint="default"/>
                <w:sz w:val="18"/>
                <w:szCs w:val="18"/>
              </w:rPr>
            </w:pPr>
            <w:r>
              <w:rPr>
                <w:rFonts w:ascii="宋体"/>
                <w:sz w:val="18"/>
              </w:rPr>
              <w:t>-2,380.17</w:t>
            </w:r>
          </w:p>
        </w:tc>
        <w:tc>
          <w:tcPr>
            <w:tcW w:w="1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r>
      <w:tr>
        <w:trPr>
          <w:trHeight w:val="296" w:hRule="exact"/>
        </w:trPr>
        <w:tc>
          <w:tcPr>
            <w:tcW w:w="4208"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9807" w:type="dxa"/>
            <w:gridSpan w:val="7"/>
            <w:vMerge w:val="restart"/>
            <w:tcBorders>
              <w:top w:val="single" w:sz="4" w:space="0" w:color="000000"/>
              <w:left w:val="single" w:sz="9" w:space="0" w:color="D2D2D2"/>
              <w:right w:val="single" w:sz="4" w:space="0" w:color="000000"/>
            </w:tcBorders>
          </w:tcPr>
          <w:p>
            <w:pPr>
              <w:pStyle w:val="TableParagraph"/>
              <w:spacing w:line="316" w:lineRule="auto" w:before="51"/>
              <w:ind w:left="17" w:right="23"/>
              <w:jc w:val="both"/>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2"/>
                <w:sz w:val="18"/>
                <w:szCs w:val="18"/>
              </w:rPr>
              <w:t> </w:t>
            </w:r>
            <w:r>
              <w:rPr>
                <w:rFonts w:ascii="宋体" w:hAnsi="宋体" w:cs="宋体" w:eastAsia="宋体" w:hint="default"/>
                <w:sz w:val="18"/>
                <w:szCs w:val="18"/>
              </w:rPr>
              <w:t>2018</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宋体" w:hAnsi="宋体" w:cs="宋体" w:eastAsia="宋体" w:hint="default"/>
                <w:sz w:val="18"/>
                <w:szCs w:val="18"/>
              </w:rPr>
              <w:t>2</w:t>
            </w:r>
            <w:r>
              <w:rPr>
                <w:rFonts w:ascii="宋体" w:hAnsi="宋体" w:cs="宋体" w:eastAsia="宋体" w:hint="default"/>
                <w:spacing w:val="-42"/>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宋体" w:hAnsi="宋体" w:cs="宋体" w:eastAsia="宋体" w:hint="default"/>
                <w:sz w:val="18"/>
                <w:szCs w:val="18"/>
              </w:rPr>
              <w:t>27</w:t>
            </w:r>
            <w:r>
              <w:rPr>
                <w:rFonts w:ascii="宋体" w:hAnsi="宋体" w:cs="宋体" w:eastAsia="宋体" w:hint="default"/>
                <w:spacing w:val="-42"/>
                <w:sz w:val="18"/>
                <w:szCs w:val="18"/>
              </w:rPr>
              <w:t> </w:t>
            </w:r>
            <w:r>
              <w:rPr>
                <w:rFonts w:ascii="宋体" w:hAnsi="宋体" w:cs="宋体" w:eastAsia="宋体" w:hint="default"/>
                <w:spacing w:val="-4"/>
                <w:sz w:val="18"/>
                <w:szCs w:val="18"/>
              </w:rPr>
              <w:t>日召开第三届董事会第十二次会议审议通过了《关于变更部分募集资金用途的议案》，鉴于公司募集资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金投资项目“在线教育平台及资源建设项目”投资进度滞后于原计划进度，虽仍符合公司目前的战略发展方向，但由于教育 行业具有其自身的特殊性以及市场环境及政策的变化影响，投入需要更为审慎，为提高募集资金使用效率，提高收益率，公 司结合当前的市场环境以及公司最新的发展规划，拟将该项目部分尚未使用的募集资金，共计</w:t>
            </w:r>
            <w:r>
              <w:rPr>
                <w:rFonts w:ascii="宋体" w:hAnsi="宋体" w:cs="宋体" w:eastAsia="宋体" w:hint="default"/>
                <w:spacing w:val="-46"/>
                <w:sz w:val="18"/>
                <w:szCs w:val="18"/>
              </w:rPr>
              <w:t> </w:t>
            </w:r>
            <w:r>
              <w:rPr>
                <w:rFonts w:ascii="宋体" w:hAnsi="宋体" w:cs="宋体" w:eastAsia="宋体" w:hint="default"/>
                <w:sz w:val="18"/>
                <w:szCs w:val="18"/>
              </w:rPr>
              <w:t>44,956.03</w:t>
            </w:r>
            <w:r>
              <w:rPr>
                <w:rFonts w:ascii="宋体" w:hAnsi="宋体" w:cs="宋体" w:eastAsia="宋体" w:hint="default"/>
                <w:spacing w:val="-46"/>
                <w:sz w:val="18"/>
                <w:szCs w:val="18"/>
              </w:rPr>
              <w:t> </w:t>
            </w:r>
            <w:r>
              <w:rPr>
                <w:rFonts w:ascii="宋体" w:hAnsi="宋体" w:cs="宋体" w:eastAsia="宋体" w:hint="default"/>
                <w:sz w:val="18"/>
                <w:szCs w:val="18"/>
              </w:rPr>
              <w:t>万元人民币，用途</w:t>
            </w:r>
          </w:p>
        </w:tc>
      </w:tr>
      <w:tr>
        <w:trPr>
          <w:trHeight w:val="704" w:hRule="exact"/>
        </w:trPr>
        <w:tc>
          <w:tcPr>
            <w:tcW w:w="4208" w:type="dxa"/>
            <w:gridSpan w:val="3"/>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22" w:right="122"/>
              <w:jc w:val="left"/>
              <w:rPr>
                <w:rFonts w:ascii="宋体" w:hAnsi="宋体" w:cs="宋体" w:eastAsia="宋体" w:hint="default"/>
                <w:sz w:val="18"/>
                <w:szCs w:val="18"/>
              </w:rPr>
            </w:pPr>
            <w:r>
              <w:rPr>
                <w:rFonts w:ascii="宋体" w:hAnsi="宋体" w:cs="宋体" w:eastAsia="宋体" w:hint="default"/>
                <w:sz w:val="18"/>
                <w:szCs w:val="18"/>
              </w:rPr>
              <w:t>变更原因、决策程序及信息披露情况说明</w:t>
            </w:r>
            <w:r>
              <w:rPr>
                <w:rFonts w:ascii="宋体" w:hAnsi="宋体" w:cs="宋体" w:eastAsia="宋体" w:hint="default"/>
                <w:sz w:val="18"/>
                <w:szCs w:val="18"/>
              </w:rPr>
              <w:t>(</w:t>
            </w:r>
            <w:r>
              <w:rPr>
                <w:rFonts w:ascii="宋体" w:hAnsi="宋体" w:cs="宋体" w:eastAsia="宋体" w:hint="default"/>
                <w:sz w:val="18"/>
                <w:szCs w:val="18"/>
              </w:rPr>
              <w:t>分具体项 目</w:t>
            </w:r>
            <w:r>
              <w:rPr>
                <w:rFonts w:ascii="宋体" w:hAnsi="宋体" w:cs="宋体" w:eastAsia="宋体" w:hint="default"/>
                <w:sz w:val="18"/>
                <w:szCs w:val="18"/>
              </w:rPr>
              <w:t>)</w:t>
            </w:r>
          </w:p>
        </w:tc>
        <w:tc>
          <w:tcPr>
            <w:tcW w:w="9807" w:type="dxa"/>
            <w:gridSpan w:val="7"/>
            <w:vMerge/>
            <w:tcBorders>
              <w:left w:val="single" w:sz="9" w:space="0" w:color="D2D2D2"/>
              <w:right w:val="single" w:sz="4" w:space="0" w:color="000000"/>
            </w:tcBorders>
          </w:tcPr>
          <w:p>
            <w:pPr/>
          </w:p>
        </w:tc>
      </w:tr>
      <w:tr>
        <w:trPr>
          <w:trHeight w:val="298" w:hRule="exact"/>
        </w:trPr>
        <w:tc>
          <w:tcPr>
            <w:tcW w:w="4208"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9807" w:type="dxa"/>
            <w:gridSpan w:val="7"/>
            <w:vMerge/>
            <w:tcBorders>
              <w:left w:val="single" w:sz="9" w:space="0" w:color="D2D2D2"/>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4208"/>
        <w:gridCol w:w="9807"/>
      </w:tblGrid>
      <w:tr>
        <w:trPr>
          <w:trHeight w:val="689" w:hRule="exact"/>
        </w:trPr>
        <w:tc>
          <w:tcPr>
            <w:tcW w:w="4208" w:type="dxa"/>
            <w:tcBorders>
              <w:top w:val="single" w:sz="15" w:space="0" w:color="000000"/>
              <w:left w:val="single" w:sz="4" w:space="0" w:color="000000"/>
              <w:bottom w:val="single" w:sz="4" w:space="0" w:color="000000"/>
              <w:right w:val="single" w:sz="4" w:space="0" w:color="000000"/>
            </w:tcBorders>
            <w:shd w:val="clear" w:color="auto" w:fill="D2D2D2"/>
          </w:tcPr>
          <w:p>
            <w:pPr/>
          </w:p>
        </w:tc>
        <w:tc>
          <w:tcPr>
            <w:tcW w:w="9807"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10"/>
              <w:ind w:left="23" w:right="22"/>
              <w:jc w:val="left"/>
              <w:rPr>
                <w:rFonts w:ascii="宋体" w:hAnsi="宋体" w:cs="宋体" w:eastAsia="宋体" w:hint="default"/>
                <w:sz w:val="18"/>
                <w:szCs w:val="18"/>
              </w:rPr>
            </w:pPr>
            <w:r>
              <w:rPr>
                <w:rFonts w:ascii="宋体" w:hAnsi="宋体" w:cs="宋体" w:eastAsia="宋体" w:hint="default"/>
                <w:sz w:val="18"/>
                <w:szCs w:val="18"/>
              </w:rPr>
              <w:t>变更为支付收购晨之科</w:t>
            </w:r>
            <w:r>
              <w:rPr>
                <w:rFonts w:ascii="宋体" w:hAnsi="宋体" w:cs="宋体" w:eastAsia="宋体" w:hint="default"/>
                <w:spacing w:val="-51"/>
                <w:sz w:val="18"/>
                <w:szCs w:val="18"/>
              </w:rPr>
              <w:t> </w:t>
            </w:r>
            <w:r>
              <w:rPr>
                <w:rFonts w:ascii="宋体" w:hAnsi="宋体" w:cs="宋体" w:eastAsia="宋体" w:hint="default"/>
                <w:sz w:val="18"/>
                <w:szCs w:val="18"/>
              </w:rPr>
              <w:t>80%</w:t>
            </w:r>
            <w:r>
              <w:rPr>
                <w:rFonts w:ascii="宋体" w:hAnsi="宋体" w:cs="宋体" w:eastAsia="宋体" w:hint="default"/>
                <w:sz w:val="18"/>
                <w:szCs w:val="18"/>
              </w:rPr>
              <w:t>股权中的全部现金对价。该议案已经公司</w:t>
            </w:r>
            <w:r>
              <w:rPr>
                <w:rFonts w:ascii="宋体" w:hAnsi="宋体" w:cs="宋体" w:eastAsia="宋体" w:hint="default"/>
                <w:spacing w:val="-51"/>
                <w:sz w:val="18"/>
                <w:szCs w:val="18"/>
              </w:rPr>
              <w:t> </w:t>
            </w:r>
            <w:r>
              <w:rPr>
                <w:rFonts w:ascii="宋体" w:hAnsi="宋体" w:cs="宋体" w:eastAsia="宋体" w:hint="default"/>
                <w:sz w:val="18"/>
                <w:szCs w:val="18"/>
              </w:rPr>
              <w:t>2018</w:t>
            </w:r>
            <w:r>
              <w:rPr>
                <w:rFonts w:ascii="宋体" w:hAnsi="宋体" w:cs="宋体" w:eastAsia="宋体" w:hint="default"/>
                <w:spacing w:val="-51"/>
                <w:sz w:val="18"/>
                <w:szCs w:val="18"/>
              </w:rPr>
              <w:t> </w:t>
            </w:r>
            <w:r>
              <w:rPr>
                <w:rFonts w:ascii="宋体" w:hAnsi="宋体" w:cs="宋体" w:eastAsia="宋体" w:hint="default"/>
                <w:sz w:val="18"/>
                <w:szCs w:val="18"/>
              </w:rPr>
              <w:t>年第一次临时股东大会审议通过。具体内容详见公 司于</w:t>
            </w:r>
            <w:r>
              <w:rPr>
                <w:rFonts w:ascii="宋体" w:hAnsi="宋体" w:cs="宋体" w:eastAsia="宋体" w:hint="default"/>
                <w:spacing w:val="-41"/>
                <w:sz w:val="18"/>
                <w:szCs w:val="18"/>
              </w:rPr>
              <w:t> </w:t>
            </w:r>
            <w:r>
              <w:rPr>
                <w:rFonts w:ascii="宋体" w:hAnsi="宋体" w:cs="宋体" w:eastAsia="宋体" w:hint="default"/>
                <w:sz w:val="18"/>
                <w:szCs w:val="18"/>
              </w:rPr>
              <w:t>2018</w:t>
            </w:r>
            <w:r>
              <w:rPr>
                <w:rFonts w:ascii="宋体" w:hAnsi="宋体" w:cs="宋体" w:eastAsia="宋体" w:hint="default"/>
                <w:spacing w:val="-41"/>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宋体" w:hAnsi="宋体" w:cs="宋体" w:eastAsia="宋体" w:hint="default"/>
                <w:sz w:val="18"/>
                <w:szCs w:val="18"/>
              </w:rPr>
              <w:t>2</w:t>
            </w:r>
            <w:r>
              <w:rPr>
                <w:rFonts w:ascii="宋体" w:hAnsi="宋体" w:cs="宋体" w:eastAsia="宋体" w:hint="default"/>
                <w:spacing w:val="-40"/>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宋体" w:hAnsi="宋体" w:cs="宋体" w:eastAsia="宋体" w:hint="default"/>
                <w:sz w:val="18"/>
                <w:szCs w:val="18"/>
              </w:rPr>
              <w:t>28</w:t>
            </w:r>
            <w:r>
              <w:rPr>
                <w:rFonts w:ascii="宋体" w:hAnsi="宋体" w:cs="宋体" w:eastAsia="宋体" w:hint="default"/>
                <w:spacing w:val="-41"/>
                <w:sz w:val="18"/>
                <w:szCs w:val="18"/>
              </w:rPr>
              <w:t> </w:t>
            </w:r>
            <w:r>
              <w:rPr>
                <w:rFonts w:ascii="宋体" w:hAnsi="宋体" w:cs="宋体" w:eastAsia="宋体" w:hint="default"/>
                <w:spacing w:val="-7"/>
                <w:sz w:val="18"/>
                <w:szCs w:val="18"/>
              </w:rPr>
              <w:t>日在巨潮资讯网披露的《关于变更部分募集资金用途的公告》（公告编号：</w:t>
            </w:r>
            <w:r>
              <w:rPr>
                <w:rFonts w:ascii="宋体" w:hAnsi="宋体" w:cs="宋体" w:eastAsia="宋体" w:hint="default"/>
                <w:spacing w:val="-7"/>
                <w:sz w:val="18"/>
                <w:szCs w:val="18"/>
              </w:rPr>
              <w:t>2018-017</w:t>
            </w:r>
            <w:r>
              <w:rPr>
                <w:rFonts w:ascii="宋体" w:hAnsi="宋体" w:cs="宋体" w:eastAsia="宋体" w:hint="default"/>
                <w:spacing w:val="-7"/>
                <w:sz w:val="18"/>
                <w:szCs w:val="18"/>
              </w:rPr>
              <w:t>）。</w:t>
            </w:r>
            <w:r>
              <w:rPr>
                <w:rFonts w:ascii="宋体" w:hAnsi="宋体" w:cs="宋体" w:eastAsia="宋体" w:hint="default"/>
                <w:sz w:val="18"/>
                <w:szCs w:val="18"/>
              </w:rPr>
            </w:r>
          </w:p>
        </w:tc>
      </w:tr>
      <w:tr>
        <w:trPr>
          <w:trHeight w:val="1026" w:hRule="exact"/>
        </w:trPr>
        <w:tc>
          <w:tcPr>
            <w:tcW w:w="4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22"/>
              <w:jc w:val="left"/>
              <w:rPr>
                <w:rFonts w:ascii="宋体" w:hAnsi="宋体" w:cs="宋体" w:eastAsia="宋体" w:hint="default"/>
                <w:sz w:val="18"/>
                <w:szCs w:val="18"/>
              </w:rPr>
            </w:pPr>
            <w:r>
              <w:rPr>
                <w:rFonts w:ascii="宋体" w:hAnsi="宋体" w:cs="宋体" w:eastAsia="宋体" w:hint="default"/>
                <w:sz w:val="18"/>
                <w:szCs w:val="18"/>
              </w:rPr>
              <w:t>未达到计划进度或预计收益的情况和原因</w:t>
            </w:r>
            <w:r>
              <w:rPr>
                <w:rFonts w:ascii="宋体" w:hAnsi="宋体" w:cs="宋体" w:eastAsia="宋体" w:hint="default"/>
                <w:sz w:val="18"/>
                <w:szCs w:val="18"/>
              </w:rPr>
              <w:t>(</w:t>
            </w:r>
            <w:r>
              <w:rPr>
                <w:rFonts w:ascii="宋体" w:hAnsi="宋体" w:cs="宋体" w:eastAsia="宋体" w:hint="default"/>
                <w:sz w:val="18"/>
                <w:szCs w:val="18"/>
              </w:rPr>
              <w:t>分具体项 目</w:t>
            </w:r>
            <w:r>
              <w:rPr>
                <w:rFonts w:ascii="宋体" w:hAnsi="宋体" w:cs="宋体" w:eastAsia="宋体" w:hint="default"/>
                <w:sz w:val="18"/>
                <w:szCs w:val="18"/>
              </w:rPr>
              <w:t>)</w:t>
            </w:r>
          </w:p>
        </w:tc>
        <w:tc>
          <w:tcPr>
            <w:tcW w:w="98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1"/>
              <w:jc w:val="left"/>
              <w:rPr>
                <w:rFonts w:ascii="宋体" w:hAnsi="宋体" w:cs="宋体" w:eastAsia="宋体" w:hint="default"/>
                <w:sz w:val="18"/>
                <w:szCs w:val="18"/>
              </w:rPr>
            </w:pPr>
            <w:r>
              <w:rPr>
                <w:rFonts w:ascii="宋体" w:hAnsi="宋体" w:cs="宋体" w:eastAsia="宋体" w:hint="default"/>
                <w:sz w:val="18"/>
                <w:szCs w:val="18"/>
              </w:rPr>
              <w:t>由于</w:t>
            </w:r>
            <w:r>
              <w:rPr>
                <w:rFonts w:ascii="宋体" w:hAnsi="宋体" w:cs="宋体" w:eastAsia="宋体" w:hint="default"/>
                <w:spacing w:val="-72"/>
                <w:sz w:val="18"/>
                <w:szCs w:val="18"/>
              </w:rPr>
              <w:t> </w:t>
            </w:r>
            <w:r>
              <w:rPr>
                <w:rFonts w:ascii="宋体" w:hAnsi="宋体" w:cs="宋体" w:eastAsia="宋体" w:hint="default"/>
                <w:sz w:val="18"/>
                <w:szCs w:val="18"/>
              </w:rPr>
              <w:t>2018</w:t>
            </w:r>
            <w:r>
              <w:rPr>
                <w:rFonts w:ascii="宋体" w:hAnsi="宋体" w:cs="宋体" w:eastAsia="宋体" w:hint="default"/>
                <w:spacing w:val="-72"/>
                <w:sz w:val="18"/>
                <w:szCs w:val="18"/>
              </w:rPr>
              <w:t> </w:t>
            </w:r>
            <w:r>
              <w:rPr>
                <w:rFonts w:ascii="宋体" w:hAnsi="宋体" w:cs="宋体" w:eastAsia="宋体" w:hint="default"/>
                <w:sz w:val="18"/>
                <w:szCs w:val="18"/>
              </w:rPr>
              <w:t>年网络游戏行业受国家政策变化的影响，晨之科没有按业绩承诺的约定完成利润，本报告期计算实现效益的方法是 按照投入募投项目的资金占收购晨之科</w:t>
            </w:r>
            <w:r>
              <w:rPr>
                <w:rFonts w:ascii="宋体" w:hAnsi="宋体" w:cs="宋体" w:eastAsia="宋体" w:hint="default"/>
                <w:spacing w:val="-46"/>
                <w:sz w:val="18"/>
                <w:szCs w:val="18"/>
              </w:rPr>
              <w:t> </w:t>
            </w:r>
            <w:r>
              <w:rPr>
                <w:rFonts w:ascii="宋体" w:hAnsi="宋体" w:cs="宋体" w:eastAsia="宋体" w:hint="default"/>
                <w:sz w:val="18"/>
                <w:szCs w:val="18"/>
              </w:rPr>
              <w:t>80%</w:t>
            </w:r>
            <w:r>
              <w:rPr>
                <w:rFonts w:ascii="宋体" w:hAnsi="宋体" w:cs="宋体" w:eastAsia="宋体" w:hint="default"/>
                <w:sz w:val="18"/>
                <w:szCs w:val="18"/>
              </w:rPr>
              <w:t>股权支付的全部对价比例乘以</w:t>
            </w:r>
            <w:r>
              <w:rPr>
                <w:rFonts w:ascii="宋体" w:hAnsi="宋体" w:cs="宋体" w:eastAsia="宋体" w:hint="default"/>
                <w:spacing w:val="-46"/>
                <w:sz w:val="18"/>
                <w:szCs w:val="18"/>
              </w:rPr>
              <w:t> </w:t>
            </w:r>
            <w:r>
              <w:rPr>
                <w:rFonts w:ascii="宋体" w:hAnsi="宋体" w:cs="宋体" w:eastAsia="宋体" w:hint="default"/>
                <w:sz w:val="18"/>
                <w:szCs w:val="18"/>
              </w:rPr>
              <w:t>80%</w:t>
            </w:r>
            <w:r>
              <w:rPr>
                <w:rFonts w:ascii="宋体" w:hAnsi="宋体" w:cs="宋体" w:eastAsia="宋体" w:hint="default"/>
                <w:sz w:val="18"/>
                <w:szCs w:val="18"/>
              </w:rPr>
              <w:t>的股权比例与合并日到报告期末晨之科实现的 利润计算。</w:t>
            </w:r>
          </w:p>
        </w:tc>
      </w:tr>
      <w:tr>
        <w:trPr>
          <w:trHeight w:val="402" w:hRule="exact"/>
        </w:trPr>
        <w:tc>
          <w:tcPr>
            <w:tcW w:w="4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变更后的项目可行性发生重大变化的情况说明</w:t>
            </w:r>
          </w:p>
        </w:tc>
        <w:tc>
          <w:tcPr>
            <w:tcW w:w="9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8"/>
          <w:szCs w:val="18"/>
        </w:rPr>
      </w:pPr>
    </w:p>
    <w:p>
      <w:pPr>
        <w:pStyle w:val="Heading2"/>
        <w:spacing w:line="240" w:lineRule="auto"/>
        <w:ind w:left="140" w:right="5438"/>
        <w:jc w:val="left"/>
        <w:rPr>
          <w:b w:val="0"/>
          <w:bCs w:val="0"/>
        </w:rPr>
      </w:pPr>
      <w:bookmarkStart w:name="六、重大资产和股权出售" w:id="52"/>
      <w:bookmarkEnd w:id="52"/>
      <w:r>
        <w:rPr>
          <w:b w:val="0"/>
          <w:bCs w:val="0"/>
        </w:rPr>
      </w:r>
      <w:r>
        <w:rPr/>
        <w:t>六、重大资产和股权出售</w:t>
      </w:r>
      <w:r>
        <w:rPr>
          <w:b w:val="0"/>
          <w:bCs w:val="0"/>
        </w:rPr>
      </w:r>
    </w:p>
    <w:p>
      <w:pPr>
        <w:spacing w:line="240" w:lineRule="auto" w:before="8"/>
        <w:rPr>
          <w:rFonts w:ascii="宋体" w:hAnsi="宋体" w:cs="宋体" w:eastAsia="宋体" w:hint="default"/>
          <w:b/>
          <w:bCs/>
          <w:sz w:val="24"/>
          <w:szCs w:val="24"/>
        </w:rPr>
      </w:pPr>
    </w:p>
    <w:p>
      <w:pPr>
        <w:spacing w:before="0"/>
        <w:ind w:left="140" w:right="5438" w:firstLine="0"/>
        <w:jc w:val="left"/>
        <w:rPr>
          <w:rFonts w:ascii="宋体" w:hAnsi="宋体" w:cs="宋体" w:eastAsia="宋体" w:hint="default"/>
          <w:sz w:val="21"/>
          <w:szCs w:val="21"/>
        </w:rPr>
      </w:pPr>
      <w:bookmarkStart w:name="1、出售重大资产情况" w:id="53"/>
      <w:bookmarkEnd w:id="53"/>
      <w:r>
        <w:rPr/>
      </w:r>
      <w:r>
        <w:rPr>
          <w:rFonts w:ascii="宋体" w:hAnsi="宋体" w:cs="宋体" w:eastAsia="宋体" w:hint="default"/>
          <w:b/>
          <w:bCs/>
          <w:sz w:val="21"/>
          <w:szCs w:val="21"/>
        </w:rPr>
        <w:t>1</w:t>
      </w:r>
      <w:r>
        <w:rPr>
          <w:rFonts w:ascii="宋体" w:hAnsi="宋体" w:cs="宋体" w:eastAsia="宋体" w:hint="default"/>
          <w:b/>
          <w:bCs/>
          <w:sz w:val="21"/>
          <w:szCs w:val="21"/>
        </w:rPr>
        <w:t>、出售重大资产情况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20" w:right="5438"/>
        <w:jc w:val="left"/>
      </w:pPr>
      <w:r>
        <w:rPr/>
        <w:t>√ 适用 □ 不适用</w:t>
      </w:r>
    </w:p>
    <w:p>
      <w:pPr>
        <w:spacing w:line="240" w:lineRule="auto" w:before="3"/>
        <w:rPr>
          <w:rFonts w:ascii="宋体" w:hAnsi="宋体" w:cs="宋体" w:eastAsia="宋体"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934"/>
        <w:gridCol w:w="934"/>
        <w:gridCol w:w="934"/>
        <w:gridCol w:w="932"/>
        <w:gridCol w:w="934"/>
        <w:gridCol w:w="2447"/>
        <w:gridCol w:w="850"/>
        <w:gridCol w:w="569"/>
        <w:gridCol w:w="565"/>
        <w:gridCol w:w="709"/>
        <w:gridCol w:w="709"/>
        <w:gridCol w:w="678"/>
        <w:gridCol w:w="1166"/>
        <w:gridCol w:w="698"/>
        <w:gridCol w:w="956"/>
      </w:tblGrid>
      <w:tr>
        <w:trPr>
          <w:trHeight w:val="2273" w:hRule="exact"/>
        </w:trPr>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交易对方</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371" w:right="100" w:hanging="270"/>
              <w:jc w:val="left"/>
              <w:rPr>
                <w:rFonts w:ascii="宋体" w:hAnsi="宋体" w:cs="宋体" w:eastAsia="宋体" w:hint="default"/>
                <w:sz w:val="18"/>
                <w:szCs w:val="18"/>
              </w:rPr>
            </w:pPr>
            <w:r>
              <w:rPr>
                <w:rFonts w:ascii="宋体" w:hAnsi="宋体" w:cs="宋体" w:eastAsia="宋体" w:hint="default"/>
                <w:sz w:val="18"/>
                <w:szCs w:val="18"/>
              </w:rPr>
              <w:t>被出售资 产</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91" w:right="0"/>
              <w:jc w:val="left"/>
              <w:rPr>
                <w:rFonts w:ascii="宋体" w:hAnsi="宋体" w:cs="宋体" w:eastAsia="宋体" w:hint="default"/>
                <w:sz w:val="18"/>
                <w:szCs w:val="18"/>
              </w:rPr>
            </w:pPr>
            <w:r>
              <w:rPr>
                <w:rFonts w:ascii="宋体" w:hAnsi="宋体" w:cs="宋体" w:eastAsia="宋体" w:hint="default"/>
                <w:sz w:val="18"/>
                <w:szCs w:val="18"/>
              </w:rPr>
              <w:t>出售日</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交易价格</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101"/>
              <w:jc w:val="center"/>
              <w:rPr>
                <w:rFonts w:ascii="宋体" w:hAnsi="宋体" w:cs="宋体" w:eastAsia="宋体" w:hint="default"/>
                <w:sz w:val="18"/>
                <w:szCs w:val="18"/>
              </w:rPr>
            </w:pPr>
            <w:r>
              <w:rPr>
                <w:rFonts w:ascii="宋体" w:hAnsi="宋体" w:cs="宋体" w:eastAsia="宋体" w:hint="default"/>
                <w:sz w:val="18"/>
                <w:szCs w:val="18"/>
              </w:rPr>
              <w:t>本期初起 至出售日 该资产为 上市公司 贡献的净 利润（万 元）</w:t>
            </w:r>
          </w:p>
        </w:tc>
        <w:tc>
          <w:tcPr>
            <w:tcW w:w="24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出售对公司的影响（注</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z w:val="18"/>
                <w:szCs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8" w:right="59"/>
              <w:jc w:val="both"/>
              <w:rPr>
                <w:rFonts w:ascii="宋体" w:hAnsi="宋体" w:cs="宋体" w:eastAsia="宋体" w:hint="default"/>
                <w:sz w:val="18"/>
                <w:szCs w:val="18"/>
              </w:rPr>
            </w:pPr>
            <w:r>
              <w:rPr>
                <w:rFonts w:ascii="宋体" w:hAnsi="宋体" w:cs="宋体" w:eastAsia="宋体" w:hint="default"/>
                <w:sz w:val="18"/>
                <w:szCs w:val="18"/>
              </w:rPr>
              <w:t>资产出售 为上市公 司贡献的 净利润占 净利润总 额的比例</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98" w:right="98"/>
              <w:jc w:val="both"/>
              <w:rPr>
                <w:rFonts w:ascii="宋体" w:hAnsi="宋体" w:cs="宋体" w:eastAsia="宋体" w:hint="default"/>
                <w:sz w:val="18"/>
                <w:szCs w:val="18"/>
              </w:rPr>
            </w:pPr>
            <w:r>
              <w:rPr>
                <w:rFonts w:ascii="宋体" w:hAnsi="宋体" w:cs="宋体" w:eastAsia="宋体" w:hint="default"/>
                <w:sz w:val="18"/>
                <w:szCs w:val="18"/>
              </w:rPr>
              <w:t>资产 出售 定价 原则</w:t>
            </w:r>
          </w:p>
        </w:tc>
        <w:tc>
          <w:tcPr>
            <w:tcW w:w="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97" w:right="96"/>
              <w:jc w:val="both"/>
              <w:rPr>
                <w:rFonts w:ascii="宋体" w:hAnsi="宋体" w:cs="宋体" w:eastAsia="宋体" w:hint="default"/>
                <w:sz w:val="18"/>
                <w:szCs w:val="18"/>
              </w:rPr>
            </w:pPr>
            <w:r>
              <w:rPr>
                <w:rFonts w:ascii="宋体" w:hAnsi="宋体" w:cs="宋体" w:eastAsia="宋体" w:hint="default"/>
                <w:sz w:val="18"/>
                <w:szCs w:val="18"/>
              </w:rPr>
              <w:t>是否 为关 联交 易</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3" w:right="-45" w:hanging="68"/>
              <w:jc w:val="center"/>
              <w:rPr>
                <w:rFonts w:ascii="宋体" w:hAnsi="宋体" w:cs="宋体" w:eastAsia="宋体" w:hint="default"/>
                <w:sz w:val="18"/>
                <w:szCs w:val="18"/>
              </w:rPr>
            </w:pPr>
            <w:r>
              <w:rPr>
                <w:rFonts w:ascii="宋体" w:hAnsi="宋体" w:cs="宋体" w:eastAsia="宋体" w:hint="default"/>
                <w:sz w:val="18"/>
                <w:szCs w:val="18"/>
              </w:rPr>
              <w:t>与交易 对方的 关联关 </w:t>
            </w:r>
            <w:r>
              <w:rPr>
                <w:rFonts w:ascii="宋体" w:hAnsi="宋体" w:cs="宋体" w:eastAsia="宋体" w:hint="default"/>
                <w:spacing w:val="-17"/>
                <w:sz w:val="18"/>
                <w:szCs w:val="18"/>
              </w:rPr>
              <w:t>系（适用</w:t>
            </w:r>
            <w:r>
              <w:rPr>
                <w:rFonts w:ascii="宋体" w:hAnsi="宋体" w:cs="宋体" w:eastAsia="宋体" w:hint="default"/>
                <w:sz w:val="18"/>
                <w:szCs w:val="18"/>
              </w:rPr>
              <w:t> 关联交 易情形）</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79" w:right="78"/>
              <w:jc w:val="both"/>
              <w:rPr>
                <w:rFonts w:ascii="宋体" w:hAnsi="宋体" w:cs="宋体" w:eastAsia="宋体" w:hint="default"/>
                <w:sz w:val="18"/>
                <w:szCs w:val="18"/>
              </w:rPr>
            </w:pPr>
            <w:r>
              <w:rPr>
                <w:rFonts w:ascii="宋体" w:hAnsi="宋体" w:cs="宋体" w:eastAsia="宋体" w:hint="default"/>
                <w:sz w:val="18"/>
                <w:szCs w:val="18"/>
              </w:rPr>
              <w:t>所涉及 的资产 产权是 否已全 部过户</w:t>
            </w:r>
          </w:p>
        </w:tc>
        <w:tc>
          <w:tcPr>
            <w:tcW w:w="6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3" w:right="62"/>
              <w:jc w:val="both"/>
              <w:rPr>
                <w:rFonts w:ascii="宋体" w:hAnsi="宋体" w:cs="宋体" w:eastAsia="宋体" w:hint="default"/>
                <w:sz w:val="18"/>
                <w:szCs w:val="18"/>
              </w:rPr>
            </w:pPr>
            <w:r>
              <w:rPr>
                <w:rFonts w:ascii="宋体" w:hAnsi="宋体" w:cs="宋体" w:eastAsia="宋体" w:hint="default"/>
                <w:sz w:val="18"/>
                <w:szCs w:val="18"/>
              </w:rPr>
              <w:t>所涉及 的债权 债务是 否已全 部转移</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7" w:right="37"/>
              <w:jc w:val="center"/>
              <w:rPr>
                <w:rFonts w:ascii="宋体" w:hAnsi="宋体" w:cs="宋体" w:eastAsia="宋体" w:hint="default"/>
                <w:sz w:val="18"/>
                <w:szCs w:val="18"/>
              </w:rPr>
            </w:pPr>
            <w:r>
              <w:rPr>
                <w:rFonts w:ascii="宋体" w:hAnsi="宋体" w:cs="宋体" w:eastAsia="宋体" w:hint="default"/>
                <w:sz w:val="18"/>
                <w:szCs w:val="18"/>
              </w:rPr>
              <w:t>是否按计划如 期实施，如未 按计划实施， 应当说明原因 及公司已采取 的措施</w:t>
            </w:r>
          </w:p>
        </w:tc>
        <w:tc>
          <w:tcPr>
            <w:tcW w:w="6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53" w:right="72" w:hanging="181"/>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14"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859" w:hRule="exact"/>
        </w:trPr>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316" w:lineRule="auto"/>
              <w:ind w:left="22" w:right="20"/>
              <w:jc w:val="left"/>
              <w:rPr>
                <w:rFonts w:ascii="宋体" w:hAnsi="宋体" w:cs="宋体" w:eastAsia="宋体" w:hint="default"/>
                <w:sz w:val="18"/>
                <w:szCs w:val="18"/>
              </w:rPr>
            </w:pPr>
            <w:r>
              <w:rPr>
                <w:rFonts w:ascii="宋体" w:hAnsi="宋体" w:cs="宋体" w:eastAsia="宋体" w:hint="default"/>
                <w:sz w:val="18"/>
                <w:szCs w:val="18"/>
              </w:rPr>
              <w:t>永利投资 咨询（广 </w:t>
            </w:r>
            <w:r>
              <w:rPr>
                <w:rFonts w:ascii="宋体" w:hAnsi="宋体" w:cs="宋体" w:eastAsia="宋体" w:hint="default"/>
                <w:spacing w:val="-5"/>
                <w:sz w:val="18"/>
                <w:szCs w:val="18"/>
              </w:rPr>
              <w:t>州）有限公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司、姜斌</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449" w:right="0"/>
              <w:jc w:val="left"/>
              <w:rPr>
                <w:rFonts w:ascii="宋体" w:hAnsi="宋体" w:cs="宋体" w:eastAsia="宋体" w:hint="default"/>
                <w:sz w:val="18"/>
                <w:szCs w:val="18"/>
              </w:rPr>
            </w:pPr>
            <w:r>
              <w:rPr>
                <w:rFonts w:ascii="宋体"/>
                <w:sz w:val="18"/>
              </w:rPr>
              <w:t>3,030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361" w:right="0"/>
              <w:jc w:val="left"/>
              <w:rPr>
                <w:rFonts w:ascii="宋体" w:hAnsi="宋体" w:cs="宋体" w:eastAsia="宋体" w:hint="default"/>
                <w:sz w:val="18"/>
                <w:szCs w:val="18"/>
              </w:rPr>
            </w:pPr>
            <w:r>
              <w:rPr>
                <w:rFonts w:ascii="宋体"/>
                <w:sz w:val="18"/>
              </w:rPr>
              <w:t>570.22</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2"/>
              <w:jc w:val="both"/>
              <w:rPr>
                <w:rFonts w:ascii="宋体" w:hAnsi="宋体" w:cs="宋体" w:eastAsia="宋体" w:hint="default"/>
                <w:sz w:val="18"/>
                <w:szCs w:val="18"/>
              </w:rPr>
            </w:pPr>
            <w:r>
              <w:rPr>
                <w:rFonts w:ascii="宋体" w:hAnsi="宋体" w:cs="宋体" w:eastAsia="宋体" w:hint="default"/>
                <w:spacing w:val="-3"/>
                <w:sz w:val="18"/>
                <w:szCs w:val="18"/>
              </w:rPr>
              <w:t>1</w:t>
            </w:r>
            <w:r>
              <w:rPr>
                <w:rFonts w:ascii="宋体" w:hAnsi="宋体" w:cs="宋体" w:eastAsia="宋体" w:hint="default"/>
                <w:spacing w:val="-3"/>
                <w:sz w:val="18"/>
                <w:szCs w:val="18"/>
              </w:rPr>
              <w:t>、本次交易系公司根据中文万</w:t>
            </w:r>
            <w:r>
              <w:rPr>
                <w:rFonts w:ascii="宋体" w:hAnsi="宋体" w:cs="宋体" w:eastAsia="宋体" w:hint="default"/>
                <w:sz w:val="18"/>
                <w:szCs w:val="18"/>
              </w:rPr>
              <w:t> 维业务发展做出的决策，本次 交易完成以后，中文万维资产 将实现增值，增资款项也将进 一步支持其战略资源整合及整 体发展；公司此次出售中文万 维部分股权符合公司整体发展 战略，公司在实现良好投资收 益的同时，增加了资金储备，</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365" w:right="0"/>
              <w:jc w:val="left"/>
              <w:rPr>
                <w:rFonts w:ascii="宋体" w:hAnsi="宋体" w:cs="宋体" w:eastAsia="宋体" w:hint="default"/>
                <w:sz w:val="18"/>
                <w:szCs w:val="18"/>
              </w:rPr>
            </w:pPr>
            <w:r>
              <w:rPr>
                <w:rFonts w:ascii="宋体"/>
                <w:sz w:val="18"/>
              </w:rPr>
              <w:t>6.59%</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316" w:lineRule="auto"/>
              <w:ind w:left="22" w:right="174"/>
              <w:jc w:val="left"/>
              <w:rPr>
                <w:rFonts w:ascii="宋体" w:hAnsi="宋体" w:cs="宋体" w:eastAsia="宋体" w:hint="default"/>
                <w:sz w:val="18"/>
                <w:szCs w:val="18"/>
              </w:rPr>
            </w:pPr>
            <w:r>
              <w:rPr>
                <w:rFonts w:ascii="宋体" w:hAnsi="宋体" w:cs="宋体" w:eastAsia="宋体" w:hint="default"/>
                <w:sz w:val="18"/>
                <w:szCs w:val="18"/>
              </w:rPr>
              <w:t>协议 定价</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316" w:lineRule="auto"/>
              <w:ind w:left="24" w:right="20"/>
              <w:jc w:val="left"/>
              <w:rPr>
                <w:rFonts w:ascii="宋体" w:hAnsi="宋体" w:cs="宋体" w:eastAsia="宋体" w:hint="default"/>
                <w:sz w:val="18"/>
                <w:szCs w:val="18"/>
              </w:rPr>
            </w:pPr>
            <w:r>
              <w:rPr>
                <w:rFonts w:ascii="宋体" w:hAnsi="宋体" w:cs="宋体" w:eastAsia="宋体" w:hint="default"/>
                <w:sz w:val="18"/>
                <w:szCs w:val="18"/>
              </w:rPr>
              <w:t>关于转让北 京中文万维 科技有限公 司部分股权 的公告（公 告编号： </w:t>
            </w:r>
            <w:r>
              <w:rPr>
                <w:rFonts w:ascii="宋体" w:hAnsi="宋体" w:cs="宋体" w:eastAsia="宋体" w:hint="default"/>
                <w:sz w:val="18"/>
                <w:szCs w:val="18"/>
              </w:rPr>
              <w:t>2018-093</w:t>
            </w:r>
            <w:r>
              <w:rPr>
                <w:rFonts w:ascii="宋体" w:hAnsi="宋体" w:cs="宋体" w:eastAsia="宋体" w:hint="default"/>
                <w:sz w:val="18"/>
                <w:szCs w:val="18"/>
              </w:rPr>
              <w:t>）</w:t>
            </w:r>
          </w:p>
        </w:tc>
      </w:tr>
    </w:tbl>
    <w:p>
      <w:pPr>
        <w:spacing w:after="0" w:line="316" w:lineRule="auto"/>
        <w:jc w:val="lef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934"/>
        <w:gridCol w:w="934"/>
        <w:gridCol w:w="934"/>
        <w:gridCol w:w="932"/>
        <w:gridCol w:w="934"/>
        <w:gridCol w:w="2447"/>
        <w:gridCol w:w="850"/>
        <w:gridCol w:w="569"/>
        <w:gridCol w:w="565"/>
        <w:gridCol w:w="709"/>
        <w:gridCol w:w="709"/>
        <w:gridCol w:w="678"/>
        <w:gridCol w:w="1166"/>
        <w:gridCol w:w="698"/>
        <w:gridCol w:w="956"/>
      </w:tblGrid>
      <w:tr>
        <w:trPr>
          <w:trHeight w:val="689" w:hRule="exact"/>
        </w:trPr>
        <w:tc>
          <w:tcPr>
            <w:tcW w:w="934" w:type="dxa"/>
            <w:tcBorders>
              <w:top w:val="single" w:sz="15" w:space="0" w:color="000000"/>
              <w:left w:val="single" w:sz="4" w:space="0" w:color="000000"/>
              <w:bottom w:val="single" w:sz="4" w:space="0" w:color="000000"/>
              <w:right w:val="single" w:sz="4" w:space="0" w:color="000000"/>
            </w:tcBorders>
          </w:tcPr>
          <w:p>
            <w:pPr/>
          </w:p>
        </w:tc>
        <w:tc>
          <w:tcPr>
            <w:tcW w:w="934" w:type="dxa"/>
            <w:tcBorders>
              <w:top w:val="single" w:sz="15" w:space="0" w:color="000000"/>
              <w:left w:val="single" w:sz="4" w:space="0" w:color="000000"/>
              <w:bottom w:val="single" w:sz="4" w:space="0" w:color="000000"/>
              <w:right w:val="single" w:sz="4" w:space="0" w:color="000000"/>
            </w:tcBorders>
          </w:tcPr>
          <w:p>
            <w:pPr/>
          </w:p>
        </w:tc>
        <w:tc>
          <w:tcPr>
            <w:tcW w:w="934" w:type="dxa"/>
            <w:tcBorders>
              <w:top w:val="single" w:sz="15" w:space="0" w:color="000000"/>
              <w:left w:val="single" w:sz="4" w:space="0" w:color="000000"/>
              <w:bottom w:val="single" w:sz="4" w:space="0" w:color="000000"/>
              <w:right w:val="single" w:sz="4" w:space="0" w:color="000000"/>
            </w:tcBorders>
          </w:tcPr>
          <w:p>
            <w:pPr/>
          </w:p>
        </w:tc>
        <w:tc>
          <w:tcPr>
            <w:tcW w:w="932" w:type="dxa"/>
            <w:tcBorders>
              <w:top w:val="single" w:sz="15" w:space="0" w:color="000000"/>
              <w:left w:val="single" w:sz="4" w:space="0" w:color="000000"/>
              <w:bottom w:val="single" w:sz="4" w:space="0" w:color="000000"/>
              <w:right w:val="single" w:sz="4" w:space="0" w:color="000000"/>
            </w:tcBorders>
          </w:tcPr>
          <w:p>
            <w:pPr/>
          </w:p>
        </w:tc>
        <w:tc>
          <w:tcPr>
            <w:tcW w:w="934" w:type="dxa"/>
            <w:tcBorders>
              <w:top w:val="single" w:sz="15" w:space="0" w:color="000000"/>
              <w:left w:val="single" w:sz="4" w:space="0" w:color="000000"/>
              <w:bottom w:val="single" w:sz="4" w:space="0" w:color="000000"/>
              <w:right w:val="single" w:sz="4" w:space="0" w:color="000000"/>
            </w:tcBorders>
          </w:tcPr>
          <w:p>
            <w:pPr/>
          </w:p>
        </w:tc>
        <w:tc>
          <w:tcPr>
            <w:tcW w:w="2447"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10"/>
              <w:ind w:left="22" w:right="72"/>
              <w:jc w:val="left"/>
              <w:rPr>
                <w:rFonts w:ascii="宋体" w:hAnsi="宋体" w:cs="宋体" w:eastAsia="宋体" w:hint="default"/>
                <w:sz w:val="18"/>
                <w:szCs w:val="18"/>
              </w:rPr>
            </w:pPr>
            <w:r>
              <w:rPr>
                <w:rFonts w:ascii="宋体" w:hAnsi="宋体" w:cs="宋体" w:eastAsia="宋体" w:hint="default"/>
                <w:sz w:val="18"/>
                <w:szCs w:val="18"/>
              </w:rPr>
              <w:t>符合公司长远发展及全体股东 利益。</w:t>
            </w:r>
          </w:p>
        </w:tc>
        <w:tc>
          <w:tcPr>
            <w:tcW w:w="850" w:type="dxa"/>
            <w:tcBorders>
              <w:top w:val="single" w:sz="15" w:space="0" w:color="000000"/>
              <w:left w:val="single" w:sz="4" w:space="0" w:color="000000"/>
              <w:bottom w:val="single" w:sz="4" w:space="0" w:color="000000"/>
              <w:right w:val="single" w:sz="4" w:space="0" w:color="000000"/>
            </w:tcBorders>
          </w:tcPr>
          <w:p>
            <w:pPr/>
          </w:p>
        </w:tc>
        <w:tc>
          <w:tcPr>
            <w:tcW w:w="569" w:type="dxa"/>
            <w:tcBorders>
              <w:top w:val="single" w:sz="15" w:space="0" w:color="000000"/>
              <w:left w:val="single" w:sz="4" w:space="0" w:color="000000"/>
              <w:bottom w:val="single" w:sz="4" w:space="0" w:color="000000"/>
              <w:right w:val="single" w:sz="4" w:space="0" w:color="000000"/>
            </w:tcBorders>
          </w:tcPr>
          <w:p>
            <w:pPr/>
          </w:p>
        </w:tc>
        <w:tc>
          <w:tcPr>
            <w:tcW w:w="565"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678" w:type="dxa"/>
            <w:tcBorders>
              <w:top w:val="single" w:sz="15" w:space="0" w:color="000000"/>
              <w:left w:val="single" w:sz="4" w:space="0" w:color="000000"/>
              <w:bottom w:val="single" w:sz="4" w:space="0" w:color="000000"/>
              <w:right w:val="single" w:sz="4" w:space="0" w:color="000000"/>
            </w:tcBorders>
          </w:tcPr>
          <w:p>
            <w:pPr/>
          </w:p>
        </w:tc>
        <w:tc>
          <w:tcPr>
            <w:tcW w:w="1166" w:type="dxa"/>
            <w:tcBorders>
              <w:top w:val="single" w:sz="15" w:space="0" w:color="000000"/>
              <w:left w:val="single" w:sz="4" w:space="0" w:color="000000"/>
              <w:bottom w:val="single" w:sz="4" w:space="0" w:color="000000"/>
              <w:right w:val="single" w:sz="4" w:space="0" w:color="000000"/>
            </w:tcBorders>
          </w:tcPr>
          <w:p>
            <w:pPr/>
          </w:p>
        </w:tc>
        <w:tc>
          <w:tcPr>
            <w:tcW w:w="698" w:type="dxa"/>
            <w:tcBorders>
              <w:top w:val="single" w:sz="15" w:space="0" w:color="000000"/>
              <w:left w:val="single" w:sz="4" w:space="0" w:color="000000"/>
              <w:bottom w:val="single" w:sz="4" w:space="0" w:color="000000"/>
              <w:right w:val="single" w:sz="4" w:space="0" w:color="000000"/>
            </w:tcBorders>
          </w:tcPr>
          <w:p>
            <w:pPr/>
          </w:p>
        </w:tc>
        <w:tc>
          <w:tcPr>
            <w:tcW w:w="956" w:type="dxa"/>
            <w:tcBorders>
              <w:top w:val="single" w:sz="15"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40" w:right="5438" w:firstLine="0"/>
        <w:jc w:val="left"/>
        <w:rPr>
          <w:rFonts w:ascii="宋体" w:hAnsi="宋体" w:cs="宋体" w:eastAsia="宋体" w:hint="default"/>
          <w:sz w:val="21"/>
          <w:szCs w:val="21"/>
        </w:rPr>
      </w:pPr>
      <w:bookmarkStart w:name="2、出售重大股权情况" w:id="54"/>
      <w:bookmarkEnd w:id="54"/>
      <w:r>
        <w:rPr/>
      </w:r>
      <w:r>
        <w:rPr>
          <w:rFonts w:ascii="宋体" w:hAnsi="宋体" w:cs="宋体" w:eastAsia="宋体" w:hint="default"/>
          <w:b/>
          <w:bCs/>
          <w:sz w:val="21"/>
          <w:szCs w:val="21"/>
        </w:rPr>
        <w:t>2</w:t>
      </w:r>
      <w:r>
        <w:rPr>
          <w:rFonts w:ascii="宋体" w:hAnsi="宋体" w:cs="宋体" w:eastAsia="宋体" w:hint="default"/>
          <w:b/>
          <w:bCs/>
          <w:sz w:val="21"/>
          <w:szCs w:val="21"/>
        </w:rPr>
        <w:t>、出售重大股权情况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20" w:right="5438"/>
        <w:jc w:val="left"/>
      </w:pPr>
      <w:r>
        <w:rPr/>
        <w:pict>
          <v:shape style="position:absolute;margin-left:288.256989pt;margin-top:99.765625pt;width:137.950pt;height:46.85pt;mso-position-horizontal-relative:page;mso-position-vertical-relative:paragraph;z-index:-1154584" type="#_x0000_t202" filled="false" stroked="false">
            <v:textbox inset="0,0,0,0">
              <w:txbxContent>
                <w:p>
                  <w:pPr>
                    <w:spacing w:line="240" w:lineRule="auto" w:before="10"/>
                    <w:rPr>
                      <w:rFonts w:ascii="宋体" w:hAnsi="宋体" w:cs="宋体" w:eastAsia="宋体"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（万元）</w:t>
                  </w:r>
                </w:p>
              </w:txbxContent>
            </v:textbox>
            <w10:wrap type="none"/>
          </v:shape>
        </w:pict>
      </w:r>
      <w:r>
        <w:rPr/>
        <w:t>√ 适用 □ 不适用</w:t>
      </w:r>
    </w:p>
    <w:p>
      <w:pPr>
        <w:spacing w:line="240" w:lineRule="auto" w:before="3"/>
        <w:rPr>
          <w:rFonts w:ascii="宋体" w:hAnsi="宋体" w:cs="宋体" w:eastAsia="宋体"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1002"/>
        <w:gridCol w:w="1001"/>
        <w:gridCol w:w="1003"/>
        <w:gridCol w:w="1003"/>
        <w:gridCol w:w="1001"/>
        <w:gridCol w:w="2105"/>
        <w:gridCol w:w="992"/>
        <w:gridCol w:w="852"/>
        <w:gridCol w:w="708"/>
        <w:gridCol w:w="709"/>
        <w:gridCol w:w="650"/>
        <w:gridCol w:w="1003"/>
        <w:gridCol w:w="1004"/>
        <w:gridCol w:w="980"/>
      </w:tblGrid>
      <w:tr>
        <w:trPr>
          <w:trHeight w:val="2274" w:hRule="exact"/>
        </w:trPr>
        <w:tc>
          <w:tcPr>
            <w:tcW w:w="10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35" w:right="0"/>
              <w:jc w:val="left"/>
              <w:rPr>
                <w:rFonts w:ascii="宋体" w:hAnsi="宋体" w:cs="宋体" w:eastAsia="宋体" w:hint="default"/>
                <w:sz w:val="18"/>
                <w:szCs w:val="18"/>
              </w:rPr>
            </w:pPr>
            <w:r>
              <w:rPr>
                <w:rFonts w:ascii="宋体" w:hAnsi="宋体" w:cs="宋体" w:eastAsia="宋体" w:hint="default"/>
                <w:sz w:val="18"/>
                <w:szCs w:val="18"/>
              </w:rPr>
              <w:t>交易对方</w:t>
            </w:r>
          </w:p>
        </w:tc>
        <w:tc>
          <w:tcPr>
            <w:tcW w:w="1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被出售股权</w:t>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出售日</w:t>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35" w:right="0"/>
              <w:jc w:val="left"/>
              <w:rPr>
                <w:rFonts w:ascii="宋体" w:hAnsi="宋体" w:cs="宋体" w:eastAsia="宋体" w:hint="default"/>
                <w:sz w:val="18"/>
                <w:szCs w:val="18"/>
              </w:rPr>
            </w:pPr>
            <w:r>
              <w:rPr>
                <w:rFonts w:ascii="宋体" w:hAnsi="宋体" w:cs="宋体" w:eastAsia="宋体" w:hint="default"/>
                <w:sz w:val="18"/>
                <w:szCs w:val="18"/>
              </w:rPr>
              <w:t>交易价格</w:t>
            </w:r>
          </w:p>
          <w:p>
            <w:pPr>
              <w:pStyle w:val="TableParagraph"/>
              <w:spacing w:line="240" w:lineRule="auto" w:before="76"/>
              <w:ind w:left="135"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43" w:firstLine="22"/>
              <w:jc w:val="both"/>
              <w:rPr>
                <w:rFonts w:ascii="宋体" w:hAnsi="宋体" w:cs="宋体" w:eastAsia="宋体" w:hint="default"/>
                <w:sz w:val="18"/>
                <w:szCs w:val="18"/>
              </w:rPr>
            </w:pPr>
            <w:r>
              <w:rPr>
                <w:rFonts w:ascii="宋体" w:hAnsi="宋体" w:cs="宋体" w:eastAsia="宋体" w:hint="default"/>
                <w:sz w:val="18"/>
                <w:szCs w:val="18"/>
              </w:rPr>
              <w:t>本期初起至 出售日该股 权为上市公 司贡献的净 利润</w:t>
            </w:r>
          </w:p>
        </w:tc>
        <w:tc>
          <w:tcPr>
            <w:tcW w:w="21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出售对公司的影响</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40" w:right="41"/>
              <w:jc w:val="both"/>
              <w:rPr>
                <w:rFonts w:ascii="宋体" w:hAnsi="宋体" w:cs="宋体" w:eastAsia="宋体" w:hint="default"/>
                <w:sz w:val="18"/>
                <w:szCs w:val="18"/>
              </w:rPr>
            </w:pPr>
            <w:r>
              <w:rPr>
                <w:rFonts w:ascii="宋体" w:hAnsi="宋体" w:cs="宋体" w:eastAsia="宋体" w:hint="default"/>
                <w:sz w:val="18"/>
                <w:szCs w:val="18"/>
              </w:rPr>
              <w:t>股权出售为 上市公司贡 献的净利润 占净利润总 额的比例</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60" w:right="60"/>
              <w:jc w:val="left"/>
              <w:rPr>
                <w:rFonts w:ascii="宋体" w:hAnsi="宋体" w:cs="宋体" w:eastAsia="宋体" w:hint="default"/>
                <w:sz w:val="18"/>
                <w:szCs w:val="18"/>
              </w:rPr>
            </w:pPr>
            <w:r>
              <w:rPr>
                <w:rFonts w:ascii="宋体" w:hAnsi="宋体" w:cs="宋体" w:eastAsia="宋体" w:hint="default"/>
                <w:sz w:val="18"/>
                <w:szCs w:val="18"/>
              </w:rPr>
              <w:t>股权出售 定价原则</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9" w:right="77"/>
              <w:jc w:val="center"/>
              <w:rPr>
                <w:rFonts w:ascii="宋体" w:hAnsi="宋体" w:cs="宋体" w:eastAsia="宋体" w:hint="default"/>
                <w:sz w:val="18"/>
                <w:szCs w:val="18"/>
              </w:rPr>
            </w:pPr>
            <w:r>
              <w:rPr>
                <w:rFonts w:ascii="宋体" w:hAnsi="宋体" w:cs="宋体" w:eastAsia="宋体" w:hint="default"/>
                <w:sz w:val="18"/>
                <w:szCs w:val="18"/>
              </w:rPr>
              <w:t>是否为 关联交 易</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9" w:lineRule="auto"/>
              <w:ind w:left="80" w:right="77"/>
              <w:jc w:val="center"/>
              <w:rPr>
                <w:rFonts w:ascii="宋体" w:hAnsi="宋体" w:cs="宋体" w:eastAsia="宋体" w:hint="default"/>
                <w:sz w:val="18"/>
                <w:szCs w:val="18"/>
              </w:rPr>
            </w:pPr>
            <w:r>
              <w:rPr>
                <w:rFonts w:ascii="宋体" w:hAnsi="宋体" w:cs="宋体" w:eastAsia="宋体" w:hint="default"/>
                <w:sz w:val="18"/>
                <w:szCs w:val="18"/>
              </w:rPr>
              <w:t>与交易 对方的 关联关 系</w:t>
            </w:r>
          </w:p>
        </w:tc>
        <w:tc>
          <w:tcPr>
            <w:tcW w:w="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49" w:right="49"/>
              <w:jc w:val="center"/>
              <w:rPr>
                <w:rFonts w:ascii="宋体" w:hAnsi="宋体" w:cs="宋体" w:eastAsia="宋体" w:hint="default"/>
                <w:sz w:val="18"/>
                <w:szCs w:val="18"/>
              </w:rPr>
            </w:pPr>
            <w:r>
              <w:rPr>
                <w:rFonts w:ascii="宋体" w:hAnsi="宋体" w:cs="宋体" w:eastAsia="宋体" w:hint="default"/>
                <w:sz w:val="18"/>
                <w:szCs w:val="18"/>
              </w:rPr>
              <w:t>所涉及 的股权 是否已 全部过 户</w:t>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5" w:right="47"/>
              <w:jc w:val="center"/>
              <w:rPr>
                <w:rFonts w:ascii="宋体" w:hAnsi="宋体" w:cs="宋体" w:eastAsia="宋体" w:hint="default"/>
                <w:sz w:val="18"/>
                <w:szCs w:val="18"/>
              </w:rPr>
            </w:pPr>
            <w:r>
              <w:rPr>
                <w:rFonts w:ascii="宋体" w:hAnsi="宋体" w:cs="宋体" w:eastAsia="宋体" w:hint="default"/>
                <w:sz w:val="18"/>
                <w:szCs w:val="18"/>
              </w:rPr>
              <w:t>是否按计划 如期实施， 如未按计划 实施，应当 说明原因及 公司已采取 的措施</w:t>
            </w:r>
          </w:p>
        </w:tc>
        <w:tc>
          <w:tcPr>
            <w:tcW w:w="10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35"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4148"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9" w:lineRule="auto"/>
              <w:ind w:left="22" w:right="67"/>
              <w:jc w:val="both"/>
              <w:rPr>
                <w:rFonts w:ascii="宋体" w:hAnsi="宋体" w:cs="宋体" w:eastAsia="宋体" w:hint="default"/>
                <w:sz w:val="18"/>
                <w:szCs w:val="18"/>
              </w:rPr>
            </w:pPr>
            <w:r>
              <w:rPr>
                <w:rFonts w:ascii="宋体" w:hAnsi="宋体" w:cs="宋体" w:eastAsia="宋体" w:hint="default"/>
                <w:sz w:val="18"/>
                <w:szCs w:val="18"/>
              </w:rPr>
              <w:t>永利投资咨 询（广州） 有限公司、 姜斌</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519" w:right="0"/>
              <w:jc w:val="left"/>
              <w:rPr>
                <w:rFonts w:ascii="宋体" w:hAnsi="宋体" w:cs="宋体" w:eastAsia="宋体" w:hint="default"/>
                <w:sz w:val="18"/>
                <w:szCs w:val="18"/>
              </w:rPr>
            </w:pPr>
            <w:r>
              <w:rPr>
                <w:rFonts w:ascii="宋体"/>
                <w:sz w:val="18"/>
              </w:rPr>
              <w:t>3,030</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428" w:right="0"/>
              <w:jc w:val="left"/>
              <w:rPr>
                <w:rFonts w:ascii="宋体" w:hAnsi="宋体" w:cs="宋体" w:eastAsia="宋体" w:hint="default"/>
                <w:sz w:val="18"/>
                <w:szCs w:val="18"/>
              </w:rPr>
            </w:pPr>
            <w:r>
              <w:rPr>
                <w:rFonts w:ascii="宋体"/>
                <w:sz w:val="18"/>
              </w:rPr>
              <w:t>570.22</w:t>
            </w:r>
          </w:p>
        </w:tc>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pacing w:val="-2"/>
                <w:sz w:val="18"/>
                <w:szCs w:val="18"/>
              </w:rPr>
              <w:t>1</w:t>
            </w:r>
            <w:r>
              <w:rPr>
                <w:rFonts w:ascii="宋体" w:hAnsi="宋体" w:cs="宋体" w:eastAsia="宋体" w:hint="default"/>
                <w:spacing w:val="-2"/>
                <w:sz w:val="18"/>
                <w:szCs w:val="18"/>
              </w:rPr>
              <w:t>、本次交易系公司根据中</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文万维业务发展做出的决 策，本次交易完成以后， 中文万维资产将实现增 值，增资款项也将进一步 支持其战略资源整合及整 体发展；公司此次出售中 文万维部分股权符合公司 整体发展战略，公司在实 现良好投资收益的同时， 增加了资金储备，符合公 司长远发展及全体股东利 益。</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508" w:right="0"/>
              <w:jc w:val="left"/>
              <w:rPr>
                <w:rFonts w:ascii="宋体" w:hAnsi="宋体" w:cs="宋体" w:eastAsia="宋体" w:hint="default"/>
                <w:sz w:val="18"/>
                <w:szCs w:val="18"/>
              </w:rPr>
            </w:pPr>
            <w:r>
              <w:rPr>
                <w:rFonts w:ascii="宋体"/>
                <w:sz w:val="18"/>
              </w:rPr>
              <w:t>6.59%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协议定价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2" w:right="47"/>
              <w:jc w:val="left"/>
              <w:rPr>
                <w:rFonts w:ascii="宋体" w:hAnsi="宋体" w:cs="宋体" w:eastAsia="宋体" w:hint="default"/>
                <w:sz w:val="18"/>
                <w:szCs w:val="18"/>
              </w:rPr>
            </w:pPr>
            <w:r>
              <w:rPr>
                <w:rFonts w:ascii="宋体" w:hAnsi="宋体" w:cs="宋体" w:eastAsia="宋体" w:hint="default"/>
                <w:sz w:val="18"/>
                <w:szCs w:val="18"/>
              </w:rPr>
              <w:t>关于转让北 京中文万维 科技有限公 司部分股权 的公告（公 告编号： </w:t>
            </w:r>
            <w:r>
              <w:rPr>
                <w:rFonts w:ascii="宋体" w:hAnsi="宋体" w:cs="宋体" w:eastAsia="宋体" w:hint="default"/>
                <w:sz w:val="18"/>
                <w:szCs w:val="18"/>
              </w:rPr>
              <w:t>2018-093</w:t>
            </w:r>
            <w:r>
              <w:rPr>
                <w:rFonts w:ascii="宋体" w:hAnsi="宋体" w:cs="宋体" w:eastAsia="宋体" w:hint="default"/>
                <w:sz w:val="18"/>
                <w:szCs w:val="18"/>
              </w:rPr>
              <w:t>）</w:t>
            </w:r>
          </w:p>
        </w:tc>
      </w:tr>
    </w:tbl>
    <w:p>
      <w:pPr>
        <w:spacing w:after="0" w:line="316" w:lineRule="auto"/>
        <w:jc w:val="left"/>
        <w:rPr>
          <w:rFonts w:ascii="宋体" w:hAnsi="宋体" w:cs="宋体" w:eastAsia="宋体" w:hint="default"/>
          <w:sz w:val="18"/>
          <w:szCs w:val="18"/>
        </w:rPr>
        <w:sectPr>
          <w:pgSz w:w="16840" w:h="11910" w:orient="landscape"/>
          <w:pgMar w:header="867" w:footer="979" w:top="1060" w:bottom="1160" w:left="1300" w:right="1300"/>
        </w:sectPr>
      </w:pPr>
    </w:p>
    <w:p>
      <w:pPr>
        <w:pStyle w:val="Heading2"/>
        <w:spacing w:line="240" w:lineRule="auto" w:before="30"/>
        <w:ind w:left="120" w:right="11287"/>
        <w:jc w:val="center"/>
        <w:rPr>
          <w:b w:val="0"/>
          <w:bCs w:val="0"/>
        </w:rPr>
      </w:pPr>
      <w:r>
        <w:rPr/>
        <w:pict>
          <v:group style="position:absolute;margin-left:70.5pt;margin-top:2.255627pt;width:701pt;height:.1pt;mso-position-horizontal-relative:page;mso-position-vertical-relative:paragraph;z-index:-1154560" coordorigin="1410,45" coordsize="14020,2">
            <v:shape style="position:absolute;left:1410;top:45;width:14020;height:2" coordorigin="1410,45" coordsize="14020,0" path="m1410,45l15430,45e" filled="false" stroked="true" strokeweight=".72pt" strokecolor="#000000">
              <v:path arrowok="t"/>
            </v:shape>
            <w10:wrap type="none"/>
          </v:group>
        </w:pict>
      </w:r>
      <w:bookmarkStart w:name="七、主要控股参股公司分析" w:id="55"/>
      <w:bookmarkEnd w:id="55"/>
      <w:r>
        <w:rPr>
          <w:b w:val="0"/>
          <w:bCs w:val="0"/>
        </w:rPr>
      </w:r>
      <w:r>
        <w:rPr/>
        <w:t>七、主要控股参股公司分析</w:t>
      </w:r>
      <w:r>
        <w:rPr>
          <w:b w:val="0"/>
          <w:bCs w:val="0"/>
        </w:rPr>
      </w:r>
    </w:p>
    <w:p>
      <w:pPr>
        <w:spacing w:line="240" w:lineRule="auto" w:before="11"/>
        <w:rPr>
          <w:rFonts w:ascii="宋体" w:hAnsi="宋体" w:cs="宋体" w:eastAsia="宋体" w:hint="default"/>
          <w:b/>
          <w:bCs/>
          <w:sz w:val="28"/>
          <w:szCs w:val="28"/>
        </w:rPr>
      </w:pPr>
    </w:p>
    <w:p>
      <w:pPr>
        <w:pStyle w:val="BodyText"/>
        <w:spacing w:line="240" w:lineRule="auto"/>
        <w:ind w:left="620" w:right="0"/>
        <w:jc w:val="left"/>
      </w:pPr>
      <w:r>
        <w:rPr/>
        <w:t>√ 适用 □ 不适用</w:t>
      </w:r>
    </w:p>
    <w:p>
      <w:pPr>
        <w:spacing w:line="240" w:lineRule="auto" w:before="5"/>
        <w:rPr>
          <w:rFonts w:ascii="宋体" w:hAnsi="宋体" w:cs="宋体" w:eastAsia="宋体" w:hint="default"/>
          <w:sz w:val="19"/>
          <w:szCs w:val="19"/>
        </w:rPr>
      </w:pPr>
    </w:p>
    <w:p>
      <w:pPr>
        <w:pStyle w:val="BodyText"/>
        <w:spacing w:line="240" w:lineRule="auto"/>
        <w:ind w:left="620" w:right="0"/>
        <w:jc w:val="left"/>
      </w:pPr>
      <w:r>
        <w:rPr/>
        <w:t>主要子公司及对公司净利润影响达</w:t>
      </w:r>
      <w:r>
        <w:rPr>
          <w:spacing w:val="-60"/>
        </w:rPr>
        <w:t> </w:t>
      </w:r>
      <w:r>
        <w:rPr>
          <w:rFonts w:ascii="宋体" w:hAnsi="宋体" w:cs="宋体" w:eastAsia="宋体" w:hint="default"/>
        </w:rPr>
        <w:t>10%</w:t>
      </w:r>
      <w:r>
        <w:rPr/>
        <w:t>以上的参股公司情况</w:t>
      </w:r>
    </w:p>
    <w:p>
      <w:pPr>
        <w:spacing w:line="240" w:lineRule="auto" w:before="11"/>
        <w:rPr>
          <w:rFonts w:ascii="宋体" w:hAnsi="宋体" w:cs="宋体" w:eastAsia="宋体" w:hint="default"/>
          <w:sz w:val="13"/>
          <w:szCs w:val="13"/>
        </w:rPr>
      </w:pPr>
    </w:p>
    <w:p>
      <w:pPr>
        <w:spacing w:before="44"/>
        <w:ind w:left="0" w:right="2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1545"/>
        <w:gridCol w:w="1753"/>
        <w:gridCol w:w="1530"/>
        <w:gridCol w:w="1530"/>
        <w:gridCol w:w="1534"/>
        <w:gridCol w:w="1530"/>
        <w:gridCol w:w="1530"/>
        <w:gridCol w:w="1530"/>
        <w:gridCol w:w="1533"/>
      </w:tblGrid>
      <w:tr>
        <w:trPr>
          <w:trHeight w:val="402" w:hRule="exact"/>
        </w:trPr>
        <w:tc>
          <w:tcPr>
            <w:tcW w:w="1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6"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7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2"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9"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9"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0"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9"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9"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1"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402" w:hRule="exact"/>
        </w:trPr>
        <w:tc>
          <w:tcPr>
            <w:tcW w:w="1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游戏运营及互联网</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2" w:right="0"/>
              <w:jc w:val="left"/>
              <w:rPr>
                <w:rFonts w:ascii="宋体" w:hAnsi="宋体" w:cs="宋体" w:eastAsia="宋体" w:hint="default"/>
                <w:sz w:val="18"/>
                <w:szCs w:val="18"/>
              </w:rPr>
            </w:pPr>
            <w:r>
              <w:rPr>
                <w:rFonts w:ascii="宋体"/>
                <w:sz w:val="18"/>
              </w:rPr>
              <w:t>13,732,030.00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376,180,947.17</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320,473,800.99</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125,843,436.33</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-300,568,125.10</w:t>
            </w:r>
          </w:p>
        </w:tc>
        <w:tc>
          <w:tcPr>
            <w:tcW w:w="1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-266,979,335.74</w:t>
            </w:r>
          </w:p>
        </w:tc>
      </w:tr>
      <w:tr>
        <w:trPr>
          <w:trHeight w:val="402" w:hRule="exact"/>
        </w:trPr>
        <w:tc>
          <w:tcPr>
            <w:tcW w:w="1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新浪阅读</w:t>
            </w:r>
          </w:p>
        </w:tc>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参股公司</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1,282,060.00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164,017,336.36</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157,091,476.28</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35,015,957.45</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-39,874,438.25</w:t>
            </w:r>
          </w:p>
        </w:tc>
        <w:tc>
          <w:tcPr>
            <w:tcW w:w="1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-39,862,368.10</w:t>
            </w:r>
          </w:p>
        </w:tc>
      </w:tr>
    </w:tbl>
    <w:p>
      <w:pPr>
        <w:spacing w:line="240" w:lineRule="auto" w:before="11"/>
        <w:rPr>
          <w:rFonts w:ascii="宋体" w:hAnsi="宋体" w:cs="宋体" w:eastAsia="宋体" w:hint="default"/>
          <w:sz w:val="8"/>
          <w:szCs w:val="8"/>
        </w:rPr>
      </w:pPr>
    </w:p>
    <w:p>
      <w:pPr>
        <w:pStyle w:val="BodyText"/>
        <w:spacing w:line="240" w:lineRule="auto" w:before="26"/>
        <w:ind w:left="620" w:right="0"/>
        <w:jc w:val="left"/>
      </w:pPr>
      <w:r>
        <w:rPr/>
        <w:t>报告期内取得和处置子公司的情况</w:t>
      </w:r>
    </w:p>
    <w:p>
      <w:pPr>
        <w:spacing w:line="240" w:lineRule="auto" w:before="6"/>
        <w:rPr>
          <w:rFonts w:ascii="宋体" w:hAnsi="宋体" w:cs="宋体" w:eastAsia="宋体" w:hint="default"/>
          <w:sz w:val="19"/>
          <w:szCs w:val="19"/>
        </w:rPr>
      </w:pPr>
    </w:p>
    <w:p>
      <w:pPr>
        <w:pStyle w:val="BodyText"/>
        <w:spacing w:line="240" w:lineRule="auto"/>
        <w:ind w:left="620" w:right="0"/>
        <w:jc w:val="left"/>
      </w:pPr>
      <w:r>
        <w:rPr/>
        <w:t>√ 适用 □ 不适用</w:t>
      </w:r>
    </w:p>
    <w:p>
      <w:pPr>
        <w:spacing w:line="240" w:lineRule="auto" w:before="3"/>
        <w:rPr>
          <w:rFonts w:ascii="宋体" w:hAnsi="宋体" w:cs="宋体" w:eastAsia="宋体"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2438"/>
        <w:gridCol w:w="3260"/>
        <w:gridCol w:w="8317"/>
      </w:tblGrid>
      <w:tr>
        <w:trPr>
          <w:trHeight w:val="401" w:hRule="exact"/>
        </w:trPr>
        <w:tc>
          <w:tcPr>
            <w:tcW w:w="2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65"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8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2" w:hRule="exact"/>
        </w:trPr>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取得：非同一控制下的企业合并</w:t>
            </w:r>
          </w:p>
        </w:tc>
        <w:tc>
          <w:tcPr>
            <w:tcW w:w="8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此次收购对公司本年度经营业绩的影响为</w:t>
            </w:r>
            <w:r>
              <w:rPr>
                <w:rFonts w:ascii="宋体" w:hAnsi="宋体" w:cs="宋体" w:eastAsia="宋体" w:hint="default"/>
                <w:sz w:val="18"/>
                <w:szCs w:val="18"/>
              </w:rPr>
              <w:t>-117,481.51</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714" w:hRule="exact"/>
        </w:trPr>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处置：股权转让</w:t>
            </w:r>
          </w:p>
        </w:tc>
        <w:tc>
          <w:tcPr>
            <w:tcW w:w="83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pacing w:val="-1"/>
                <w:sz w:val="18"/>
                <w:szCs w:val="18"/>
              </w:rPr>
              <w:t>公司此次出售中文万维部分股权符合公司整体发展战略，公司在实现良好投资收益的同时，增加了资金储</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备，符合公司长远发展及全体股东利益，股权处置对公司本年度经营业绩的影响金额为</w:t>
            </w:r>
            <w:r>
              <w:rPr>
                <w:rFonts w:ascii="宋体" w:hAnsi="宋体" w:cs="宋体" w:eastAsia="宋体" w:hint="default"/>
                <w:spacing w:val="-45"/>
                <w:sz w:val="18"/>
                <w:szCs w:val="18"/>
              </w:rPr>
              <w:t> </w:t>
            </w:r>
            <w:r>
              <w:rPr>
                <w:rFonts w:ascii="宋体" w:hAnsi="宋体" w:cs="宋体" w:eastAsia="宋体" w:hint="default"/>
                <w:sz w:val="18"/>
                <w:szCs w:val="18"/>
              </w:rPr>
              <w:t>9,913.82</w:t>
            </w:r>
            <w:r>
              <w:rPr>
                <w:rFonts w:ascii="宋体" w:hAnsi="宋体" w:cs="宋体" w:eastAsia="宋体" w:hint="default"/>
                <w:spacing w:val="-45"/>
                <w:sz w:val="18"/>
                <w:szCs w:val="18"/>
              </w:rPr>
              <w:t> </w:t>
            </w:r>
            <w:r>
              <w:rPr>
                <w:rFonts w:ascii="宋体" w:hAnsi="宋体" w:cs="宋体" w:eastAsia="宋体" w:hint="default"/>
                <w:sz w:val="18"/>
                <w:szCs w:val="18"/>
              </w:rPr>
              <w:t>万元。</w:t>
            </w:r>
          </w:p>
        </w:tc>
      </w:tr>
      <w:tr>
        <w:trPr>
          <w:trHeight w:val="403" w:hRule="exact"/>
        </w:trPr>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中昊嘉华、新美嘉华</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处置：股权转让</w:t>
            </w:r>
          </w:p>
        </w:tc>
        <w:tc>
          <w:tcPr>
            <w:tcW w:w="8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此次处置对公司经营业绩的影响为</w:t>
            </w:r>
            <w:r>
              <w:rPr>
                <w:rFonts w:ascii="宋体" w:hAnsi="宋体" w:cs="宋体" w:eastAsia="宋体" w:hint="default"/>
                <w:sz w:val="18"/>
                <w:szCs w:val="18"/>
              </w:rPr>
              <w:t>-1,245.65</w:t>
            </w:r>
            <w:r>
              <w:rPr>
                <w:rFonts w:ascii="宋体" w:hAnsi="宋体" w:cs="宋体" w:eastAsia="宋体" w:hint="default"/>
                <w:spacing w:val="-46"/>
                <w:sz w:val="18"/>
                <w:szCs w:val="18"/>
              </w:rPr>
              <w:t> </w:t>
            </w:r>
            <w:r>
              <w:rPr>
                <w:rFonts w:ascii="宋体" w:hAnsi="宋体" w:cs="宋体" w:eastAsia="宋体" w:hint="default"/>
                <w:sz w:val="18"/>
                <w:szCs w:val="18"/>
              </w:rPr>
              <w:t>元。</w:t>
            </w:r>
          </w:p>
        </w:tc>
      </w:tr>
    </w:tbl>
    <w:p>
      <w:pPr>
        <w:spacing w:line="240" w:lineRule="auto" w:before="10"/>
        <w:rPr>
          <w:rFonts w:ascii="宋体" w:hAnsi="宋体" w:cs="宋体" w:eastAsia="宋体" w:hint="default"/>
          <w:sz w:val="8"/>
          <w:szCs w:val="8"/>
        </w:rPr>
      </w:pPr>
    </w:p>
    <w:p>
      <w:pPr>
        <w:pStyle w:val="BodyText"/>
        <w:spacing w:line="240" w:lineRule="auto" w:before="26"/>
        <w:ind w:left="620" w:right="0"/>
        <w:jc w:val="left"/>
      </w:pPr>
      <w:r>
        <w:rPr/>
        <w:t>主要控股参股公司情况说明</w:t>
      </w:r>
    </w:p>
    <w:p>
      <w:pPr>
        <w:spacing w:line="240" w:lineRule="auto" w:before="4"/>
        <w:rPr>
          <w:rFonts w:ascii="宋体" w:hAnsi="宋体" w:cs="宋体" w:eastAsia="宋体" w:hint="default"/>
          <w:sz w:val="19"/>
          <w:szCs w:val="19"/>
        </w:rPr>
      </w:pPr>
    </w:p>
    <w:p>
      <w:pPr>
        <w:pStyle w:val="BodyText"/>
        <w:spacing w:line="357" w:lineRule="auto"/>
        <w:ind w:left="140" w:right="237" w:firstLine="480"/>
        <w:jc w:val="both"/>
        <w:rPr>
          <w:rFonts w:ascii="宋体" w:hAnsi="宋体" w:cs="宋体" w:eastAsia="宋体" w:hint="default"/>
        </w:rPr>
      </w:pPr>
      <w:r>
        <w:rPr>
          <w:rFonts w:ascii="宋体" w:hAnsi="宋体" w:cs="宋体" w:eastAsia="宋体" w:hint="default"/>
        </w:rPr>
        <w:t>1</w:t>
      </w:r>
      <w:r>
        <w:rPr/>
        <w:t>、本年度收购晨之科剩余 </w:t>
      </w:r>
      <w:r>
        <w:rPr>
          <w:rFonts w:ascii="宋体" w:hAnsi="宋体" w:cs="宋体" w:eastAsia="宋体" w:hint="default"/>
        </w:rPr>
        <w:t>80%</w:t>
      </w:r>
      <w:r>
        <w:rPr/>
        <w:t>的股权，合并晨之科 </w:t>
      </w:r>
      <w:r>
        <w:rPr>
          <w:rFonts w:ascii="宋体" w:hAnsi="宋体" w:cs="宋体" w:eastAsia="宋体" w:hint="default"/>
        </w:rPr>
        <w:t>4-12</w:t>
      </w:r>
      <w:r>
        <w:rPr>
          <w:rFonts w:ascii="宋体" w:hAnsi="宋体" w:cs="宋体" w:eastAsia="宋体" w:hint="default"/>
          <w:spacing w:val="-84"/>
        </w:rPr>
        <w:t> </w:t>
      </w:r>
      <w:r>
        <w:rPr/>
        <w:t>月财务报表，因晨之科本年度未完成业绩对赌，晨之科经营业绩、公司 对晨之科的商誉减值、以及晨之科管理层朱明对公司的的业绩补偿等共计影响公司合并净利润</w:t>
      </w:r>
      <w:r>
        <w:rPr>
          <w:rFonts w:ascii="宋体" w:hAnsi="宋体" w:cs="宋体" w:eastAsia="宋体" w:hint="default"/>
        </w:rPr>
        <w:t>-117,481.51</w:t>
      </w:r>
      <w:r>
        <w:rPr>
          <w:rFonts w:ascii="宋体" w:hAnsi="宋体" w:cs="宋体" w:eastAsia="宋体" w:hint="default"/>
          <w:spacing w:val="7"/>
        </w:rPr>
        <w:t> </w:t>
      </w:r>
      <w:r>
        <w:rPr/>
        <w:t>万元、占公司净利润的比 重为</w:t>
      </w:r>
      <w:r>
        <w:rPr>
          <w:spacing w:val="-60"/>
        </w:rPr>
        <w:t> </w:t>
      </w:r>
      <w:r>
        <w:rPr>
          <w:rFonts w:ascii="宋体" w:hAnsi="宋体" w:cs="宋体" w:eastAsia="宋体" w:hint="default"/>
        </w:rPr>
        <w:t>78.07%;</w:t>
      </w:r>
    </w:p>
    <w:p>
      <w:pPr>
        <w:pStyle w:val="BodyText"/>
        <w:spacing w:line="240" w:lineRule="auto" w:before="137"/>
        <w:ind w:left="620" w:right="0"/>
        <w:jc w:val="left"/>
      </w:pPr>
      <w:r>
        <w:rPr>
          <w:rFonts w:ascii="宋体" w:hAnsi="宋体" w:cs="宋体" w:eastAsia="宋体" w:hint="default"/>
        </w:rPr>
        <w:t>2</w:t>
      </w:r>
      <w:r>
        <w:rPr>
          <w:spacing w:val="-120"/>
        </w:rPr>
        <w:t>、</w:t>
      </w:r>
      <w:r>
        <w:rPr/>
        <w:t>公司持有参股公司新浪阅读</w:t>
      </w:r>
      <w:r>
        <w:rPr>
          <w:spacing w:val="-80"/>
        </w:rPr>
        <w:t> </w:t>
      </w:r>
      <w:r>
        <w:rPr>
          <w:rFonts w:ascii="宋体" w:hAnsi="宋体" w:cs="宋体" w:eastAsia="宋体" w:hint="default"/>
        </w:rPr>
        <w:t>16.67%</w:t>
      </w:r>
      <w:r>
        <w:rPr/>
        <w:t>的股权</w:t>
      </w:r>
      <w:r>
        <w:rPr>
          <w:spacing w:val="-120"/>
        </w:rPr>
        <w:t>，</w:t>
      </w:r>
      <w:r>
        <w:rPr/>
        <w:t>本年度经减值测试后</w:t>
      </w:r>
      <w:r>
        <w:rPr>
          <w:spacing w:val="-120"/>
        </w:rPr>
        <w:t>，</w:t>
      </w:r>
      <w:r>
        <w:rPr/>
        <w:t>计提减值准备</w:t>
      </w:r>
      <w:r>
        <w:rPr>
          <w:spacing w:val="-80"/>
        </w:rPr>
        <w:t> </w:t>
      </w:r>
      <w:r>
        <w:rPr>
          <w:rFonts w:ascii="宋体" w:hAnsi="宋体" w:cs="宋体" w:eastAsia="宋体" w:hint="default"/>
        </w:rPr>
        <w:t>20,801.54</w:t>
      </w:r>
      <w:r>
        <w:rPr>
          <w:rFonts w:ascii="宋体" w:hAnsi="宋体" w:cs="宋体" w:eastAsia="宋体" w:hint="default"/>
          <w:spacing w:val="-81"/>
        </w:rPr>
        <w:t> </w:t>
      </w:r>
      <w:r>
        <w:rPr/>
        <w:t>万元</w:t>
      </w:r>
      <w:r>
        <w:rPr>
          <w:spacing w:val="-120"/>
        </w:rPr>
        <w:t>，</w:t>
      </w:r>
      <w:r>
        <w:rPr/>
        <w:t>占公司净利润的比重为</w:t>
      </w:r>
      <w:r>
        <w:rPr>
          <w:spacing w:val="-80"/>
        </w:rPr>
        <w:t> </w:t>
      </w:r>
      <w:r>
        <w:rPr>
          <w:rFonts w:ascii="宋体" w:hAnsi="宋体" w:cs="宋体" w:eastAsia="宋体" w:hint="default"/>
        </w:rPr>
        <w:t>13.82%</w:t>
      </w:r>
      <w:r>
        <w:rPr/>
        <w:t>。</w:t>
      </w:r>
    </w:p>
    <w:p>
      <w:pPr>
        <w:spacing w:after="0" w:line="240" w:lineRule="auto"/>
        <w:jc w:val="left"/>
        <w:sectPr>
          <w:pgSz w:w="16840" w:h="11910" w:orient="landscape"/>
          <w:pgMar w:header="867" w:footer="979" w:top="1060" w:bottom="1160" w:left="1300" w:right="12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Heading2"/>
        <w:spacing w:line="240" w:lineRule="auto"/>
        <w:ind w:right="0"/>
        <w:jc w:val="both"/>
        <w:rPr>
          <w:b w:val="0"/>
          <w:bCs w:val="0"/>
        </w:rPr>
      </w:pPr>
      <w:bookmarkStart w:name="八、公司控制的结构化主体情况" w:id="56"/>
      <w:bookmarkEnd w:id="56"/>
      <w:r>
        <w:rPr>
          <w:b w:val="0"/>
          <w:bCs w:val="0"/>
        </w:rPr>
      </w:r>
      <w:r>
        <w:rPr/>
        <w:t>八、公司控制的结构化主体情况</w:t>
      </w:r>
      <w:r>
        <w:rPr>
          <w:b w:val="0"/>
          <w:bCs w:val="0"/>
        </w:rPr>
      </w:r>
    </w:p>
    <w:p>
      <w:pPr>
        <w:spacing w:line="240" w:lineRule="auto" w:before="12"/>
        <w:rPr>
          <w:rFonts w:ascii="宋体" w:hAnsi="宋体" w:cs="宋体" w:eastAsia="宋体" w:hint="default"/>
          <w:b/>
          <w:bCs/>
          <w:sz w:val="28"/>
          <w:szCs w:val="28"/>
        </w:rPr>
      </w:pPr>
    </w:p>
    <w:p>
      <w:pPr>
        <w:spacing w:line="525" w:lineRule="auto" w:before="0"/>
        <w:ind w:left="154" w:right="8112"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九、公司未来发展的展望" w:id="57"/>
      <w:bookmarkEnd w:id="57"/>
      <w:r>
        <w:rPr>
          <w:rFonts w:ascii="宋体" w:hAnsi="宋体" w:cs="宋体" w:eastAsia="宋体" w:hint="default"/>
          <w:sz w:val="24"/>
          <w:szCs w:val="24"/>
        </w:rPr>
      </w:r>
      <w:r>
        <w:rPr>
          <w:rFonts w:ascii="宋体" w:hAnsi="宋体" w:cs="宋体" w:eastAsia="宋体" w:hint="default"/>
          <w:b/>
          <w:bCs/>
          <w:w w:val="95"/>
          <w:sz w:val="24"/>
          <w:szCs w:val="24"/>
        </w:rPr>
        <w:t>九、公司未来发展的展望</w:t>
      </w:r>
      <w:r>
        <w:rPr>
          <w:rFonts w:ascii="宋体" w:hAnsi="宋体" w:cs="宋体" w:eastAsia="宋体" w:hint="default"/>
          <w:sz w:val="24"/>
          <w:szCs w:val="24"/>
        </w:rPr>
      </w:r>
    </w:p>
    <w:p>
      <w:pPr>
        <w:pStyle w:val="BodyText"/>
        <w:spacing w:line="357" w:lineRule="auto" w:before="91"/>
        <w:ind w:right="1118" w:firstLine="480"/>
        <w:jc w:val="left"/>
      </w:pPr>
      <w:r>
        <w:rPr>
          <w:spacing w:val="-12"/>
        </w:rPr>
        <w:t>公司将持续围绕“文化</w:t>
      </w:r>
      <w:r>
        <w:rPr>
          <w:rFonts w:ascii="宋体" w:hAnsi="宋体" w:cs="宋体" w:eastAsia="宋体" w:hint="default"/>
          <w:spacing w:val="-12"/>
        </w:rPr>
        <w:t>+</w:t>
      </w:r>
      <w:r>
        <w:rPr>
          <w:spacing w:val="-12"/>
        </w:rPr>
        <w:t>”、“教育</w:t>
      </w:r>
      <w:r>
        <w:rPr>
          <w:rFonts w:ascii="宋体" w:hAnsi="宋体" w:cs="宋体" w:eastAsia="宋体" w:hint="default"/>
          <w:spacing w:val="-12"/>
        </w:rPr>
        <w:t>+</w:t>
      </w:r>
      <w:r>
        <w:rPr>
          <w:spacing w:val="-12"/>
        </w:rPr>
        <w:t>”双翼飞翔的发展战略，以</w:t>
      </w:r>
      <w:r>
        <w:rPr>
          <w:spacing w:val="-49"/>
        </w:rPr>
        <w:t> </w:t>
      </w:r>
      <w:r>
        <w:rPr>
          <w:rFonts w:ascii="宋体" w:hAnsi="宋体" w:cs="宋体" w:eastAsia="宋体" w:hint="default"/>
        </w:rPr>
        <w:t>IP</w:t>
      </w:r>
      <w:r>
        <w:rPr>
          <w:rFonts w:ascii="宋体" w:hAnsi="宋体" w:cs="宋体" w:eastAsia="宋体" w:hint="default"/>
          <w:spacing w:val="-49"/>
        </w:rPr>
        <w:t> </w:t>
      </w:r>
      <w:r>
        <w:rPr/>
        <w:t>一体化开发为核心构建 泛娱乐新生态，以数字出版为基础构建在线教育生态，推动公司业务稳定发展。</w:t>
      </w:r>
    </w:p>
    <w:p>
      <w:pPr>
        <w:pStyle w:val="BodyText"/>
        <w:spacing w:line="432" w:lineRule="auto" w:before="136"/>
        <w:ind w:left="634" w:right="1115"/>
        <w:jc w:val="left"/>
      </w:pPr>
      <w:r>
        <w:rPr>
          <w:rFonts w:ascii="宋体" w:hAnsi="宋体" w:cs="宋体" w:eastAsia="宋体" w:hint="default"/>
        </w:rPr>
        <w:t>1</w:t>
      </w:r>
      <w:r>
        <w:rPr/>
        <w:t>、以</w:t>
      </w:r>
      <w:r>
        <w:rPr>
          <w:spacing w:val="-60"/>
        </w:rPr>
        <w:t> </w:t>
      </w:r>
      <w:r>
        <w:rPr>
          <w:rFonts w:ascii="宋体" w:hAnsi="宋体" w:cs="宋体" w:eastAsia="宋体" w:hint="default"/>
        </w:rPr>
        <w:t>IP</w:t>
      </w:r>
      <w:r>
        <w:rPr>
          <w:rFonts w:ascii="宋体" w:hAnsi="宋体" w:cs="宋体" w:eastAsia="宋体" w:hint="default"/>
          <w:spacing w:val="-60"/>
        </w:rPr>
        <w:t> </w:t>
      </w:r>
      <w:r>
        <w:rPr/>
        <w:t>一体化开发为核心构建泛娱乐新生态 继续引入和培养网络文学大神，签约优质作家和作品、培育超级 </w:t>
      </w:r>
      <w:r>
        <w:rPr>
          <w:rFonts w:ascii="宋体" w:hAnsi="宋体" w:cs="宋体" w:eastAsia="宋体" w:hint="default"/>
        </w:rPr>
        <w:t>IP</w:t>
      </w:r>
      <w:r>
        <w:rPr/>
        <w:t>，多元化打造 </w:t>
      </w:r>
      <w:r>
        <w:rPr>
          <w:rFonts w:ascii="宋体" w:hAnsi="宋体" w:cs="宋体" w:eastAsia="宋体" w:hint="default"/>
        </w:rPr>
        <w:t>IP</w:t>
      </w:r>
      <w:r>
        <w:rPr>
          <w:rFonts w:ascii="宋体" w:hAnsi="宋体" w:cs="宋体" w:eastAsia="宋体" w:hint="default"/>
          <w:spacing w:val="-83"/>
        </w:rPr>
        <w:t> </w:t>
      </w:r>
      <w:r>
        <w:rPr/>
        <w:t>原</w:t>
      </w:r>
    </w:p>
    <w:p>
      <w:pPr>
        <w:pStyle w:val="BodyText"/>
        <w:spacing w:line="276" w:lineRule="exact"/>
        <w:ind w:right="0"/>
        <w:jc w:val="both"/>
      </w:pPr>
      <w:r>
        <w:rPr/>
        <w:t>创平台；继续拓展分销渠道，持续扩大付费阅读业务，推动在内容和用户方面实现长期持续</w:t>
      </w:r>
    </w:p>
    <w:p>
      <w:pPr>
        <w:pStyle w:val="BodyText"/>
        <w:spacing w:line="357" w:lineRule="auto" w:before="154"/>
        <w:ind w:right="1131"/>
        <w:jc w:val="both"/>
      </w:pPr>
      <w:r>
        <w:rPr/>
        <w:t>增长；继续围绕</w:t>
      </w:r>
      <w:r>
        <w:rPr>
          <w:spacing w:val="-55"/>
        </w:rPr>
        <w:t> </w:t>
      </w:r>
      <w:r>
        <w:rPr>
          <w:rFonts w:ascii="宋体" w:hAnsi="宋体" w:cs="宋体" w:eastAsia="宋体" w:hint="default"/>
        </w:rPr>
        <w:t>IP</w:t>
      </w:r>
      <w:r>
        <w:rPr>
          <w:rFonts w:ascii="宋体" w:hAnsi="宋体" w:cs="宋体" w:eastAsia="宋体" w:hint="default"/>
          <w:spacing w:val="-55"/>
        </w:rPr>
        <w:t> </w:t>
      </w:r>
      <w:r>
        <w:rPr>
          <w:spacing w:val="-3"/>
        </w:rPr>
        <w:t>进行影视、游戏、动漫、听书、周边的开发及推广，打造爆款；推进自主</w:t>
      </w:r>
      <w:r>
        <w:rPr/>
        <w:t> </w:t>
      </w:r>
      <w:r>
        <w:rPr>
          <w:rFonts w:ascii="宋体" w:hAnsi="宋体" w:cs="宋体" w:eastAsia="宋体" w:hint="default"/>
        </w:rPr>
        <w:t>IP</w:t>
      </w:r>
      <w:r>
        <w:rPr>
          <w:rFonts w:ascii="宋体" w:hAnsi="宋体" w:cs="宋体" w:eastAsia="宋体" w:hint="default"/>
          <w:spacing w:val="-65"/>
        </w:rPr>
        <w:t> </w:t>
      </w:r>
      <w:r>
        <w:rPr/>
        <w:t>游戏全渠道发行及自有平台的</w:t>
      </w:r>
      <w:r>
        <w:rPr>
          <w:spacing w:val="-65"/>
        </w:rPr>
        <w:t> </w:t>
      </w:r>
      <w:r>
        <w:rPr>
          <w:rFonts w:ascii="宋体" w:hAnsi="宋体" w:cs="宋体" w:eastAsia="宋体" w:hint="default"/>
        </w:rPr>
        <w:t>H5</w:t>
      </w:r>
      <w:r>
        <w:rPr>
          <w:rFonts w:ascii="宋体" w:hAnsi="宋体" w:cs="宋体" w:eastAsia="宋体" w:hint="default"/>
          <w:spacing w:val="-65"/>
        </w:rPr>
        <w:t> </w:t>
      </w:r>
      <w:r>
        <w:rPr/>
        <w:t>游戏联运。实现</w:t>
      </w:r>
      <w:r>
        <w:rPr>
          <w:spacing w:val="-65"/>
        </w:rPr>
        <w:t> </w:t>
      </w:r>
      <w:r>
        <w:rPr>
          <w:rFonts w:ascii="宋体" w:hAnsi="宋体" w:cs="宋体" w:eastAsia="宋体" w:hint="default"/>
        </w:rPr>
        <w:t>IP</w:t>
      </w:r>
      <w:r>
        <w:rPr>
          <w:rFonts w:ascii="宋体" w:hAnsi="宋体" w:cs="宋体" w:eastAsia="宋体" w:hint="default"/>
          <w:spacing w:val="-65"/>
        </w:rPr>
        <w:t> </w:t>
      </w:r>
      <w:r>
        <w:rPr/>
        <w:t>一体化开发和粉丝经济协同发展，持 续完善泛娱乐生态。</w:t>
      </w:r>
    </w:p>
    <w:p>
      <w:pPr>
        <w:pStyle w:val="BodyText"/>
        <w:spacing w:line="432" w:lineRule="auto" w:before="137"/>
        <w:ind w:left="634" w:right="1092"/>
        <w:jc w:val="left"/>
      </w:pPr>
      <w:r>
        <w:rPr>
          <w:rFonts w:ascii="宋体" w:hAnsi="宋体" w:cs="宋体" w:eastAsia="宋体" w:hint="default"/>
        </w:rPr>
        <w:t>2</w:t>
      </w:r>
      <w:r>
        <w:rPr/>
        <w:t>、以数字出版为基础构建在线教育生态 继续优化教育产品，加强建设在线教育平台，提升用户体验；加大教育优质内容及研发</w:t>
      </w:r>
    </w:p>
    <w:p>
      <w:pPr>
        <w:pStyle w:val="BodyText"/>
        <w:spacing w:line="276" w:lineRule="exact"/>
        <w:ind w:right="0"/>
        <w:jc w:val="both"/>
      </w:pPr>
      <w:r>
        <w:rPr/>
        <w:t>投入，提高产品售前、售后、运营相关服务品质；加大基础教育领域的教育阅读产品和市场</w:t>
      </w:r>
    </w:p>
    <w:p>
      <w:pPr>
        <w:pStyle w:val="BodyText"/>
        <w:spacing w:line="357" w:lineRule="auto" w:before="154"/>
        <w:ind w:right="1133"/>
        <w:jc w:val="both"/>
      </w:pPr>
      <w:r>
        <w:rPr/>
        <w:t>开拓投入，教育阅读业务的中文慧读产品迭代和推广；以教材教辅为切入点，建成适应跨媒</w:t>
      </w:r>
      <w:r>
        <w:rPr>
          <w:spacing w:val="-116"/>
        </w:rPr>
        <w:t> </w:t>
      </w:r>
      <w:r>
        <w:rPr>
          <w:spacing w:val="-116"/>
        </w:rPr>
      </w:r>
      <w:r>
        <w:rPr/>
        <w:t>体及多终端应用环境的集数字教育资源、应用工具、服务体系为一体的教育平台，在多省市 </w:t>
      </w:r>
      <w:r>
        <w:rPr>
          <w:spacing w:val="3"/>
        </w:rPr>
        <w:t>推广，并于学校日常教学中应用。构建具有中文在线特色的“内容”</w:t>
      </w:r>
      <w:r>
        <w:rPr>
          <w:rFonts w:ascii="宋体" w:hAnsi="宋体" w:cs="宋体" w:eastAsia="宋体" w:hint="default"/>
          <w:spacing w:val="3"/>
        </w:rPr>
        <w:t>+</w:t>
      </w:r>
      <w:r>
        <w:rPr>
          <w:spacing w:val="3"/>
        </w:rPr>
        <w:t>“硬件”</w:t>
      </w:r>
      <w:r>
        <w:rPr>
          <w:rFonts w:ascii="宋体" w:hAnsi="宋体" w:cs="宋体" w:eastAsia="宋体" w:hint="default"/>
          <w:spacing w:val="3"/>
        </w:rPr>
        <w:t>+</w:t>
      </w:r>
      <w:r>
        <w:rPr>
          <w:spacing w:val="3"/>
        </w:rPr>
        <w:t>“平台”</w:t>
      </w:r>
      <w:r>
        <w:rPr>
          <w:rFonts w:ascii="宋体" w:hAnsi="宋体" w:cs="宋体" w:eastAsia="宋体" w:hint="default"/>
          <w:spacing w:val="3"/>
        </w:rPr>
        <w:t>+</w:t>
      </w:r>
      <w:r>
        <w:rPr>
          <w:rFonts w:ascii="宋体" w:hAnsi="宋体" w:cs="宋体" w:eastAsia="宋体" w:hint="default"/>
          <w:spacing w:val="-105"/>
        </w:rPr>
        <w:t> </w:t>
      </w:r>
      <w:r>
        <w:rPr/>
        <w:t>“服务”的在线教育生态。</w:t>
      </w:r>
    </w:p>
    <w:p>
      <w:pPr>
        <w:spacing w:line="240" w:lineRule="auto" w:before="9"/>
        <w:rPr>
          <w:rFonts w:ascii="宋体" w:hAnsi="宋体" w:cs="宋体" w:eastAsia="宋体" w:hint="default"/>
          <w:sz w:val="19"/>
          <w:szCs w:val="19"/>
        </w:rPr>
      </w:pPr>
    </w:p>
    <w:p>
      <w:pPr>
        <w:pStyle w:val="Heading2"/>
        <w:spacing w:line="240" w:lineRule="auto" w:before="0"/>
        <w:ind w:right="0"/>
        <w:jc w:val="both"/>
        <w:rPr>
          <w:b w:val="0"/>
          <w:bCs w:val="0"/>
        </w:rPr>
      </w:pPr>
      <w:bookmarkStart w:name="十、接待调研、沟通、采访等活动登记表" w:id="58"/>
      <w:bookmarkEnd w:id="58"/>
      <w:r>
        <w:rPr>
          <w:b w:val="0"/>
          <w:bCs w:val="0"/>
        </w:rPr>
      </w:r>
      <w:r>
        <w:rPr/>
        <w:t>十、接待调研、沟通、采访等活动登记表</w:t>
      </w:r>
      <w:r>
        <w:rPr>
          <w:b w:val="0"/>
          <w:bCs w:val="0"/>
        </w:rPr>
      </w:r>
    </w:p>
    <w:p>
      <w:pPr>
        <w:spacing w:line="240" w:lineRule="auto" w:before="9"/>
        <w:rPr>
          <w:rFonts w:ascii="宋体" w:hAnsi="宋体" w:cs="宋体" w:eastAsia="宋体" w:hint="default"/>
          <w:b/>
          <w:bCs/>
          <w:sz w:val="24"/>
          <w:szCs w:val="24"/>
        </w:rPr>
      </w:pPr>
    </w:p>
    <w:p>
      <w:pPr>
        <w:spacing w:before="0"/>
        <w:ind w:left="154" w:right="0" w:firstLine="0"/>
        <w:jc w:val="both"/>
        <w:rPr>
          <w:rFonts w:ascii="宋体" w:hAnsi="宋体" w:cs="宋体" w:eastAsia="宋体" w:hint="default"/>
          <w:sz w:val="21"/>
          <w:szCs w:val="21"/>
        </w:rPr>
      </w:pPr>
      <w:bookmarkStart w:name="1、报告期内接待调研、沟通、采访等活动登记表" w:id="59"/>
      <w:bookmarkEnd w:id="59"/>
      <w:r>
        <w:rPr/>
      </w:r>
      <w:r>
        <w:rPr>
          <w:rFonts w:ascii="宋体" w:hAnsi="宋体" w:cs="宋体" w:eastAsia="宋体" w:hint="default"/>
          <w:b/>
          <w:bCs/>
          <w:sz w:val="21"/>
          <w:szCs w:val="21"/>
        </w:rPr>
        <w:t>1</w:t>
      </w:r>
      <w:r>
        <w:rPr>
          <w:rFonts w:ascii="宋体" w:hAnsi="宋体" w:cs="宋体" w:eastAsia="宋体" w:hint="default"/>
          <w:b/>
          <w:bCs/>
          <w:sz w:val="21"/>
          <w:szCs w:val="21"/>
        </w:rPr>
        <w:t>、报告期内接待调研、沟通、采访等活动登记表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line="240" w:lineRule="auto" w:before="4"/>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2178"/>
        <w:gridCol w:w="1934"/>
        <w:gridCol w:w="1559"/>
        <w:gridCol w:w="3899"/>
      </w:tblGrid>
      <w:tr>
        <w:trPr>
          <w:trHeight w:val="402"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1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1"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8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34"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投资者关系活动记录表（ 编号：</w:t>
            </w:r>
            <w:r>
              <w:rPr>
                <w:rFonts w:ascii="宋体" w:hAnsi="宋体" w:cs="宋体" w:eastAsia="宋体" w:hint="default"/>
                <w:sz w:val="18"/>
                <w:szCs w:val="18"/>
              </w:rPr>
              <w:t>2018-001</w:t>
            </w:r>
            <w:r>
              <w:rPr>
                <w:rFonts w:ascii="宋体" w:hAnsi="宋体" w:cs="宋体" w:eastAsia="宋体" w:hint="default"/>
                <w:sz w:val="18"/>
                <w:szCs w:val="18"/>
              </w:rPr>
              <w:t>）</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投资者关系活动记录表（ 编号：</w:t>
            </w:r>
            <w:r>
              <w:rPr>
                <w:rFonts w:ascii="宋体" w:hAnsi="宋体" w:cs="宋体" w:eastAsia="宋体" w:hint="default"/>
                <w:sz w:val="18"/>
                <w:szCs w:val="18"/>
              </w:rPr>
              <w:t>2018-002</w:t>
            </w:r>
            <w:r>
              <w:rPr>
                <w:rFonts w:ascii="宋体" w:hAnsi="宋体" w:cs="宋体" w:eastAsia="宋体" w:hint="default"/>
                <w:sz w:val="18"/>
                <w:szCs w:val="18"/>
              </w:rPr>
              <w:t>）</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投资者关系活动记录表（ 编号：</w:t>
            </w:r>
            <w:r>
              <w:rPr>
                <w:rFonts w:ascii="宋体" w:hAnsi="宋体" w:cs="宋体" w:eastAsia="宋体" w:hint="default"/>
                <w:sz w:val="18"/>
                <w:szCs w:val="18"/>
              </w:rPr>
              <w:t>2018-003</w:t>
            </w:r>
            <w:r>
              <w:rPr>
                <w:rFonts w:ascii="宋体" w:hAnsi="宋体" w:cs="宋体" w:eastAsia="宋体" w:hint="default"/>
                <w:sz w:val="18"/>
                <w:szCs w:val="18"/>
              </w:rPr>
              <w:t>）</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投资者关系活动记录表（ 编号：</w:t>
            </w:r>
            <w:r>
              <w:rPr>
                <w:rFonts w:ascii="宋体" w:hAnsi="宋体" w:cs="宋体" w:eastAsia="宋体" w:hint="default"/>
                <w:sz w:val="18"/>
                <w:szCs w:val="18"/>
              </w:rPr>
              <w:t>2018-004</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headerReference w:type="default" r:id="rId21"/>
          <w:footerReference w:type="default" r:id="rId22"/>
          <w:pgSz w:w="11910" w:h="16840"/>
          <w:pgMar w:header="877" w:footer="979" w:top="1100" w:bottom="1160" w:left="980" w:right="0"/>
          <w:pgNumType w:start="43"/>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178"/>
        <w:gridCol w:w="1934"/>
        <w:gridCol w:w="1559"/>
        <w:gridCol w:w="3899"/>
      </w:tblGrid>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投资者关系活动记录表（ 编号：</w:t>
            </w:r>
            <w:r>
              <w:rPr>
                <w:rFonts w:ascii="宋体" w:hAnsi="宋体" w:cs="宋体" w:eastAsia="宋体" w:hint="default"/>
                <w:sz w:val="18"/>
                <w:szCs w:val="18"/>
              </w:rPr>
              <w:t>2018-005</w:t>
            </w:r>
            <w:r>
              <w:rPr>
                <w:rFonts w:ascii="宋体" w:hAnsi="宋体" w:cs="宋体" w:eastAsia="宋体" w:hint="default"/>
                <w:sz w:val="18"/>
                <w:szCs w:val="18"/>
              </w:rPr>
              <w:t>）</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投资者关系活动记录表（ 编号：</w:t>
            </w:r>
            <w:r>
              <w:rPr>
                <w:rFonts w:ascii="宋体" w:hAnsi="宋体" w:cs="宋体" w:eastAsia="宋体" w:hint="default"/>
                <w:sz w:val="18"/>
                <w:szCs w:val="18"/>
              </w:rPr>
              <w:t>2018-006</w:t>
            </w:r>
            <w:r>
              <w:rPr>
                <w:rFonts w:ascii="宋体" w:hAnsi="宋体" w:cs="宋体" w:eastAsia="宋体" w:hint="default"/>
                <w:sz w:val="18"/>
                <w:szCs w:val="18"/>
              </w:rPr>
              <w:t>）</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投资者关系活动记录表（ 编号：</w:t>
            </w:r>
            <w:r>
              <w:rPr>
                <w:rFonts w:ascii="宋体" w:hAnsi="宋体" w:cs="宋体" w:eastAsia="宋体" w:hint="default"/>
                <w:sz w:val="18"/>
                <w:szCs w:val="18"/>
              </w:rPr>
              <w:t>2018-007</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4"/>
        <w:rPr>
          <w:rFonts w:ascii="Times New Roman" w:hAnsi="Times New Roman" w:cs="Times New Roman" w:eastAsia="Times New Roman" w:hint="default"/>
          <w:sz w:val="3"/>
          <w:szCs w:val="3"/>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6"/>
          <w:szCs w:val="16"/>
        </w:rPr>
      </w:pPr>
    </w:p>
    <w:p>
      <w:pPr>
        <w:pStyle w:val="Heading1"/>
        <w:spacing w:line="240" w:lineRule="auto"/>
        <w:ind w:left="120" w:right="120"/>
        <w:jc w:val="center"/>
        <w:rPr>
          <w:b w:val="0"/>
          <w:bCs w:val="0"/>
        </w:rPr>
      </w:pPr>
      <w:bookmarkStart w:name="第五节 重要事项" w:id="60"/>
      <w:bookmarkEnd w:id="60"/>
      <w:r>
        <w:rPr>
          <w:b w:val="0"/>
          <w:bCs w:val="0"/>
        </w:rPr>
      </w:r>
      <w:bookmarkStart w:name="_bookmark3" w:id="61"/>
      <w:bookmarkEnd w:id="61"/>
      <w:r>
        <w:rPr>
          <w:b w:val="0"/>
          <w:bCs w:val="0"/>
        </w:rPr>
      </w:r>
      <w:r>
        <w:rPr/>
        <w:t>第五节</w:t>
      </w:r>
      <w:r>
        <w:rPr>
          <w:spacing w:val="-5"/>
        </w:rPr>
        <w:t> </w:t>
      </w:r>
      <w:r>
        <w:rPr/>
        <w:t>重要事项</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spacing w:line="528" w:lineRule="auto" w:before="26"/>
        <w:ind w:left="620" w:right="5438" w:hanging="480"/>
        <w:jc w:val="left"/>
        <w:rPr>
          <w:rFonts w:ascii="宋体" w:hAnsi="宋体" w:cs="宋体" w:eastAsia="宋体" w:hint="default"/>
          <w:sz w:val="24"/>
          <w:szCs w:val="24"/>
        </w:rPr>
      </w:pPr>
      <w:bookmarkStart w:name="一、公司普通股利润分配及资本公积金转增股本情况" w:id="62"/>
      <w:bookmarkEnd w:id="62"/>
      <w:r>
        <w:rPr/>
      </w:r>
      <w:r>
        <w:rPr>
          <w:rFonts w:ascii="宋体" w:hAnsi="宋体" w:cs="宋体" w:eastAsia="宋体" w:hint="default"/>
          <w:b/>
          <w:bCs/>
          <w:sz w:val="24"/>
          <w:szCs w:val="24"/>
        </w:rPr>
        <w:t>一、公司普通股利润分配及资本公积金转增股本情况</w:t>
      </w:r>
      <w:r>
        <w:rPr>
          <w:rFonts w:ascii="宋体" w:hAnsi="宋体" w:cs="宋体" w:eastAsia="宋体" w:hint="default"/>
          <w:b/>
          <w:bCs/>
          <w:w w:val="99"/>
          <w:sz w:val="24"/>
          <w:szCs w:val="24"/>
        </w:rPr>
        <w:t> </w:t>
      </w:r>
      <w:r>
        <w:rPr>
          <w:rFonts w:ascii="宋体" w:hAnsi="宋体" w:cs="宋体" w:eastAsia="宋体" w:hint="default"/>
          <w:sz w:val="24"/>
          <w:szCs w:val="24"/>
        </w:rPr>
        <w:t>报告期内普通股利润分配政策，特别是现金分红政策的制定、执行或调整情况</w:t>
      </w:r>
    </w:p>
    <w:p>
      <w:pPr>
        <w:pStyle w:val="BodyText"/>
        <w:spacing w:line="281" w:lineRule="exact"/>
        <w:ind w:left="620" w:right="5438"/>
        <w:jc w:val="left"/>
      </w:pPr>
      <w:r>
        <w:rPr/>
        <w:t>□ 适用 √ 不适用</w:t>
      </w:r>
    </w:p>
    <w:p>
      <w:pPr>
        <w:spacing w:line="240" w:lineRule="auto" w:before="5"/>
        <w:rPr>
          <w:rFonts w:ascii="宋体" w:hAnsi="宋体" w:cs="宋体" w:eastAsia="宋体" w:hint="default"/>
          <w:sz w:val="19"/>
          <w:szCs w:val="19"/>
        </w:rPr>
      </w:pPr>
    </w:p>
    <w:p>
      <w:pPr>
        <w:pStyle w:val="BodyText"/>
        <w:spacing w:line="240" w:lineRule="auto"/>
        <w:ind w:left="620" w:right="0"/>
        <w:jc w:val="left"/>
      </w:pPr>
      <w:r>
        <w:rPr/>
        <w:t>公司报告期利润分配预案及资本公积金转增股本预案与公司章程和分红管理办法等的相关规定一致</w:t>
      </w:r>
    </w:p>
    <w:p>
      <w:pPr>
        <w:spacing w:line="240" w:lineRule="auto" w:before="5"/>
        <w:rPr>
          <w:rFonts w:ascii="宋体" w:hAnsi="宋体" w:cs="宋体" w:eastAsia="宋体" w:hint="default"/>
          <w:sz w:val="19"/>
          <w:szCs w:val="19"/>
        </w:rPr>
      </w:pPr>
    </w:p>
    <w:p>
      <w:pPr>
        <w:pStyle w:val="BodyText"/>
        <w:spacing w:line="434" w:lineRule="auto"/>
        <w:ind w:left="620" w:right="4958"/>
        <w:jc w:val="left"/>
      </w:pPr>
      <w:r>
        <w:rPr/>
        <w:t>√ 是 □ 否 □ 不适用 公司报告期利润分配预案及资本公积金转增股本预案符合公司章程等的相关规定。 本年度利润分配及资本公积金转增股本情况</w:t>
      </w:r>
    </w:p>
    <w:tbl>
      <w:tblPr>
        <w:tblW w:w="0" w:type="auto"/>
        <w:jc w:val="left"/>
        <w:tblInd w:w="118" w:type="dxa"/>
        <w:tblLayout w:type="fixed"/>
        <w:tblCellMar>
          <w:top w:w="0" w:type="dxa"/>
          <w:left w:w="0" w:type="dxa"/>
          <w:bottom w:w="0" w:type="dxa"/>
          <w:right w:w="0" w:type="dxa"/>
        </w:tblCellMar>
        <w:tblLook w:val="01E0"/>
      </w:tblPr>
      <w:tblGrid>
        <w:gridCol w:w="10773"/>
        <w:gridCol w:w="3230"/>
      </w:tblGrid>
      <w:tr>
        <w:trPr>
          <w:trHeight w:val="402" w:hRule="exact"/>
        </w:trPr>
        <w:tc>
          <w:tcPr>
            <w:tcW w:w="10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股送红股数（股）</w:t>
            </w:r>
          </w:p>
        </w:tc>
        <w:tc>
          <w:tcPr>
            <w:tcW w:w="32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w:t>
            </w:r>
          </w:p>
        </w:tc>
      </w:tr>
      <w:tr>
        <w:trPr>
          <w:trHeight w:val="402" w:hRule="exact"/>
        </w:trPr>
        <w:tc>
          <w:tcPr>
            <w:tcW w:w="10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32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r>
      <w:tr>
        <w:trPr>
          <w:trHeight w:val="402" w:hRule="exact"/>
        </w:trPr>
        <w:tc>
          <w:tcPr>
            <w:tcW w:w="10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股转增数（股）</w:t>
            </w:r>
          </w:p>
        </w:tc>
        <w:tc>
          <w:tcPr>
            <w:tcW w:w="32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w:t>
            </w:r>
          </w:p>
        </w:tc>
      </w:tr>
      <w:tr>
        <w:trPr>
          <w:trHeight w:val="402" w:hRule="exact"/>
        </w:trPr>
        <w:tc>
          <w:tcPr>
            <w:tcW w:w="10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32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w:t>
            </w:r>
          </w:p>
        </w:tc>
      </w:tr>
      <w:tr>
        <w:trPr>
          <w:trHeight w:val="402" w:hRule="exact"/>
        </w:trPr>
        <w:tc>
          <w:tcPr>
            <w:tcW w:w="10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32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r>
      <w:tr>
        <w:trPr>
          <w:trHeight w:val="402" w:hRule="exact"/>
        </w:trPr>
        <w:tc>
          <w:tcPr>
            <w:tcW w:w="10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32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r>
      <w:tr>
        <w:trPr>
          <w:trHeight w:val="402" w:hRule="exact"/>
        </w:trPr>
        <w:tc>
          <w:tcPr>
            <w:tcW w:w="10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0"/>
                <w:sz w:val="18"/>
                <w:szCs w:val="18"/>
              </w:rPr>
              <w:t>）</w:t>
            </w:r>
            <w:r>
              <w:rPr>
                <w:rFonts w:ascii="宋体" w:hAnsi="宋体" w:cs="宋体" w:eastAsia="宋体" w:hint="default"/>
                <w:sz w:val="18"/>
                <w:szCs w:val="18"/>
              </w:rPr>
              <w:t>（元）</w:t>
            </w:r>
          </w:p>
        </w:tc>
        <w:tc>
          <w:tcPr>
            <w:tcW w:w="32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r>
      <w:tr>
        <w:trPr>
          <w:trHeight w:val="402" w:hRule="exact"/>
        </w:trPr>
        <w:tc>
          <w:tcPr>
            <w:tcW w:w="10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现金分红总额（含其他方式）占利润分配总额的比例</w:t>
            </w:r>
          </w:p>
        </w:tc>
        <w:tc>
          <w:tcPr>
            <w:tcW w:w="32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r>
      <w:tr>
        <w:trPr>
          <w:trHeight w:val="401" w:hRule="exact"/>
        </w:trPr>
        <w:tc>
          <w:tcPr>
            <w:tcW w:w="1400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3" w:hRule="exact"/>
        </w:trPr>
        <w:tc>
          <w:tcPr>
            <w:tcW w:w="140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r>
    </w:tbl>
    <w:p>
      <w:pPr>
        <w:spacing w:after="0" w:line="240" w:lineRule="auto"/>
        <w:jc w:val="left"/>
        <w:rPr>
          <w:rFonts w:ascii="宋体" w:hAnsi="宋体" w:cs="宋体" w:eastAsia="宋体" w:hint="default"/>
          <w:sz w:val="18"/>
          <w:szCs w:val="18"/>
        </w:rPr>
        <w:sectPr>
          <w:headerReference w:type="default" r:id="rId23"/>
          <w:footerReference w:type="default" r:id="rId24"/>
          <w:pgSz w:w="16840" w:h="11910" w:orient="landscape"/>
          <w:pgMar w:header="867" w:footer="979" w:top="1060" w:bottom="1160" w:left="1300" w:right="1300"/>
          <w:pgNumType w:start="45"/>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14015"/>
      </w:tblGrid>
      <w:tr>
        <w:trPr>
          <w:trHeight w:val="416" w:hRule="exact"/>
        </w:trPr>
        <w:tc>
          <w:tcPr>
            <w:tcW w:w="14015"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402" w:hRule="exact"/>
        </w:trPr>
        <w:tc>
          <w:tcPr>
            <w:tcW w:w="14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公司拟定</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年度利润分配预案为：</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年度不派发现金股利，不送红股，亦不进行资本公积金转增股本。本利润分配预案尚需提交公司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年年度股东大会审议。</w:t>
            </w:r>
          </w:p>
        </w:tc>
      </w:tr>
    </w:tbl>
    <w:p>
      <w:pPr>
        <w:spacing w:line="240" w:lineRule="auto" w:before="10"/>
        <w:rPr>
          <w:rFonts w:ascii="宋体" w:hAnsi="宋体" w:cs="宋体" w:eastAsia="宋体" w:hint="default"/>
          <w:sz w:val="8"/>
          <w:szCs w:val="8"/>
        </w:rPr>
      </w:pPr>
    </w:p>
    <w:p>
      <w:pPr>
        <w:pStyle w:val="BodyText"/>
        <w:spacing w:line="240" w:lineRule="auto" w:before="26"/>
        <w:ind w:left="620" w:right="0"/>
        <w:jc w:val="left"/>
      </w:pPr>
      <w:r>
        <w:rPr/>
        <w:t>公司近</w:t>
      </w:r>
      <w:r>
        <w:rPr>
          <w:spacing w:val="-60"/>
        </w:rPr>
        <w:t> </w:t>
      </w:r>
      <w:r>
        <w:rPr>
          <w:rFonts w:ascii="宋体" w:hAnsi="宋体" w:cs="宋体" w:eastAsia="宋体" w:hint="default"/>
        </w:rPr>
        <w:t>3</w:t>
      </w:r>
      <w:r>
        <w:rPr>
          <w:rFonts w:ascii="宋体" w:hAnsi="宋体" w:cs="宋体" w:eastAsia="宋体" w:hint="default"/>
          <w:spacing w:val="-60"/>
        </w:rPr>
        <w:t> </w:t>
      </w:r>
      <w:r>
        <w:rPr/>
        <w:t>年（包括本报告期）的普通股股利分配方案（预案</w:t>
      </w:r>
      <w:r>
        <w:rPr>
          <w:spacing w:val="-120"/>
        </w:rPr>
        <w:t>）</w:t>
      </w:r>
      <w:r>
        <w:rPr/>
        <w:t>、资本公积金转增股本方案（预案）情况</w:t>
      </w:r>
    </w:p>
    <w:p>
      <w:pPr>
        <w:spacing w:line="240" w:lineRule="auto" w:before="5"/>
        <w:rPr>
          <w:rFonts w:ascii="宋体" w:hAnsi="宋体" w:cs="宋体" w:eastAsia="宋体" w:hint="default"/>
          <w:sz w:val="19"/>
          <w:szCs w:val="19"/>
        </w:rPr>
      </w:pPr>
    </w:p>
    <w:p>
      <w:pPr>
        <w:pStyle w:val="BodyText"/>
        <w:spacing w:line="240" w:lineRule="auto"/>
        <w:ind w:left="620" w:right="0"/>
        <w:jc w:val="left"/>
      </w:pP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w:t>
      </w:r>
      <w:r>
        <w:rPr>
          <w:spacing w:val="-107"/>
        </w:rPr>
        <w:t>，</w:t>
      </w:r>
      <w:r>
        <w:rPr/>
        <w:t>公司召开了</w:t>
      </w:r>
      <w:r>
        <w:rPr>
          <w:spacing w:val="-60"/>
        </w:rPr>
        <w:t> </w:t>
      </w:r>
      <w:r>
        <w:rPr>
          <w:rFonts w:ascii="宋体" w:hAnsi="宋体" w:cs="宋体" w:eastAsia="宋体" w:hint="default"/>
        </w:rPr>
        <w:t>2016</w:t>
      </w:r>
      <w:r>
        <w:rPr>
          <w:rFonts w:ascii="宋体" w:hAnsi="宋体" w:cs="宋体" w:eastAsia="宋体" w:hint="default"/>
          <w:spacing w:val="-60"/>
        </w:rPr>
        <w:t> </w:t>
      </w:r>
      <w:r>
        <w:rPr/>
        <w:t>年年度股东大会</w:t>
      </w:r>
      <w:r>
        <w:rPr>
          <w:spacing w:val="-107"/>
        </w:rPr>
        <w:t>，</w:t>
      </w:r>
      <w:r>
        <w:rPr/>
        <w:t>审议通过</w:t>
      </w:r>
      <w:r>
        <w:rPr>
          <w:spacing w:val="-107"/>
        </w:rPr>
        <w:t>了</w:t>
      </w:r>
      <w:r>
        <w:rPr/>
        <w:t>《关于</w:t>
      </w:r>
      <w:r>
        <w:rPr>
          <w:rFonts w:ascii="宋体" w:hAnsi="宋体" w:cs="宋体" w:eastAsia="宋体" w:hint="default"/>
        </w:rPr>
        <w:t>&lt;2016</w:t>
      </w:r>
      <w:r>
        <w:rPr>
          <w:rFonts w:ascii="宋体" w:hAnsi="宋体" w:cs="宋体" w:eastAsia="宋体" w:hint="default"/>
          <w:spacing w:val="-60"/>
        </w:rPr>
        <w:t> </w:t>
      </w:r>
      <w:r>
        <w:rPr/>
        <w:t>年度利润分配及资本公积金转增股本方案</w:t>
      </w:r>
      <w:r>
        <w:rPr>
          <w:rFonts w:ascii="宋体" w:hAnsi="宋体" w:cs="宋体" w:eastAsia="宋体" w:hint="default"/>
        </w:rPr>
        <w:t>&gt;</w:t>
      </w:r>
      <w:r>
        <w:rPr/>
        <w:t>的议案</w:t>
      </w:r>
      <w:r>
        <w:rPr>
          <w:spacing w:val="-120"/>
        </w:rPr>
        <w:t>》</w:t>
      </w:r>
      <w:r>
        <w:rPr/>
        <w:t>，</w:t>
      </w:r>
    </w:p>
    <w:p>
      <w:pPr>
        <w:pStyle w:val="BodyText"/>
        <w:spacing w:line="240" w:lineRule="auto" w:before="154"/>
        <w:ind w:left="140" w:right="0"/>
        <w:jc w:val="left"/>
      </w:pPr>
      <w:r>
        <w:rPr/>
        <w:t>具体利润分配方案为：以公司总股本</w:t>
      </w:r>
      <w:r>
        <w:rPr>
          <w:spacing w:val="-69"/>
        </w:rPr>
        <w:t> </w:t>
      </w:r>
      <w:r>
        <w:rPr>
          <w:rFonts w:ascii="宋体" w:hAnsi="宋体" w:cs="宋体" w:eastAsia="宋体" w:hint="default"/>
        </w:rPr>
        <w:t>284,752,577</w:t>
      </w:r>
      <w:r>
        <w:rPr>
          <w:rFonts w:ascii="宋体" w:hAnsi="宋体" w:cs="宋体" w:eastAsia="宋体" w:hint="default"/>
          <w:spacing w:val="-69"/>
        </w:rPr>
        <w:t> </w:t>
      </w:r>
      <w:r>
        <w:rPr>
          <w:spacing w:val="-3"/>
        </w:rPr>
        <w:t>为基数，向全体股东每</w:t>
      </w:r>
      <w:r>
        <w:rPr>
          <w:spacing w:val="-69"/>
        </w:rPr>
        <w:t> </w:t>
      </w:r>
      <w:r>
        <w:rPr>
          <w:rFonts w:ascii="宋体" w:hAnsi="宋体" w:cs="宋体" w:eastAsia="宋体" w:hint="default"/>
        </w:rPr>
        <w:t>10</w:t>
      </w:r>
      <w:r>
        <w:rPr>
          <w:rFonts w:ascii="宋体" w:hAnsi="宋体" w:cs="宋体" w:eastAsia="宋体" w:hint="default"/>
          <w:spacing w:val="-69"/>
        </w:rPr>
        <w:t> </w:t>
      </w:r>
      <w:r>
        <w:rPr/>
        <w:t>股派发现金股利</w:t>
      </w:r>
      <w:r>
        <w:rPr>
          <w:spacing w:val="-69"/>
        </w:rPr>
        <w:t> </w:t>
      </w:r>
      <w:r>
        <w:rPr>
          <w:rFonts w:ascii="宋体" w:hAnsi="宋体" w:cs="宋体" w:eastAsia="宋体" w:hint="default"/>
        </w:rPr>
        <w:t>0.4</w:t>
      </w:r>
      <w:r>
        <w:rPr>
          <w:rFonts w:ascii="宋体" w:hAnsi="宋体" w:cs="宋体" w:eastAsia="宋体" w:hint="default"/>
          <w:spacing w:val="-69"/>
        </w:rPr>
        <w:t> </w:t>
      </w:r>
      <w:r>
        <w:rPr/>
        <w:t>元人民币</w:t>
      </w:r>
      <w:r>
        <w:rPr>
          <w:rFonts w:ascii="宋体" w:hAnsi="宋体" w:cs="宋体" w:eastAsia="宋体" w:hint="default"/>
        </w:rPr>
        <w:t>(</w:t>
      </w:r>
      <w:r>
        <w:rPr/>
        <w:t>含税</w:t>
      </w:r>
      <w:r>
        <w:rPr>
          <w:rFonts w:ascii="宋体" w:hAnsi="宋体" w:cs="宋体" w:eastAsia="宋体" w:hint="default"/>
        </w:rPr>
        <w:t>)</w:t>
      </w:r>
      <w:r>
        <w:rPr/>
        <w:t>；同时以资本公积金</w:t>
      </w:r>
    </w:p>
    <w:p>
      <w:pPr>
        <w:pStyle w:val="BodyText"/>
        <w:spacing w:line="240" w:lineRule="auto" w:before="154"/>
        <w:ind w:left="140" w:right="0"/>
        <w:jc w:val="left"/>
      </w:pPr>
      <w:r>
        <w:rPr/>
        <w:t>向全体股东每</w:t>
      </w:r>
      <w:r>
        <w:rPr>
          <w:spacing w:val="-54"/>
        </w:rPr>
        <w:t> </w:t>
      </w:r>
      <w:r>
        <w:rPr>
          <w:rFonts w:ascii="宋体" w:hAnsi="宋体" w:cs="宋体" w:eastAsia="宋体" w:hint="default"/>
        </w:rPr>
        <w:t>10</w:t>
      </w:r>
      <w:r>
        <w:rPr>
          <w:rFonts w:ascii="宋体" w:hAnsi="宋体" w:cs="宋体" w:eastAsia="宋体" w:hint="default"/>
          <w:spacing w:val="-54"/>
        </w:rPr>
        <w:t> </w:t>
      </w:r>
      <w:r>
        <w:rPr/>
        <w:t>股转增</w:t>
      </w:r>
      <w:r>
        <w:rPr>
          <w:spacing w:val="-54"/>
        </w:rPr>
        <w:t> </w:t>
      </w:r>
      <w:r>
        <w:rPr>
          <w:rFonts w:ascii="宋体" w:hAnsi="宋体" w:cs="宋体" w:eastAsia="宋体" w:hint="default"/>
        </w:rPr>
        <w:t>15</w:t>
      </w:r>
      <w:r>
        <w:rPr>
          <w:rFonts w:ascii="宋体" w:hAnsi="宋体" w:cs="宋体" w:eastAsia="宋体" w:hint="default"/>
          <w:spacing w:val="-54"/>
        </w:rPr>
        <w:t> </w:t>
      </w:r>
      <w:r>
        <w:rPr/>
        <w:t>股。由于在权益分派实施前，公司完成了部分限制性股票的回购注销，致使公司总股本由</w:t>
      </w:r>
      <w:r>
        <w:rPr>
          <w:spacing w:val="-54"/>
        </w:rPr>
        <w:t> </w:t>
      </w:r>
      <w:r>
        <w:rPr>
          <w:rFonts w:ascii="宋体" w:hAnsi="宋体" w:cs="宋体" w:eastAsia="宋体" w:hint="default"/>
        </w:rPr>
        <w:t>284,752,577</w:t>
      </w:r>
      <w:r>
        <w:rPr>
          <w:rFonts w:ascii="宋体" w:hAnsi="宋体" w:cs="宋体" w:eastAsia="宋体" w:hint="default"/>
          <w:spacing w:val="-54"/>
        </w:rPr>
        <w:t> </w:t>
      </w:r>
      <w:r>
        <w:rPr/>
        <w:t>股</w:t>
      </w:r>
    </w:p>
    <w:p>
      <w:pPr>
        <w:pStyle w:val="BodyText"/>
        <w:spacing w:line="357" w:lineRule="auto" w:before="154"/>
        <w:ind w:left="140" w:right="103"/>
        <w:jc w:val="left"/>
      </w:pPr>
      <w:r>
        <w:rPr/>
        <w:t>变更为 </w:t>
      </w:r>
      <w:r>
        <w:rPr>
          <w:rFonts w:ascii="宋体" w:hAnsi="宋体" w:cs="宋体" w:eastAsia="宋体" w:hint="default"/>
        </w:rPr>
        <w:t>284,525,220</w:t>
      </w:r>
      <w:r>
        <w:rPr>
          <w:rFonts w:ascii="宋体" w:hAnsi="宋体" w:cs="宋体" w:eastAsia="宋体" w:hint="default"/>
          <w:spacing w:val="-82"/>
        </w:rPr>
        <w:t> </w:t>
      </w:r>
      <w:r>
        <w:rPr/>
        <w:t>股。根据《创业板上市公司规范运作指引》的相关规定，董事会审议利润分配方案后股本发生变动的，将按照分 </w:t>
      </w:r>
      <w:r>
        <w:rPr>
          <w:spacing w:val="-4"/>
        </w:rPr>
        <w:t>配总额不变的原则对分配比例进行调整，</w:t>
      </w:r>
      <w:r>
        <w:rPr>
          <w:rFonts w:ascii="宋体" w:hAnsi="宋体" w:cs="宋体" w:eastAsia="宋体" w:hint="default"/>
          <w:spacing w:val="-4"/>
        </w:rPr>
        <w:t>2016</w:t>
      </w:r>
      <w:r>
        <w:rPr>
          <w:rFonts w:ascii="宋体" w:hAnsi="宋体" w:cs="宋体" w:eastAsia="宋体" w:hint="default"/>
          <w:spacing w:val="-51"/>
        </w:rPr>
        <w:t> </w:t>
      </w:r>
      <w:r>
        <w:rPr>
          <w:spacing w:val="-3"/>
        </w:rPr>
        <w:t>年度利润分配及资本公积金转增股本方案调整为：以公司总股本</w:t>
      </w:r>
      <w:r>
        <w:rPr>
          <w:spacing w:val="-51"/>
        </w:rPr>
        <w:t> </w:t>
      </w:r>
      <w:r>
        <w:rPr>
          <w:rFonts w:ascii="宋体" w:hAnsi="宋体" w:cs="宋体" w:eastAsia="宋体" w:hint="default"/>
        </w:rPr>
        <w:t>284,525,220</w:t>
      </w:r>
      <w:r>
        <w:rPr>
          <w:rFonts w:ascii="宋体" w:hAnsi="宋体" w:cs="宋体" w:eastAsia="宋体" w:hint="default"/>
          <w:spacing w:val="-51"/>
        </w:rPr>
        <w:t> </w:t>
      </w:r>
      <w:r>
        <w:rPr/>
        <w:t>股为基数， 向全体股东每</w:t>
      </w:r>
      <w:r>
        <w:rPr>
          <w:spacing w:val="-55"/>
        </w:rPr>
        <w:t> </w:t>
      </w:r>
      <w:r>
        <w:rPr>
          <w:rFonts w:ascii="宋体" w:hAnsi="宋体" w:cs="宋体" w:eastAsia="宋体" w:hint="default"/>
        </w:rPr>
        <w:t>10</w:t>
      </w:r>
      <w:r>
        <w:rPr>
          <w:rFonts w:ascii="宋体" w:hAnsi="宋体" w:cs="宋体" w:eastAsia="宋体" w:hint="default"/>
          <w:spacing w:val="-56"/>
        </w:rPr>
        <w:t> </w:t>
      </w:r>
      <w:r>
        <w:rPr/>
        <w:t>股派</w:t>
      </w:r>
      <w:r>
        <w:rPr>
          <w:spacing w:val="-56"/>
        </w:rPr>
        <w:t> </w:t>
      </w:r>
      <w:r>
        <w:rPr>
          <w:rFonts w:ascii="宋体" w:hAnsi="宋体" w:cs="宋体" w:eastAsia="宋体" w:hint="default"/>
        </w:rPr>
        <w:t>0.400319</w:t>
      </w:r>
      <w:r>
        <w:rPr>
          <w:rFonts w:ascii="宋体" w:hAnsi="宋体" w:cs="宋体" w:eastAsia="宋体" w:hint="default"/>
          <w:spacing w:val="-56"/>
        </w:rPr>
        <w:t> </w:t>
      </w:r>
      <w:r>
        <w:rPr>
          <w:spacing w:val="-5"/>
        </w:rPr>
        <w:t>元人民币现金（含税），同时以资本公积金向全体股东每</w:t>
      </w:r>
      <w:r>
        <w:rPr>
          <w:spacing w:val="-55"/>
        </w:rPr>
        <w:t> </w:t>
      </w:r>
      <w:r>
        <w:rPr>
          <w:rFonts w:ascii="宋体" w:hAnsi="宋体" w:cs="宋体" w:eastAsia="宋体" w:hint="default"/>
        </w:rPr>
        <w:t>10</w:t>
      </w:r>
      <w:r>
        <w:rPr>
          <w:rFonts w:ascii="宋体" w:hAnsi="宋体" w:cs="宋体" w:eastAsia="宋体" w:hint="default"/>
          <w:spacing w:val="-56"/>
        </w:rPr>
        <w:t> </w:t>
      </w:r>
      <w:r>
        <w:rPr/>
        <w:t>股转增</w:t>
      </w:r>
      <w:r>
        <w:rPr>
          <w:spacing w:val="-56"/>
        </w:rPr>
        <w:t> </w:t>
      </w:r>
      <w:r>
        <w:rPr>
          <w:rFonts w:ascii="宋体" w:hAnsi="宋体" w:cs="宋体" w:eastAsia="宋体" w:hint="default"/>
        </w:rPr>
        <w:t>15.011986</w:t>
      </w:r>
      <w:r>
        <w:rPr>
          <w:rFonts w:ascii="宋体" w:hAnsi="宋体" w:cs="宋体" w:eastAsia="宋体" w:hint="default"/>
          <w:spacing w:val="-56"/>
        </w:rPr>
        <w:t> </w:t>
      </w:r>
      <w:r>
        <w:rPr/>
        <w:t>股。上述分配方案已于</w:t>
      </w:r>
    </w:p>
    <w:p>
      <w:pPr>
        <w:pStyle w:val="BodyText"/>
        <w:spacing w:line="240" w:lineRule="auto" w:before="37"/>
        <w:ind w:left="140" w:right="0"/>
        <w:jc w:val="left"/>
      </w:pP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t>日实施完毕，具体内容详见公司在巨潮咨询网上披露的《</w:t>
      </w:r>
      <w:r>
        <w:rPr>
          <w:rFonts w:ascii="宋体" w:hAnsi="宋体" w:cs="宋体" w:eastAsia="宋体" w:hint="default"/>
        </w:rPr>
        <w:t>2016</w:t>
      </w:r>
      <w:r>
        <w:rPr>
          <w:rFonts w:ascii="宋体" w:hAnsi="宋体" w:cs="宋体" w:eastAsia="宋体" w:hint="default"/>
          <w:spacing w:val="-60"/>
        </w:rPr>
        <w:t> </w:t>
      </w:r>
      <w:r>
        <w:rPr/>
        <w:t>年年度权益分派实施公告</w:t>
      </w:r>
      <w:r>
        <w:rPr>
          <w:spacing w:val="-120"/>
        </w:rPr>
        <w:t>》</w:t>
      </w:r>
      <w:r>
        <w:rPr/>
        <w:t>（公告编号：</w:t>
      </w:r>
      <w:r>
        <w:rPr>
          <w:rFonts w:ascii="宋体" w:hAnsi="宋体" w:cs="宋体" w:eastAsia="宋体" w:hint="default"/>
        </w:rPr>
        <w:t>2017-083</w:t>
      </w:r>
      <w:r>
        <w:rPr>
          <w:spacing w:val="-120"/>
        </w:rPr>
        <w:t>）。</w:t>
      </w:r>
      <w:r>
        <w:rPr/>
      </w:r>
    </w:p>
    <w:p>
      <w:pPr>
        <w:spacing w:line="240" w:lineRule="auto" w:before="4"/>
        <w:rPr>
          <w:rFonts w:ascii="宋体" w:hAnsi="宋体" w:cs="宋体" w:eastAsia="宋体" w:hint="default"/>
          <w:sz w:val="19"/>
          <w:szCs w:val="19"/>
        </w:rPr>
      </w:pPr>
    </w:p>
    <w:p>
      <w:pPr>
        <w:pStyle w:val="BodyText"/>
        <w:spacing w:line="240" w:lineRule="auto"/>
        <w:ind w:left="620" w:right="0"/>
        <w:jc w:val="left"/>
      </w:pP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29</w:t>
      </w:r>
      <w:r>
        <w:rPr>
          <w:rFonts w:ascii="宋体" w:hAnsi="宋体" w:cs="宋体" w:eastAsia="宋体" w:hint="default"/>
          <w:spacing w:val="-60"/>
        </w:rPr>
        <w:t> </w:t>
      </w:r>
      <w:r>
        <w:rPr/>
        <w:t>日</w:t>
      </w:r>
      <w:r>
        <w:rPr>
          <w:spacing w:val="-6"/>
        </w:rPr>
        <w:t>，</w:t>
      </w:r>
      <w:r>
        <w:rPr/>
        <w:t>公司召开</w:t>
      </w:r>
      <w:r>
        <w:rPr>
          <w:spacing w:val="-60"/>
        </w:rPr>
        <w:t> </w:t>
      </w:r>
      <w:r>
        <w:rPr>
          <w:rFonts w:ascii="宋体" w:hAnsi="宋体" w:cs="宋体" w:eastAsia="宋体" w:hint="default"/>
        </w:rPr>
        <w:t>2017</w:t>
      </w:r>
      <w:r>
        <w:rPr>
          <w:rFonts w:ascii="宋体" w:hAnsi="宋体" w:cs="宋体" w:eastAsia="宋体" w:hint="default"/>
          <w:spacing w:val="-60"/>
        </w:rPr>
        <w:t> </w:t>
      </w:r>
      <w:r>
        <w:rPr/>
        <w:t>年年度股东大会</w:t>
      </w:r>
      <w:r>
        <w:rPr>
          <w:spacing w:val="-6"/>
        </w:rPr>
        <w:t>，</w:t>
      </w:r>
      <w:r>
        <w:rPr/>
        <w:t>审议通过</w:t>
      </w:r>
      <w:r>
        <w:rPr>
          <w:spacing w:val="-6"/>
        </w:rPr>
        <w:t>了</w:t>
      </w:r>
      <w:r>
        <w:rPr/>
        <w:t>《关于</w:t>
      </w:r>
      <w:r>
        <w:rPr>
          <w:rFonts w:ascii="宋体" w:hAnsi="宋体" w:cs="宋体" w:eastAsia="宋体" w:hint="default"/>
        </w:rPr>
        <w:t>&lt;</w:t>
      </w:r>
      <w:r>
        <w:rPr/>
        <w:t>公司</w:t>
      </w:r>
      <w:r>
        <w:rPr>
          <w:spacing w:val="-60"/>
        </w:rPr>
        <w:t> </w:t>
      </w:r>
      <w:r>
        <w:rPr>
          <w:rFonts w:ascii="宋体" w:hAnsi="宋体" w:cs="宋体" w:eastAsia="宋体" w:hint="default"/>
        </w:rPr>
        <w:t>2017</w:t>
      </w:r>
      <w:r>
        <w:rPr>
          <w:rFonts w:ascii="宋体" w:hAnsi="宋体" w:cs="宋体" w:eastAsia="宋体" w:hint="default"/>
          <w:spacing w:val="-60"/>
        </w:rPr>
        <w:t> </w:t>
      </w:r>
      <w:r>
        <w:rPr/>
        <w:t>年度利润分配预案</w:t>
      </w:r>
      <w:r>
        <w:rPr>
          <w:rFonts w:ascii="宋体" w:hAnsi="宋体" w:cs="宋体" w:eastAsia="宋体" w:hint="default"/>
        </w:rPr>
        <w:t>&gt;</w:t>
      </w:r>
      <w:r>
        <w:rPr/>
        <w:t>的议案</w:t>
      </w:r>
      <w:r>
        <w:rPr>
          <w:spacing w:val="-120"/>
        </w:rPr>
        <w:t>》</w:t>
      </w:r>
      <w:r>
        <w:rPr>
          <w:spacing w:val="-6"/>
        </w:rPr>
        <w:t>，</w:t>
      </w:r>
      <w:r>
        <w:rPr/>
        <w:t>具体利润分配预</w:t>
      </w:r>
    </w:p>
    <w:p>
      <w:pPr>
        <w:pStyle w:val="BodyText"/>
        <w:spacing w:line="240" w:lineRule="auto" w:before="154"/>
        <w:ind w:left="140" w:right="0"/>
        <w:jc w:val="left"/>
      </w:pPr>
      <w:r>
        <w:rPr>
          <w:spacing w:val="-4"/>
        </w:rPr>
        <w:t>案为：以公司总股本</w:t>
      </w:r>
      <w:r>
        <w:rPr>
          <w:spacing w:val="-62"/>
        </w:rPr>
        <w:t> </w:t>
      </w:r>
      <w:r>
        <w:rPr>
          <w:rFonts w:ascii="宋体" w:hAnsi="宋体" w:cs="宋体" w:eastAsia="宋体" w:hint="default"/>
        </w:rPr>
        <w:t>775,674,085</w:t>
      </w:r>
      <w:r>
        <w:rPr>
          <w:rFonts w:ascii="宋体" w:hAnsi="宋体" w:cs="宋体" w:eastAsia="宋体" w:hint="default"/>
          <w:spacing w:val="-62"/>
        </w:rPr>
        <w:t> </w:t>
      </w:r>
      <w:r>
        <w:rPr>
          <w:spacing w:val="-3"/>
        </w:rPr>
        <w:t>股为基数，向全体股东每</w:t>
      </w:r>
      <w:r>
        <w:rPr>
          <w:spacing w:val="-62"/>
        </w:rPr>
        <w:t> </w:t>
      </w:r>
      <w:r>
        <w:rPr>
          <w:rFonts w:ascii="宋体" w:hAnsi="宋体" w:cs="宋体" w:eastAsia="宋体" w:hint="default"/>
        </w:rPr>
        <w:t>10</w:t>
      </w:r>
      <w:r>
        <w:rPr>
          <w:rFonts w:ascii="宋体" w:hAnsi="宋体" w:cs="宋体" w:eastAsia="宋体" w:hint="default"/>
          <w:spacing w:val="-62"/>
        </w:rPr>
        <w:t> </w:t>
      </w:r>
      <w:r>
        <w:rPr/>
        <w:t>股派发现金股利</w:t>
      </w:r>
      <w:r>
        <w:rPr>
          <w:spacing w:val="-62"/>
        </w:rPr>
        <w:t> </w:t>
      </w:r>
      <w:r>
        <w:rPr>
          <w:rFonts w:ascii="宋体" w:hAnsi="宋体" w:cs="宋体" w:eastAsia="宋体" w:hint="default"/>
        </w:rPr>
        <w:t>0.14</w:t>
      </w:r>
      <w:r>
        <w:rPr>
          <w:rFonts w:ascii="宋体" w:hAnsi="宋体" w:cs="宋体" w:eastAsia="宋体" w:hint="default"/>
          <w:spacing w:val="-62"/>
        </w:rPr>
        <w:t> </w:t>
      </w:r>
      <w:r>
        <w:rPr/>
        <w:t>元人民币</w:t>
      </w:r>
      <w:r>
        <w:rPr>
          <w:rFonts w:ascii="宋体" w:hAnsi="宋体" w:cs="宋体" w:eastAsia="宋体" w:hint="default"/>
        </w:rPr>
        <w:t>(</w:t>
      </w:r>
      <w:r>
        <w:rPr/>
        <w:t>含税</w:t>
      </w:r>
      <w:r>
        <w:rPr>
          <w:rFonts w:ascii="宋体" w:hAnsi="宋体" w:cs="宋体" w:eastAsia="宋体" w:hint="default"/>
        </w:rPr>
        <w:t>)</w:t>
      </w:r>
      <w:r>
        <w:rPr/>
        <w:t>。上述分配方案已于</w:t>
      </w:r>
      <w:r>
        <w:rPr>
          <w:spacing w:val="-62"/>
        </w:rPr>
        <w:t> </w:t>
      </w:r>
      <w:r>
        <w:rPr>
          <w:rFonts w:ascii="宋体" w:hAnsi="宋体" w:cs="宋体" w:eastAsia="宋体" w:hint="default"/>
        </w:rPr>
        <w:t>2018</w:t>
      </w:r>
      <w:r>
        <w:rPr>
          <w:rFonts w:ascii="宋体" w:hAnsi="宋体" w:cs="宋体" w:eastAsia="宋体" w:hint="default"/>
          <w:spacing w:val="-62"/>
        </w:rPr>
        <w:t> </w:t>
      </w:r>
      <w:r>
        <w:rPr/>
        <w:t>年</w:t>
      </w:r>
      <w:r>
        <w:rPr>
          <w:spacing w:val="-62"/>
        </w:rPr>
        <w:t> </w:t>
      </w:r>
      <w:r>
        <w:rPr>
          <w:rFonts w:ascii="宋体" w:hAnsi="宋体" w:cs="宋体" w:eastAsia="宋体" w:hint="default"/>
        </w:rPr>
        <w:t>6</w:t>
      </w:r>
      <w:r>
        <w:rPr>
          <w:rFonts w:ascii="宋体" w:hAnsi="宋体" w:cs="宋体" w:eastAsia="宋体" w:hint="default"/>
          <w:spacing w:val="-62"/>
        </w:rPr>
        <w:t> </w:t>
      </w:r>
      <w:r>
        <w:rPr/>
        <w:t>月</w:t>
      </w:r>
    </w:p>
    <w:p>
      <w:pPr>
        <w:pStyle w:val="BodyText"/>
        <w:spacing w:line="434" w:lineRule="auto" w:before="155"/>
        <w:ind w:left="620" w:right="1940" w:hanging="480"/>
        <w:jc w:val="left"/>
      </w:pPr>
      <w:r>
        <w:rPr>
          <w:rFonts w:ascii="宋体" w:hAnsi="宋体" w:cs="宋体" w:eastAsia="宋体" w:hint="default"/>
        </w:rPr>
        <w:t>22</w:t>
      </w:r>
      <w:r>
        <w:rPr>
          <w:rFonts w:ascii="宋体" w:hAnsi="宋体" w:cs="宋体" w:eastAsia="宋体" w:hint="default"/>
          <w:spacing w:val="-59"/>
        </w:rPr>
        <w:t> </w:t>
      </w:r>
      <w:r>
        <w:rPr/>
        <w:t>日实施完毕，具体内容详见公司在巨潮咨询网上披露的《</w:t>
      </w:r>
      <w:r>
        <w:rPr>
          <w:rFonts w:ascii="宋体" w:hAnsi="宋体" w:cs="宋体" w:eastAsia="宋体" w:hint="default"/>
        </w:rPr>
        <w:t>2017</w:t>
      </w:r>
      <w:r>
        <w:rPr>
          <w:rFonts w:ascii="宋体" w:hAnsi="宋体" w:cs="宋体" w:eastAsia="宋体" w:hint="default"/>
          <w:spacing w:val="-59"/>
        </w:rPr>
        <w:t> </w:t>
      </w:r>
      <w:r>
        <w:rPr>
          <w:spacing w:val="-13"/>
        </w:rPr>
        <w:t>年年度权益分派实施公告》（公告编号：</w:t>
      </w:r>
      <w:r>
        <w:rPr>
          <w:rFonts w:ascii="宋体" w:hAnsi="宋体" w:cs="宋体" w:eastAsia="宋体" w:hint="default"/>
          <w:spacing w:val="-13"/>
        </w:rPr>
        <w:t>2018-059</w:t>
      </w:r>
      <w:r>
        <w:rPr>
          <w:spacing w:val="-13"/>
        </w:rPr>
        <w:t>）。</w:t>
      </w:r>
      <w:r>
        <w:rPr>
          <w:spacing w:val="-120"/>
        </w:rPr>
        <w:t> </w:t>
      </w:r>
      <w:r>
        <w:rPr/>
        <w:t>公司近三年（包括本报告期）普通股现金分红情况表</w:t>
      </w:r>
    </w:p>
    <w:p>
      <w:pPr>
        <w:spacing w:before="30"/>
        <w:ind w:left="0" w:right="2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1745"/>
        <w:gridCol w:w="1985"/>
        <w:gridCol w:w="2504"/>
        <w:gridCol w:w="1440"/>
        <w:gridCol w:w="1076"/>
        <w:gridCol w:w="1612"/>
        <w:gridCol w:w="2097"/>
        <w:gridCol w:w="1533"/>
      </w:tblGrid>
      <w:tr>
        <w:trPr>
          <w:trHeight w:val="162" w:hRule="exact"/>
        </w:trPr>
        <w:tc>
          <w:tcPr>
            <w:tcW w:w="1745" w:type="dxa"/>
            <w:vMerge w:val="restart"/>
            <w:tcBorders>
              <w:top w:val="single" w:sz="4" w:space="0" w:color="000000"/>
              <w:left w:val="single" w:sz="4" w:space="0" w:color="000000"/>
              <w:right w:val="single" w:sz="4" w:space="0" w:color="000000"/>
            </w:tcBorders>
            <w:shd w:val="clear" w:color="auto" w:fill="D2D2D2"/>
          </w:tcPr>
          <w:p>
            <w:pPr/>
          </w:p>
        </w:tc>
        <w:tc>
          <w:tcPr>
            <w:tcW w:w="1985" w:type="dxa"/>
            <w:vMerge w:val="restart"/>
            <w:tcBorders>
              <w:top w:val="single" w:sz="4" w:space="0" w:color="000000"/>
              <w:left w:val="single" w:sz="4" w:space="0" w:color="000000"/>
              <w:right w:val="single" w:sz="4" w:space="0" w:color="000000"/>
            </w:tcBorders>
            <w:shd w:val="clear" w:color="auto" w:fill="D2D2D2"/>
          </w:tcPr>
          <w:p>
            <w:pPr/>
          </w:p>
        </w:tc>
        <w:tc>
          <w:tcPr>
            <w:tcW w:w="2504" w:type="dxa"/>
            <w:vMerge w:val="restart"/>
            <w:tcBorders>
              <w:top w:val="single" w:sz="4" w:space="0" w:color="000000"/>
              <w:left w:val="single" w:sz="4" w:space="0" w:color="000000"/>
              <w:right w:val="single" w:sz="4" w:space="0" w:color="000000"/>
            </w:tcBorders>
            <w:shd w:val="clear" w:color="auto" w:fill="D2D2D2"/>
          </w:tcPr>
          <w:p>
            <w:pPr/>
          </w:p>
        </w:tc>
        <w:tc>
          <w:tcPr>
            <w:tcW w:w="144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78" w:right="89" w:hanging="1"/>
              <w:jc w:val="center"/>
              <w:rPr>
                <w:rFonts w:ascii="宋体" w:hAnsi="宋体" w:cs="宋体" w:eastAsia="宋体" w:hint="default"/>
                <w:sz w:val="18"/>
                <w:szCs w:val="18"/>
              </w:rPr>
            </w:pPr>
            <w:r>
              <w:rPr>
                <w:rFonts w:ascii="宋体" w:hAnsi="宋体" w:cs="宋体" w:eastAsia="宋体" w:hint="default"/>
                <w:sz w:val="18"/>
                <w:szCs w:val="18"/>
              </w:rPr>
              <w:t>现金分红金额占 合并报表中归属 于上市公司普通 股股东的净利润 的比率</w:t>
            </w:r>
          </w:p>
        </w:tc>
        <w:tc>
          <w:tcPr>
            <w:tcW w:w="10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1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86" w:right="74"/>
              <w:jc w:val="center"/>
              <w:rPr>
                <w:rFonts w:ascii="宋体" w:hAnsi="宋体" w:cs="宋体" w:eastAsia="宋体" w:hint="default"/>
                <w:sz w:val="18"/>
                <w:szCs w:val="18"/>
              </w:rPr>
            </w:pPr>
            <w:r>
              <w:rPr>
                <w:rFonts w:ascii="宋体" w:hAnsi="宋体" w:cs="宋体" w:eastAsia="宋体" w:hint="default"/>
                <w:sz w:val="18"/>
                <w:szCs w:val="18"/>
              </w:rPr>
              <w:t>以其他方式现金分 红金额占合并报表 中归属于上市公司 普通股股东的净利 润的比例</w:t>
            </w:r>
          </w:p>
        </w:tc>
        <w:tc>
          <w:tcPr>
            <w:tcW w:w="2097" w:type="dxa"/>
            <w:vMerge w:val="restart"/>
            <w:tcBorders>
              <w:top w:val="single" w:sz="4" w:space="0" w:color="000000"/>
              <w:left w:val="single" w:sz="4" w:space="0" w:color="000000"/>
              <w:right w:val="single" w:sz="4" w:space="0" w:color="000000"/>
            </w:tcBorders>
            <w:shd w:val="clear" w:color="auto" w:fill="D2D2D2"/>
          </w:tcPr>
          <w:p>
            <w:pPr/>
          </w:p>
        </w:tc>
        <w:tc>
          <w:tcPr>
            <w:tcW w:w="153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1" w:right="39"/>
              <w:jc w:val="center"/>
              <w:rPr>
                <w:rFonts w:ascii="宋体" w:hAnsi="宋体" w:cs="宋体" w:eastAsia="宋体" w:hint="default"/>
                <w:sz w:val="18"/>
                <w:szCs w:val="18"/>
              </w:rPr>
            </w:pPr>
            <w:r>
              <w:rPr>
                <w:rFonts w:ascii="宋体" w:hAnsi="宋体" w:cs="宋体" w:eastAsia="宋体" w:hint="default"/>
                <w:sz w:val="18"/>
                <w:szCs w:val="18"/>
              </w:rPr>
              <w:t>现金分红总额（含 其他方式）占合并 报表中归属于上市 公司普通股股东的 净利润的比率</w:t>
            </w:r>
          </w:p>
        </w:tc>
      </w:tr>
      <w:tr>
        <w:trPr>
          <w:trHeight w:val="312" w:hRule="exact"/>
        </w:trPr>
        <w:tc>
          <w:tcPr>
            <w:tcW w:w="1745" w:type="dxa"/>
            <w:vMerge/>
            <w:tcBorders>
              <w:left w:val="single" w:sz="4" w:space="0" w:color="000000"/>
              <w:right w:val="single" w:sz="4" w:space="0" w:color="000000"/>
            </w:tcBorders>
            <w:shd w:val="clear" w:color="auto" w:fill="D2D2D2"/>
          </w:tcPr>
          <w:p>
            <w:pPr/>
          </w:p>
        </w:tc>
        <w:tc>
          <w:tcPr>
            <w:tcW w:w="1985" w:type="dxa"/>
            <w:vMerge/>
            <w:tcBorders>
              <w:left w:val="single" w:sz="4" w:space="0" w:color="000000"/>
              <w:right w:val="single" w:sz="4" w:space="0" w:color="000000"/>
            </w:tcBorders>
            <w:shd w:val="clear" w:color="auto" w:fill="D2D2D2"/>
          </w:tcPr>
          <w:p>
            <w:pPr/>
          </w:p>
        </w:tc>
        <w:tc>
          <w:tcPr>
            <w:tcW w:w="2504" w:type="dxa"/>
            <w:vMerge/>
            <w:tcBorders>
              <w:left w:val="single" w:sz="4" w:space="0" w:color="000000"/>
              <w:bottom w:val="nil" w:sz="6" w:space="0" w:color="auto"/>
              <w:right w:val="single" w:sz="4" w:space="0" w:color="000000"/>
            </w:tcBorders>
            <w:shd w:val="clear" w:color="auto" w:fill="D2D2D2"/>
          </w:tcPr>
          <w:p>
            <w:pPr/>
          </w:p>
        </w:tc>
        <w:tc>
          <w:tcPr>
            <w:tcW w:w="1440" w:type="dxa"/>
            <w:vMerge/>
            <w:tcBorders>
              <w:left w:val="single" w:sz="4" w:space="0" w:color="000000"/>
              <w:right w:val="single" w:sz="4" w:space="0" w:color="000000"/>
            </w:tcBorders>
            <w:shd w:val="clear" w:color="auto" w:fill="D2D2D2"/>
          </w:tcPr>
          <w:p>
            <w:pPr/>
          </w:p>
        </w:tc>
        <w:tc>
          <w:tcPr>
            <w:tcW w:w="10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5"/>
              <w:ind w:left="23" w:right="21" w:hanging="1"/>
              <w:jc w:val="center"/>
              <w:rPr>
                <w:rFonts w:ascii="宋体" w:hAnsi="宋体" w:cs="宋体" w:eastAsia="宋体" w:hint="default"/>
                <w:sz w:val="18"/>
                <w:szCs w:val="18"/>
              </w:rPr>
            </w:pPr>
            <w:r>
              <w:rPr>
                <w:rFonts w:ascii="宋体" w:hAnsi="宋体" w:cs="宋体" w:eastAsia="宋体" w:hint="default"/>
                <w:sz w:val="18"/>
                <w:szCs w:val="18"/>
              </w:rPr>
              <w:t>（如回购股 </w:t>
            </w:r>
            <w:r>
              <w:rPr>
                <w:rFonts w:ascii="宋体" w:hAnsi="宋体" w:cs="宋体" w:eastAsia="宋体" w:hint="default"/>
                <w:spacing w:val="-10"/>
                <w:sz w:val="18"/>
                <w:szCs w:val="18"/>
              </w:rPr>
              <w:t>份）现金分红</w:t>
            </w:r>
            <w:r>
              <w:rPr>
                <w:rFonts w:ascii="宋体" w:hAnsi="宋体" w:cs="宋体" w:eastAsia="宋体" w:hint="default"/>
                <w:sz w:val="18"/>
                <w:szCs w:val="18"/>
              </w:rPr>
              <w:t> 的金额</w:t>
            </w:r>
          </w:p>
        </w:tc>
        <w:tc>
          <w:tcPr>
            <w:tcW w:w="1612" w:type="dxa"/>
            <w:vMerge/>
            <w:tcBorders>
              <w:left w:val="single" w:sz="4" w:space="0" w:color="000000"/>
              <w:right w:val="single" w:sz="4" w:space="0" w:color="000000"/>
            </w:tcBorders>
            <w:shd w:val="clear" w:color="auto" w:fill="D2D2D2"/>
          </w:tcPr>
          <w:p>
            <w:pPr/>
          </w:p>
        </w:tc>
        <w:tc>
          <w:tcPr>
            <w:tcW w:w="2097" w:type="dxa"/>
            <w:vMerge/>
            <w:tcBorders>
              <w:left w:val="single" w:sz="4" w:space="0" w:color="000000"/>
              <w:bottom w:val="nil" w:sz="6" w:space="0" w:color="auto"/>
              <w:right w:val="single" w:sz="4" w:space="0" w:color="000000"/>
            </w:tcBorders>
            <w:shd w:val="clear" w:color="auto" w:fill="D2D2D2"/>
          </w:tcPr>
          <w:p>
            <w:pPr/>
          </w:p>
        </w:tc>
        <w:tc>
          <w:tcPr>
            <w:tcW w:w="1533" w:type="dxa"/>
            <w:vMerge/>
            <w:tcBorders>
              <w:left w:val="single" w:sz="4" w:space="0" w:color="000000"/>
              <w:right w:val="single" w:sz="4" w:space="0" w:color="000000"/>
            </w:tcBorders>
            <w:shd w:val="clear" w:color="auto" w:fill="D2D2D2"/>
          </w:tcPr>
          <w:p>
            <w:pPr/>
          </w:p>
        </w:tc>
      </w:tr>
      <w:tr>
        <w:trPr>
          <w:trHeight w:val="156" w:hRule="exact"/>
        </w:trPr>
        <w:tc>
          <w:tcPr>
            <w:tcW w:w="1745" w:type="dxa"/>
            <w:vMerge/>
            <w:tcBorders>
              <w:left w:val="single" w:sz="4" w:space="0" w:color="000000"/>
              <w:bottom w:val="nil" w:sz="6" w:space="0" w:color="auto"/>
              <w:right w:val="single" w:sz="4" w:space="0" w:color="000000"/>
            </w:tcBorders>
            <w:shd w:val="clear" w:color="auto" w:fill="D2D2D2"/>
          </w:tcPr>
          <w:p>
            <w:pPr/>
          </w:p>
        </w:tc>
        <w:tc>
          <w:tcPr>
            <w:tcW w:w="1985" w:type="dxa"/>
            <w:vMerge/>
            <w:tcBorders>
              <w:left w:val="single" w:sz="4" w:space="0" w:color="000000"/>
              <w:bottom w:val="nil" w:sz="6" w:space="0" w:color="auto"/>
              <w:right w:val="single" w:sz="4" w:space="0" w:color="000000"/>
            </w:tcBorders>
            <w:shd w:val="clear" w:color="auto" w:fill="D2D2D2"/>
          </w:tcPr>
          <w:p>
            <w:pPr/>
          </w:p>
        </w:tc>
        <w:tc>
          <w:tcPr>
            <w:tcW w:w="250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60" w:right="81" w:hanging="90"/>
              <w:jc w:val="left"/>
              <w:rPr>
                <w:rFonts w:ascii="宋体" w:hAnsi="宋体" w:cs="宋体" w:eastAsia="宋体" w:hint="default"/>
                <w:sz w:val="18"/>
                <w:szCs w:val="18"/>
              </w:rPr>
            </w:pPr>
            <w:r>
              <w:rPr>
                <w:rFonts w:ascii="宋体" w:hAnsi="宋体" w:cs="宋体" w:eastAsia="宋体" w:hint="default"/>
                <w:sz w:val="18"/>
                <w:szCs w:val="18"/>
              </w:rPr>
              <w:t>分红年度合并报表中归属于上 市公司普通股股东的净利润</w:t>
            </w:r>
          </w:p>
        </w:tc>
        <w:tc>
          <w:tcPr>
            <w:tcW w:w="1440" w:type="dxa"/>
            <w:vMerge/>
            <w:tcBorders>
              <w:left w:val="single" w:sz="4" w:space="0" w:color="000000"/>
              <w:right w:val="single" w:sz="4" w:space="0" w:color="000000"/>
            </w:tcBorders>
            <w:shd w:val="clear" w:color="auto" w:fill="D2D2D2"/>
          </w:tcPr>
          <w:p>
            <w:pPr/>
          </w:p>
        </w:tc>
        <w:tc>
          <w:tcPr>
            <w:tcW w:w="1076" w:type="dxa"/>
            <w:vMerge/>
            <w:tcBorders>
              <w:left w:val="single" w:sz="4" w:space="0" w:color="000000"/>
              <w:right w:val="single" w:sz="4" w:space="0" w:color="000000"/>
            </w:tcBorders>
            <w:shd w:val="clear" w:color="auto" w:fill="D2D2D2"/>
          </w:tcPr>
          <w:p>
            <w:pPr/>
          </w:p>
        </w:tc>
        <w:tc>
          <w:tcPr>
            <w:tcW w:w="1612" w:type="dxa"/>
            <w:vMerge/>
            <w:tcBorders>
              <w:left w:val="single" w:sz="4" w:space="0" w:color="000000"/>
              <w:right w:val="single" w:sz="4" w:space="0" w:color="000000"/>
            </w:tcBorders>
            <w:shd w:val="clear" w:color="auto" w:fill="D2D2D2"/>
          </w:tcPr>
          <w:p>
            <w:pPr/>
          </w:p>
        </w:tc>
        <w:tc>
          <w:tcPr>
            <w:tcW w:w="209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863" w:right="53" w:hanging="810"/>
              <w:jc w:val="left"/>
              <w:rPr>
                <w:rFonts w:ascii="宋体" w:hAnsi="宋体" w:cs="宋体" w:eastAsia="宋体" w:hint="default"/>
                <w:sz w:val="18"/>
                <w:szCs w:val="18"/>
              </w:rPr>
            </w:pPr>
            <w:r>
              <w:rPr>
                <w:rFonts w:ascii="宋体" w:hAnsi="宋体" w:cs="宋体" w:eastAsia="宋体" w:hint="default"/>
                <w:sz w:val="18"/>
                <w:szCs w:val="18"/>
              </w:rPr>
              <w:t>现金分红总额（含其他方 式）</w:t>
            </w:r>
          </w:p>
        </w:tc>
        <w:tc>
          <w:tcPr>
            <w:tcW w:w="1533" w:type="dxa"/>
            <w:vMerge/>
            <w:tcBorders>
              <w:left w:val="single" w:sz="4" w:space="0" w:color="000000"/>
              <w:right w:val="single" w:sz="4" w:space="0" w:color="000000"/>
            </w:tcBorders>
            <w:shd w:val="clear" w:color="auto" w:fill="D2D2D2"/>
          </w:tcPr>
          <w:p>
            <w:pPr/>
          </w:p>
        </w:tc>
      </w:tr>
      <w:tr>
        <w:trPr>
          <w:trHeight w:val="391" w:hRule="exact"/>
        </w:trPr>
        <w:tc>
          <w:tcPr>
            <w:tcW w:w="17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500"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9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86" w:right="0"/>
              <w:jc w:val="left"/>
              <w:rPr>
                <w:rFonts w:ascii="宋体" w:hAnsi="宋体" w:cs="宋体" w:eastAsia="宋体" w:hint="default"/>
                <w:sz w:val="18"/>
                <w:szCs w:val="18"/>
              </w:rPr>
            </w:pPr>
            <w:r>
              <w:rPr>
                <w:rFonts w:ascii="宋体" w:hAnsi="宋体" w:cs="宋体" w:eastAsia="宋体" w:hint="default"/>
                <w:sz w:val="18"/>
                <w:szCs w:val="18"/>
              </w:rPr>
              <w:t>现金分红金额（含税）</w:t>
            </w:r>
          </w:p>
        </w:tc>
        <w:tc>
          <w:tcPr>
            <w:tcW w:w="2504" w:type="dxa"/>
            <w:vMerge/>
            <w:tcBorders>
              <w:left w:val="single" w:sz="4" w:space="0" w:color="000000"/>
              <w:right w:val="single" w:sz="4" w:space="0" w:color="000000"/>
            </w:tcBorders>
            <w:shd w:val="clear" w:color="auto" w:fill="D2D2D2"/>
          </w:tcPr>
          <w:p>
            <w:pPr/>
          </w:p>
        </w:tc>
        <w:tc>
          <w:tcPr>
            <w:tcW w:w="1440" w:type="dxa"/>
            <w:vMerge/>
            <w:tcBorders>
              <w:left w:val="single" w:sz="4" w:space="0" w:color="000000"/>
              <w:right w:val="single" w:sz="4" w:space="0" w:color="000000"/>
            </w:tcBorders>
            <w:shd w:val="clear" w:color="auto" w:fill="D2D2D2"/>
          </w:tcPr>
          <w:p>
            <w:pPr/>
          </w:p>
        </w:tc>
        <w:tc>
          <w:tcPr>
            <w:tcW w:w="1076" w:type="dxa"/>
            <w:vMerge/>
            <w:tcBorders>
              <w:left w:val="single" w:sz="4" w:space="0" w:color="000000"/>
              <w:right w:val="single" w:sz="4" w:space="0" w:color="000000"/>
            </w:tcBorders>
            <w:shd w:val="clear" w:color="auto" w:fill="D2D2D2"/>
          </w:tcPr>
          <w:p>
            <w:pPr/>
          </w:p>
        </w:tc>
        <w:tc>
          <w:tcPr>
            <w:tcW w:w="1612" w:type="dxa"/>
            <w:vMerge/>
            <w:tcBorders>
              <w:left w:val="single" w:sz="4" w:space="0" w:color="000000"/>
              <w:right w:val="single" w:sz="4" w:space="0" w:color="000000"/>
            </w:tcBorders>
            <w:shd w:val="clear" w:color="auto" w:fill="D2D2D2"/>
          </w:tcPr>
          <w:p>
            <w:pPr/>
          </w:p>
        </w:tc>
        <w:tc>
          <w:tcPr>
            <w:tcW w:w="2097" w:type="dxa"/>
            <w:vMerge/>
            <w:tcBorders>
              <w:left w:val="single" w:sz="4" w:space="0" w:color="000000"/>
              <w:right w:val="single" w:sz="4" w:space="0" w:color="000000"/>
            </w:tcBorders>
            <w:shd w:val="clear" w:color="auto" w:fill="D2D2D2"/>
          </w:tcPr>
          <w:p>
            <w:pPr/>
          </w:p>
        </w:tc>
        <w:tc>
          <w:tcPr>
            <w:tcW w:w="1533" w:type="dxa"/>
            <w:vMerge/>
            <w:tcBorders>
              <w:left w:val="single" w:sz="4" w:space="0" w:color="000000"/>
              <w:right w:val="single" w:sz="4" w:space="0" w:color="000000"/>
            </w:tcBorders>
            <w:shd w:val="clear" w:color="auto" w:fill="D2D2D2"/>
          </w:tcPr>
          <w:p>
            <w:pPr/>
          </w:p>
        </w:tc>
      </w:tr>
      <w:tr>
        <w:trPr>
          <w:trHeight w:val="156" w:hRule="exact"/>
        </w:trPr>
        <w:tc>
          <w:tcPr>
            <w:tcW w:w="1745" w:type="dxa"/>
            <w:vMerge w:val="restart"/>
            <w:tcBorders>
              <w:top w:val="nil" w:sz="6" w:space="0" w:color="auto"/>
              <w:left w:val="single" w:sz="4" w:space="0" w:color="000000"/>
              <w:right w:val="single" w:sz="4" w:space="0" w:color="000000"/>
            </w:tcBorders>
            <w:shd w:val="clear" w:color="auto" w:fill="D2D2D2"/>
          </w:tcPr>
          <w:p>
            <w:pPr/>
          </w:p>
        </w:tc>
        <w:tc>
          <w:tcPr>
            <w:tcW w:w="1985" w:type="dxa"/>
            <w:vMerge w:val="restart"/>
            <w:tcBorders>
              <w:top w:val="nil" w:sz="6" w:space="0" w:color="auto"/>
              <w:left w:val="single" w:sz="4" w:space="0" w:color="000000"/>
              <w:right w:val="single" w:sz="4" w:space="0" w:color="000000"/>
            </w:tcBorders>
            <w:shd w:val="clear" w:color="auto" w:fill="D2D2D2"/>
          </w:tcPr>
          <w:p>
            <w:pPr/>
          </w:p>
        </w:tc>
        <w:tc>
          <w:tcPr>
            <w:tcW w:w="2504" w:type="dxa"/>
            <w:vMerge/>
            <w:tcBorders>
              <w:left w:val="single" w:sz="4" w:space="0" w:color="000000"/>
              <w:bottom w:val="nil" w:sz="6" w:space="0" w:color="auto"/>
              <w:right w:val="single" w:sz="4" w:space="0" w:color="000000"/>
            </w:tcBorders>
            <w:shd w:val="clear" w:color="auto" w:fill="D2D2D2"/>
          </w:tcPr>
          <w:p>
            <w:pPr/>
          </w:p>
        </w:tc>
        <w:tc>
          <w:tcPr>
            <w:tcW w:w="1440" w:type="dxa"/>
            <w:vMerge/>
            <w:tcBorders>
              <w:left w:val="single" w:sz="4" w:space="0" w:color="000000"/>
              <w:right w:val="single" w:sz="4" w:space="0" w:color="000000"/>
            </w:tcBorders>
            <w:shd w:val="clear" w:color="auto" w:fill="D2D2D2"/>
          </w:tcPr>
          <w:p>
            <w:pPr/>
          </w:p>
        </w:tc>
        <w:tc>
          <w:tcPr>
            <w:tcW w:w="1076" w:type="dxa"/>
            <w:vMerge/>
            <w:tcBorders>
              <w:left w:val="single" w:sz="4" w:space="0" w:color="000000"/>
              <w:right w:val="single" w:sz="4" w:space="0" w:color="000000"/>
            </w:tcBorders>
            <w:shd w:val="clear" w:color="auto" w:fill="D2D2D2"/>
          </w:tcPr>
          <w:p>
            <w:pPr/>
          </w:p>
        </w:tc>
        <w:tc>
          <w:tcPr>
            <w:tcW w:w="1612" w:type="dxa"/>
            <w:vMerge/>
            <w:tcBorders>
              <w:left w:val="single" w:sz="4" w:space="0" w:color="000000"/>
              <w:right w:val="single" w:sz="4" w:space="0" w:color="000000"/>
            </w:tcBorders>
            <w:shd w:val="clear" w:color="auto" w:fill="D2D2D2"/>
          </w:tcPr>
          <w:p>
            <w:pPr/>
          </w:p>
        </w:tc>
        <w:tc>
          <w:tcPr>
            <w:tcW w:w="2097" w:type="dxa"/>
            <w:vMerge/>
            <w:tcBorders>
              <w:left w:val="single" w:sz="4" w:space="0" w:color="000000"/>
              <w:bottom w:val="nil" w:sz="6" w:space="0" w:color="auto"/>
              <w:right w:val="single" w:sz="4" w:space="0" w:color="000000"/>
            </w:tcBorders>
            <w:shd w:val="clear" w:color="auto" w:fill="D2D2D2"/>
          </w:tcPr>
          <w:p>
            <w:pPr/>
          </w:p>
        </w:tc>
        <w:tc>
          <w:tcPr>
            <w:tcW w:w="1533" w:type="dxa"/>
            <w:vMerge/>
            <w:tcBorders>
              <w:left w:val="single" w:sz="4" w:space="0" w:color="000000"/>
              <w:right w:val="single" w:sz="4" w:space="0" w:color="000000"/>
            </w:tcBorders>
            <w:shd w:val="clear" w:color="auto" w:fill="D2D2D2"/>
          </w:tcPr>
          <w:p>
            <w:pPr/>
          </w:p>
        </w:tc>
      </w:tr>
      <w:tr>
        <w:trPr>
          <w:trHeight w:val="312" w:hRule="exact"/>
        </w:trPr>
        <w:tc>
          <w:tcPr>
            <w:tcW w:w="1745" w:type="dxa"/>
            <w:vMerge/>
            <w:tcBorders>
              <w:left w:val="single" w:sz="4" w:space="0" w:color="000000"/>
              <w:right w:val="single" w:sz="4" w:space="0" w:color="000000"/>
            </w:tcBorders>
            <w:shd w:val="clear" w:color="auto" w:fill="D2D2D2"/>
          </w:tcPr>
          <w:p>
            <w:pPr/>
          </w:p>
        </w:tc>
        <w:tc>
          <w:tcPr>
            <w:tcW w:w="1985" w:type="dxa"/>
            <w:vMerge/>
            <w:tcBorders>
              <w:left w:val="single" w:sz="4" w:space="0" w:color="000000"/>
              <w:right w:val="single" w:sz="4" w:space="0" w:color="000000"/>
            </w:tcBorders>
            <w:shd w:val="clear" w:color="auto" w:fill="D2D2D2"/>
          </w:tcPr>
          <w:p>
            <w:pPr/>
          </w:p>
        </w:tc>
        <w:tc>
          <w:tcPr>
            <w:tcW w:w="2504" w:type="dxa"/>
            <w:vMerge w:val="restart"/>
            <w:tcBorders>
              <w:top w:val="nil" w:sz="6" w:space="0" w:color="auto"/>
              <w:left w:val="single" w:sz="4" w:space="0" w:color="000000"/>
              <w:right w:val="single" w:sz="4" w:space="0" w:color="000000"/>
            </w:tcBorders>
            <w:shd w:val="clear" w:color="auto" w:fill="D2D2D2"/>
          </w:tcPr>
          <w:p>
            <w:pPr/>
          </w:p>
        </w:tc>
        <w:tc>
          <w:tcPr>
            <w:tcW w:w="1440" w:type="dxa"/>
            <w:vMerge/>
            <w:tcBorders>
              <w:left w:val="single" w:sz="4" w:space="0" w:color="000000"/>
              <w:right w:val="single" w:sz="4" w:space="0" w:color="000000"/>
            </w:tcBorders>
            <w:shd w:val="clear" w:color="auto" w:fill="D2D2D2"/>
          </w:tcPr>
          <w:p>
            <w:pPr/>
          </w:p>
        </w:tc>
        <w:tc>
          <w:tcPr>
            <w:tcW w:w="1076" w:type="dxa"/>
            <w:vMerge/>
            <w:tcBorders>
              <w:left w:val="single" w:sz="4" w:space="0" w:color="000000"/>
              <w:bottom w:val="nil" w:sz="6" w:space="0" w:color="auto"/>
              <w:right w:val="single" w:sz="4" w:space="0" w:color="000000"/>
            </w:tcBorders>
            <w:shd w:val="clear" w:color="auto" w:fill="D2D2D2"/>
          </w:tcPr>
          <w:p>
            <w:pPr/>
          </w:p>
        </w:tc>
        <w:tc>
          <w:tcPr>
            <w:tcW w:w="1612" w:type="dxa"/>
            <w:vMerge/>
            <w:tcBorders>
              <w:left w:val="single" w:sz="4" w:space="0" w:color="000000"/>
              <w:right w:val="single" w:sz="4" w:space="0" w:color="000000"/>
            </w:tcBorders>
            <w:shd w:val="clear" w:color="auto" w:fill="D2D2D2"/>
          </w:tcPr>
          <w:p>
            <w:pPr/>
          </w:p>
        </w:tc>
        <w:tc>
          <w:tcPr>
            <w:tcW w:w="2097" w:type="dxa"/>
            <w:vMerge w:val="restart"/>
            <w:tcBorders>
              <w:top w:val="nil" w:sz="6" w:space="0" w:color="auto"/>
              <w:left w:val="single" w:sz="4" w:space="0" w:color="000000"/>
              <w:right w:val="single" w:sz="4" w:space="0" w:color="000000"/>
            </w:tcBorders>
            <w:shd w:val="clear" w:color="auto" w:fill="D2D2D2"/>
          </w:tcPr>
          <w:p>
            <w:pPr/>
          </w:p>
        </w:tc>
        <w:tc>
          <w:tcPr>
            <w:tcW w:w="1533" w:type="dxa"/>
            <w:vMerge/>
            <w:tcBorders>
              <w:left w:val="single" w:sz="4" w:space="0" w:color="000000"/>
              <w:right w:val="single" w:sz="4" w:space="0" w:color="000000"/>
            </w:tcBorders>
            <w:shd w:val="clear" w:color="auto" w:fill="D2D2D2"/>
          </w:tcPr>
          <w:p>
            <w:pPr/>
          </w:p>
        </w:tc>
      </w:tr>
      <w:tr>
        <w:trPr>
          <w:trHeight w:val="161" w:hRule="exact"/>
        </w:trPr>
        <w:tc>
          <w:tcPr>
            <w:tcW w:w="1745" w:type="dxa"/>
            <w:vMerge/>
            <w:tcBorders>
              <w:left w:val="single" w:sz="4" w:space="0" w:color="000000"/>
              <w:bottom w:val="single" w:sz="4" w:space="0" w:color="000000"/>
              <w:right w:val="single" w:sz="4" w:space="0" w:color="000000"/>
            </w:tcBorders>
            <w:shd w:val="clear" w:color="auto" w:fill="D2D2D2"/>
          </w:tcPr>
          <w:p>
            <w:pPr/>
          </w:p>
        </w:tc>
        <w:tc>
          <w:tcPr>
            <w:tcW w:w="1985" w:type="dxa"/>
            <w:vMerge/>
            <w:tcBorders>
              <w:left w:val="single" w:sz="4" w:space="0" w:color="000000"/>
              <w:bottom w:val="single" w:sz="4" w:space="0" w:color="000000"/>
              <w:right w:val="single" w:sz="4" w:space="0" w:color="000000"/>
            </w:tcBorders>
            <w:shd w:val="clear" w:color="auto" w:fill="D2D2D2"/>
          </w:tcPr>
          <w:p>
            <w:pPr/>
          </w:p>
        </w:tc>
        <w:tc>
          <w:tcPr>
            <w:tcW w:w="2504" w:type="dxa"/>
            <w:vMerge/>
            <w:tcBorders>
              <w:left w:val="single" w:sz="4" w:space="0" w:color="000000"/>
              <w:bottom w:val="single" w:sz="4" w:space="0" w:color="000000"/>
              <w:right w:val="single" w:sz="4" w:space="0" w:color="000000"/>
            </w:tcBorders>
            <w:shd w:val="clear" w:color="auto" w:fill="D2D2D2"/>
          </w:tcPr>
          <w:p>
            <w:pPr/>
          </w:p>
        </w:tc>
        <w:tc>
          <w:tcPr>
            <w:tcW w:w="1440" w:type="dxa"/>
            <w:vMerge/>
            <w:tcBorders>
              <w:left w:val="single" w:sz="4" w:space="0" w:color="000000"/>
              <w:bottom w:val="single" w:sz="4" w:space="0" w:color="000000"/>
              <w:right w:val="single" w:sz="4" w:space="0" w:color="000000"/>
            </w:tcBorders>
            <w:shd w:val="clear" w:color="auto" w:fill="D2D2D2"/>
          </w:tcPr>
          <w:p>
            <w:pPr/>
          </w:p>
        </w:tc>
        <w:tc>
          <w:tcPr>
            <w:tcW w:w="10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612" w:type="dxa"/>
            <w:vMerge/>
            <w:tcBorders>
              <w:left w:val="single" w:sz="4" w:space="0" w:color="000000"/>
              <w:bottom w:val="single" w:sz="4" w:space="0" w:color="000000"/>
              <w:right w:val="single" w:sz="4" w:space="0" w:color="000000"/>
            </w:tcBorders>
            <w:shd w:val="clear" w:color="auto" w:fill="D2D2D2"/>
          </w:tcPr>
          <w:p>
            <w:pPr/>
          </w:p>
        </w:tc>
        <w:tc>
          <w:tcPr>
            <w:tcW w:w="2097" w:type="dxa"/>
            <w:vMerge/>
            <w:tcBorders>
              <w:left w:val="single" w:sz="4" w:space="0" w:color="000000"/>
              <w:bottom w:val="single" w:sz="4" w:space="0" w:color="000000"/>
              <w:right w:val="single" w:sz="4" w:space="0" w:color="000000"/>
            </w:tcBorders>
            <w:shd w:val="clear" w:color="auto" w:fill="D2D2D2"/>
          </w:tcPr>
          <w:p>
            <w:pPr/>
          </w:p>
        </w:tc>
        <w:tc>
          <w:tcPr>
            <w:tcW w:w="1533"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7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8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0.00</w:t>
            </w:r>
          </w:p>
        </w:tc>
        <w:tc>
          <w:tcPr>
            <w:tcW w:w="25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28" w:right="0"/>
              <w:jc w:val="left"/>
              <w:rPr>
                <w:rFonts w:ascii="宋体" w:hAnsi="宋体" w:cs="宋体" w:eastAsia="宋体" w:hint="default"/>
                <w:sz w:val="18"/>
                <w:szCs w:val="18"/>
              </w:rPr>
            </w:pPr>
            <w:r>
              <w:rPr>
                <w:rFonts w:ascii="宋体"/>
                <w:sz w:val="18"/>
              </w:rPr>
              <w:t>-1,508,461,329.35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0.00%</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683" w:right="0"/>
              <w:jc w:val="left"/>
              <w:rPr>
                <w:rFonts w:ascii="宋体" w:hAnsi="宋体" w:cs="宋体" w:eastAsia="宋体" w:hint="default"/>
                <w:sz w:val="18"/>
                <w:szCs w:val="18"/>
              </w:rPr>
            </w:pPr>
            <w:r>
              <w:rPr>
                <w:rFonts w:ascii="宋体"/>
                <w:sz w:val="18"/>
              </w:rPr>
              <w:t>0.00</w:t>
            </w:r>
          </w:p>
        </w:tc>
        <w:tc>
          <w:tcPr>
            <w:tcW w:w="1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
              <w:jc w:val="right"/>
              <w:rPr>
                <w:rFonts w:ascii="宋体" w:hAnsi="宋体" w:cs="宋体" w:eastAsia="宋体" w:hint="default"/>
                <w:sz w:val="18"/>
                <w:szCs w:val="18"/>
              </w:rPr>
            </w:pPr>
            <w:r>
              <w:rPr>
                <w:rFonts w:ascii="宋体"/>
                <w:sz w:val="18"/>
              </w:rPr>
              <w:t>0.00%</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32"/>
              <w:jc w:val="right"/>
              <w:rPr>
                <w:rFonts w:ascii="宋体" w:hAnsi="宋体" w:cs="宋体" w:eastAsia="宋体" w:hint="default"/>
                <w:sz w:val="18"/>
                <w:szCs w:val="18"/>
              </w:rPr>
            </w:pPr>
            <w:r>
              <w:rPr>
                <w:rFonts w:ascii="宋体"/>
                <w:sz w:val="18"/>
              </w:rPr>
              <w:t>0.00</w:t>
            </w:r>
          </w:p>
        </w:tc>
        <w:tc>
          <w:tcPr>
            <w:tcW w:w="1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
              <w:jc w:val="right"/>
              <w:rPr>
                <w:rFonts w:ascii="宋体" w:hAnsi="宋体" w:cs="宋体" w:eastAsia="宋体" w:hint="default"/>
                <w:sz w:val="18"/>
                <w:szCs w:val="18"/>
              </w:rPr>
            </w:pPr>
            <w:r>
              <w:rPr>
                <w:rFonts w:ascii="宋体"/>
                <w:sz w:val="18"/>
              </w:rPr>
              <w:t>0.00%</w:t>
            </w:r>
          </w:p>
        </w:tc>
      </w:tr>
    </w:tbl>
    <w:p>
      <w:pPr>
        <w:spacing w:after="0" w:line="240" w:lineRule="auto"/>
        <w:jc w:val="right"/>
        <w:rPr>
          <w:rFonts w:ascii="宋体" w:hAnsi="宋体" w:cs="宋体" w:eastAsia="宋体" w:hint="default"/>
          <w:sz w:val="18"/>
          <w:szCs w:val="18"/>
        </w:rPr>
        <w:sectPr>
          <w:pgSz w:w="16840" w:h="11910" w:orient="landscape"/>
          <w:pgMar w:header="867" w:footer="979" w:top="1060" w:bottom="1160" w:left="1300" w:right="1200"/>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1756"/>
        <w:gridCol w:w="1985"/>
        <w:gridCol w:w="2492"/>
        <w:gridCol w:w="1452"/>
        <w:gridCol w:w="1076"/>
        <w:gridCol w:w="1622"/>
        <w:gridCol w:w="2074"/>
        <w:gridCol w:w="1557"/>
      </w:tblGrid>
      <w:tr>
        <w:trPr>
          <w:trHeight w:val="416" w:hRule="exact"/>
        </w:trPr>
        <w:tc>
          <w:tcPr>
            <w:tcW w:w="1756"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8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10,859,437.19</w:t>
            </w:r>
          </w:p>
        </w:tc>
        <w:tc>
          <w:tcPr>
            <w:tcW w:w="249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77,527,103.03</w:t>
            </w:r>
          </w:p>
        </w:tc>
        <w:tc>
          <w:tcPr>
            <w:tcW w:w="145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14.01%</w:t>
            </w:r>
          </w:p>
        </w:tc>
        <w:tc>
          <w:tcPr>
            <w:tcW w:w="107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62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c>
          <w:tcPr>
            <w:tcW w:w="207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10,859,437.19</w:t>
            </w:r>
          </w:p>
        </w:tc>
        <w:tc>
          <w:tcPr>
            <w:tcW w:w="155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14.01%</w:t>
            </w:r>
          </w:p>
        </w:tc>
      </w:tr>
      <w:tr>
        <w:trPr>
          <w:trHeight w:val="402" w:hRule="exact"/>
        </w:trPr>
        <w:tc>
          <w:tcPr>
            <w:tcW w:w="17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11,390,103.08</w:t>
            </w:r>
          </w:p>
        </w:tc>
        <w:tc>
          <w:tcPr>
            <w:tcW w:w="2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35,044,662.79</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32.50%</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11,390,103.08</w:t>
            </w:r>
          </w:p>
        </w:tc>
        <w:tc>
          <w:tcPr>
            <w:tcW w:w="1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32.50%</w:t>
            </w:r>
          </w:p>
        </w:tc>
      </w:tr>
    </w:tbl>
    <w:p>
      <w:pPr>
        <w:spacing w:line="240" w:lineRule="auto" w:before="10"/>
        <w:rPr>
          <w:rFonts w:ascii="宋体" w:hAnsi="宋体" w:cs="宋体" w:eastAsia="宋体" w:hint="default"/>
          <w:sz w:val="8"/>
          <w:szCs w:val="8"/>
        </w:rPr>
      </w:pPr>
    </w:p>
    <w:p>
      <w:pPr>
        <w:pStyle w:val="BodyText"/>
        <w:spacing w:line="240" w:lineRule="auto" w:before="26"/>
        <w:ind w:left="620" w:right="0"/>
        <w:jc w:val="left"/>
      </w:pPr>
      <w:r>
        <w:rPr/>
        <w:t>公司报告期内盈利且母公司可供普通股股东分配利润为正但未提出普通股现金红利分配预案</w:t>
      </w:r>
    </w:p>
    <w:p>
      <w:pPr>
        <w:spacing w:line="240" w:lineRule="auto" w:before="6"/>
        <w:rPr>
          <w:rFonts w:ascii="宋体" w:hAnsi="宋体" w:cs="宋体" w:eastAsia="宋体" w:hint="default"/>
          <w:sz w:val="19"/>
          <w:szCs w:val="19"/>
        </w:rPr>
      </w:pPr>
    </w:p>
    <w:p>
      <w:pPr>
        <w:spacing w:line="525" w:lineRule="auto" w:before="0"/>
        <w:ind w:left="140" w:right="11558"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二、承诺事项履行情况" w:id="63"/>
      <w:bookmarkEnd w:id="63"/>
      <w:r>
        <w:rPr>
          <w:rFonts w:ascii="宋体" w:hAnsi="宋体" w:cs="宋体" w:eastAsia="宋体" w:hint="default"/>
          <w:sz w:val="24"/>
          <w:szCs w:val="24"/>
        </w:rPr>
      </w:r>
      <w:r>
        <w:rPr>
          <w:rFonts w:ascii="宋体" w:hAnsi="宋体" w:cs="宋体" w:eastAsia="宋体" w:hint="default"/>
          <w:b/>
          <w:bCs/>
          <w:sz w:val="24"/>
          <w:szCs w:val="24"/>
        </w:rPr>
        <w:t>二、承诺事项履行情况</w:t>
      </w:r>
      <w:r>
        <w:rPr>
          <w:rFonts w:ascii="宋体" w:hAnsi="宋体" w:cs="宋体" w:eastAsia="宋体" w:hint="default"/>
          <w:sz w:val="24"/>
          <w:szCs w:val="24"/>
        </w:rPr>
      </w:r>
    </w:p>
    <w:p>
      <w:pPr>
        <w:spacing w:before="37"/>
        <w:ind w:left="140" w:right="0" w:firstLine="0"/>
        <w:jc w:val="left"/>
        <w:rPr>
          <w:rFonts w:ascii="宋体" w:hAnsi="宋体" w:cs="宋体" w:eastAsia="宋体" w:hint="default"/>
          <w:sz w:val="21"/>
          <w:szCs w:val="21"/>
        </w:rPr>
      </w:pPr>
      <w:bookmarkStart w:name="1、公司实际控制人、股东、关联方、收购人以及公司等承诺相关方在报告期内履行完毕及" w:id="64"/>
      <w:bookmarkEnd w:id="64"/>
      <w:r>
        <w:rPr/>
      </w:r>
      <w:r>
        <w:rPr>
          <w:rFonts w:ascii="宋体" w:hAnsi="宋体" w:cs="宋体" w:eastAsia="宋体" w:hint="default"/>
          <w:b/>
          <w:bCs/>
          <w:sz w:val="21"/>
          <w:szCs w:val="21"/>
        </w:rPr>
        <w:t>1</w:t>
      </w:r>
      <w:r>
        <w:rPr>
          <w:rFonts w:ascii="宋体" w:hAnsi="宋体" w:cs="宋体" w:eastAsia="宋体" w:hint="default"/>
          <w:b/>
          <w:bCs/>
          <w:sz w:val="21"/>
          <w:szCs w:val="21"/>
        </w:rPr>
        <w:t>、公司实际控制人、股东、关联方、收购人以及公司等承诺相关方在报告期内履行完毕及截至报告期末尚未履行完毕的承诺事项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20" w:right="5438"/>
        <w:jc w:val="left"/>
      </w:pPr>
      <w:r>
        <w:rPr/>
        <w:t>√ 适用 □ 不适用</w:t>
      </w:r>
    </w:p>
    <w:p>
      <w:pPr>
        <w:spacing w:line="240" w:lineRule="auto" w:before="3"/>
        <w:rPr>
          <w:rFonts w:ascii="宋体" w:hAnsi="宋体" w:cs="宋体" w:eastAsia="宋体"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402" w:hRule="exact"/>
        </w:trPr>
        <w:tc>
          <w:tcPr>
            <w:tcW w:w="41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承诺来源</w:t>
            </w:r>
          </w:p>
        </w:tc>
        <w:tc>
          <w:tcPr>
            <w:tcW w:w="16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承诺方</w:t>
            </w: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承诺类型</w:t>
            </w:r>
          </w:p>
        </w:tc>
        <w:tc>
          <w:tcPr>
            <w:tcW w:w="4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8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承诺期限</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6"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2234" w:hRule="exact"/>
        </w:trPr>
        <w:tc>
          <w:tcPr>
            <w:tcW w:w="4155"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9"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交易对方朱明</w:t>
            </w:r>
          </w:p>
        </w:tc>
        <w:tc>
          <w:tcPr>
            <w:tcW w:w="164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股票限售安排的承 诺函</w:t>
            </w:r>
          </w:p>
        </w:tc>
        <w:tc>
          <w:tcPr>
            <w:tcW w:w="4058"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22"/>
              <w:jc w:val="both"/>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本人在本次交易中所获得的中文在线股票自股份 发行结束之日起</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43"/>
                <w:sz w:val="18"/>
                <w:szCs w:val="18"/>
              </w:rPr>
              <w:t> </w:t>
            </w:r>
            <w:r>
              <w:rPr>
                <w:rFonts w:ascii="宋体" w:hAnsi="宋体" w:cs="宋体" w:eastAsia="宋体" w:hint="default"/>
                <w:spacing w:val="-4"/>
                <w:sz w:val="18"/>
                <w:szCs w:val="18"/>
              </w:rPr>
              <w:t>个月内不得转让。前述限售期届</w:t>
            </w:r>
            <w:r>
              <w:rPr>
                <w:rFonts w:ascii="宋体" w:hAnsi="宋体" w:cs="宋体" w:eastAsia="宋体" w:hint="default"/>
                <w:sz w:val="18"/>
                <w:szCs w:val="18"/>
              </w:rPr>
              <w:t> 满后，若本人与中文在线签署的《业绩承诺补偿协 议》约定的业绩承诺补偿事项（包括但不限于出具</w:t>
            </w:r>
          </w:p>
          <w:p>
            <w:pPr>
              <w:pStyle w:val="TableParagraph"/>
              <w:spacing w:line="319" w:lineRule="auto" w:before="19"/>
              <w:ind w:left="22" w:right="65"/>
              <w:jc w:val="both"/>
              <w:rPr>
                <w:rFonts w:ascii="宋体" w:hAnsi="宋体" w:cs="宋体" w:eastAsia="宋体" w:hint="default"/>
                <w:sz w:val="18"/>
                <w:szCs w:val="18"/>
              </w:rPr>
            </w:pPr>
            <w:r>
              <w:rPr>
                <w:rFonts w:ascii="宋体" w:hAnsi="宋体" w:cs="宋体" w:eastAsia="宋体" w:hint="default"/>
                <w:spacing w:val="-8"/>
                <w:sz w:val="18"/>
                <w:szCs w:val="18"/>
              </w:rPr>
              <w:t>《专项审核报告》《减值测试报告》、根据业绩测算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结果进行现金和股份补偿）尚未全部完成的，则本 人所持有的中文在线股份不得对外转让。</w:t>
            </w:r>
            <w:r>
              <w:rPr>
                <w:rFonts w:ascii="宋体" w:hAnsi="宋体" w:cs="宋体" w:eastAsia="宋体" w:hint="default"/>
                <w:sz w:val="18"/>
                <w:szCs w:val="18"/>
              </w:rPr>
              <w:t>2.</w:t>
            </w:r>
            <w:r>
              <w:rPr>
                <w:rFonts w:ascii="宋体" w:hAnsi="宋体" w:cs="宋体" w:eastAsia="宋体" w:hint="default"/>
                <w:sz w:val="18"/>
                <w:szCs w:val="18"/>
              </w:rPr>
              <w:t>限售期 内，本人因中文在线实施分配股利、资本公积金转 增股本、配股等事项而增持的中文在线股份，同样 遵守上述限售期的约定。</w:t>
            </w:r>
            <w:r>
              <w:rPr>
                <w:rFonts w:ascii="宋体" w:hAnsi="宋体" w:cs="宋体" w:eastAsia="宋体" w:hint="default"/>
                <w:sz w:val="18"/>
                <w:szCs w:val="18"/>
              </w:rPr>
              <w:t>3.</w:t>
            </w:r>
            <w:r>
              <w:rPr>
                <w:rFonts w:ascii="宋体" w:hAnsi="宋体" w:cs="宋体" w:eastAsia="宋体" w:hint="default"/>
                <w:sz w:val="18"/>
                <w:szCs w:val="18"/>
              </w:rPr>
              <w:t>本人因本次交易所获得 的中文在线股份在限售期届满后进行减持时，须遵 </w:t>
            </w:r>
            <w:r>
              <w:rPr>
                <w:rFonts w:ascii="宋体" w:hAnsi="宋体" w:cs="宋体" w:eastAsia="宋体" w:hint="default"/>
                <w:spacing w:val="-8"/>
                <w:sz w:val="18"/>
                <w:szCs w:val="18"/>
              </w:rPr>
              <w:t>守《公司法》《证券法》《深圳证券交易所创业板股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票上市规则》等法律法规、规范性文件及中文在线 公司章程的相关规定。</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03</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93" w:hRule="exact"/>
        </w:trPr>
        <w:tc>
          <w:tcPr>
            <w:tcW w:w="415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649" w:type="dxa"/>
            <w:vMerge/>
            <w:tcBorders>
              <w:left w:val="single" w:sz="9" w:space="0" w:color="D2D2D2"/>
              <w:right w:val="single" w:sz="4" w:space="0" w:color="000000"/>
            </w:tcBorders>
          </w:tcPr>
          <w:p>
            <w:pPr/>
          </w:p>
        </w:tc>
        <w:tc>
          <w:tcPr>
            <w:tcW w:w="1648" w:type="dxa"/>
            <w:vMerge/>
            <w:tcBorders>
              <w:left w:val="single" w:sz="4" w:space="0" w:color="000000"/>
              <w:right w:val="single" w:sz="4" w:space="0" w:color="000000"/>
            </w:tcBorders>
          </w:tcPr>
          <w:p>
            <w:pPr/>
          </w:p>
        </w:tc>
        <w:tc>
          <w:tcPr>
            <w:tcW w:w="405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1831" w:hRule="exact"/>
        </w:trPr>
        <w:tc>
          <w:tcPr>
            <w:tcW w:w="4155" w:type="dxa"/>
            <w:vMerge w:val="restart"/>
            <w:tcBorders>
              <w:top w:val="nil" w:sz="6" w:space="0" w:color="auto"/>
              <w:left w:val="single" w:sz="4" w:space="0" w:color="000000"/>
              <w:right w:val="single" w:sz="4" w:space="0" w:color="000000"/>
            </w:tcBorders>
            <w:shd w:val="clear" w:color="auto" w:fill="D2D2D2"/>
          </w:tcPr>
          <w:p>
            <w:pPr/>
          </w:p>
        </w:tc>
        <w:tc>
          <w:tcPr>
            <w:tcW w:w="1649" w:type="dxa"/>
            <w:vMerge/>
            <w:tcBorders>
              <w:left w:val="single" w:sz="9" w:space="0" w:color="D2D2D2"/>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r>
        <w:trPr>
          <w:trHeight w:val="403"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3" w:right="0"/>
              <w:jc w:val="left"/>
              <w:rPr>
                <w:rFonts w:ascii="宋体" w:hAnsi="宋体" w:cs="宋体" w:eastAsia="宋体" w:hint="default"/>
                <w:sz w:val="18"/>
                <w:szCs w:val="18"/>
              </w:rPr>
            </w:pPr>
            <w:r>
              <w:rPr>
                <w:rFonts w:ascii="宋体" w:hAnsi="宋体" w:cs="宋体" w:eastAsia="宋体" w:hint="default"/>
                <w:sz w:val="18"/>
                <w:szCs w:val="18"/>
              </w:rPr>
              <w:t>交易对方深圳朗泽</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50"/>
              <w:jc w:val="center"/>
              <w:rPr>
                <w:rFonts w:ascii="宋体" w:hAnsi="宋体" w:cs="宋体" w:eastAsia="宋体" w:hint="default"/>
                <w:sz w:val="18"/>
                <w:szCs w:val="18"/>
              </w:rPr>
            </w:pPr>
            <w:r>
              <w:rPr>
                <w:rFonts w:ascii="宋体" w:hAnsi="宋体" w:cs="宋体" w:eastAsia="宋体" w:hint="default"/>
                <w:sz w:val="18"/>
                <w:szCs w:val="18"/>
              </w:rPr>
              <w:t>股票限售安排的承</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41"/>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本企业在本次交易中所获得的中文在线股票自股</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03</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72"/>
              <w:jc w:val="center"/>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6"/>
      </w:tblGrid>
      <w:tr>
        <w:trPr>
          <w:trHeight w:val="2561"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10"/>
              <w:ind w:left="23" w:right="20"/>
              <w:jc w:val="left"/>
              <w:rPr>
                <w:rFonts w:ascii="宋体" w:hAnsi="宋体" w:cs="宋体" w:eastAsia="宋体" w:hint="default"/>
                <w:sz w:val="18"/>
                <w:szCs w:val="18"/>
              </w:rPr>
            </w:pPr>
            <w:r>
              <w:rPr>
                <w:rFonts w:ascii="宋体" w:hAnsi="宋体" w:cs="宋体" w:eastAsia="宋体" w:hint="default"/>
                <w:sz w:val="18"/>
                <w:szCs w:val="18"/>
              </w:rPr>
              <w:t>稳健一号产学研投 </w:t>
            </w:r>
            <w:r>
              <w:rPr>
                <w:rFonts w:ascii="宋体" w:hAnsi="宋体" w:cs="宋体" w:eastAsia="宋体" w:hint="default"/>
                <w:spacing w:val="-4"/>
                <w:sz w:val="18"/>
                <w:szCs w:val="18"/>
              </w:rPr>
              <w:t>资合伙企业（有限合</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伙）</w:t>
            </w:r>
          </w:p>
        </w:tc>
        <w:tc>
          <w:tcPr>
            <w:tcW w:w="164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诺函</w:t>
            </w:r>
          </w:p>
        </w:tc>
        <w:tc>
          <w:tcPr>
            <w:tcW w:w="4058"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10"/>
              <w:ind w:left="22" w:right="65"/>
              <w:jc w:val="left"/>
              <w:rPr>
                <w:rFonts w:ascii="宋体" w:hAnsi="宋体" w:cs="宋体" w:eastAsia="宋体" w:hint="default"/>
                <w:sz w:val="18"/>
                <w:szCs w:val="18"/>
              </w:rPr>
            </w:pPr>
            <w:r>
              <w:rPr>
                <w:rFonts w:ascii="宋体" w:hAnsi="宋体" w:cs="宋体" w:eastAsia="宋体" w:hint="default"/>
                <w:sz w:val="18"/>
                <w:szCs w:val="18"/>
              </w:rPr>
              <w:t>份发行结束之日起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个月内不得转让。</w:t>
            </w:r>
            <w:r>
              <w:rPr>
                <w:rFonts w:ascii="宋体" w:hAnsi="宋体" w:cs="宋体" w:eastAsia="宋体" w:hint="default"/>
                <w:sz w:val="18"/>
                <w:szCs w:val="18"/>
              </w:rPr>
              <w:t>2.</w:t>
            </w:r>
            <w:r>
              <w:rPr>
                <w:rFonts w:ascii="宋体" w:hAnsi="宋体" w:cs="宋体" w:eastAsia="宋体" w:hint="default"/>
                <w:sz w:val="18"/>
                <w:szCs w:val="18"/>
              </w:rPr>
              <w:t>限售期 内，本企业因中文在线实施分配股利、资本公积金 转增股本、配股等事项而增持的中文在线股份，同 样遵守上述限售期的约定。</w:t>
            </w:r>
            <w:r>
              <w:rPr>
                <w:rFonts w:ascii="宋体" w:hAnsi="宋体" w:cs="宋体" w:eastAsia="宋体" w:hint="default"/>
                <w:sz w:val="18"/>
                <w:szCs w:val="18"/>
              </w:rPr>
              <w:t>3.</w:t>
            </w:r>
            <w:r>
              <w:rPr>
                <w:rFonts w:ascii="宋体" w:hAnsi="宋体" w:cs="宋体" w:eastAsia="宋体" w:hint="default"/>
                <w:sz w:val="18"/>
                <w:szCs w:val="18"/>
              </w:rPr>
              <w:t>本企业因本次交易所 获得的中文在线股份在限售期届满后进行减持时， </w:t>
            </w:r>
            <w:r>
              <w:rPr>
                <w:rFonts w:ascii="宋体" w:hAnsi="宋体" w:cs="宋体" w:eastAsia="宋体" w:hint="default"/>
                <w:spacing w:val="-8"/>
                <w:sz w:val="18"/>
                <w:szCs w:val="18"/>
              </w:rPr>
              <w:t>须遵守《公司法》《证券法》《深圳证券交易所创业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板股票上市规则》等法律法规、规范性文件及中文 在线公司章程的相关规定。</w:t>
            </w:r>
          </w:p>
        </w:tc>
        <w:tc>
          <w:tcPr>
            <w:tcW w:w="85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6" w:type="dxa"/>
            <w:tcBorders>
              <w:top w:val="single" w:sz="15" w:space="0" w:color="000000"/>
              <w:left w:val="single" w:sz="4" w:space="0" w:color="000000"/>
              <w:bottom w:val="single" w:sz="4" w:space="0" w:color="000000"/>
              <w:right w:val="single" w:sz="4" w:space="0" w:color="000000"/>
            </w:tcBorders>
          </w:tcPr>
          <w:p>
            <w:pPr/>
          </w:p>
        </w:tc>
      </w:tr>
      <w:tr>
        <w:trPr>
          <w:trHeight w:val="3210"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
              <w:jc w:val="left"/>
              <w:rPr>
                <w:rFonts w:ascii="宋体" w:hAnsi="宋体" w:cs="宋体" w:eastAsia="宋体" w:hint="default"/>
                <w:sz w:val="18"/>
                <w:szCs w:val="18"/>
              </w:rPr>
            </w:pPr>
            <w:r>
              <w:rPr>
                <w:rFonts w:ascii="宋体" w:hAnsi="宋体" w:cs="宋体" w:eastAsia="宋体" w:hint="default"/>
                <w:sz w:val="18"/>
                <w:szCs w:val="18"/>
              </w:rPr>
              <w:t>交易对方上海贝琛 网森创业投资合伙 </w:t>
            </w:r>
            <w:r>
              <w:rPr>
                <w:rFonts w:ascii="宋体" w:hAnsi="宋体" w:cs="宋体" w:eastAsia="宋体" w:hint="default"/>
                <w:spacing w:val="-10"/>
                <w:sz w:val="18"/>
                <w:szCs w:val="18"/>
              </w:rPr>
              <w:t>企业（有限合伙）、</w:t>
            </w:r>
            <w:r>
              <w:rPr>
                <w:rFonts w:ascii="宋体" w:hAnsi="宋体" w:cs="宋体" w:eastAsia="宋体" w:hint="default"/>
                <w:sz w:val="18"/>
                <w:szCs w:val="18"/>
              </w:rPr>
              <w:t> 上海国鸿智臻投资 合伙企业（有限合 </w:t>
            </w:r>
            <w:r>
              <w:rPr>
                <w:rFonts w:ascii="宋体" w:hAnsi="宋体" w:cs="宋体" w:eastAsia="宋体" w:hint="default"/>
                <w:spacing w:val="-10"/>
                <w:sz w:val="18"/>
                <w:szCs w:val="18"/>
              </w:rPr>
              <w:t>伙）、上海海通数媒</w:t>
            </w:r>
            <w:r>
              <w:rPr>
                <w:rFonts w:ascii="宋体" w:hAnsi="宋体" w:cs="宋体" w:eastAsia="宋体" w:hint="default"/>
                <w:sz w:val="18"/>
                <w:szCs w:val="18"/>
              </w:rPr>
              <w:t> 创业投资管理中心、 上海优美缔股权投 </w:t>
            </w:r>
            <w:r>
              <w:rPr>
                <w:rFonts w:ascii="宋体" w:hAnsi="宋体" w:cs="宋体" w:eastAsia="宋体" w:hint="default"/>
                <w:spacing w:val="-4"/>
                <w:sz w:val="18"/>
                <w:szCs w:val="18"/>
              </w:rPr>
              <w:t>资基金合伙企业（有</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限合伙）</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股票限售安排的承 诺函</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65"/>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本企业在本次交易中所获得的中文在线股票自股 份发行结束之日起</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个月内不得转让。</w:t>
            </w:r>
            <w:r>
              <w:rPr>
                <w:rFonts w:ascii="宋体" w:hAnsi="宋体" w:cs="宋体" w:eastAsia="宋体" w:hint="default"/>
                <w:sz w:val="18"/>
                <w:szCs w:val="18"/>
              </w:rPr>
              <w:t>2.</w:t>
            </w:r>
            <w:r>
              <w:rPr>
                <w:rFonts w:ascii="宋体" w:hAnsi="宋体" w:cs="宋体" w:eastAsia="宋体" w:hint="default"/>
                <w:sz w:val="18"/>
                <w:szCs w:val="18"/>
              </w:rPr>
              <w:t>限售期 内，本企业因中文在线实施分配股利、资本公积金 转增股本、配股等事项而增持的中文在线股份，同 样遵守上述限售期的约定。</w:t>
            </w:r>
            <w:r>
              <w:rPr>
                <w:rFonts w:ascii="宋体" w:hAnsi="宋体" w:cs="宋体" w:eastAsia="宋体" w:hint="default"/>
                <w:sz w:val="18"/>
                <w:szCs w:val="18"/>
              </w:rPr>
              <w:t>3.</w:t>
            </w:r>
            <w:r>
              <w:rPr>
                <w:rFonts w:ascii="宋体" w:hAnsi="宋体" w:cs="宋体" w:eastAsia="宋体" w:hint="default"/>
                <w:sz w:val="18"/>
                <w:szCs w:val="18"/>
              </w:rPr>
              <w:t>本企业因本次交易所 获得的中文在线股份在限售期届满后进行减持时， </w:t>
            </w:r>
            <w:r>
              <w:rPr>
                <w:rFonts w:ascii="宋体" w:hAnsi="宋体" w:cs="宋体" w:eastAsia="宋体" w:hint="default"/>
                <w:spacing w:val="-8"/>
                <w:sz w:val="18"/>
                <w:szCs w:val="18"/>
              </w:rPr>
              <w:t>须遵守《公司法》《证券法》《深圳证券交易所创业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板股票上市规则》等法律法规、规范性文件及中文 在线公司章程的相关规定。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03</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2898"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9"/>
              <w:ind w:left="23" w:right="20"/>
              <w:jc w:val="left"/>
              <w:rPr>
                <w:rFonts w:ascii="宋体" w:hAnsi="宋体" w:cs="宋体" w:eastAsia="宋体" w:hint="default"/>
                <w:sz w:val="18"/>
                <w:szCs w:val="18"/>
              </w:rPr>
            </w:pPr>
            <w:r>
              <w:rPr>
                <w:rFonts w:ascii="宋体" w:hAnsi="宋体" w:cs="宋体" w:eastAsia="宋体" w:hint="default"/>
                <w:spacing w:val="-4"/>
                <w:sz w:val="18"/>
                <w:szCs w:val="18"/>
              </w:rPr>
              <w:t>交易对方王小川、孙</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宝娟</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9"/>
              <w:ind w:left="22" w:right="173"/>
              <w:jc w:val="left"/>
              <w:rPr>
                <w:rFonts w:ascii="宋体" w:hAnsi="宋体" w:cs="宋体" w:eastAsia="宋体" w:hint="default"/>
                <w:sz w:val="18"/>
                <w:szCs w:val="18"/>
              </w:rPr>
            </w:pPr>
            <w:r>
              <w:rPr>
                <w:rFonts w:ascii="宋体" w:hAnsi="宋体" w:cs="宋体" w:eastAsia="宋体" w:hint="default"/>
                <w:sz w:val="18"/>
                <w:szCs w:val="18"/>
              </w:rPr>
              <w:t>股票限售安排的承 诺函</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5"/>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本人在本次交易中所获得的中文在线股票自股份 发行结束之日起</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个月内不得转让。</w:t>
            </w:r>
            <w:r>
              <w:rPr>
                <w:rFonts w:ascii="宋体" w:hAnsi="宋体" w:cs="宋体" w:eastAsia="宋体" w:hint="default"/>
                <w:sz w:val="18"/>
                <w:szCs w:val="18"/>
              </w:rPr>
              <w:t>2.</w:t>
            </w:r>
            <w:r>
              <w:rPr>
                <w:rFonts w:ascii="宋体" w:hAnsi="宋体" w:cs="宋体" w:eastAsia="宋体" w:hint="default"/>
                <w:sz w:val="18"/>
                <w:szCs w:val="18"/>
              </w:rPr>
              <w:t>限售期内， 本人因中文在线实施分配股利、资本公积金转增股 本、配股等事项而增持的中文在线股份，同样遵守 上述限售期的约定。</w:t>
            </w:r>
            <w:r>
              <w:rPr>
                <w:rFonts w:ascii="宋体" w:hAnsi="宋体" w:cs="宋体" w:eastAsia="宋体" w:hint="default"/>
                <w:sz w:val="18"/>
                <w:szCs w:val="18"/>
              </w:rPr>
              <w:t>3.</w:t>
            </w:r>
            <w:r>
              <w:rPr>
                <w:rFonts w:ascii="宋体" w:hAnsi="宋体" w:cs="宋体" w:eastAsia="宋体" w:hint="default"/>
                <w:sz w:val="18"/>
                <w:szCs w:val="18"/>
              </w:rPr>
              <w:t>本人因本次交易所获得的中 </w:t>
            </w:r>
            <w:r>
              <w:rPr>
                <w:rFonts w:ascii="宋体" w:hAnsi="宋体" w:cs="宋体" w:eastAsia="宋体" w:hint="default"/>
                <w:spacing w:val="-7"/>
                <w:sz w:val="18"/>
                <w:szCs w:val="18"/>
              </w:rPr>
              <w:t>文在线股份在限售期届满后进行减持时，须遵守《公</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8"/>
                <w:sz w:val="18"/>
                <w:szCs w:val="18"/>
              </w:rPr>
              <w:t>司法》《证券法》《深圳证券交易所创业板股票上市</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规则》等法律法规、规范性文件及中文在线公司章 程的相关规定。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03</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714"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交易对方朱明</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73"/>
              <w:jc w:val="left"/>
              <w:rPr>
                <w:rFonts w:ascii="宋体" w:hAnsi="宋体" w:cs="宋体" w:eastAsia="宋体" w:hint="default"/>
                <w:sz w:val="18"/>
                <w:szCs w:val="18"/>
              </w:rPr>
            </w:pPr>
            <w:r>
              <w:rPr>
                <w:rFonts w:ascii="宋体" w:hAnsi="宋体" w:cs="宋体" w:eastAsia="宋体" w:hint="default"/>
                <w:sz w:val="18"/>
                <w:szCs w:val="18"/>
              </w:rPr>
              <w:t>关于避免同业竞争 的承诺函</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65"/>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本人自身及关联方不存在与晨之科同业竞争或违 反竞业禁止的情形。</w:t>
            </w:r>
            <w:r>
              <w:rPr>
                <w:rFonts w:ascii="宋体" w:hAnsi="宋体" w:cs="宋体" w:eastAsia="宋体" w:hint="default"/>
                <w:sz w:val="18"/>
                <w:szCs w:val="18"/>
              </w:rPr>
              <w:t>2.</w:t>
            </w:r>
            <w:r>
              <w:rPr>
                <w:rFonts w:ascii="宋体" w:hAnsi="宋体" w:cs="宋体" w:eastAsia="宋体" w:hint="default"/>
                <w:sz w:val="18"/>
                <w:szCs w:val="18"/>
              </w:rPr>
              <w:t>本次交易完成后，未经中文</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03</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1280"/>
        </w:sectPr>
      </w:pPr>
    </w:p>
    <w:p>
      <w:pPr>
        <w:spacing w:line="240" w:lineRule="auto" w:before="5"/>
        <w:rPr>
          <w:rFonts w:ascii="Times New Roman" w:hAnsi="Times New Roman" w:cs="Times New Roman" w:eastAsia="Times New Roman"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6"/>
      </w:tblGrid>
      <w:tr>
        <w:trPr>
          <w:trHeight w:val="412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tcBorders>
              <w:top w:val="single" w:sz="15" w:space="0" w:color="000000"/>
              <w:left w:val="single" w:sz="4" w:space="0" w:color="000000"/>
              <w:bottom w:val="single" w:sz="4" w:space="0" w:color="000000"/>
              <w:right w:val="single" w:sz="4" w:space="0" w:color="000000"/>
            </w:tcBorders>
          </w:tcPr>
          <w:p>
            <w:pPr/>
          </w:p>
        </w:tc>
        <w:tc>
          <w:tcPr>
            <w:tcW w:w="1648" w:type="dxa"/>
            <w:tcBorders>
              <w:top w:val="single" w:sz="15" w:space="0" w:color="000000"/>
              <w:left w:val="single" w:sz="4" w:space="0" w:color="000000"/>
              <w:bottom w:val="single" w:sz="4" w:space="0" w:color="000000"/>
              <w:right w:val="single" w:sz="4" w:space="0" w:color="000000"/>
            </w:tcBorders>
          </w:tcPr>
          <w:p>
            <w:pPr/>
          </w:p>
        </w:tc>
        <w:tc>
          <w:tcPr>
            <w:tcW w:w="4058"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20"/>
              <w:ind w:left="22" w:right="65"/>
              <w:jc w:val="both"/>
              <w:rPr>
                <w:rFonts w:ascii="宋体" w:hAnsi="宋体" w:cs="宋体" w:eastAsia="宋体" w:hint="default"/>
                <w:sz w:val="18"/>
                <w:szCs w:val="18"/>
              </w:rPr>
            </w:pPr>
            <w:r>
              <w:rPr>
                <w:rFonts w:ascii="宋体" w:hAnsi="宋体" w:cs="宋体" w:eastAsia="宋体" w:hint="default"/>
                <w:sz w:val="18"/>
                <w:szCs w:val="18"/>
              </w:rPr>
              <w:t>在线同意，本人及关联方不以任何方式（包括但不 限于单独经营、合资或合伙经营、持有其他公司企 业的股权或投资人权益）和任何主体名义从事、参 与、协助他人从事任何与晨之科主营业务有直接或 间接竞争关系的业务。</w:t>
            </w:r>
            <w:r>
              <w:rPr>
                <w:rFonts w:ascii="宋体" w:hAnsi="宋体" w:cs="宋体" w:eastAsia="宋体" w:hint="default"/>
                <w:sz w:val="18"/>
                <w:szCs w:val="18"/>
              </w:rPr>
              <w:t>3.</w:t>
            </w:r>
            <w:r>
              <w:rPr>
                <w:rFonts w:ascii="宋体" w:hAnsi="宋体" w:cs="宋体" w:eastAsia="宋体" w:hint="default"/>
                <w:sz w:val="18"/>
                <w:szCs w:val="18"/>
              </w:rPr>
              <w:t>本次交易完成后，未经中 文在线同意，本人及关联方不得以自身或他人名义 直接或间接投资于任何与晨之科主营业务有直接或 间接竞争关系的经济实体，不得在同晨之科存在相 同或类似主营业务的公司企业任职或者担任任何形 式的顾问。如本人及关联方获得的商业机会与晨之 科主营业务将发生或可能发生同业竞争的，应立即 通知晨之科并将该等商业机会让予晨之科，以确保 晨之科及其股东利益不受损害。</w:t>
            </w:r>
          </w:p>
        </w:tc>
        <w:tc>
          <w:tcPr>
            <w:tcW w:w="852" w:type="dxa"/>
            <w:tcBorders>
              <w:top w:val="single" w:sz="15" w:space="0" w:color="000000"/>
              <w:left w:val="single" w:sz="4" w:space="0" w:color="000000"/>
              <w:bottom w:val="single" w:sz="4" w:space="0" w:color="000000"/>
              <w:right w:val="single" w:sz="4" w:space="0" w:color="000000"/>
            </w:tcBorders>
          </w:tcPr>
          <w:p>
            <w:pPr/>
          </w:p>
        </w:tc>
        <w:tc>
          <w:tcPr>
            <w:tcW w:w="849" w:type="dxa"/>
            <w:tcBorders>
              <w:top w:val="single" w:sz="15" w:space="0" w:color="000000"/>
              <w:left w:val="single" w:sz="4" w:space="0" w:color="000000"/>
              <w:bottom w:val="single" w:sz="4" w:space="0" w:color="000000"/>
              <w:right w:val="single" w:sz="4" w:space="0" w:color="000000"/>
            </w:tcBorders>
          </w:tcPr>
          <w:p>
            <w:pPr/>
          </w:p>
        </w:tc>
        <w:tc>
          <w:tcPr>
            <w:tcW w:w="806" w:type="dxa"/>
            <w:tcBorders>
              <w:top w:val="single" w:sz="15" w:space="0" w:color="000000"/>
              <w:left w:val="single" w:sz="4" w:space="0" w:color="000000"/>
              <w:bottom w:val="single" w:sz="4" w:space="0" w:color="000000"/>
              <w:right w:val="single" w:sz="4" w:space="0" w:color="000000"/>
            </w:tcBorders>
          </w:tcPr>
          <w:p>
            <w:pPr/>
          </w:p>
        </w:tc>
      </w:tr>
      <w:tr>
        <w:trPr>
          <w:trHeight w:val="5394"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5"/>
              <w:ind w:left="23" w:right="20"/>
              <w:jc w:val="left"/>
              <w:rPr>
                <w:rFonts w:ascii="宋体" w:hAnsi="宋体" w:cs="宋体" w:eastAsia="宋体" w:hint="default"/>
                <w:sz w:val="18"/>
                <w:szCs w:val="18"/>
              </w:rPr>
            </w:pPr>
            <w:r>
              <w:rPr>
                <w:rFonts w:ascii="宋体" w:hAnsi="宋体" w:cs="宋体" w:eastAsia="宋体" w:hint="default"/>
                <w:sz w:val="18"/>
                <w:szCs w:val="18"/>
              </w:rPr>
              <w:t>全部交易对方：朱 </w:t>
            </w:r>
            <w:r>
              <w:rPr>
                <w:rFonts w:ascii="宋体" w:hAnsi="宋体" w:cs="宋体" w:eastAsia="宋体" w:hint="default"/>
                <w:spacing w:val="-4"/>
                <w:sz w:val="18"/>
                <w:szCs w:val="18"/>
              </w:rPr>
              <w:t>明、深圳朗泽稳健一</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号产学研投资合伙 </w:t>
            </w:r>
            <w:r>
              <w:rPr>
                <w:rFonts w:ascii="宋体" w:hAnsi="宋体" w:cs="宋体" w:eastAsia="宋体" w:hint="default"/>
                <w:spacing w:val="-10"/>
                <w:sz w:val="18"/>
                <w:szCs w:val="18"/>
              </w:rPr>
              <w:t>企业（有限合伙）、</w:t>
            </w:r>
            <w:r>
              <w:rPr>
                <w:rFonts w:ascii="宋体" w:hAnsi="宋体" w:cs="宋体" w:eastAsia="宋体" w:hint="default"/>
                <w:sz w:val="18"/>
                <w:szCs w:val="18"/>
              </w:rPr>
              <w:t> 上海贝琛网森创业 </w:t>
            </w:r>
            <w:r>
              <w:rPr>
                <w:rFonts w:ascii="宋体" w:hAnsi="宋体" w:cs="宋体" w:eastAsia="宋体" w:hint="default"/>
                <w:spacing w:val="-4"/>
                <w:sz w:val="18"/>
                <w:szCs w:val="18"/>
              </w:rPr>
              <w:t>投资合伙企业（有限</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合伙）、上海国鸿智</w:t>
            </w:r>
            <w:r>
              <w:rPr>
                <w:rFonts w:ascii="宋体" w:hAnsi="宋体" w:cs="宋体" w:eastAsia="宋体" w:hint="default"/>
                <w:sz w:val="18"/>
                <w:szCs w:val="18"/>
              </w:rPr>
              <w:t> </w:t>
            </w:r>
            <w:r>
              <w:rPr>
                <w:rFonts w:ascii="宋体" w:hAnsi="宋体" w:cs="宋体" w:eastAsia="宋体" w:hint="default"/>
                <w:spacing w:val="-4"/>
                <w:sz w:val="18"/>
                <w:szCs w:val="18"/>
              </w:rPr>
              <w:t>臻投资合伙企业（有</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限合伙）、上海海通</w:t>
            </w:r>
            <w:r>
              <w:rPr>
                <w:rFonts w:ascii="宋体" w:hAnsi="宋体" w:cs="宋体" w:eastAsia="宋体" w:hint="default"/>
                <w:sz w:val="18"/>
                <w:szCs w:val="18"/>
              </w:rPr>
              <w:t> 数媒创业投资管理 </w:t>
            </w:r>
            <w:r>
              <w:rPr>
                <w:rFonts w:ascii="宋体" w:hAnsi="宋体" w:cs="宋体" w:eastAsia="宋体" w:hint="default"/>
                <w:spacing w:val="-4"/>
                <w:sz w:val="18"/>
                <w:szCs w:val="18"/>
              </w:rPr>
              <w:t>中心、上海优美缔股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权投资基金合伙企 </w:t>
            </w:r>
            <w:r>
              <w:rPr>
                <w:rFonts w:ascii="宋体" w:hAnsi="宋体" w:cs="宋体" w:eastAsia="宋体" w:hint="default"/>
                <w:spacing w:val="-10"/>
                <w:sz w:val="18"/>
                <w:szCs w:val="18"/>
              </w:rPr>
              <w:t>业（有限合伙）、王</w:t>
            </w:r>
            <w:r>
              <w:rPr>
                <w:rFonts w:ascii="宋体" w:hAnsi="宋体" w:cs="宋体" w:eastAsia="宋体" w:hint="default"/>
                <w:sz w:val="18"/>
                <w:szCs w:val="18"/>
              </w:rPr>
              <w:t> 小川、孙宝娟</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24"/>
              <w:ind w:left="22" w:right="173"/>
              <w:jc w:val="left"/>
              <w:rPr>
                <w:rFonts w:ascii="宋体" w:hAnsi="宋体" w:cs="宋体" w:eastAsia="宋体" w:hint="default"/>
                <w:sz w:val="18"/>
                <w:szCs w:val="18"/>
              </w:rPr>
            </w:pPr>
            <w:r>
              <w:rPr>
                <w:rFonts w:ascii="宋体" w:hAnsi="宋体" w:cs="宋体" w:eastAsia="宋体" w:hint="default"/>
                <w:sz w:val="18"/>
                <w:szCs w:val="18"/>
              </w:rPr>
              <w:t>关于减少和规范关 联交易的承诺函</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1"/>
              <w:ind w:left="22" w:right="23"/>
              <w:jc w:val="both"/>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14"/>
                <w:sz w:val="18"/>
                <w:szCs w:val="18"/>
              </w:rPr>
              <w:t> </w:t>
            </w:r>
            <w:r>
              <w:rPr>
                <w:rFonts w:ascii="宋体" w:hAnsi="宋体" w:cs="宋体" w:eastAsia="宋体" w:hint="default"/>
                <w:spacing w:val="-3"/>
                <w:sz w:val="18"/>
                <w:szCs w:val="18"/>
              </w:rPr>
              <w:t>本企业</w:t>
            </w:r>
            <w:r>
              <w:rPr>
                <w:rFonts w:ascii="宋体" w:hAnsi="宋体" w:cs="宋体" w:eastAsia="宋体" w:hint="default"/>
                <w:spacing w:val="-3"/>
                <w:sz w:val="18"/>
                <w:szCs w:val="18"/>
              </w:rPr>
              <w:t>/</w:t>
            </w:r>
            <w:r>
              <w:rPr>
                <w:rFonts w:ascii="宋体" w:hAnsi="宋体" w:cs="宋体" w:eastAsia="宋体" w:hint="default"/>
                <w:spacing w:val="-3"/>
                <w:sz w:val="18"/>
                <w:szCs w:val="18"/>
              </w:rPr>
              <w:t>本人在担任中文在线股东期间，本企业</w:t>
            </w:r>
            <w:r>
              <w:rPr>
                <w:rFonts w:ascii="宋体" w:hAnsi="宋体" w:cs="宋体" w:eastAsia="宋体" w:hint="default"/>
                <w:spacing w:val="-3"/>
                <w:sz w:val="18"/>
                <w:szCs w:val="18"/>
              </w:rPr>
              <w:t>/</w:t>
            </w:r>
            <w:r>
              <w:rPr>
                <w:rFonts w:ascii="宋体" w:hAnsi="宋体" w:cs="宋体" w:eastAsia="宋体" w:hint="default"/>
                <w:spacing w:val="-88"/>
                <w:sz w:val="18"/>
                <w:szCs w:val="18"/>
              </w:rPr>
              <w:t> </w:t>
            </w:r>
            <w:r>
              <w:rPr>
                <w:rFonts w:ascii="宋体" w:hAnsi="宋体" w:cs="宋体" w:eastAsia="宋体" w:hint="default"/>
                <w:spacing w:val="-3"/>
                <w:sz w:val="18"/>
                <w:szCs w:val="18"/>
              </w:rPr>
              <w:t>本人及本企业</w:t>
            </w:r>
            <w:r>
              <w:rPr>
                <w:rFonts w:ascii="宋体" w:hAnsi="宋体" w:cs="宋体" w:eastAsia="宋体" w:hint="default"/>
                <w:spacing w:val="-3"/>
                <w:sz w:val="18"/>
                <w:szCs w:val="18"/>
              </w:rPr>
              <w:t>/</w:t>
            </w:r>
            <w:r>
              <w:rPr>
                <w:rFonts w:ascii="宋体" w:hAnsi="宋体" w:cs="宋体" w:eastAsia="宋体" w:hint="default"/>
                <w:spacing w:val="-3"/>
                <w:sz w:val="18"/>
                <w:szCs w:val="18"/>
              </w:rPr>
              <w:t>本人控制的其他公司、企业或经济组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织将尽量减少并规范与中文在线及其控制的其他公 司、企业或经济组织之间的关联交易；在进行确有 </w:t>
            </w:r>
            <w:r>
              <w:rPr>
                <w:rFonts w:ascii="宋体" w:hAnsi="宋体" w:cs="宋体" w:eastAsia="宋体" w:hint="default"/>
                <w:spacing w:val="-3"/>
                <w:sz w:val="18"/>
                <w:szCs w:val="18"/>
              </w:rPr>
              <w:t>必要且无法避免的关联交易时，本企业</w:t>
            </w:r>
            <w:r>
              <w:rPr>
                <w:rFonts w:ascii="宋体" w:hAnsi="宋体" w:cs="宋体" w:eastAsia="宋体" w:hint="default"/>
                <w:spacing w:val="-3"/>
                <w:sz w:val="18"/>
                <w:szCs w:val="18"/>
              </w:rPr>
              <w:t>/</w:t>
            </w:r>
            <w:r>
              <w:rPr>
                <w:rFonts w:ascii="宋体" w:hAnsi="宋体" w:cs="宋体" w:eastAsia="宋体" w:hint="default"/>
                <w:spacing w:val="-3"/>
                <w:sz w:val="18"/>
                <w:szCs w:val="18"/>
              </w:rPr>
              <w:t>本人及本企</w:t>
            </w:r>
            <w:r>
              <w:rPr>
                <w:rFonts w:ascii="宋体" w:hAnsi="宋体" w:cs="宋体" w:eastAsia="宋体" w:hint="default"/>
                <w:spacing w:val="-70"/>
                <w:sz w:val="18"/>
                <w:szCs w:val="18"/>
              </w:rPr>
              <w:t> </w:t>
            </w:r>
            <w:r>
              <w:rPr>
                <w:rFonts w:ascii="宋体" w:hAnsi="宋体" w:cs="宋体" w:eastAsia="宋体" w:hint="default"/>
                <w:spacing w:val="-3"/>
                <w:sz w:val="18"/>
                <w:szCs w:val="18"/>
              </w:rPr>
              <w:t>业</w:t>
            </w:r>
            <w:r>
              <w:rPr>
                <w:rFonts w:ascii="宋体" w:hAnsi="宋体" w:cs="宋体" w:eastAsia="宋体" w:hint="default"/>
                <w:spacing w:val="-3"/>
                <w:sz w:val="18"/>
                <w:szCs w:val="18"/>
              </w:rPr>
              <w:t>/</w:t>
            </w:r>
            <w:r>
              <w:rPr>
                <w:rFonts w:ascii="宋体" w:hAnsi="宋体" w:cs="宋体" w:eastAsia="宋体" w:hint="default"/>
                <w:spacing w:val="-3"/>
                <w:sz w:val="18"/>
                <w:szCs w:val="18"/>
              </w:rPr>
              <w:t>本人控制的其他公司、企业或经济组织将遵循市</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场化原则，以公允价格进行公平操作，并按照有关 法律、法规及规范性文件、中文在线公司章程及相 关制度规章的规定履行关联交易决策程序，依法履 行信息披露义务并办理有关报批程序，保证不通过 关联交易损害中文在线及其他股东的合法权益。</w:t>
            </w:r>
            <w:r>
              <w:rPr>
                <w:rFonts w:ascii="宋体" w:hAnsi="宋体" w:cs="宋体" w:eastAsia="宋体" w:hint="default"/>
                <w:sz w:val="18"/>
                <w:szCs w:val="18"/>
              </w:rPr>
              <w:t>2. </w:t>
            </w:r>
            <w:r>
              <w:rPr>
                <w:rFonts w:ascii="宋体" w:hAnsi="宋体" w:cs="宋体" w:eastAsia="宋体" w:hint="default"/>
                <w:spacing w:val="-3"/>
                <w:sz w:val="18"/>
                <w:szCs w:val="18"/>
              </w:rPr>
              <w:t>本企业</w:t>
            </w:r>
            <w:r>
              <w:rPr>
                <w:rFonts w:ascii="宋体" w:hAnsi="宋体" w:cs="宋体" w:eastAsia="宋体" w:hint="default"/>
                <w:spacing w:val="-3"/>
                <w:sz w:val="18"/>
                <w:szCs w:val="18"/>
              </w:rPr>
              <w:t>/</w:t>
            </w:r>
            <w:r>
              <w:rPr>
                <w:rFonts w:ascii="宋体" w:hAnsi="宋体" w:cs="宋体" w:eastAsia="宋体" w:hint="default"/>
                <w:spacing w:val="-3"/>
                <w:sz w:val="18"/>
                <w:szCs w:val="18"/>
              </w:rPr>
              <w:t>本人不得利用中文在线的股东地位，损害中</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文在线及其他股东的合法利益。</w:t>
            </w:r>
            <w:r>
              <w:rPr>
                <w:rFonts w:ascii="宋体" w:hAnsi="宋体" w:cs="宋体" w:eastAsia="宋体" w:hint="default"/>
                <w:sz w:val="18"/>
                <w:szCs w:val="18"/>
              </w:rPr>
              <w:t>3. </w:t>
            </w:r>
            <w:r>
              <w:rPr>
                <w:rFonts w:ascii="宋体" w:hAnsi="宋体" w:cs="宋体" w:eastAsia="宋体" w:hint="default"/>
                <w:sz w:val="18"/>
                <w:szCs w:val="18"/>
              </w:rPr>
              <w:t>本企业</w:t>
            </w:r>
            <w:r>
              <w:rPr>
                <w:rFonts w:ascii="宋体" w:hAnsi="宋体" w:cs="宋体" w:eastAsia="宋体" w:hint="default"/>
                <w:sz w:val="18"/>
                <w:szCs w:val="18"/>
              </w:rPr>
              <w:t>/</w:t>
            </w:r>
            <w:r>
              <w:rPr>
                <w:rFonts w:ascii="宋体" w:hAnsi="宋体" w:cs="宋体" w:eastAsia="宋体" w:hint="default"/>
                <w:sz w:val="18"/>
                <w:szCs w:val="18"/>
              </w:rPr>
              <w:t>本人将 杜绝一切非法占用上市公司资金资产的行为，在任 何情况下不得要求中文在线及其下属企业向本企业</w:t>
            </w:r>
          </w:p>
          <w:p>
            <w:pPr>
              <w:pStyle w:val="TableParagraph"/>
              <w:spacing w:line="319" w:lineRule="auto" w:before="19"/>
              <w:ind w:left="22" w:right="65"/>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本人及本企业</w:t>
            </w:r>
            <w:r>
              <w:rPr>
                <w:rFonts w:ascii="宋体" w:hAnsi="宋体" w:cs="宋体" w:eastAsia="宋体" w:hint="default"/>
                <w:sz w:val="18"/>
                <w:szCs w:val="18"/>
              </w:rPr>
              <w:t>/</w:t>
            </w:r>
            <w:r>
              <w:rPr>
                <w:rFonts w:ascii="宋体" w:hAnsi="宋体" w:cs="宋体" w:eastAsia="宋体" w:hint="default"/>
                <w:sz w:val="18"/>
                <w:szCs w:val="18"/>
              </w:rPr>
              <w:t>本人控股或参股的其他企业提供任 何形式的担保或资金支持。</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03</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260" w:left="1300" w:right="1280"/>
        </w:sectPr>
      </w:pPr>
    </w:p>
    <w:p>
      <w:pPr>
        <w:spacing w:line="240" w:lineRule="auto" w:before="4"/>
        <w:rPr>
          <w:rFonts w:ascii="Times New Roman" w:hAnsi="Times New Roman" w:cs="Times New Roman" w:eastAsia="Times New Roman" w:hint="default"/>
          <w:sz w:val="3"/>
          <w:szCs w:val="3"/>
        </w:rPr>
      </w:pPr>
      <w:r>
        <w:rPr/>
        <w:pict>
          <v:shape style="position:absolute;margin-left:613.182983pt;margin-top:209.420013pt;width:75.25pt;height:117.05pt;mso-position-horizontal-relative:page;mso-position-vertical-relative:page;z-index:-115451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33"/>
                    <w:ind w:left="0" w:right="0" w:firstLine="0"/>
                    <w:jc w:val="left"/>
                    <w:rPr>
                      <w:rFonts w:ascii="宋体" w:hAnsi="宋体" w:cs="宋体" w:eastAsia="宋体" w:hint="default"/>
                      <w:sz w:val="18"/>
                      <w:szCs w:val="18"/>
                    </w:rPr>
                  </w:pPr>
                  <w:r>
                    <w:rPr>
                      <w:rFonts w:ascii="宋体" w:hAnsi="宋体" w:cs="宋体" w:eastAsia="宋体" w:hint="default"/>
                      <w:sz w:val="18"/>
                      <w:szCs w:val="18"/>
                    </w:rPr>
                    <w:t>本声明、</w:t>
                  </w:r>
                </w:p>
              </w:txbxContent>
            </v:textbox>
            <w10:wrap type="none"/>
          </v:shape>
        </w:pict>
      </w:r>
      <w:r>
        <w:rPr/>
        <w:pict>
          <v:shape style="position:absolute;margin-left:559.177002pt;margin-top:446.940002pt;width:129.25pt;height:84.85pt;mso-position-horizontal-relative:page;mso-position-vertical-relative:page;z-index:-115448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22"/>
                      <w:szCs w:val="2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诺与保证将持续有效，</w:t>
                  </w:r>
                </w:p>
                <w:p>
                  <w:pPr>
                    <w:spacing w:before="76"/>
                    <w:ind w:left="1618"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646.359985pt;margin-top:209.420013pt;width:42.1pt;height:117.05pt;mso-position-horizontal-relative:page;mso-position-vertical-relative:page;z-index:-1154464" coordorigin="12927,4188" coordsize="842,2341">
            <v:shape style="position:absolute;left:12927;top:4188;width:842;height:2341" coordorigin="12927,4188" coordsize="842,2341" path="m12927,6529l13768,6529,13768,4188,12927,4188,12927,6529xe" filled="true" fillcolor="#ffffff" stroked="false">
              <v:path arrowok="t"/>
              <v:fill type="solid"/>
            </v:shape>
            <w10:wrap type="none"/>
          </v:group>
        </w:pict>
      </w:r>
      <w:r>
        <w:rPr/>
        <w:pict>
          <v:group style="position:absolute;margin-left:646.359985pt;margin-top:446.940002pt;width:42.1pt;height:84.85pt;mso-position-horizontal-relative:page;mso-position-vertical-relative:page;z-index:-1154440" coordorigin="12927,8939" coordsize="842,1697">
            <v:shape style="position:absolute;left:12927;top:8939;width:842;height:1697" coordorigin="12927,8939" coordsize="842,1697" path="m12927,10636l13768,10636,13768,8939,12927,8939,12927,10636xe" filled="true" fillcolor="#ffffff" stroked="false">
              <v:path arrowok="t"/>
              <v:fill type="solid"/>
            </v:shape>
            <w10:wrap type="none"/>
          </v:group>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5409" w:hRule="exact"/>
        </w:trPr>
        <w:tc>
          <w:tcPr>
            <w:tcW w:w="4155" w:type="dxa"/>
            <w:vMerge w:val="restart"/>
            <w:tcBorders>
              <w:top w:val="single" w:sz="15"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首次公开发行或再融资时所作承诺</w:t>
            </w:r>
          </w:p>
        </w:tc>
        <w:tc>
          <w:tcPr>
            <w:tcW w:w="164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64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5"/>
              <w:ind w:left="22" w:right="173"/>
              <w:jc w:val="left"/>
              <w:rPr>
                <w:rFonts w:ascii="宋体" w:hAnsi="宋体" w:cs="宋体" w:eastAsia="宋体" w:hint="default"/>
                <w:sz w:val="18"/>
                <w:szCs w:val="18"/>
              </w:rPr>
            </w:pPr>
            <w:r>
              <w:rPr>
                <w:rFonts w:ascii="宋体" w:hAnsi="宋体" w:cs="宋体" w:eastAsia="宋体" w:hint="default"/>
                <w:sz w:val="18"/>
                <w:szCs w:val="18"/>
              </w:rPr>
              <w:t>避免同业竞争的承 诺</w:t>
            </w:r>
          </w:p>
        </w:tc>
        <w:tc>
          <w:tcPr>
            <w:tcW w:w="405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）本人及本人所控制的除股份公司以外的公司</w:t>
            </w:r>
          </w:p>
          <w:p>
            <w:pPr>
              <w:pStyle w:val="TableParagraph"/>
              <w:spacing w:line="319" w:lineRule="auto" w:before="77"/>
              <w:ind w:left="22" w:right="65"/>
              <w:jc w:val="left"/>
              <w:rPr>
                <w:rFonts w:ascii="宋体" w:hAnsi="宋体" w:cs="宋体" w:eastAsia="宋体" w:hint="default"/>
                <w:sz w:val="18"/>
                <w:szCs w:val="18"/>
              </w:rPr>
            </w:pPr>
            <w:r>
              <w:rPr>
                <w:rFonts w:ascii="宋体" w:hAnsi="宋体" w:cs="宋体" w:eastAsia="宋体" w:hint="default"/>
                <w:sz w:val="18"/>
                <w:szCs w:val="18"/>
              </w:rPr>
              <w:t>（以下简称附属公司）目前并没有直接或间接地从 事任何与股份公司及其控股子公司实际从事的业务 </w:t>
            </w:r>
            <w:r>
              <w:rPr>
                <w:rFonts w:ascii="宋体" w:hAnsi="宋体" w:cs="宋体" w:eastAsia="宋体" w:hint="default"/>
                <w:spacing w:val="-4"/>
                <w:sz w:val="18"/>
                <w:szCs w:val="18"/>
              </w:rPr>
              <w:t>存在竞争的任何业务活动。（</w:t>
            </w:r>
            <w:r>
              <w:rPr>
                <w:rFonts w:ascii="宋体" w:hAnsi="宋体" w:cs="宋体" w:eastAsia="宋体" w:hint="default"/>
                <w:spacing w:val="-4"/>
                <w:sz w:val="18"/>
                <w:szCs w:val="18"/>
              </w:rPr>
              <w:t>2</w:t>
            </w:r>
            <w:r>
              <w:rPr>
                <w:rFonts w:ascii="宋体" w:hAnsi="宋体" w:cs="宋体" w:eastAsia="宋体" w:hint="default"/>
                <w:spacing w:val="-4"/>
                <w:sz w:val="18"/>
                <w:szCs w:val="18"/>
              </w:rPr>
              <w:t>）本人及附属公司在</w:t>
            </w:r>
            <w:r>
              <w:rPr>
                <w:rFonts w:ascii="宋体" w:hAnsi="宋体" w:cs="宋体" w:eastAsia="宋体" w:hint="default"/>
                <w:sz w:val="18"/>
                <w:szCs w:val="18"/>
              </w:rPr>
              <w:t> 今后的任何时间不会直接或间接地以任何方式（包 括但不限于自营、合资或联营）参与或进行与股份 公司及其控股子公司实际从事的业务存在直接或间 接竞争的任何业务活动。凡本人及附属公司有任何 商业机会可从事、参与或入股任何可能会与股份公 司及其控股子公司生产经营构成竞争的业务，本人 及附属公司会将上述商业机会让予股份公司及其控 </w:t>
            </w:r>
            <w:r>
              <w:rPr>
                <w:rFonts w:ascii="宋体" w:hAnsi="宋体" w:cs="宋体" w:eastAsia="宋体" w:hint="default"/>
                <w:spacing w:val="-4"/>
                <w:sz w:val="18"/>
                <w:szCs w:val="18"/>
              </w:rPr>
              <w:t>股子公司。（</w:t>
            </w:r>
            <w:r>
              <w:rPr>
                <w:rFonts w:ascii="宋体" w:hAnsi="宋体" w:cs="宋体" w:eastAsia="宋体" w:hint="default"/>
                <w:spacing w:val="-4"/>
                <w:sz w:val="18"/>
                <w:szCs w:val="18"/>
              </w:rPr>
              <w:t>3</w:t>
            </w:r>
            <w:r>
              <w:rPr>
                <w:rFonts w:ascii="宋体" w:hAnsi="宋体" w:cs="宋体" w:eastAsia="宋体" w:hint="default"/>
                <w:spacing w:val="-4"/>
                <w:sz w:val="18"/>
                <w:szCs w:val="18"/>
              </w:rPr>
              <w:t>）如果本人违反上述声明、保证与承</w:t>
            </w:r>
            <w:r>
              <w:rPr>
                <w:rFonts w:ascii="宋体" w:hAnsi="宋体" w:cs="宋体" w:eastAsia="宋体" w:hint="default"/>
                <w:sz w:val="18"/>
                <w:szCs w:val="18"/>
              </w:rPr>
              <w:t> </w:t>
            </w:r>
            <w:r>
              <w:rPr>
                <w:rFonts w:ascii="宋体" w:hAnsi="宋体" w:cs="宋体" w:eastAsia="宋体" w:hint="default"/>
                <w:spacing w:val="-4"/>
                <w:sz w:val="18"/>
                <w:szCs w:val="18"/>
              </w:rPr>
              <w:t>诺，本人同意给予股份公司赔偿。（</w:t>
            </w:r>
            <w:r>
              <w:rPr>
                <w:rFonts w:ascii="宋体" w:hAnsi="宋体" w:cs="宋体" w:eastAsia="宋体" w:hint="default"/>
                <w:spacing w:val="-4"/>
                <w:sz w:val="18"/>
                <w:szCs w:val="18"/>
              </w:rPr>
              <w:t>4</w:t>
            </w:r>
            <w:r>
              <w:rPr>
                <w:rFonts w:ascii="宋体" w:hAnsi="宋体" w:cs="宋体" w:eastAsia="宋体" w:hint="default"/>
                <w:spacing w:val="-4"/>
                <w:sz w:val="18"/>
                <w:szCs w:val="18"/>
              </w:rPr>
              <w:t>）本声明、承</w:t>
            </w:r>
            <w:r>
              <w:rPr>
                <w:rFonts w:ascii="宋体" w:hAnsi="宋体" w:cs="宋体" w:eastAsia="宋体" w:hint="default"/>
                <w:sz w:val="18"/>
                <w:szCs w:val="18"/>
              </w:rPr>
              <w:t> 诺与保证将持续有效，直至本人不再处于股份公司 </w:t>
            </w:r>
            <w:r>
              <w:rPr>
                <w:rFonts w:ascii="宋体" w:hAnsi="宋体" w:cs="宋体" w:eastAsia="宋体" w:hint="default"/>
                <w:spacing w:val="-6"/>
                <w:sz w:val="18"/>
                <w:szCs w:val="18"/>
              </w:rPr>
              <w:t>的控股股东或者实际控制人地位为止。（</w:t>
            </w:r>
            <w:r>
              <w:rPr>
                <w:rFonts w:ascii="宋体" w:hAnsi="宋体" w:cs="宋体" w:eastAsia="宋体" w:hint="default"/>
                <w:spacing w:val="-6"/>
                <w:sz w:val="18"/>
                <w:szCs w:val="18"/>
              </w:rPr>
              <w:t>5</w:t>
            </w:r>
            <w:r>
              <w:rPr>
                <w:rFonts w:ascii="宋体" w:hAnsi="宋体" w:cs="宋体" w:eastAsia="宋体" w:hint="default"/>
                <w:spacing w:val="-6"/>
                <w:sz w:val="18"/>
                <w:szCs w:val="18"/>
              </w:rPr>
              <w:t>）</w:t>
            </w:r>
            <w:r>
              <w:rPr>
                <w:rFonts w:ascii="宋体" w:hAnsi="宋体" w:cs="宋体" w:eastAsia="宋体" w:hint="default"/>
                <w:spacing w:val="-85"/>
                <w:sz w:val="18"/>
                <w:szCs w:val="18"/>
              </w:rPr>
              <w:t> </w:t>
            </w:r>
            <w:r>
              <w:rPr>
                <w:rFonts w:ascii="宋体" w:hAnsi="宋体" w:cs="宋体" w:eastAsia="宋体" w:hint="default"/>
                <w:sz w:val="18"/>
                <w:szCs w:val="18"/>
              </w:rPr>
              <w:t>承诺与保证可被视为对股份公司及其他股东共同和 分别作出的声明、承诺和保证。</w:t>
            </w:r>
          </w:p>
        </w:tc>
        <w:tc>
          <w:tcPr>
            <w:tcW w:w="85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71"/>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80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107"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40"/>
              <w:ind w:left="23" w:right="20"/>
              <w:jc w:val="left"/>
              <w:rPr>
                <w:rFonts w:ascii="宋体" w:hAnsi="宋体" w:cs="宋体" w:eastAsia="宋体" w:hint="default"/>
                <w:sz w:val="18"/>
                <w:szCs w:val="18"/>
              </w:rPr>
            </w:pPr>
            <w:r>
              <w:rPr>
                <w:rFonts w:ascii="宋体" w:hAnsi="宋体" w:cs="宋体" w:eastAsia="宋体" w:hint="default"/>
                <w:sz w:val="18"/>
                <w:szCs w:val="18"/>
              </w:rPr>
              <w:t>北京启迪华创投资 </w:t>
            </w:r>
            <w:r>
              <w:rPr>
                <w:rFonts w:ascii="宋体" w:hAnsi="宋体" w:cs="宋体" w:eastAsia="宋体" w:hint="default"/>
                <w:spacing w:val="-4"/>
                <w:sz w:val="18"/>
                <w:szCs w:val="18"/>
              </w:rPr>
              <w:t>咨询有限公司、建水</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文睿去企业管理有 </w:t>
            </w:r>
            <w:r>
              <w:rPr>
                <w:rFonts w:ascii="宋体" w:hAnsi="宋体" w:cs="宋体" w:eastAsia="宋体" w:hint="default"/>
                <w:spacing w:val="-4"/>
                <w:sz w:val="18"/>
                <w:szCs w:val="18"/>
              </w:rPr>
              <w:t>限公司、王秋虎、浙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江华睿海越现代服 务业创业投资有限 公司</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避免同业竞争的承 诺</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）本公司</w:t>
            </w:r>
            <w:r>
              <w:rPr>
                <w:rFonts w:ascii="宋体" w:hAnsi="宋体" w:cs="宋体" w:eastAsia="宋体" w:hint="default"/>
                <w:sz w:val="18"/>
                <w:szCs w:val="18"/>
              </w:rPr>
              <w:t>/</w:t>
            </w:r>
            <w:r>
              <w:rPr>
                <w:rFonts w:ascii="宋体" w:hAnsi="宋体" w:cs="宋体" w:eastAsia="宋体" w:hint="default"/>
                <w:sz w:val="18"/>
                <w:szCs w:val="18"/>
              </w:rPr>
              <w:t>本人目前在中国境内外未直接或间接 从事或参与任何在商业上对股份公司及其控股子公 </w:t>
            </w:r>
            <w:r>
              <w:rPr>
                <w:rFonts w:ascii="宋体" w:hAnsi="宋体" w:cs="宋体" w:eastAsia="宋体" w:hint="default"/>
                <w:spacing w:val="-6"/>
                <w:sz w:val="18"/>
                <w:szCs w:val="18"/>
              </w:rPr>
              <w:t>司构成竞争的业务及活动。（</w:t>
            </w:r>
            <w:r>
              <w:rPr>
                <w:rFonts w:ascii="宋体" w:hAnsi="宋体" w:cs="宋体" w:eastAsia="宋体" w:hint="default"/>
                <w:spacing w:val="-6"/>
                <w:sz w:val="18"/>
                <w:szCs w:val="18"/>
              </w:rPr>
              <w:t>2</w:t>
            </w:r>
            <w:r>
              <w:rPr>
                <w:rFonts w:ascii="宋体" w:hAnsi="宋体" w:cs="宋体" w:eastAsia="宋体" w:hint="default"/>
                <w:spacing w:val="-6"/>
                <w:sz w:val="18"/>
                <w:szCs w:val="18"/>
              </w:rPr>
              <w:t>）本公司</w:t>
            </w:r>
            <w:r>
              <w:rPr>
                <w:rFonts w:ascii="宋体" w:hAnsi="宋体" w:cs="宋体" w:eastAsia="宋体" w:hint="default"/>
                <w:spacing w:val="-6"/>
                <w:sz w:val="18"/>
                <w:szCs w:val="18"/>
              </w:rPr>
              <w:t>/</w:t>
            </w:r>
            <w:r>
              <w:rPr>
                <w:rFonts w:ascii="宋体" w:hAnsi="宋体" w:cs="宋体" w:eastAsia="宋体" w:hint="default"/>
                <w:spacing w:val="-6"/>
                <w:sz w:val="18"/>
                <w:szCs w:val="18"/>
              </w:rPr>
              <w:t>本人将来也</w:t>
            </w:r>
            <w:r>
              <w:rPr>
                <w:rFonts w:ascii="宋体" w:hAnsi="宋体" w:cs="宋体" w:eastAsia="宋体" w:hint="default"/>
                <w:spacing w:val="-86"/>
                <w:sz w:val="18"/>
                <w:szCs w:val="18"/>
              </w:rPr>
              <w:t> </w:t>
            </w:r>
            <w:r>
              <w:rPr>
                <w:rFonts w:ascii="宋体" w:hAnsi="宋体" w:cs="宋体" w:eastAsia="宋体" w:hint="default"/>
                <w:sz w:val="18"/>
                <w:szCs w:val="18"/>
              </w:rPr>
              <w:t>不在中国境内外直接或间接从事或参与任何在商业 上对股份公司及其控股子公司构成竞争的业务及活 动，或拥有与股份公司及其控股子公司存在竞争关 系的任何实体、机构、组织的权益，或以其他任何 形式取得该等实体、机构、组织的控制权，或在该 </w:t>
            </w:r>
            <w:r>
              <w:rPr>
                <w:rFonts w:ascii="宋体" w:hAnsi="宋体" w:cs="宋体" w:eastAsia="宋体" w:hint="default"/>
                <w:spacing w:val="-3"/>
                <w:sz w:val="18"/>
                <w:szCs w:val="18"/>
              </w:rPr>
              <w:t>等实体、机构、组织中担任</w:t>
            </w:r>
            <w:r>
              <w:rPr>
                <w:rFonts w:ascii="宋体" w:hAnsi="宋体" w:cs="宋体" w:eastAsia="宋体" w:hint="default"/>
                <w:spacing w:val="-3"/>
                <w:sz w:val="18"/>
                <w:szCs w:val="18"/>
              </w:rPr>
              <w:t>/</w:t>
            </w:r>
            <w:r>
              <w:rPr>
                <w:rFonts w:ascii="宋体" w:hAnsi="宋体" w:cs="宋体" w:eastAsia="宋体" w:hint="default"/>
                <w:spacing w:val="-3"/>
                <w:sz w:val="18"/>
                <w:szCs w:val="18"/>
              </w:rPr>
              <w:t>委派董事、监事、高级</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6"/>
                <w:sz w:val="18"/>
                <w:szCs w:val="18"/>
              </w:rPr>
              <w:t>管理人员或核心技术人员。（</w:t>
            </w:r>
            <w:r>
              <w:rPr>
                <w:rFonts w:ascii="宋体" w:hAnsi="宋体" w:cs="宋体" w:eastAsia="宋体" w:hint="default"/>
                <w:spacing w:val="-6"/>
                <w:sz w:val="18"/>
                <w:szCs w:val="18"/>
              </w:rPr>
              <w:t>3</w:t>
            </w:r>
            <w:r>
              <w:rPr>
                <w:rFonts w:ascii="宋体" w:hAnsi="宋体" w:cs="宋体" w:eastAsia="宋体" w:hint="default"/>
                <w:spacing w:val="-6"/>
                <w:sz w:val="18"/>
                <w:szCs w:val="18"/>
              </w:rPr>
              <w:t>）如果本公司</w:t>
            </w:r>
            <w:r>
              <w:rPr>
                <w:rFonts w:ascii="宋体" w:hAnsi="宋体" w:cs="宋体" w:eastAsia="宋体" w:hint="default"/>
                <w:spacing w:val="-6"/>
                <w:sz w:val="18"/>
                <w:szCs w:val="18"/>
              </w:rPr>
              <w:t>/</w:t>
            </w:r>
            <w:r>
              <w:rPr>
                <w:rFonts w:ascii="宋体" w:hAnsi="宋体" w:cs="宋体" w:eastAsia="宋体" w:hint="default"/>
                <w:spacing w:val="-6"/>
                <w:sz w:val="18"/>
                <w:szCs w:val="18"/>
              </w:rPr>
              <w:t>本人违</w:t>
            </w:r>
            <w:r>
              <w:rPr>
                <w:rFonts w:ascii="宋体" w:hAnsi="宋体" w:cs="宋体" w:eastAsia="宋体" w:hint="default"/>
                <w:spacing w:val="-86"/>
                <w:sz w:val="18"/>
                <w:szCs w:val="18"/>
              </w:rPr>
              <w:t> </w:t>
            </w:r>
            <w:r>
              <w:rPr>
                <w:rFonts w:ascii="宋体" w:hAnsi="宋体" w:cs="宋体" w:eastAsia="宋体" w:hint="default"/>
                <w:spacing w:val="-3"/>
                <w:sz w:val="18"/>
                <w:szCs w:val="18"/>
              </w:rPr>
              <w:t>反上述声明、保证与承诺，本公司</w:t>
            </w:r>
            <w:r>
              <w:rPr>
                <w:rFonts w:ascii="宋体" w:hAnsi="宋体" w:cs="宋体" w:eastAsia="宋体" w:hint="default"/>
                <w:spacing w:val="-3"/>
                <w:sz w:val="18"/>
                <w:szCs w:val="18"/>
              </w:rPr>
              <w:t>/</w:t>
            </w:r>
            <w:r>
              <w:rPr>
                <w:rFonts w:ascii="宋体" w:hAnsi="宋体" w:cs="宋体" w:eastAsia="宋体" w:hint="default"/>
                <w:spacing w:val="-3"/>
                <w:sz w:val="18"/>
                <w:szCs w:val="18"/>
              </w:rPr>
              <w:t>本人同意给予股</w:t>
            </w:r>
            <w:r>
              <w:rPr>
                <w:rFonts w:ascii="宋体" w:hAnsi="宋体" w:cs="宋体" w:eastAsia="宋体" w:hint="default"/>
                <w:spacing w:val="-70"/>
                <w:sz w:val="18"/>
                <w:szCs w:val="18"/>
              </w:rPr>
              <w:t> </w:t>
            </w:r>
            <w:r>
              <w:rPr>
                <w:rFonts w:ascii="宋体" w:hAnsi="宋体" w:cs="宋体" w:eastAsia="宋体" w:hint="default"/>
                <w:spacing w:val="-10"/>
                <w:sz w:val="18"/>
                <w:szCs w:val="18"/>
              </w:rPr>
              <w:t>份公司赔偿。（</w:t>
            </w:r>
            <w:r>
              <w:rPr>
                <w:rFonts w:ascii="宋体" w:hAnsi="宋体" w:cs="宋体" w:eastAsia="宋体" w:hint="default"/>
                <w:spacing w:val="-10"/>
                <w:sz w:val="18"/>
                <w:szCs w:val="18"/>
              </w:rPr>
              <w:t>4</w:t>
            </w:r>
            <w:r>
              <w:rPr>
                <w:rFonts w:ascii="宋体" w:hAnsi="宋体" w:cs="宋体" w:eastAsia="宋体" w:hint="default"/>
                <w:spacing w:val="-10"/>
                <w:sz w:val="18"/>
                <w:szCs w:val="18"/>
              </w:rPr>
              <w:t>）本声明、承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直至本公司</w:t>
            </w:r>
            <w:r>
              <w:rPr>
                <w:rFonts w:ascii="宋体" w:hAnsi="宋体" w:cs="宋体" w:eastAsia="宋体" w:hint="default"/>
                <w:sz w:val="18"/>
                <w:szCs w:val="18"/>
              </w:rPr>
              <w:t>/</w:t>
            </w:r>
            <w:r>
              <w:rPr>
                <w:rFonts w:ascii="宋体" w:hAnsi="宋体" w:cs="宋体" w:eastAsia="宋体" w:hint="default"/>
                <w:sz w:val="18"/>
                <w:szCs w:val="18"/>
              </w:rPr>
              <w:t>本人不再持有股份公司</w:t>
            </w:r>
            <w:r>
              <w:rPr>
                <w:rFonts w:ascii="宋体" w:hAnsi="宋体" w:cs="宋体" w:eastAsia="宋体" w:hint="default"/>
                <w:spacing w:val="-44"/>
                <w:sz w:val="18"/>
                <w:szCs w:val="18"/>
              </w:rPr>
              <w:t> </w:t>
            </w:r>
            <w:r>
              <w:rPr>
                <w:rFonts w:ascii="宋体" w:hAnsi="宋体" w:cs="宋体" w:eastAsia="宋体" w:hint="default"/>
                <w:spacing w:val="-9"/>
                <w:sz w:val="18"/>
                <w:szCs w:val="18"/>
              </w:rPr>
              <w:t>5%</w:t>
            </w:r>
            <w:r>
              <w:rPr>
                <w:rFonts w:ascii="宋体" w:hAnsi="宋体" w:cs="宋体" w:eastAsia="宋体" w:hint="default"/>
                <w:spacing w:val="-9"/>
                <w:sz w:val="18"/>
                <w:szCs w:val="18"/>
              </w:rPr>
              <w:t>以上（含</w:t>
            </w:r>
            <w:r>
              <w:rPr>
                <w:rFonts w:ascii="宋体" w:hAnsi="宋体" w:cs="宋体" w:eastAsia="宋体" w:hint="default"/>
                <w:spacing w:val="-44"/>
                <w:sz w:val="18"/>
                <w:szCs w:val="18"/>
              </w:rPr>
              <w:t> </w:t>
            </w:r>
            <w:r>
              <w:rPr>
                <w:rFonts w:ascii="宋体" w:hAnsi="宋体" w:cs="宋体" w:eastAsia="宋体" w:hint="default"/>
                <w:sz w:val="18"/>
                <w:szCs w:val="18"/>
              </w:rPr>
              <w:t>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71"/>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260" w:left="1300" w:right="1300"/>
        </w:sectPr>
      </w:pPr>
    </w:p>
    <w:p>
      <w:pPr>
        <w:spacing w:line="240" w:lineRule="auto" w:before="4"/>
        <w:rPr>
          <w:rFonts w:ascii="Times New Roman" w:hAnsi="Times New Roman" w:cs="Times New Roman" w:eastAsia="Times New Roman" w:hint="default"/>
          <w:sz w:val="3"/>
          <w:szCs w:val="3"/>
        </w:rPr>
      </w:pPr>
      <w:r>
        <w:rPr/>
        <w:pict>
          <v:group style="position:absolute;margin-left:646.359985pt;margin-top:366.850006pt;width:40.950pt;height:36.4pt;mso-position-horizontal-relative:page;mso-position-vertical-relative:page;z-index:-1154416" coordorigin="12927,7337" coordsize="819,728">
            <v:group style="position:absolute;left:12939;top:7348;width:2;height:705" coordorigin="12939,7348" coordsize="2,705">
              <v:shape style="position:absolute;left:12939;top:7348;width:2;height:705" coordorigin="12939,7348" coordsize="0,705" path="m12939,7348l12939,8053e" filled="false" stroked="true" strokeweight="1.140pt" strokecolor="#ffffff">
                <v:path arrowok="t"/>
              </v:shape>
            </v:group>
            <v:group style="position:absolute;left:12950;top:7348;width:796;height:353" coordorigin="12950,7348" coordsize="796,353">
              <v:shape style="position:absolute;left:12950;top:7348;width:796;height:353" coordorigin="12950,7348" coordsize="796,353" path="m12950,7701l13746,7701,13746,7348,12950,7348,12950,7701xe" filled="true" fillcolor="#ffffff" stroked="false">
                <v:path arrowok="t"/>
                <v:fill type="solid"/>
              </v:shape>
            </v:group>
            <v:group style="position:absolute;left:12950;top:7701;width:796;height:352" coordorigin="12950,7701" coordsize="796,352">
              <v:shape style="position:absolute;left:12950;top:7701;width:796;height:352" coordorigin="12950,7701" coordsize="796,352" path="m12950,8053l13746,8053,13746,7701,12950,7701,12950,8053xe" filled="true" fillcolor="#ffffff" stroked="false">
                <v:path arrowok="t"/>
                <v:fill type="solid"/>
              </v:shape>
            </v:group>
            <w10:wrap type="none"/>
          </v:group>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的股份为止</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z w:val="18"/>
                <w:szCs w:val="18"/>
              </w:rPr>
              <w:t>）本声明、承诺与保证可被视为对</w:t>
            </w:r>
          </w:p>
        </w:tc>
        <w:tc>
          <w:tcPr>
            <w:tcW w:w="852" w:type="dxa"/>
            <w:vMerge w:val="restart"/>
            <w:tcBorders>
              <w:top w:val="single" w:sz="15" w:space="0" w:color="000000"/>
              <w:left w:val="single" w:sz="4" w:space="0" w:color="000000"/>
              <w:right w:val="single" w:sz="4" w:space="0" w:color="000000"/>
            </w:tcBorders>
          </w:tcPr>
          <w:p>
            <w:pP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股份公司及其他股东共同和分别作出的声明、承诺</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和保证。</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r>
        <w:trPr>
          <w:trHeight w:val="2586"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pacing w:val="-4"/>
                <w:sz w:val="18"/>
                <w:szCs w:val="18"/>
              </w:rPr>
              <w:t>童之磊、北京启迪华</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创投资咨询有限公 </w:t>
            </w:r>
            <w:r>
              <w:rPr>
                <w:rFonts w:ascii="宋体" w:hAnsi="宋体" w:cs="宋体" w:eastAsia="宋体" w:hint="default"/>
                <w:spacing w:val="-4"/>
                <w:sz w:val="18"/>
                <w:szCs w:val="18"/>
              </w:rPr>
              <w:t>司、建水文睿去企业</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管理有限公司、王秋</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虎、浙江华睿海越现</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代服务业创业投资 有限公司</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2" w:right="173"/>
              <w:jc w:val="both"/>
              <w:rPr>
                <w:rFonts w:ascii="宋体" w:hAnsi="宋体" w:cs="宋体" w:eastAsia="宋体" w:hint="default"/>
                <w:sz w:val="18"/>
                <w:szCs w:val="18"/>
              </w:rPr>
            </w:pPr>
            <w:r>
              <w:rPr>
                <w:rFonts w:ascii="宋体" w:hAnsi="宋体" w:cs="宋体" w:eastAsia="宋体" w:hint="default"/>
                <w:sz w:val="18"/>
                <w:szCs w:val="18"/>
              </w:rPr>
              <w:t>承担社保及住房公 积金补缴和被追偿 损失的承诺</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both"/>
              <w:rPr>
                <w:rFonts w:ascii="宋体" w:hAnsi="宋体" w:cs="宋体" w:eastAsia="宋体" w:hint="default"/>
                <w:sz w:val="18"/>
                <w:szCs w:val="18"/>
              </w:rPr>
            </w:pPr>
            <w:r>
              <w:rPr>
                <w:rFonts w:ascii="宋体" w:hAnsi="宋体" w:cs="宋体" w:eastAsia="宋体" w:hint="default"/>
                <w:sz w:val="18"/>
                <w:szCs w:val="18"/>
              </w:rPr>
              <w:t>主要股东童之磊先生、王秋虎先生、文睿公司、华 睿海越创投以及启迪华创均出具承诺：如中文在线 数字出版集团股份有限公司被主管部门要求为其员 工补缴或者被追偿社会保险费用和住房公积金，本 </w:t>
            </w:r>
            <w:r>
              <w:rPr>
                <w:rFonts w:ascii="宋体" w:hAnsi="宋体" w:cs="宋体" w:eastAsia="宋体" w:hint="default"/>
                <w:spacing w:val="-3"/>
                <w:sz w:val="18"/>
                <w:szCs w:val="18"/>
              </w:rPr>
              <w:t>人</w:t>
            </w:r>
            <w:r>
              <w:rPr>
                <w:rFonts w:ascii="宋体" w:hAnsi="宋体" w:cs="宋体" w:eastAsia="宋体" w:hint="default"/>
                <w:spacing w:val="-3"/>
                <w:sz w:val="18"/>
                <w:szCs w:val="18"/>
              </w:rPr>
              <w:t>/</w:t>
            </w:r>
            <w:r>
              <w:rPr>
                <w:rFonts w:ascii="宋体" w:hAnsi="宋体" w:cs="宋体" w:eastAsia="宋体" w:hint="default"/>
                <w:spacing w:val="-3"/>
                <w:sz w:val="18"/>
                <w:szCs w:val="18"/>
              </w:rPr>
              <w:t>本公司与上述其他股东将以现金方式及时、无条</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件全额承担该部分补缴和被追偿的损失，保证中文 在线数字出版集团股份有限公司不因此遭受任何损 失。</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58"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648" w:type="dxa"/>
            <w:tcBorders>
              <w:top w:val="single" w:sz="4" w:space="0" w:color="000000"/>
              <w:left w:val="single" w:sz="4" w:space="0" w:color="000000"/>
              <w:bottom w:val="nil" w:sz="6" w:space="0" w:color="auto"/>
              <w:right w:val="single" w:sz="4" w:space="0" w:color="000000"/>
            </w:tcBorders>
          </w:tcPr>
          <w:p>
            <w:pPr/>
          </w:p>
        </w:tc>
        <w:tc>
          <w:tcPr>
            <w:tcW w:w="40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、启动股价稳定措施的条件（</w:t>
            </w:r>
            <w:r>
              <w:rPr>
                <w:rFonts w:ascii="宋体" w:hAnsi="宋体" w:cs="宋体" w:eastAsia="宋体" w:hint="default"/>
                <w:sz w:val="18"/>
                <w:szCs w:val="18"/>
              </w:rPr>
              <w:t>1</w:t>
            </w:r>
            <w:r>
              <w:rPr>
                <w:rFonts w:ascii="宋体" w:hAnsi="宋体" w:cs="宋体" w:eastAsia="宋体" w:hint="default"/>
                <w:sz w:val="18"/>
                <w:szCs w:val="18"/>
              </w:rPr>
              <w:t>）预警条件自公司</w:t>
            </w:r>
          </w:p>
        </w:tc>
        <w:tc>
          <w:tcPr>
            <w:tcW w:w="852" w:type="dxa"/>
            <w:tcBorders>
              <w:top w:val="single" w:sz="4" w:space="0" w:color="000000"/>
              <w:left w:val="single" w:sz="4" w:space="0" w:color="000000"/>
              <w:bottom w:val="nil" w:sz="6" w:space="0" w:color="auto"/>
              <w:right w:val="single" w:sz="4" w:space="0" w:color="000000"/>
            </w:tcBorders>
          </w:tcPr>
          <w:p>
            <w:pPr/>
          </w:p>
        </w:tc>
        <w:tc>
          <w:tcPr>
            <w:tcW w:w="849" w:type="dxa"/>
            <w:tcBorders>
              <w:top w:val="single" w:sz="4" w:space="0" w:color="000000"/>
              <w:left w:val="single" w:sz="4" w:space="0" w:color="000000"/>
              <w:bottom w:val="nil" w:sz="6" w:space="0" w:color="auto"/>
              <w:right w:val="single" w:sz="4" w:space="0" w:color="000000"/>
            </w:tcBorders>
          </w:tcPr>
          <w:p>
            <w:pPr/>
          </w:p>
        </w:tc>
        <w:tc>
          <w:tcPr>
            <w:tcW w:w="804"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股票上市交易之日起三年内，若公司股票连续</w:t>
            </w:r>
            <w:r>
              <w:rPr>
                <w:rFonts w:ascii="宋体" w:hAnsi="宋体" w:cs="宋体" w:eastAsia="宋体" w:hint="default"/>
                <w:spacing w:val="-41"/>
                <w:sz w:val="18"/>
                <w:szCs w:val="18"/>
              </w:rPr>
              <w:t> </w:t>
            </w:r>
            <w:r>
              <w:rPr>
                <w:rFonts w:ascii="宋体" w:hAnsi="宋体" w:cs="宋体" w:eastAsia="宋体" w:hint="default"/>
                <w:sz w:val="18"/>
                <w:szCs w:val="18"/>
              </w:rPr>
              <w:t>20</w:t>
            </w:r>
            <w:r>
              <w:rPr>
                <w:rFonts w:ascii="宋体" w:hAnsi="宋体" w:cs="宋体" w:eastAsia="宋体" w:hint="default"/>
                <w:spacing w:val="-41"/>
                <w:sz w:val="18"/>
                <w:szCs w:val="18"/>
              </w:rPr>
              <w:t> </w:t>
            </w:r>
            <w:r>
              <w:rPr>
                <w:rFonts w:ascii="宋体" w:hAnsi="宋体" w:cs="宋体" w:eastAsia="宋体" w:hint="default"/>
                <w:sz w:val="18"/>
                <w:szCs w:val="18"/>
              </w:rPr>
              <w:t>个</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交易日的收盘价均低于公司最近一期经审计的每股</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净资产（每股净资产</w:t>
            </w:r>
            <w:r>
              <w:rPr>
                <w:rFonts w:ascii="宋体" w:hAnsi="宋体" w:cs="宋体" w:eastAsia="宋体" w:hint="default"/>
                <w:spacing w:val="-3"/>
                <w:sz w:val="18"/>
                <w:szCs w:val="18"/>
              </w:rPr>
              <w:t>=</w:t>
            </w:r>
            <w:r>
              <w:rPr>
                <w:rFonts w:ascii="宋体" w:hAnsi="宋体" w:cs="宋体" w:eastAsia="宋体" w:hint="default"/>
                <w:spacing w:val="-3"/>
                <w:sz w:val="18"/>
                <w:szCs w:val="18"/>
              </w:rPr>
              <w:t>合并财务报表中的归属于母公</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司普通股股东权益合计数÷年末公司股份总数；如</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最近一期审计基准日后，因派发现金红利、送股、</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2184"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319" w:lineRule="auto" w:before="147"/>
              <w:ind w:left="23" w:right="-5"/>
              <w:jc w:val="left"/>
              <w:rPr>
                <w:rFonts w:ascii="宋体" w:hAnsi="宋体" w:cs="宋体" w:eastAsia="宋体" w:hint="default"/>
                <w:sz w:val="18"/>
                <w:szCs w:val="18"/>
              </w:rPr>
            </w:pPr>
            <w:r>
              <w:rPr>
                <w:rFonts w:ascii="宋体" w:hAnsi="宋体" w:cs="宋体" w:eastAsia="宋体" w:hint="default"/>
                <w:sz w:val="18"/>
                <w:szCs w:val="18"/>
              </w:rPr>
              <w:t>中文在线数字出版 集团股份有限公司、 </w:t>
            </w:r>
            <w:r>
              <w:rPr>
                <w:rFonts w:ascii="宋体" w:hAnsi="宋体" w:cs="宋体" w:eastAsia="宋体" w:hint="default"/>
                <w:spacing w:val="-4"/>
                <w:sz w:val="18"/>
                <w:szCs w:val="18"/>
              </w:rPr>
              <w:t>童之磊、雷霖、周树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华、张帆、何庆源、 </w:t>
            </w:r>
            <w:r>
              <w:rPr>
                <w:rFonts w:ascii="宋体" w:hAnsi="宋体" w:cs="宋体" w:eastAsia="宋体" w:hint="default"/>
                <w:spacing w:val="-4"/>
                <w:sz w:val="18"/>
                <w:szCs w:val="18"/>
              </w:rPr>
              <w:t>陈晓、姜瑞明、谢广</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才、原森民</w:t>
            </w:r>
          </w:p>
        </w:tc>
        <w:tc>
          <w:tcPr>
            <w:tcW w:w="16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0"/>
              <w:ind w:left="22" w:right="173"/>
              <w:jc w:val="left"/>
              <w:rPr>
                <w:rFonts w:ascii="宋体" w:hAnsi="宋体" w:cs="宋体" w:eastAsia="宋体" w:hint="default"/>
                <w:sz w:val="18"/>
                <w:szCs w:val="18"/>
              </w:rPr>
            </w:pPr>
            <w:r>
              <w:rPr>
                <w:rFonts w:ascii="宋体" w:hAnsi="宋体" w:cs="宋体" w:eastAsia="宋体" w:hint="default"/>
                <w:sz w:val="18"/>
                <w:szCs w:val="18"/>
              </w:rPr>
              <w:t>公司上市后稳定股 价的承诺</w:t>
            </w: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23"/>
              <w:jc w:val="both"/>
              <w:rPr>
                <w:rFonts w:ascii="宋体" w:hAnsi="宋体" w:cs="宋体" w:eastAsia="宋体" w:hint="default"/>
                <w:sz w:val="18"/>
                <w:szCs w:val="18"/>
              </w:rPr>
            </w:pPr>
            <w:r>
              <w:rPr>
                <w:rFonts w:ascii="宋体" w:hAnsi="宋体" w:cs="宋体" w:eastAsia="宋体" w:hint="default"/>
                <w:sz w:val="18"/>
                <w:szCs w:val="18"/>
              </w:rPr>
              <w:t>公积金转增股本、配股等原因导致公司净资产或股 份总数发生变化的，每股净资产相应进行调整，下 同）的</w:t>
            </w:r>
            <w:r>
              <w:rPr>
                <w:rFonts w:ascii="宋体" w:hAnsi="宋体" w:cs="宋体" w:eastAsia="宋体" w:hint="default"/>
                <w:spacing w:val="-46"/>
                <w:sz w:val="18"/>
                <w:szCs w:val="18"/>
              </w:rPr>
              <w:t> </w:t>
            </w:r>
            <w:r>
              <w:rPr>
                <w:rFonts w:ascii="宋体" w:hAnsi="宋体" w:cs="宋体" w:eastAsia="宋体" w:hint="default"/>
                <w:sz w:val="18"/>
                <w:szCs w:val="18"/>
              </w:rPr>
              <w:t>120%</w:t>
            </w:r>
            <w:r>
              <w:rPr>
                <w:rFonts w:ascii="宋体" w:hAnsi="宋体" w:cs="宋体" w:eastAsia="宋体" w:hint="default"/>
                <w:sz w:val="18"/>
                <w:szCs w:val="18"/>
              </w:rPr>
              <w:t>时，公司在</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个工作日内召开投资者 </w:t>
            </w:r>
            <w:r>
              <w:rPr>
                <w:rFonts w:ascii="宋体" w:hAnsi="宋体" w:cs="宋体" w:eastAsia="宋体" w:hint="default"/>
                <w:spacing w:val="-3"/>
                <w:sz w:val="18"/>
                <w:szCs w:val="18"/>
              </w:rPr>
              <w:t>见面会，与投资者就上市公司经营状况、财务指标</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4"/>
                <w:sz w:val="18"/>
                <w:szCs w:val="18"/>
              </w:rPr>
              <w:t>发展战略进行深入沟通。（</w:t>
            </w:r>
            <w:r>
              <w:rPr>
                <w:rFonts w:ascii="宋体" w:hAnsi="宋体" w:cs="宋体" w:eastAsia="宋体" w:hint="default"/>
                <w:spacing w:val="-4"/>
                <w:sz w:val="18"/>
                <w:szCs w:val="18"/>
              </w:rPr>
              <w:t>2</w:t>
            </w:r>
            <w:r>
              <w:rPr>
                <w:rFonts w:ascii="宋体" w:hAnsi="宋体" w:cs="宋体" w:eastAsia="宋体" w:hint="default"/>
                <w:spacing w:val="-4"/>
                <w:sz w:val="18"/>
                <w:szCs w:val="18"/>
              </w:rPr>
              <w:t>）启动条件自公司股票</w:t>
            </w:r>
            <w:r>
              <w:rPr>
                <w:rFonts w:ascii="宋体" w:hAnsi="宋体" w:cs="宋体" w:eastAsia="宋体" w:hint="default"/>
                <w:sz w:val="18"/>
                <w:szCs w:val="18"/>
              </w:rPr>
              <w:t> </w:t>
            </w:r>
            <w:r>
              <w:rPr>
                <w:rFonts w:ascii="宋体" w:hAnsi="宋体" w:cs="宋体" w:eastAsia="宋体" w:hint="default"/>
                <w:spacing w:val="-3"/>
                <w:sz w:val="18"/>
                <w:szCs w:val="18"/>
              </w:rPr>
              <w:t>上市交易之日起三年内，若公司股票连续</w:t>
            </w:r>
            <w:r>
              <w:rPr>
                <w:rFonts w:ascii="宋体" w:hAnsi="宋体" w:cs="宋体" w:eastAsia="宋体" w:hint="default"/>
                <w:spacing w:val="-44"/>
                <w:sz w:val="18"/>
                <w:szCs w:val="18"/>
              </w:rPr>
              <w:t> </w:t>
            </w:r>
            <w:r>
              <w:rPr>
                <w:rFonts w:ascii="宋体" w:hAnsi="宋体" w:cs="宋体" w:eastAsia="宋体" w:hint="default"/>
                <w:sz w:val="18"/>
                <w:szCs w:val="18"/>
              </w:rPr>
              <w:t>20</w:t>
            </w:r>
            <w:r>
              <w:rPr>
                <w:rFonts w:ascii="宋体" w:hAnsi="宋体" w:cs="宋体" w:eastAsia="宋体" w:hint="default"/>
                <w:spacing w:val="-43"/>
                <w:sz w:val="18"/>
                <w:szCs w:val="18"/>
              </w:rPr>
              <w:t> </w:t>
            </w:r>
            <w:r>
              <w:rPr>
                <w:rFonts w:ascii="宋体" w:hAnsi="宋体" w:cs="宋体" w:eastAsia="宋体" w:hint="default"/>
                <w:sz w:val="18"/>
                <w:szCs w:val="18"/>
              </w:rPr>
              <w:t>个交易 日的收盘价均低于公司最近一期经审计的每股净资</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05" w:lineRule="exact" w:before="150"/>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157" w:lineRule="exact"/>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87"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8"/>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产时，公司、控股股东、董事、高级管理人员应按</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4"/>
                <w:sz w:val="18"/>
                <w:szCs w:val="18"/>
              </w:rPr>
              <w:t>照下述规则启动并实施相关稳定股价的方案。</w:t>
            </w:r>
            <w:r>
              <w:rPr>
                <w:rFonts w:ascii="宋体" w:hAnsi="宋体" w:cs="宋体" w:eastAsia="宋体" w:hint="default"/>
                <w:spacing w:val="-4"/>
                <w:sz w:val="18"/>
                <w:szCs w:val="18"/>
              </w:rPr>
              <w:t>2</w:t>
            </w:r>
            <w:r>
              <w:rPr>
                <w:rFonts w:ascii="宋体" w:hAnsi="宋体" w:cs="宋体" w:eastAsia="宋体" w:hint="default"/>
                <w:spacing w:val="-4"/>
                <w:sz w:val="18"/>
                <w:szCs w:val="18"/>
              </w:rPr>
              <w:t>、稳</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定股价的具体措施及实施程序公司自股票上市交易</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后三年内首次触发上述启动条件，和</w:t>
            </w:r>
            <w:r>
              <w:rPr>
                <w:rFonts w:ascii="宋体" w:hAnsi="宋体" w:cs="宋体" w:eastAsia="宋体" w:hint="default"/>
                <w:spacing w:val="-3"/>
                <w:sz w:val="18"/>
                <w:szCs w:val="18"/>
              </w:rPr>
              <w:t>/</w:t>
            </w:r>
            <w:r>
              <w:rPr>
                <w:rFonts w:ascii="宋体" w:hAnsi="宋体" w:cs="宋体" w:eastAsia="宋体" w:hint="default"/>
                <w:spacing w:val="-3"/>
                <w:sz w:val="18"/>
                <w:szCs w:val="18"/>
              </w:rPr>
              <w:t>或自股票上市</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交易后三年内首次触发上述启动各条件之日起每隔</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single" w:sz="4" w:space="0" w:color="000000"/>
              <w:right w:val="single" w:sz="4" w:space="0" w:color="000000"/>
            </w:tcBorders>
          </w:tcPr>
          <w:p>
            <w:pPr/>
          </w:p>
        </w:tc>
        <w:tc>
          <w:tcPr>
            <w:tcW w:w="1648" w:type="dxa"/>
            <w:tcBorders>
              <w:top w:val="nil" w:sz="6" w:space="0" w:color="auto"/>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三个月任一时点触发启动条件时，公司应根据当时</w:t>
            </w:r>
          </w:p>
        </w:tc>
        <w:tc>
          <w:tcPr>
            <w:tcW w:w="852" w:type="dxa"/>
            <w:tcBorders>
              <w:top w:val="nil" w:sz="6" w:space="0" w:color="auto"/>
              <w:left w:val="single" w:sz="4" w:space="0" w:color="000000"/>
              <w:bottom w:val="single" w:sz="4" w:space="0" w:color="000000"/>
              <w:right w:val="single" w:sz="4" w:space="0" w:color="000000"/>
            </w:tcBorders>
          </w:tcPr>
          <w:p>
            <w:pPr/>
          </w:p>
        </w:tc>
        <w:tc>
          <w:tcPr>
            <w:tcW w:w="849" w:type="dxa"/>
            <w:tcBorders>
              <w:top w:val="nil" w:sz="6" w:space="0" w:color="auto"/>
              <w:left w:val="single" w:sz="4" w:space="0" w:color="000000"/>
              <w:bottom w:val="single" w:sz="4" w:space="0" w:color="000000"/>
              <w:right w:val="single" w:sz="4" w:space="0" w:color="000000"/>
            </w:tcBorders>
          </w:tcPr>
          <w:p>
            <w:pPr/>
          </w:p>
        </w:tc>
        <w:tc>
          <w:tcPr>
            <w:tcW w:w="80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200" w:left="1300" w:right="1300"/>
        </w:sectPr>
      </w:pPr>
    </w:p>
    <w:p>
      <w:pPr>
        <w:spacing w:line="240" w:lineRule="auto" w:before="4"/>
        <w:rPr>
          <w:rFonts w:ascii="Times New Roman" w:hAnsi="Times New Roman" w:cs="Times New Roman" w:eastAsia="Times New Roman" w:hint="default"/>
          <w:sz w:val="3"/>
          <w:szCs w:val="3"/>
        </w:rPr>
      </w:pPr>
      <w:r>
        <w:rPr/>
        <w:pict>
          <v:shape style="position:absolute;margin-left:496.177002pt;margin-top:57.180008pt;width:192.25pt;height:468.1pt;mso-position-horizontal-relative:page;mso-position-vertical-relative:page;z-index:-115436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3"/>
                    <w:rPr>
                      <w:rFonts w:ascii="Times New Roman" w:hAnsi="Times New Roman" w:cs="Times New Roman" w:eastAsia="Times New Roman" w:hint="default"/>
                      <w:sz w:val="19"/>
                      <w:szCs w:val="19"/>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履行相应的审批程序和信息披露义务。</w:t>
                  </w:r>
                </w:p>
              </w:txbxContent>
            </v:textbox>
            <w10:wrap type="none"/>
          </v:shape>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有效的法律、法规和本预案的有关规定，与控股股</w:t>
            </w:r>
          </w:p>
        </w:tc>
        <w:tc>
          <w:tcPr>
            <w:tcW w:w="852" w:type="dxa"/>
            <w:vMerge w:val="restart"/>
            <w:tcBorders>
              <w:top w:val="single" w:sz="15" w:space="0" w:color="000000"/>
              <w:left w:val="single" w:sz="4" w:space="0" w:color="000000"/>
              <w:right w:val="single" w:sz="4" w:space="0" w:color="000000"/>
            </w:tcBorders>
          </w:tcPr>
          <w:p>
            <w:pPr>
              <w:pStyle w:val="TableParagraph"/>
              <w:spacing w:line="9361"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42.1pt;height:468.1pt;mso-position-horizontal-relative:char;mso-position-vertical-relative:line" coordorigin="0,0" coordsize="842,9362">
                  <v:group style="position:absolute;left:0;top:0;width:842;height:9362" coordorigin="0,0" coordsize="842,9362">
                    <v:shape style="position:absolute;left:0;top:0;width:842;height:9362" coordorigin="0,0" coordsize="842,9362" path="m0,9361l841,9361,841,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东、董事、高级管理人员协商，提出稳定公司股价</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的具体方案，</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股价稳定措施实施后，公司的股权分布应当符合上</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市条件。当公司需要采取稳定股价的措施时，可以</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视公司实际情况、股票市场情况，按以下顺序实施</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下述稳定股价的各措施</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）公司以法律、法规允</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许的交易方式向社会公众股东回购股份（以下简称</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公司回购股份）公司启动股价稳定措施后，公司应</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日内召开董事会，讨论公司向社会公众股东回</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购公司股份的方案，并提交股东大会审议。在股东</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大会审议通过股份回购方案后，公司依法通知债权</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人，向证券监督管理部门、深圳证券交易所等主管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部门报送相关材料，办理审批或备案手续。在完成</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必需的审批、备案、信息披露等程序后，公司方可</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实施相应的股份回购方案。公司回购股份的资金为</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自有资金，回购股份的价格不高于最近一期经审计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的每股净资产的金额，回购股份的方式为以法律法</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规允许的交易方式向社会公众股东回购股份。公司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用于回购股份的资金金额不少于回购股份事项发生</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时上一个会计年度经审计的归属于母公司股东净利</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润的</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z w:val="18"/>
                <w:szCs w:val="18"/>
              </w:rPr>
              <w:t>。如果公司股价已经不满足启动稳定公司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股价措施的条件的，公司可不再实施向社会公众股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东回购股份。回购股份后，公司的股权分布应当符</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合上市条件。公司以法律法规允许的交易方式向社</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会公众股东回购公司股份应符合《公司法</w:t>
            </w:r>
            <w:r>
              <w:rPr>
                <w:rFonts w:ascii="宋体" w:hAnsi="宋体" w:cs="宋体" w:eastAsia="宋体" w:hint="default"/>
                <w:spacing w:val="-90"/>
                <w:sz w:val="18"/>
                <w:szCs w:val="18"/>
              </w:rPr>
              <w:t>》、</w:t>
            </w:r>
            <w:r>
              <w:rPr>
                <w:rFonts w:ascii="宋体" w:hAnsi="宋体" w:cs="宋体" w:eastAsia="宋体" w:hint="default"/>
                <w:sz w:val="18"/>
                <w:szCs w:val="18"/>
              </w:rPr>
              <w:t>《证券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w:t>
            </w:r>
            <w:r>
              <w:rPr>
                <w:rFonts w:ascii="宋体" w:hAnsi="宋体" w:cs="宋体" w:eastAsia="宋体" w:hint="default"/>
                <w:spacing w:val="-90"/>
                <w:sz w:val="18"/>
                <w:szCs w:val="18"/>
              </w:rPr>
              <w:t>》、</w:t>
            </w:r>
            <w:r>
              <w:rPr>
                <w:rFonts w:ascii="宋体" w:hAnsi="宋体" w:cs="宋体" w:eastAsia="宋体" w:hint="default"/>
                <w:sz w:val="18"/>
                <w:szCs w:val="18"/>
              </w:rPr>
              <w:t>《上市公司回购社会公众股份管理办法（试</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w:t>
            </w:r>
            <w:r>
              <w:rPr>
                <w:rFonts w:ascii="宋体" w:hAnsi="宋体" w:cs="宋体" w:eastAsia="宋体" w:hint="default"/>
                <w:spacing w:val="-90"/>
                <w:sz w:val="18"/>
                <w:szCs w:val="18"/>
              </w:rPr>
              <w:t>）》</w:t>
            </w:r>
            <w:r>
              <w:rPr>
                <w:rFonts w:ascii="宋体" w:hAnsi="宋体" w:cs="宋体" w:eastAsia="宋体" w:hint="default"/>
                <w:spacing w:val="-139"/>
                <w:sz w:val="18"/>
                <w:szCs w:val="18"/>
              </w:rPr>
              <w:t>、</w:t>
            </w:r>
            <w:r>
              <w:rPr>
                <w:rFonts w:ascii="宋体" w:hAnsi="宋体" w:cs="宋体" w:eastAsia="宋体" w:hint="default"/>
                <w:sz w:val="18"/>
                <w:szCs w:val="18"/>
              </w:rPr>
              <w:t>《关于上市公司以集中竞价交易方式回购股份</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的补充规定》等法律、法规、规范性文件的规定。</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宋体" w:hAnsi="宋体" w:cs="宋体" w:eastAsia="宋体" w:hint="default"/>
                <w:spacing w:val="-3"/>
                <w:sz w:val="18"/>
                <w:szCs w:val="18"/>
              </w:rPr>
              <w:t>2</w:t>
            </w:r>
            <w:r>
              <w:rPr>
                <w:rFonts w:ascii="宋体" w:hAnsi="宋体" w:cs="宋体" w:eastAsia="宋体" w:hint="default"/>
                <w:spacing w:val="-3"/>
                <w:sz w:val="18"/>
                <w:szCs w:val="18"/>
              </w:rPr>
              <w:t>）控股股东通过二级市场以竞价交易方式增持公</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r>
        <w:rPr/>
        <w:pict>
          <v:shape style="position:absolute;margin-left:487.177002pt;margin-top:57.180008pt;width:201.25pt;height:468.1pt;mso-position-horizontal-relative:page;mso-position-vertical-relative:page;z-index:-115432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3"/>
                    <w:rPr>
                      <w:rFonts w:ascii="Times New Roman" w:hAnsi="Times New Roman" w:cs="Times New Roman" w:eastAsia="Times New Roman" w:hint="default"/>
                      <w:sz w:val="20"/>
                      <w:szCs w:val="20"/>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控股股东开始实施增持公司股份的计划。</w:t>
                  </w:r>
                </w:p>
              </w:txbxContent>
            </v:textbox>
            <w10:wrap type="none"/>
          </v:shape>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司股份（以下简称控股股东增持公司股份）当公司</w:t>
            </w:r>
          </w:p>
        </w:tc>
        <w:tc>
          <w:tcPr>
            <w:tcW w:w="852" w:type="dxa"/>
            <w:vMerge w:val="restart"/>
            <w:tcBorders>
              <w:top w:val="single" w:sz="15" w:space="0" w:color="000000"/>
              <w:left w:val="single" w:sz="4" w:space="0" w:color="000000"/>
              <w:right w:val="single" w:sz="4" w:space="0" w:color="000000"/>
            </w:tcBorders>
          </w:tcPr>
          <w:p>
            <w:pPr>
              <w:pStyle w:val="TableParagraph"/>
              <w:spacing w:line="9361"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42.1pt;height:468.1pt;mso-position-horizontal-relative:char;mso-position-vertical-relative:line" coordorigin="0,0" coordsize="842,9362">
                  <v:group style="position:absolute;left:0;top:0;width:842;height:9362" coordorigin="0,0" coordsize="842,9362">
                    <v:shape style="position:absolute;left:0;top:0;width:842;height:9362" coordorigin="0,0" coordsize="842,9362" path="m0,9361l841,9361,841,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5"/>
                <w:sz w:val="18"/>
                <w:szCs w:val="18"/>
              </w:rPr>
              <w:t>回购股份后，公司股票连续</w:t>
            </w:r>
            <w:r>
              <w:rPr>
                <w:rFonts w:ascii="宋体" w:hAnsi="宋体" w:cs="宋体" w:eastAsia="宋体" w:hint="default"/>
                <w:spacing w:val="-41"/>
                <w:sz w:val="18"/>
                <w:szCs w:val="18"/>
              </w:rPr>
              <w:t> </w:t>
            </w:r>
            <w:r>
              <w:rPr>
                <w:rFonts w:ascii="宋体" w:hAnsi="宋体" w:cs="宋体" w:eastAsia="宋体" w:hint="default"/>
                <w:sz w:val="18"/>
                <w:szCs w:val="18"/>
              </w:rPr>
              <w:t>10</w:t>
            </w:r>
            <w:r>
              <w:rPr>
                <w:rFonts w:ascii="宋体" w:hAnsi="宋体" w:cs="宋体" w:eastAsia="宋体" w:hint="default"/>
                <w:spacing w:val="-40"/>
                <w:sz w:val="18"/>
                <w:szCs w:val="18"/>
              </w:rPr>
              <w:t> </w:t>
            </w:r>
            <w:r>
              <w:rPr>
                <w:rFonts w:ascii="宋体" w:hAnsi="宋体" w:cs="宋体" w:eastAsia="宋体" w:hint="default"/>
                <w:sz w:val="18"/>
                <w:szCs w:val="18"/>
              </w:rPr>
              <w:t>个交易日的收盘价仍</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低于公司最近一期经审计的每股净资产时，或公司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无法实施回购股份时，公司控股股东应在</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个交易</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日内提出增持公司股份的方案（包括拟增持公司股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份的数量</w:t>
            </w:r>
            <w:r>
              <w:rPr>
                <w:rFonts w:ascii="宋体" w:hAnsi="宋体" w:cs="宋体" w:eastAsia="宋体" w:hint="default"/>
                <w:spacing w:val="-16"/>
                <w:sz w:val="18"/>
                <w:szCs w:val="18"/>
              </w:rPr>
              <w:t>、</w:t>
            </w:r>
            <w:r>
              <w:rPr>
                <w:rFonts w:ascii="宋体" w:hAnsi="宋体" w:cs="宋体" w:eastAsia="宋体" w:hint="default"/>
                <w:sz w:val="18"/>
                <w:szCs w:val="18"/>
              </w:rPr>
              <w:t>价格区间</w:t>
            </w:r>
            <w:r>
              <w:rPr>
                <w:rFonts w:ascii="宋体" w:hAnsi="宋体" w:cs="宋体" w:eastAsia="宋体" w:hint="default"/>
                <w:spacing w:val="-16"/>
                <w:sz w:val="18"/>
                <w:szCs w:val="18"/>
              </w:rPr>
              <w:t>、</w:t>
            </w:r>
            <w:r>
              <w:rPr>
                <w:rFonts w:ascii="宋体" w:hAnsi="宋体" w:cs="宋体" w:eastAsia="宋体" w:hint="default"/>
                <w:sz w:val="18"/>
                <w:szCs w:val="18"/>
              </w:rPr>
              <w:t>时间等</w:t>
            </w:r>
            <w:r>
              <w:rPr>
                <w:rFonts w:ascii="宋体" w:hAnsi="宋体" w:cs="宋体" w:eastAsia="宋体" w:hint="default"/>
                <w:spacing w:val="-90"/>
                <w:sz w:val="18"/>
                <w:szCs w:val="18"/>
              </w:rPr>
              <w:t>）</w:t>
            </w:r>
            <w:r>
              <w:rPr>
                <w:rFonts w:ascii="宋体" w:hAnsi="宋体" w:cs="宋体" w:eastAsia="宋体" w:hint="default"/>
                <w:spacing w:val="-16"/>
                <w:sz w:val="18"/>
                <w:szCs w:val="18"/>
              </w:rPr>
              <w:t>，</w:t>
            </w:r>
            <w:r>
              <w:rPr>
                <w:rFonts w:ascii="宋体" w:hAnsi="宋体" w:cs="宋体" w:eastAsia="宋体" w:hint="default"/>
                <w:sz w:val="18"/>
                <w:szCs w:val="18"/>
              </w:rPr>
              <w:t>并依法履行证券监</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督管理部门、深圳证券交易所等主管部门的审批手</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续，在获得批准后的三个交易日内通知公司，公司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应按照相关规定披露控股股东增持公司股份的计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划。在公司披露控股股东增持公司股份计划的三个</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交易日后，</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控股股东增持公司股份的价格不高于公司最近一期</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经审计的每股净资产，用于增持股份的资金金额不</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少于控股股东自公司上市后累计从公司所获得现金</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分红金额的</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z w:val="18"/>
                <w:szCs w:val="18"/>
              </w:rPr>
              <w:t>。如果公司股价已经不满足启动稳</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定公司股价措施的条件的，控股股东可不再实施增</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持公司股份。控股股东增持公司股份后，公司的股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权分布应当符合上市条件。公司控股股东增持公司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股份应符合相关法律法规的规定</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）董事、高级</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管理人员买入公司股份当控股股东增持公司股份</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7"/>
                <w:sz w:val="18"/>
                <w:szCs w:val="18"/>
              </w:rPr>
              <w:t>后，公司股票连续</w:t>
            </w:r>
            <w:r>
              <w:rPr>
                <w:rFonts w:ascii="宋体" w:hAnsi="宋体" w:cs="宋体" w:eastAsia="宋体" w:hint="default"/>
                <w:spacing w:val="-42"/>
                <w:sz w:val="18"/>
                <w:szCs w:val="18"/>
              </w:rPr>
              <w:t> </w:t>
            </w:r>
            <w:r>
              <w:rPr>
                <w:rFonts w:ascii="宋体" w:hAnsi="宋体" w:cs="宋体" w:eastAsia="宋体" w:hint="default"/>
                <w:sz w:val="18"/>
                <w:szCs w:val="18"/>
              </w:rPr>
              <w:t>10</w:t>
            </w:r>
            <w:r>
              <w:rPr>
                <w:rFonts w:ascii="宋体" w:hAnsi="宋体" w:cs="宋体" w:eastAsia="宋体" w:hint="default"/>
                <w:spacing w:val="-42"/>
                <w:sz w:val="18"/>
                <w:szCs w:val="18"/>
              </w:rPr>
              <w:t> </w:t>
            </w:r>
            <w:r>
              <w:rPr>
                <w:rFonts w:ascii="宋体" w:hAnsi="宋体" w:cs="宋体" w:eastAsia="宋体" w:hint="default"/>
                <w:sz w:val="18"/>
                <w:szCs w:val="18"/>
              </w:rPr>
              <w:t>个交易日的收盘价仍低于公司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最近一期经审计的每股净资产时，或控股股东无法</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6"/>
                <w:sz w:val="18"/>
                <w:szCs w:val="18"/>
              </w:rPr>
              <w:t>增持公司股份时，公司时任董事、高级管理人员（包</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括本预案承诺签署时尚未就任或未来新选聘的公司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董事、高级管理人员）应通过法律法规允许的交易</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方式买入公司股票以稳定公司股价。公司董事、高</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级管理人员买入公司股份后，公司的股权分布应当</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符合上市条件。公司董事、高级管理人员通过法律</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法规允许的交易方式买入公司股份，买入价格不高</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于公司最近一期经审计的每股净资产，各董事、高</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r>
        <w:rPr/>
        <w:pict>
          <v:shape style="position:absolute;margin-left:640.23999pt;margin-top:57.180008pt;width:48.2pt;height:468.1pt;mso-position-horizontal-relative:page;mso-position-vertical-relative:page;z-index:-115427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56"/>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级管理人员用于购买股份的金额不少于公司董事、</w:t>
            </w:r>
          </w:p>
        </w:tc>
        <w:tc>
          <w:tcPr>
            <w:tcW w:w="852" w:type="dxa"/>
            <w:vMerge w:val="restart"/>
            <w:tcBorders>
              <w:top w:val="single" w:sz="15" w:space="0" w:color="000000"/>
              <w:left w:val="single" w:sz="4" w:space="0" w:color="000000"/>
              <w:right w:val="single" w:sz="4" w:space="0" w:color="000000"/>
            </w:tcBorders>
          </w:tcPr>
          <w:p>
            <w:pPr>
              <w:pStyle w:val="TableParagraph"/>
              <w:spacing w:line="9361"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42.1pt;height:468.1pt;mso-position-horizontal-relative:char;mso-position-vertical-relative:line" coordorigin="0,0" coordsize="842,9362">
                  <v:group style="position:absolute;left:0;top:0;width:842;height:9362" coordorigin="0,0" coordsize="842,9362">
                    <v:shape style="position:absolute;left:0;top:0;width:842;height:9362" coordorigin="0,0" coordsize="842,9362" path="m0,9361l841,9361,841,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高级管理人员上一会计年度从公司领取税后薪酬额</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z w:val="18"/>
                <w:szCs w:val="18"/>
              </w:rPr>
              <w:t>。如果公司股价已经不满足启动稳定公司股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价措施的条件的，董事、高级管理人员可不再买入</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公司股份。公司董事、高级管理人员买入公司股份</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应符合相关法律、法规的规定，需要履行证券监督</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管理部门、深圳证券交易所等主管部门审批的，应</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履行相应的审批手续。因未获得批准而未买入公司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股份的，视同已履行本预案及承诺。上述各主体在</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启动稳定股价措施时，应按照相关法律、法规的规</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定，提前公告具体实施方案</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）若某一会计年度</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内公司股价多次触发启动条件的，公司将继续执行</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上述稳定股价措施，但应遵循以下原则：公司回购</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股份的，单一会计年度用于稳定股价的回购资金合</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计不超过上一会计年度经审计的归属于母公司股东</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净利润的</w:t>
            </w:r>
            <w:r>
              <w:rPr>
                <w:rFonts w:ascii="宋体" w:hAnsi="宋体" w:cs="宋体" w:eastAsia="宋体" w:hint="default"/>
                <w:spacing w:val="-46"/>
                <w:sz w:val="18"/>
                <w:szCs w:val="18"/>
              </w:rPr>
              <w:t> </w:t>
            </w:r>
            <w:r>
              <w:rPr>
                <w:rFonts w:ascii="宋体" w:hAnsi="宋体" w:cs="宋体" w:eastAsia="宋体" w:hint="default"/>
                <w:sz w:val="18"/>
                <w:szCs w:val="18"/>
              </w:rPr>
              <w:t>50%</w:t>
            </w:r>
            <w:r>
              <w:rPr>
                <w:rFonts w:ascii="宋体" w:hAnsi="宋体" w:cs="宋体" w:eastAsia="宋体" w:hint="default"/>
                <w:sz w:val="18"/>
                <w:szCs w:val="18"/>
              </w:rPr>
              <w:t>。控股股东增持公司股份的，单一会</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计年度用于稳定股价的增持资金合计不超过其自公</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司上市后累计从公司所获得现金分红金额的</w:t>
            </w:r>
            <w:r>
              <w:rPr>
                <w:rFonts w:ascii="宋体" w:hAnsi="宋体" w:cs="宋体" w:eastAsia="宋体" w:hint="default"/>
                <w:spacing w:val="-46"/>
                <w:sz w:val="18"/>
                <w:szCs w:val="18"/>
              </w:rPr>
              <w:t> </w:t>
            </w:r>
            <w:r>
              <w:rPr>
                <w:rFonts w:ascii="宋体" w:hAnsi="宋体" w:cs="宋体" w:eastAsia="宋体" w:hint="default"/>
                <w:sz w:val="18"/>
                <w:szCs w:val="18"/>
              </w:rPr>
              <w:t>50%</w:t>
            </w:r>
            <w:r>
              <w:rPr>
                <w:rFonts w:ascii="宋体" w:hAnsi="宋体" w:cs="宋体" w:eastAsia="宋体" w:hint="default"/>
                <w:sz w:val="18"/>
                <w:szCs w:val="18"/>
              </w:rPr>
              <w:t>。</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下一年度触发股价稳定措施时，以前年度已经用于</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稳定股价的增持资金金额不再计入累计现金分红金</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额。董事、高级管理人员买入公司股份的，单一会</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计年度用于稳定股价的资金合计不超过其在上一会</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计年度从公司领取的税后薪酬额的</w:t>
            </w:r>
            <w:r>
              <w:rPr>
                <w:rFonts w:ascii="宋体" w:hAnsi="宋体" w:cs="宋体" w:eastAsia="宋体" w:hint="default"/>
                <w:spacing w:val="-46"/>
                <w:sz w:val="18"/>
                <w:szCs w:val="18"/>
              </w:rPr>
              <w:t> </w:t>
            </w:r>
            <w:r>
              <w:rPr>
                <w:rFonts w:ascii="宋体" w:hAnsi="宋体" w:cs="宋体" w:eastAsia="宋体" w:hint="default"/>
                <w:sz w:val="18"/>
                <w:szCs w:val="18"/>
              </w:rPr>
              <w:t>50%</w:t>
            </w:r>
            <w:r>
              <w:rPr>
                <w:rFonts w:ascii="宋体" w:hAnsi="宋体" w:cs="宋体" w:eastAsia="宋体" w:hint="default"/>
                <w:sz w:val="18"/>
                <w:szCs w:val="18"/>
              </w:rPr>
              <w:t>。超过上述</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标准的，相关主体稳定股价的措施在当年度不再继</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续实施；但如下一年度出现需启动股价稳定措施的</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情形时，公司将重新启动上述稳定股价措施。</w:t>
            </w:r>
            <w:r>
              <w:rPr>
                <w:rFonts w:ascii="宋体" w:hAnsi="宋体" w:cs="宋体" w:eastAsia="宋体" w:hint="default"/>
                <w:spacing w:val="-3"/>
                <w:sz w:val="18"/>
                <w:szCs w:val="18"/>
              </w:rPr>
              <w:t>3</w:t>
            </w:r>
            <w:r>
              <w:rPr>
                <w:rFonts w:ascii="宋体" w:hAnsi="宋体" w:cs="宋体" w:eastAsia="宋体" w:hint="default"/>
                <w:spacing w:val="-3"/>
                <w:sz w:val="18"/>
                <w:szCs w:val="18"/>
              </w:rPr>
              <w:t>、应</w:t>
            </w:r>
            <w:r>
              <w:rPr>
                <w:rFonts w:ascii="宋体" w:hAnsi="宋体" w:cs="宋体" w:eastAsia="宋体" w:hint="default"/>
                <w:sz w:val="18"/>
                <w:szCs w:val="18"/>
              </w:rPr>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启动而未启动股价稳定措施的约束措施当启动股价</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稳定措施的条件满足时，如公司、控股股东、董事</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高级管理人员未采取上述稳定股价的措施，公司、</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控股股东、董事、高级管理人员承诺接受以下约束</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11"/>
        <w:rPr>
          <w:rFonts w:ascii="Times New Roman" w:hAnsi="Times New Roman" w:cs="Times New Roman" w:eastAsia="Times New Roman" w:hint="default"/>
          <w:sz w:val="4"/>
          <w:szCs w:val="4"/>
        </w:rPr>
      </w:pPr>
      <w:r>
        <w:rPr/>
        <w:pict>
          <v:shape style="position:absolute;margin-left:505.177002pt;margin-top:57.180008pt;width:183.25pt;height:267.3pt;mso-position-horizontal-relative:page;mso-position-vertical-relative:page;z-index:-115422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28"/>
                    <w:ind w:left="720" w:right="0" w:firstLine="899"/>
                    <w:jc w:val="left"/>
                    <w:rPr>
                      <w:rFonts w:ascii="宋体" w:hAnsi="宋体" w:cs="宋体" w:eastAsia="宋体" w:hint="default"/>
                      <w:sz w:val="18"/>
                      <w:szCs w:val="18"/>
                    </w:rPr>
                  </w:pPr>
                  <w:r>
                    <w:rPr>
                      <w:rFonts w:ascii="宋体" w:hAnsi="宋体" w:cs="宋体" w:eastAsia="宋体" w:hint="default"/>
                      <w:sz w:val="18"/>
                      <w:szCs w:val="18"/>
                    </w:rPr>
                    <w:t>同时该等董事、</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6"/>
                      <w:szCs w:val="16"/>
                    </w:rPr>
                  </w:pPr>
                </w:p>
                <w:p>
                  <w:pPr>
                    <w:spacing w:before="0"/>
                    <w:ind w:left="0" w:right="0" w:firstLine="720"/>
                    <w:jc w:val="left"/>
                    <w:rPr>
                      <w:rFonts w:ascii="宋体" w:hAnsi="宋体" w:cs="宋体" w:eastAsia="宋体" w:hint="default"/>
                      <w:sz w:val="18"/>
                      <w:szCs w:val="18"/>
                    </w:rPr>
                  </w:pPr>
                  <w:r>
                    <w:rPr>
                      <w:rFonts w:ascii="宋体" w:hAnsi="宋体" w:cs="宋体" w:eastAsia="宋体" w:hint="default"/>
                      <w:sz w:val="18"/>
                      <w:szCs w:val="18"/>
                    </w:rPr>
                    <w:t>高级管理人员做出的承诺，</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25"/>
                      <w:szCs w:val="2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相关责任主体将依法承担相应责任。</w:t>
                  </w:r>
                </w:p>
              </w:txbxContent>
            </v:textbox>
            <w10:wrap type="none"/>
          </v:shape>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6"/>
      </w:tblGrid>
      <w:tr>
        <w:trPr>
          <w:trHeight w:val="5370"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tcBorders>
              <w:top w:val="single" w:sz="15" w:space="0" w:color="000000"/>
              <w:left w:val="single" w:sz="4" w:space="0" w:color="000000"/>
              <w:bottom w:val="single" w:sz="4" w:space="0" w:color="000000"/>
              <w:right w:val="single" w:sz="4" w:space="0" w:color="000000"/>
            </w:tcBorders>
          </w:tcPr>
          <w:p>
            <w:pPr/>
          </w:p>
        </w:tc>
        <w:tc>
          <w:tcPr>
            <w:tcW w:w="1648" w:type="dxa"/>
            <w:tcBorders>
              <w:top w:val="single" w:sz="15" w:space="0" w:color="000000"/>
              <w:left w:val="single" w:sz="4" w:space="0" w:color="000000"/>
              <w:bottom w:val="single" w:sz="4" w:space="0" w:color="000000"/>
              <w:right w:val="single" w:sz="4" w:space="0" w:color="000000"/>
            </w:tcBorders>
          </w:tcPr>
          <w:p>
            <w:pPr/>
          </w:p>
        </w:tc>
        <w:tc>
          <w:tcPr>
            <w:tcW w:w="4058"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10"/>
              <w:ind w:left="22" w:right="23"/>
              <w:jc w:val="left"/>
              <w:rPr>
                <w:rFonts w:ascii="宋体" w:hAnsi="宋体" w:cs="宋体" w:eastAsia="宋体" w:hint="default"/>
                <w:sz w:val="18"/>
                <w:szCs w:val="18"/>
              </w:rPr>
            </w:pPr>
            <w:r>
              <w:rPr>
                <w:rFonts w:ascii="宋体" w:hAnsi="宋体" w:cs="宋体" w:eastAsia="宋体" w:hint="default"/>
                <w:spacing w:val="-4"/>
                <w:sz w:val="18"/>
                <w:szCs w:val="18"/>
              </w:rPr>
              <w:t>措施：（</w:t>
            </w:r>
            <w:r>
              <w:rPr>
                <w:rFonts w:ascii="宋体" w:hAnsi="宋体" w:cs="宋体" w:eastAsia="宋体" w:hint="default"/>
                <w:spacing w:val="-4"/>
                <w:sz w:val="18"/>
                <w:szCs w:val="18"/>
              </w:rPr>
              <w:t>1</w:t>
            </w:r>
            <w:r>
              <w:rPr>
                <w:rFonts w:ascii="宋体" w:hAnsi="宋体" w:cs="宋体" w:eastAsia="宋体" w:hint="default"/>
                <w:spacing w:val="-4"/>
                <w:sz w:val="18"/>
                <w:szCs w:val="18"/>
              </w:rPr>
              <w:t>）公司、控股股东、董事、高级管理人员</w:t>
            </w:r>
            <w:r>
              <w:rPr>
                <w:rFonts w:ascii="宋体" w:hAnsi="宋体" w:cs="宋体" w:eastAsia="宋体" w:hint="default"/>
                <w:sz w:val="18"/>
                <w:szCs w:val="18"/>
              </w:rPr>
              <w:t> 将在公司股东大会和中国证监会指定的报刊上公开 说明未采取上述稳定股价措施的具体原因，并向公 </w:t>
            </w:r>
            <w:r>
              <w:rPr>
                <w:rFonts w:ascii="宋体" w:hAnsi="宋体" w:cs="宋体" w:eastAsia="宋体" w:hint="default"/>
                <w:spacing w:val="-4"/>
                <w:sz w:val="18"/>
                <w:szCs w:val="18"/>
              </w:rPr>
              <w:t>司股东和社会公众投资者道歉；（</w:t>
            </w:r>
            <w:r>
              <w:rPr>
                <w:rFonts w:ascii="宋体" w:hAnsi="宋体" w:cs="宋体" w:eastAsia="宋体" w:hint="default"/>
                <w:spacing w:val="-4"/>
                <w:sz w:val="18"/>
                <w:szCs w:val="18"/>
              </w:rPr>
              <w:t>2</w:t>
            </w:r>
            <w:r>
              <w:rPr>
                <w:rFonts w:ascii="宋体" w:hAnsi="宋体" w:cs="宋体" w:eastAsia="宋体" w:hint="default"/>
                <w:spacing w:val="-4"/>
                <w:sz w:val="18"/>
                <w:szCs w:val="18"/>
              </w:rPr>
              <w:t>）控股股东未采</w:t>
            </w:r>
            <w:r>
              <w:rPr>
                <w:rFonts w:ascii="宋体" w:hAnsi="宋体" w:cs="宋体" w:eastAsia="宋体" w:hint="default"/>
                <w:sz w:val="18"/>
                <w:szCs w:val="18"/>
              </w:rPr>
              <w:t> 取上述稳定股价措施的，不得参与公司现金分红， 且其持有的公司股份不得转让，直至其按本预案的 </w:t>
            </w:r>
            <w:r>
              <w:rPr>
                <w:rFonts w:ascii="宋体" w:hAnsi="宋体" w:cs="宋体" w:eastAsia="宋体" w:hint="default"/>
                <w:spacing w:val="-4"/>
                <w:sz w:val="18"/>
                <w:szCs w:val="18"/>
              </w:rPr>
              <w:t>规定采取相应的稳定股价措施并实施完毕；（</w:t>
            </w:r>
            <w:r>
              <w:rPr>
                <w:rFonts w:ascii="宋体" w:hAnsi="宋体" w:cs="宋体" w:eastAsia="宋体" w:hint="default"/>
                <w:spacing w:val="-4"/>
                <w:sz w:val="18"/>
                <w:szCs w:val="18"/>
              </w:rPr>
              <w:t>3</w:t>
            </w:r>
            <w:r>
              <w:rPr>
                <w:rFonts w:ascii="宋体" w:hAnsi="宋体" w:cs="宋体" w:eastAsia="宋体" w:hint="default"/>
                <w:spacing w:val="-4"/>
                <w:sz w:val="18"/>
                <w:szCs w:val="18"/>
              </w:rPr>
              <w:t>）董</w:t>
            </w:r>
            <w:r>
              <w:rPr>
                <w:rFonts w:ascii="宋体" w:hAnsi="宋体" w:cs="宋体" w:eastAsia="宋体" w:hint="default"/>
                <w:sz w:val="18"/>
                <w:szCs w:val="18"/>
              </w:rPr>
              <w:t> 事、高级管理人员未采取上述稳定股价措施的，公 司将在前述事项发生之日起</w:t>
            </w:r>
            <w:r>
              <w:rPr>
                <w:rFonts w:ascii="宋体" w:hAnsi="宋体" w:cs="宋体" w:eastAsia="宋体" w:hint="default"/>
                <w:spacing w:val="-44"/>
                <w:sz w:val="18"/>
                <w:szCs w:val="18"/>
              </w:rPr>
              <w:t> </w:t>
            </w:r>
            <w:r>
              <w:rPr>
                <w:rFonts w:ascii="宋体" w:hAnsi="宋体" w:cs="宋体" w:eastAsia="宋体" w:hint="default"/>
                <w:sz w:val="18"/>
                <w:szCs w:val="18"/>
              </w:rPr>
              <w:t>10</w:t>
            </w:r>
            <w:r>
              <w:rPr>
                <w:rFonts w:ascii="宋体" w:hAnsi="宋体" w:cs="宋体" w:eastAsia="宋体" w:hint="default"/>
                <w:spacing w:val="-44"/>
                <w:sz w:val="18"/>
                <w:szCs w:val="18"/>
              </w:rPr>
              <w:t> </w:t>
            </w:r>
            <w:r>
              <w:rPr>
                <w:rFonts w:ascii="宋体" w:hAnsi="宋体" w:cs="宋体" w:eastAsia="宋体" w:hint="default"/>
                <w:spacing w:val="-6"/>
                <w:sz w:val="18"/>
                <w:szCs w:val="18"/>
              </w:rPr>
              <w:t>个交易日内，停止发</w:t>
            </w:r>
            <w:r>
              <w:rPr>
                <w:rFonts w:ascii="宋体" w:hAnsi="宋体" w:cs="宋体" w:eastAsia="宋体" w:hint="default"/>
                <w:sz w:val="18"/>
                <w:szCs w:val="18"/>
              </w:rPr>
              <w:t> 放该等董事、高级管理人员的薪酬， 高级管理人员持有的公司股份（如有）不得转让， 直至该等董事、高级管理人员按本预案的规定采取 相应的股价稳定措施并实施完毕。上述预案内容为 </w:t>
            </w:r>
            <w:r>
              <w:rPr>
                <w:rFonts w:ascii="宋体" w:hAnsi="宋体" w:cs="宋体" w:eastAsia="宋体" w:hint="default"/>
                <w:spacing w:val="-3"/>
                <w:sz w:val="18"/>
                <w:szCs w:val="18"/>
              </w:rPr>
              <w:t>公司及控股股东、董事、</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系相关责任主体的真实意思表示，相关责任主体自 愿接受监管机构、自律组织及社会公众的监督，若 违反上述承诺，</w:t>
            </w:r>
          </w:p>
        </w:tc>
        <w:tc>
          <w:tcPr>
            <w:tcW w:w="852" w:type="dxa"/>
            <w:tcBorders>
              <w:top w:val="single" w:sz="15" w:space="0" w:color="000000"/>
              <w:left w:val="single" w:sz="4" w:space="0" w:color="000000"/>
              <w:bottom w:val="single" w:sz="4" w:space="0" w:color="000000"/>
              <w:right w:val="single" w:sz="4" w:space="0" w:color="000000"/>
            </w:tcBorders>
          </w:tcPr>
          <w:p>
            <w:pPr>
              <w:pStyle w:val="TableParagraph"/>
              <w:spacing w:line="5345"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6"/>
                <w:sz w:val="20"/>
                <w:szCs w:val="20"/>
              </w:rPr>
              <w:pict>
                <v:group style="width:42.1pt;height:267.3pt;mso-position-horizontal-relative:char;mso-position-vertical-relative:line" coordorigin="0,0" coordsize="842,5346">
                  <v:group style="position:absolute;left:0;top:0;width:842;height:5346" coordorigin="0,0" coordsize="842,5346">
                    <v:shape style="position:absolute;left:0;top:0;width:842;height:5346" coordorigin="0,0" coordsize="842,5346" path="m0,5346l841,5346,841,0,0,0,0,5346xe" filled="true" fillcolor="#ffffff" stroked="false">
                      <v:path arrowok="t"/>
                      <v:fill type="solid"/>
                    </v:shape>
                  </v:group>
                </v:group>
              </w:pict>
            </w:r>
            <w:r>
              <w:rPr>
                <w:rFonts w:ascii="Times New Roman" w:hAnsi="Times New Roman" w:cs="Times New Roman" w:eastAsia="Times New Roman" w:hint="default"/>
                <w:position w:val="-106"/>
                <w:sz w:val="20"/>
                <w:szCs w:val="20"/>
              </w:rPr>
            </w:r>
          </w:p>
        </w:tc>
        <w:tc>
          <w:tcPr>
            <w:tcW w:w="849" w:type="dxa"/>
            <w:tcBorders>
              <w:top w:val="single" w:sz="15" w:space="0" w:color="000000"/>
              <w:left w:val="single" w:sz="4" w:space="0" w:color="000000"/>
              <w:bottom w:val="single" w:sz="4" w:space="0" w:color="000000"/>
              <w:right w:val="single" w:sz="4" w:space="0" w:color="000000"/>
            </w:tcBorders>
          </w:tcPr>
          <w:p>
            <w:pPr/>
          </w:p>
        </w:tc>
        <w:tc>
          <w:tcPr>
            <w:tcW w:w="806" w:type="dxa"/>
            <w:tcBorders>
              <w:top w:val="single" w:sz="15" w:space="0" w:color="000000"/>
              <w:left w:val="single" w:sz="4" w:space="0" w:color="000000"/>
              <w:bottom w:val="single" w:sz="4" w:space="0" w:color="000000"/>
              <w:right w:val="single" w:sz="4" w:space="0" w:color="000000"/>
            </w:tcBorders>
          </w:tcPr>
          <w:p>
            <w:pPr/>
          </w:p>
        </w:tc>
      </w:tr>
      <w:tr>
        <w:trPr>
          <w:trHeight w:val="4107"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42"/>
              <w:ind w:left="23" w:right="-5"/>
              <w:jc w:val="left"/>
              <w:rPr>
                <w:rFonts w:ascii="宋体" w:hAnsi="宋体" w:cs="宋体" w:eastAsia="宋体" w:hint="default"/>
                <w:sz w:val="18"/>
                <w:szCs w:val="18"/>
              </w:rPr>
            </w:pPr>
            <w:r>
              <w:rPr>
                <w:rFonts w:ascii="宋体" w:hAnsi="宋体" w:cs="宋体" w:eastAsia="宋体" w:hint="default"/>
                <w:sz w:val="18"/>
                <w:szCs w:val="18"/>
              </w:rPr>
              <w:t>中文在线数字出版 集团股份有限公司、 童之磊</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股份回购的承诺</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both"/>
              <w:rPr>
                <w:rFonts w:ascii="宋体" w:hAnsi="宋体" w:cs="宋体" w:eastAsia="宋体" w:hint="default"/>
                <w:sz w:val="18"/>
                <w:szCs w:val="18"/>
              </w:rPr>
            </w:pPr>
            <w:r>
              <w:rPr>
                <w:rFonts w:ascii="宋体" w:hAnsi="宋体" w:cs="宋体" w:eastAsia="宋体" w:hint="default"/>
                <w:spacing w:val="-3"/>
                <w:sz w:val="18"/>
                <w:szCs w:val="18"/>
              </w:rPr>
              <w:t>发行人及公司控股股东童之磊承诺：</w:t>
            </w:r>
            <w:r>
              <w:rPr>
                <w:rFonts w:ascii="宋体" w:hAnsi="宋体" w:cs="宋体" w:eastAsia="宋体" w:hint="default"/>
                <w:spacing w:val="-3"/>
                <w:sz w:val="18"/>
                <w:szCs w:val="18"/>
              </w:rPr>
              <w:t>1</w:t>
            </w:r>
            <w:r>
              <w:rPr>
                <w:rFonts w:ascii="宋体" w:hAnsi="宋体" w:cs="宋体" w:eastAsia="宋体" w:hint="default"/>
                <w:spacing w:val="-3"/>
                <w:sz w:val="18"/>
                <w:szCs w:val="18"/>
              </w:rPr>
              <w:t>、公司首次公</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开发行股票招股说明书不存在虚假记载、误导性陈 </w:t>
            </w:r>
            <w:r>
              <w:rPr>
                <w:rFonts w:ascii="宋体" w:hAnsi="宋体" w:cs="宋体" w:eastAsia="宋体" w:hint="default"/>
                <w:spacing w:val="-3"/>
                <w:sz w:val="18"/>
                <w:szCs w:val="18"/>
              </w:rPr>
              <w:t>述或者重大遗漏。</w:t>
            </w:r>
            <w:r>
              <w:rPr>
                <w:rFonts w:ascii="宋体" w:hAnsi="宋体" w:cs="宋体" w:eastAsia="宋体" w:hint="default"/>
                <w:spacing w:val="-3"/>
                <w:sz w:val="18"/>
                <w:szCs w:val="18"/>
              </w:rPr>
              <w:t>2</w:t>
            </w:r>
            <w:r>
              <w:rPr>
                <w:rFonts w:ascii="宋体" w:hAnsi="宋体" w:cs="宋体" w:eastAsia="宋体" w:hint="default"/>
                <w:spacing w:val="-3"/>
                <w:sz w:val="18"/>
                <w:szCs w:val="18"/>
              </w:rPr>
              <w:t>、公司首次公开发行股票招股说</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明书如有虚假记载、误导性陈述或者重大遗漏，对 判断公司是否符合法律规定的发行条件构成重大、 实质影响的，公司将依法回购首次公开发行的全部 新股，控股股东将购回其在</w:t>
            </w:r>
            <w:r>
              <w:rPr>
                <w:rFonts w:ascii="宋体" w:hAnsi="宋体" w:cs="宋体" w:eastAsia="宋体" w:hint="default"/>
                <w:spacing w:val="-46"/>
                <w:sz w:val="18"/>
                <w:szCs w:val="18"/>
              </w:rPr>
              <w:t> </w:t>
            </w:r>
            <w:r>
              <w:rPr>
                <w:rFonts w:ascii="宋体" w:hAnsi="宋体" w:cs="宋体" w:eastAsia="宋体" w:hint="default"/>
                <w:sz w:val="18"/>
                <w:szCs w:val="18"/>
              </w:rPr>
              <w:t>IPO</w:t>
            </w:r>
            <w:r>
              <w:rPr>
                <w:rFonts w:ascii="宋体" w:hAnsi="宋体" w:cs="宋体" w:eastAsia="宋体" w:hint="default"/>
                <w:spacing w:val="-46"/>
                <w:sz w:val="18"/>
                <w:szCs w:val="18"/>
              </w:rPr>
              <w:t> </w:t>
            </w:r>
            <w:r>
              <w:rPr>
                <w:rFonts w:ascii="宋体" w:hAnsi="宋体" w:cs="宋体" w:eastAsia="宋体" w:hint="default"/>
                <w:sz w:val="18"/>
                <w:szCs w:val="18"/>
              </w:rPr>
              <w:t>时转让的全部限售 </w:t>
            </w:r>
            <w:r>
              <w:rPr>
                <w:rFonts w:ascii="宋体" w:hAnsi="宋体" w:cs="宋体" w:eastAsia="宋体" w:hint="default"/>
                <w:spacing w:val="-4"/>
                <w:sz w:val="18"/>
                <w:szCs w:val="18"/>
              </w:rPr>
              <w:t>股份。（</w:t>
            </w:r>
            <w:r>
              <w:rPr>
                <w:rFonts w:ascii="宋体" w:hAnsi="宋体" w:cs="宋体" w:eastAsia="宋体" w:hint="default"/>
                <w:spacing w:val="-4"/>
                <w:sz w:val="18"/>
                <w:szCs w:val="18"/>
              </w:rPr>
              <w:t>1</w:t>
            </w:r>
            <w:r>
              <w:rPr>
                <w:rFonts w:ascii="宋体" w:hAnsi="宋体" w:cs="宋体" w:eastAsia="宋体" w:hint="default"/>
                <w:spacing w:val="-4"/>
                <w:sz w:val="18"/>
                <w:szCs w:val="18"/>
              </w:rPr>
              <w:t>）公司启动回购措施的时点及回购价格在</w:t>
            </w:r>
            <w:r>
              <w:rPr>
                <w:rFonts w:ascii="宋体" w:hAnsi="宋体" w:cs="宋体" w:eastAsia="宋体" w:hint="default"/>
                <w:sz w:val="18"/>
                <w:szCs w:val="18"/>
              </w:rPr>
              <w:t> 中国证监会或其他有权部门作出认定后二十个交易 日内，将根据相关法律、法规及公司章程的规定召 开董事会，并提议召开股东大会，启动股份回购措 </w:t>
            </w:r>
            <w:r>
              <w:rPr>
                <w:rFonts w:ascii="宋体" w:hAnsi="宋体" w:cs="宋体" w:eastAsia="宋体" w:hint="default"/>
                <w:spacing w:val="-4"/>
                <w:sz w:val="18"/>
                <w:szCs w:val="18"/>
              </w:rPr>
              <w:t>施，回购价格为二级市场价格。（</w:t>
            </w:r>
            <w:r>
              <w:rPr>
                <w:rFonts w:ascii="宋体" w:hAnsi="宋体" w:cs="宋体" w:eastAsia="宋体" w:hint="default"/>
                <w:spacing w:val="-4"/>
                <w:sz w:val="18"/>
                <w:szCs w:val="18"/>
              </w:rPr>
              <w:t>2</w:t>
            </w:r>
            <w:r>
              <w:rPr>
                <w:rFonts w:ascii="宋体" w:hAnsi="宋体" w:cs="宋体" w:eastAsia="宋体" w:hint="default"/>
                <w:spacing w:val="-4"/>
                <w:sz w:val="18"/>
                <w:szCs w:val="18"/>
              </w:rPr>
              <w:t>）控股股东启动</w:t>
            </w:r>
            <w:r>
              <w:rPr>
                <w:rFonts w:ascii="宋体" w:hAnsi="宋体" w:cs="宋体" w:eastAsia="宋体" w:hint="default"/>
                <w:sz w:val="18"/>
                <w:szCs w:val="18"/>
              </w:rPr>
              <w:t> 购回措施的时点及购回价格控股股东在中国证监会</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r>
        <w:rPr/>
        <w:pict>
          <v:shape style="position:absolute;margin-left:586.177002pt;margin-top:461.76001pt;width:102.25pt;height:61.4pt;mso-position-horizontal-relative:page;mso-position-vertical-relative:page;z-index:-115420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5"/>
                    <w:rPr>
                      <w:rFonts w:ascii="Times New Roman" w:hAnsi="Times New Roman" w:cs="Times New Roman" w:eastAsia="Times New Roman"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离职后半年内，</w:t>
                  </w:r>
                </w:p>
              </w:txbxContent>
            </v:textbox>
            <w10:wrap type="none"/>
          </v:shape>
        </w:pict>
      </w:r>
      <w:r>
        <w:rPr/>
        <w:pict>
          <v:group style="position:absolute;margin-left:646.359985pt;margin-top:461.76001pt;width:42.1pt;height:61.4pt;mso-position-horizontal-relative:page;mso-position-vertical-relative:page;z-index:-1154176" coordorigin="12927,9235" coordsize="842,1228">
            <v:shape style="position:absolute;left:12927;top:9235;width:842;height:1228" coordorigin="12927,9235" coordsize="842,1228" path="m12927,10463l13768,10463,13768,9235,12927,9235,12927,10463xe" filled="true" fillcolor="#ffffff" stroked="false">
              <v:path arrowok="t"/>
              <v:fill type="solid"/>
            </v:shape>
            <w10:wrap type="none"/>
          </v:group>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或其他有权部门作出认定后二十个交易日内，将根</w:t>
            </w:r>
          </w:p>
        </w:tc>
        <w:tc>
          <w:tcPr>
            <w:tcW w:w="852" w:type="dxa"/>
            <w:vMerge w:val="restart"/>
            <w:tcBorders>
              <w:top w:val="single" w:sz="15" w:space="0" w:color="000000"/>
              <w:left w:val="single" w:sz="4" w:space="0" w:color="000000"/>
              <w:right w:val="single" w:sz="4" w:space="0" w:color="000000"/>
            </w:tcBorders>
          </w:tcPr>
          <w:p>
            <w:pP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据相关法律、法规及规范性文件的规定，启动股份</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购回措施，购回其在</w:t>
            </w:r>
            <w:r>
              <w:rPr>
                <w:rFonts w:ascii="宋体" w:hAnsi="宋体" w:cs="宋体" w:eastAsia="宋体" w:hint="default"/>
                <w:spacing w:val="-46"/>
                <w:sz w:val="18"/>
                <w:szCs w:val="18"/>
              </w:rPr>
              <w:t> </w:t>
            </w:r>
            <w:r>
              <w:rPr>
                <w:rFonts w:ascii="宋体" w:hAnsi="宋体" w:cs="宋体" w:eastAsia="宋体" w:hint="default"/>
                <w:sz w:val="18"/>
                <w:szCs w:val="18"/>
              </w:rPr>
              <w:t>IPO</w:t>
            </w:r>
            <w:r>
              <w:rPr>
                <w:rFonts w:ascii="宋体" w:hAnsi="宋体" w:cs="宋体" w:eastAsia="宋体" w:hint="default"/>
                <w:spacing w:val="-46"/>
                <w:sz w:val="18"/>
                <w:szCs w:val="18"/>
              </w:rPr>
              <w:t> </w:t>
            </w:r>
            <w:r>
              <w:rPr>
                <w:rFonts w:ascii="宋体" w:hAnsi="宋体" w:cs="宋体" w:eastAsia="宋体" w:hint="default"/>
                <w:sz w:val="18"/>
                <w:szCs w:val="18"/>
              </w:rPr>
              <w:t>时转让的全部限售股份，</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购回价格为二级市场价格。上述承诺内容系公司及</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控股股东的真实意思表示，公司及控股股东自愿接</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受监管机构、自律组织及社会公众的监督，若违反</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上述承诺，公司及控股股东将依法承担相应责任。</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r>
        <w:trPr>
          <w:trHeight w:val="1650"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3" w:right="173"/>
              <w:jc w:val="left"/>
              <w:rPr>
                <w:rFonts w:ascii="宋体" w:hAnsi="宋体" w:cs="宋体" w:eastAsia="宋体" w:hint="default"/>
                <w:sz w:val="18"/>
                <w:szCs w:val="18"/>
              </w:rPr>
            </w:pPr>
            <w:r>
              <w:rPr>
                <w:rFonts w:ascii="宋体" w:hAnsi="宋体" w:cs="宋体" w:eastAsia="宋体" w:hint="default"/>
                <w:sz w:val="18"/>
                <w:szCs w:val="18"/>
              </w:rPr>
              <w:t>北京启迪华创投资 咨询有限公司</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股份锁定的承诺</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本公司股东启迪华创承诺：自公司股票上市交易之 日起三十六个月内，不转让或者委托他人管理本公 司持有的公司公开发行股票前已持有的股份</w:t>
            </w:r>
          </w:p>
          <w:p>
            <w:pPr>
              <w:pStyle w:val="TableParagraph"/>
              <w:spacing w:line="319" w:lineRule="auto" w:before="19"/>
              <w:ind w:left="22" w:right="109"/>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15,024,247</w:t>
            </w:r>
            <w:r>
              <w:rPr>
                <w:rFonts w:ascii="宋体" w:hAnsi="宋体" w:cs="宋体" w:eastAsia="宋体" w:hint="default"/>
                <w:spacing w:val="-42"/>
                <w:sz w:val="18"/>
                <w:szCs w:val="18"/>
              </w:rPr>
              <w:t> </w:t>
            </w:r>
            <w:r>
              <w:rPr>
                <w:rFonts w:ascii="宋体" w:hAnsi="宋体" w:cs="宋体" w:eastAsia="宋体" w:hint="default"/>
                <w:spacing w:val="-6"/>
                <w:sz w:val="18"/>
                <w:szCs w:val="18"/>
              </w:rPr>
              <w:t>股股份），也不由公司回购本公司持</w:t>
            </w:r>
            <w:r>
              <w:rPr>
                <w:rFonts w:ascii="宋体" w:hAnsi="宋体" w:cs="宋体" w:eastAsia="宋体" w:hint="default"/>
                <w:sz w:val="18"/>
                <w:szCs w:val="18"/>
              </w:rPr>
              <w:t> 有的该等股份。</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648" w:type="dxa"/>
            <w:tcBorders>
              <w:top w:val="single" w:sz="4" w:space="0" w:color="000000"/>
              <w:left w:val="single" w:sz="4" w:space="0" w:color="000000"/>
              <w:bottom w:val="nil" w:sz="6" w:space="0" w:color="auto"/>
              <w:right w:val="single" w:sz="4" w:space="0" w:color="000000"/>
            </w:tcBorders>
          </w:tcPr>
          <w:p>
            <w:pPr/>
          </w:p>
        </w:tc>
        <w:tc>
          <w:tcPr>
            <w:tcW w:w="40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本公司股东文睿公司承诺：除公开发售股份外，自</w:t>
            </w:r>
          </w:p>
        </w:tc>
        <w:tc>
          <w:tcPr>
            <w:tcW w:w="852" w:type="dxa"/>
            <w:tcBorders>
              <w:top w:val="single" w:sz="4" w:space="0" w:color="000000"/>
              <w:left w:val="single" w:sz="4" w:space="0" w:color="000000"/>
              <w:bottom w:val="nil" w:sz="6" w:space="0" w:color="auto"/>
              <w:right w:val="single" w:sz="4" w:space="0" w:color="000000"/>
            </w:tcBorders>
          </w:tcPr>
          <w:p>
            <w:pPr/>
          </w:p>
        </w:tc>
        <w:tc>
          <w:tcPr>
            <w:tcW w:w="849" w:type="dxa"/>
            <w:tcBorders>
              <w:top w:val="single" w:sz="4" w:space="0" w:color="000000"/>
              <w:left w:val="single" w:sz="4" w:space="0" w:color="000000"/>
              <w:bottom w:val="nil" w:sz="6" w:space="0" w:color="auto"/>
              <w:right w:val="single" w:sz="4" w:space="0" w:color="000000"/>
            </w:tcBorders>
          </w:tcPr>
          <w:p>
            <w:pPr/>
          </w:p>
        </w:tc>
        <w:tc>
          <w:tcPr>
            <w:tcW w:w="804" w:type="dxa"/>
            <w:tcBorders>
              <w:top w:val="single" w:sz="4" w:space="0" w:color="000000"/>
              <w:left w:val="single" w:sz="4" w:space="0" w:color="000000"/>
              <w:bottom w:val="nil" w:sz="6" w:space="0" w:color="auto"/>
              <w:right w:val="single" w:sz="4" w:space="0" w:color="000000"/>
            </w:tcBorders>
          </w:tcPr>
          <w:p>
            <w:pPr/>
          </w:p>
        </w:tc>
      </w:tr>
      <w:tr>
        <w:trPr>
          <w:trHeight w:val="1560"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316" w:lineRule="auto"/>
              <w:ind w:left="23" w:right="173"/>
              <w:jc w:val="left"/>
              <w:rPr>
                <w:rFonts w:ascii="宋体" w:hAnsi="宋体" w:cs="宋体" w:eastAsia="宋体" w:hint="default"/>
                <w:sz w:val="18"/>
                <w:szCs w:val="18"/>
              </w:rPr>
            </w:pPr>
            <w:r>
              <w:rPr>
                <w:rFonts w:ascii="宋体" w:hAnsi="宋体" w:cs="宋体" w:eastAsia="宋体" w:hint="default"/>
                <w:sz w:val="18"/>
                <w:szCs w:val="18"/>
              </w:rPr>
              <w:t>建水文睿去企业管 理有限公司</w:t>
            </w:r>
          </w:p>
        </w:tc>
        <w:tc>
          <w:tcPr>
            <w:tcW w:w="16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股份锁定的承诺</w:t>
            </w:r>
          </w:p>
        </w:tc>
        <w:tc>
          <w:tcPr>
            <w:tcW w:w="4058" w:type="dxa"/>
            <w:tcBorders>
              <w:top w:val="nil" w:sz="6" w:space="0" w:color="auto"/>
              <w:left w:val="single" w:sz="4" w:space="0" w:color="000000"/>
              <w:bottom w:val="nil" w:sz="6" w:space="0" w:color="auto"/>
              <w:right w:val="single" w:sz="13" w:space="0" w:color="FFFFFF"/>
            </w:tcBorders>
          </w:tcPr>
          <w:p>
            <w:pPr>
              <w:pStyle w:val="TableParagraph"/>
              <w:spacing w:line="316" w:lineRule="auto" w:before="10"/>
              <w:ind w:left="22" w:right="52"/>
              <w:jc w:val="both"/>
              <w:rPr>
                <w:rFonts w:ascii="宋体" w:hAnsi="宋体" w:cs="宋体" w:eastAsia="宋体" w:hint="default"/>
                <w:sz w:val="18"/>
                <w:szCs w:val="18"/>
              </w:rPr>
            </w:pPr>
            <w:r>
              <w:rPr>
                <w:rFonts w:ascii="宋体" w:hAnsi="宋体" w:cs="宋体" w:eastAsia="宋体" w:hint="default"/>
                <w:sz w:val="18"/>
                <w:szCs w:val="18"/>
              </w:rPr>
              <w:t>公司股票上市交易之日起三十六个月内，不转让或 委托他人管理本次发行前已持有的公司股份，也不 由公司回购该部分股份。中文在线上市后</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个月内</w:t>
            </w:r>
          </w:p>
          <w:p>
            <w:pPr>
              <w:pStyle w:val="TableParagraph"/>
              <w:spacing w:line="240" w:lineRule="auto" w:before="19"/>
              <w:ind w:left="22" w:right="0"/>
              <w:jc w:val="both"/>
              <w:rPr>
                <w:rFonts w:ascii="宋体" w:hAnsi="宋体" w:cs="宋体" w:eastAsia="宋体" w:hint="default"/>
                <w:sz w:val="18"/>
                <w:szCs w:val="18"/>
              </w:rPr>
            </w:pPr>
            <w:r>
              <w:rPr>
                <w:rFonts w:ascii="宋体" w:hAnsi="宋体" w:cs="宋体" w:eastAsia="宋体" w:hint="default"/>
                <w:sz w:val="18"/>
                <w:szCs w:val="18"/>
              </w:rPr>
              <w:t>如其股票连续</w:t>
            </w:r>
            <w:r>
              <w:rPr>
                <w:rFonts w:ascii="宋体" w:hAnsi="宋体" w:cs="宋体" w:eastAsia="宋体" w:hint="default"/>
                <w:spacing w:val="-14"/>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个交易日的收盘价均低于发行价，</w:t>
            </w:r>
          </w:p>
          <w:p>
            <w:pPr>
              <w:pStyle w:val="TableParagraph"/>
              <w:spacing w:line="240" w:lineRule="auto" w:before="76"/>
              <w:ind w:left="22" w:right="0"/>
              <w:jc w:val="both"/>
              <w:rPr>
                <w:rFonts w:ascii="宋体" w:hAnsi="宋体" w:cs="宋体" w:eastAsia="宋体" w:hint="default"/>
                <w:sz w:val="18"/>
                <w:szCs w:val="18"/>
              </w:rPr>
            </w:pPr>
            <w:r>
              <w:rPr>
                <w:rFonts w:ascii="宋体" w:hAnsi="宋体" w:cs="宋体" w:eastAsia="宋体" w:hint="default"/>
                <w:sz w:val="18"/>
                <w:szCs w:val="18"/>
              </w:rPr>
              <w:t>或者上市后</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个月期末收盘价低于发行价，所持中</w:t>
            </w:r>
          </w:p>
        </w:tc>
        <w:tc>
          <w:tcPr>
            <w:tcW w:w="852" w:type="dxa"/>
            <w:tcBorders>
              <w:top w:val="nil" w:sz="6" w:space="0" w:color="auto"/>
              <w:left w:val="single" w:sz="13" w:space="0" w:color="FFFFFF"/>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single" w:sz="4" w:space="0" w:color="000000"/>
              <w:right w:val="single" w:sz="4" w:space="0" w:color="000000"/>
            </w:tcBorders>
          </w:tcPr>
          <w:p>
            <w:pPr/>
          </w:p>
        </w:tc>
        <w:tc>
          <w:tcPr>
            <w:tcW w:w="1648" w:type="dxa"/>
            <w:tcBorders>
              <w:top w:val="nil" w:sz="6" w:space="0" w:color="auto"/>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文在线上述股份的锁定期限自动延长</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852" w:type="dxa"/>
            <w:tcBorders>
              <w:top w:val="nil" w:sz="6" w:space="0" w:color="auto"/>
              <w:left w:val="single" w:sz="4" w:space="0" w:color="000000"/>
              <w:bottom w:val="single" w:sz="4" w:space="0" w:color="000000"/>
              <w:right w:val="single" w:sz="4" w:space="0" w:color="000000"/>
            </w:tcBorders>
          </w:tcPr>
          <w:p>
            <w:pPr/>
          </w:p>
        </w:tc>
        <w:tc>
          <w:tcPr>
            <w:tcW w:w="849" w:type="dxa"/>
            <w:tcBorders>
              <w:top w:val="nil" w:sz="6" w:space="0" w:color="auto"/>
              <w:left w:val="single" w:sz="4" w:space="0" w:color="000000"/>
              <w:bottom w:val="single" w:sz="4" w:space="0" w:color="000000"/>
              <w:right w:val="single" w:sz="4" w:space="0" w:color="000000"/>
            </w:tcBorders>
          </w:tcPr>
          <w:p>
            <w:pPr/>
          </w:p>
        </w:tc>
        <w:tc>
          <w:tcPr>
            <w:tcW w:w="804"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648" w:type="dxa"/>
            <w:tcBorders>
              <w:top w:val="single" w:sz="4" w:space="0" w:color="000000"/>
              <w:left w:val="single" w:sz="4" w:space="0" w:color="000000"/>
              <w:bottom w:val="nil" w:sz="6" w:space="0" w:color="auto"/>
              <w:right w:val="single" w:sz="4" w:space="0" w:color="000000"/>
            </w:tcBorders>
          </w:tcPr>
          <w:p>
            <w:pPr/>
          </w:p>
        </w:tc>
        <w:tc>
          <w:tcPr>
            <w:tcW w:w="40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本公司控股股东及实际控制人童之磊承诺：除公开</w:t>
            </w:r>
          </w:p>
        </w:tc>
        <w:tc>
          <w:tcPr>
            <w:tcW w:w="852" w:type="dxa"/>
            <w:tcBorders>
              <w:top w:val="single" w:sz="4" w:space="0" w:color="000000"/>
              <w:left w:val="single" w:sz="4" w:space="0" w:color="000000"/>
              <w:bottom w:val="nil" w:sz="6" w:space="0" w:color="auto"/>
              <w:right w:val="single" w:sz="4" w:space="0" w:color="000000"/>
            </w:tcBorders>
          </w:tcPr>
          <w:p>
            <w:pPr/>
          </w:p>
        </w:tc>
        <w:tc>
          <w:tcPr>
            <w:tcW w:w="849" w:type="dxa"/>
            <w:tcBorders>
              <w:top w:val="single" w:sz="4" w:space="0" w:color="000000"/>
              <w:left w:val="single" w:sz="4" w:space="0" w:color="000000"/>
              <w:bottom w:val="nil" w:sz="6" w:space="0" w:color="auto"/>
              <w:right w:val="single" w:sz="4" w:space="0" w:color="000000"/>
            </w:tcBorders>
          </w:tcPr>
          <w:p>
            <w:pPr/>
          </w:p>
        </w:tc>
        <w:tc>
          <w:tcPr>
            <w:tcW w:w="804"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发售股份外，自公司股票上市交易之日起三十六个</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03"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月内，不转让或委托他人管理直接或间接持有的本</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次公开发行前其已持有的股份，也不由公司回购该</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804" w:type="dxa"/>
            <w:tcBorders>
              <w:top w:val="nil" w:sz="6" w:space="0" w:color="auto"/>
              <w:left w:val="single" w:sz="4" w:space="0" w:color="000000"/>
              <w:bottom w:val="nil" w:sz="6" w:space="0" w:color="auto"/>
              <w:right w:val="single" w:sz="4" w:space="0" w:color="000000"/>
            </w:tcBorders>
          </w:tcPr>
          <w:p>
            <w:pPr/>
          </w:p>
        </w:tc>
      </w:tr>
      <w:tr>
        <w:trPr>
          <w:trHeight w:val="625"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648"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2" w:right="0"/>
              <w:jc w:val="left"/>
              <w:rPr>
                <w:rFonts w:ascii="宋体" w:hAnsi="宋体" w:cs="宋体" w:eastAsia="宋体" w:hint="default"/>
                <w:sz w:val="18"/>
                <w:szCs w:val="18"/>
              </w:rPr>
            </w:pPr>
            <w:r>
              <w:rPr>
                <w:rFonts w:ascii="宋体" w:hAnsi="宋体" w:cs="宋体" w:eastAsia="宋体" w:hint="default"/>
                <w:sz w:val="18"/>
                <w:szCs w:val="18"/>
              </w:rPr>
              <w:t>股份锁定的承诺</w:t>
            </w: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316" w:lineRule="auto" w:before="20"/>
              <w:ind w:left="22" w:right="65"/>
              <w:jc w:val="left"/>
              <w:rPr>
                <w:rFonts w:ascii="宋体" w:hAnsi="宋体" w:cs="宋体" w:eastAsia="宋体" w:hint="default"/>
                <w:sz w:val="18"/>
                <w:szCs w:val="18"/>
              </w:rPr>
            </w:pPr>
            <w:r>
              <w:rPr>
                <w:rFonts w:ascii="宋体" w:hAnsi="宋体" w:cs="宋体" w:eastAsia="宋体" w:hint="default"/>
                <w:sz w:val="18"/>
                <w:szCs w:val="18"/>
              </w:rPr>
              <w:t>部分股份。上述禁售期满后，在本人担任中文在线 董事、监事或高级管理人员期间，每年转让的股份</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21"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不超过所持股份总数的百分之二十五，离职后半年</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内，不转让所持有的公司股份；每年转让文睿公司</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的出资不超过总数的百分之二十五，</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single" w:sz="4" w:space="0" w:color="000000"/>
              <w:right w:val="single" w:sz="4" w:space="0" w:color="000000"/>
            </w:tcBorders>
          </w:tcPr>
          <w:p>
            <w:pPr/>
          </w:p>
        </w:tc>
        <w:tc>
          <w:tcPr>
            <w:tcW w:w="1648" w:type="dxa"/>
            <w:tcBorders>
              <w:top w:val="nil" w:sz="6" w:space="0" w:color="auto"/>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不转让所持有的文睿公司的出资。中文在线上市后</w:t>
            </w:r>
          </w:p>
        </w:tc>
        <w:tc>
          <w:tcPr>
            <w:tcW w:w="852" w:type="dxa"/>
            <w:tcBorders>
              <w:top w:val="nil" w:sz="6" w:space="0" w:color="auto"/>
              <w:left w:val="single" w:sz="4" w:space="0" w:color="000000"/>
              <w:bottom w:val="single" w:sz="4" w:space="0" w:color="000000"/>
              <w:right w:val="single" w:sz="4" w:space="0" w:color="000000"/>
            </w:tcBorders>
          </w:tcPr>
          <w:p>
            <w:pPr/>
          </w:p>
        </w:tc>
        <w:tc>
          <w:tcPr>
            <w:tcW w:w="849" w:type="dxa"/>
            <w:tcBorders>
              <w:top w:val="nil" w:sz="6" w:space="0" w:color="auto"/>
              <w:left w:val="single" w:sz="4" w:space="0" w:color="000000"/>
              <w:bottom w:val="single" w:sz="4" w:space="0" w:color="000000"/>
              <w:right w:val="single" w:sz="4" w:space="0" w:color="000000"/>
            </w:tcBorders>
          </w:tcPr>
          <w:p>
            <w:pPr/>
          </w:p>
        </w:tc>
        <w:tc>
          <w:tcPr>
            <w:tcW w:w="80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r>
        <w:rPr/>
        <w:pict>
          <v:shape style="position:absolute;margin-left:559.174011pt;margin-top:57.180008pt;width:129.25pt;height:80.1pt;mso-position-horizontal-relative:page;mso-position-vertical-relative:page;z-index:-115412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before="116"/>
                    <w:ind w:left="0" w:right="0" w:firstLine="0"/>
                    <w:jc w:val="left"/>
                    <w:rPr>
                      <w:rFonts w:ascii="宋体" w:hAnsi="宋体" w:cs="宋体" w:eastAsia="宋体" w:hint="default"/>
                      <w:sz w:val="18"/>
                      <w:szCs w:val="18"/>
                    </w:rPr>
                  </w:pPr>
                  <w:r>
                    <w:rPr>
                      <w:rFonts w:ascii="宋体" w:hAnsi="宋体" w:cs="宋体" w:eastAsia="宋体" w:hint="default"/>
                      <w:sz w:val="18"/>
                      <w:szCs w:val="18"/>
                    </w:rPr>
                    <w:t>末收盘价低于发行价，</w:t>
                  </w:r>
                </w:p>
              </w:txbxContent>
            </v:textbox>
            <w10:wrap type="none"/>
          </v:shape>
        </w:pict>
      </w:r>
      <w:r>
        <w:rPr/>
        <w:pict>
          <v:shape style="position:absolute;margin-left:469.177002pt;margin-top:351.339996pt;width:219.25pt;height:178.4pt;mso-position-horizontal-relative:page;mso-position-vertical-relative:page;z-index:-115410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49"/>
                    <w:ind w:left="0" w:right="0" w:firstLine="2161"/>
                    <w:jc w:val="left"/>
                    <w:rPr>
                      <w:rFonts w:ascii="宋体" w:hAnsi="宋体" w:cs="宋体" w:eastAsia="宋体" w:hint="default"/>
                      <w:sz w:val="18"/>
                      <w:szCs w:val="18"/>
                    </w:rPr>
                  </w:pPr>
                  <w:r>
                    <w:rPr>
                      <w:rFonts w:ascii="宋体" w:hAnsi="宋体" w:cs="宋体" w:eastAsia="宋体" w:hint="default"/>
                      <w:sz w:val="18"/>
                      <w:szCs w:val="18"/>
                    </w:rPr>
                    <w:t>公积金转增股本、</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6"/>
                    <w:rPr>
                      <w:rFonts w:ascii="Times New Roman" w:hAnsi="Times New Roman" w:cs="Times New Roman" w:eastAsia="Times New Roman" w:hint="default"/>
                      <w:sz w:val="25"/>
                      <w:szCs w:val="2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在公司股票上市之日起六个月内申报离职的，</w:t>
                  </w:r>
                </w:p>
              </w:txbxContent>
            </v:textbox>
            <w10:wrap type="none"/>
          </v:shape>
        </w:pict>
      </w:r>
      <w:r>
        <w:rPr/>
        <w:pict>
          <v:group style="position:absolute;margin-left:646.359985pt;margin-top:351.339996pt;width:42.1pt;height:178.4pt;mso-position-horizontal-relative:page;mso-position-vertical-relative:page;z-index:-1154080" coordorigin="12927,7027" coordsize="842,3568">
            <v:shape style="position:absolute;left:12927;top:7027;width:842;height:3568" coordorigin="12927,7027" coordsize="842,3568" path="m12927,10595l13768,10595,13768,7027,12927,7027,12927,10595xe" filled="true" fillcolor="#ffffff" stroked="false">
              <v:path arrowok="t"/>
              <v:fill type="solid"/>
            </v:shape>
            <w10:wrap type="none"/>
          </v:group>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pacing w:val="-47"/>
                <w:sz w:val="18"/>
                <w:szCs w:val="18"/>
              </w:rPr>
              <w:t> </w:t>
            </w:r>
            <w:r>
              <w:rPr>
                <w:rFonts w:ascii="宋体" w:hAnsi="宋体" w:cs="宋体" w:eastAsia="宋体" w:hint="default"/>
                <w:sz w:val="18"/>
                <w:szCs w:val="18"/>
              </w:rPr>
              <w:t>个月内如其股票连续</w:t>
            </w:r>
            <w:r>
              <w:rPr>
                <w:rFonts w:ascii="宋体" w:hAnsi="宋体" w:cs="宋体" w:eastAsia="宋体" w:hint="default"/>
                <w:spacing w:val="-47"/>
                <w:sz w:val="18"/>
                <w:szCs w:val="18"/>
              </w:rPr>
              <w:t> </w:t>
            </w:r>
            <w:r>
              <w:rPr>
                <w:rFonts w:ascii="宋体" w:hAnsi="宋体" w:cs="宋体" w:eastAsia="宋体" w:hint="default"/>
                <w:sz w:val="18"/>
                <w:szCs w:val="18"/>
              </w:rPr>
              <w:t>20</w:t>
            </w:r>
            <w:r>
              <w:rPr>
                <w:rFonts w:ascii="宋体" w:hAnsi="宋体" w:cs="宋体" w:eastAsia="宋体" w:hint="default"/>
                <w:spacing w:val="-47"/>
                <w:sz w:val="18"/>
                <w:szCs w:val="18"/>
              </w:rPr>
              <w:t> </w:t>
            </w:r>
            <w:r>
              <w:rPr>
                <w:rFonts w:ascii="宋体" w:hAnsi="宋体" w:cs="宋体" w:eastAsia="宋体" w:hint="default"/>
                <w:sz w:val="18"/>
                <w:szCs w:val="18"/>
              </w:rPr>
              <w:t>个交易日的收盘价均低于</w:t>
            </w:r>
          </w:p>
        </w:tc>
        <w:tc>
          <w:tcPr>
            <w:tcW w:w="852" w:type="dxa"/>
            <w:vMerge w:val="restart"/>
            <w:tcBorders>
              <w:top w:val="single" w:sz="15" w:space="0" w:color="000000"/>
              <w:left w:val="single" w:sz="4" w:space="0" w:color="000000"/>
              <w:right w:val="single" w:sz="4" w:space="0" w:color="000000"/>
            </w:tcBorders>
          </w:tcPr>
          <w:p>
            <w:pPr>
              <w:pStyle w:val="TableParagraph"/>
              <w:spacing w:line="1601"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1"/>
                <w:sz w:val="20"/>
                <w:szCs w:val="20"/>
              </w:rPr>
              <w:pict>
                <v:group style="width:42.1pt;height:80.1pt;mso-position-horizontal-relative:char;mso-position-vertical-relative:line" coordorigin="0,0" coordsize="842,1602">
                  <v:group style="position:absolute;left:0;top:0;width:842;height:1602" coordorigin="0,0" coordsize="842,1602">
                    <v:shape style="position:absolute;left:0;top:0;width:842;height:1602" coordorigin="0,0" coordsize="842,1602" path="m0,1601l841,1601,841,0,0,0,0,1601xe" filled="true" fillcolor="#ffffff" stroked="false">
                      <v:path arrowok="t"/>
                      <v:fill type="solid"/>
                    </v:shape>
                  </v:group>
                </v:group>
              </w:pict>
            </w:r>
            <w:r>
              <w:rPr>
                <w:rFonts w:ascii="Times New Roman" w:hAnsi="Times New Roman" w:cs="Times New Roman" w:eastAsia="Times New Roman" w:hint="default"/>
                <w:position w:val="-31"/>
                <w:sz w:val="20"/>
                <w:szCs w:val="20"/>
              </w:rPr>
            </w: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6"/>
                <w:sz w:val="18"/>
                <w:szCs w:val="18"/>
              </w:rPr>
              <w:t>发行价，或者上市后</w:t>
            </w:r>
            <w:r>
              <w:rPr>
                <w:rFonts w:ascii="宋体" w:hAnsi="宋体" w:cs="宋体" w:eastAsia="宋体" w:hint="default"/>
                <w:spacing w:val="-44"/>
                <w:sz w:val="18"/>
                <w:szCs w:val="18"/>
              </w:rPr>
              <w:t> </w:t>
            </w: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个月期</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所持中文在线股份和文睿公司股权的锁定期限自动</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延长</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个月。上述承诺不因本人职务变更或离职等</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原因终止。</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648" w:type="dxa"/>
            <w:tcBorders>
              <w:top w:val="single" w:sz="4" w:space="0" w:color="000000"/>
              <w:left w:val="single" w:sz="4" w:space="0" w:color="000000"/>
              <w:bottom w:val="nil" w:sz="6" w:space="0" w:color="auto"/>
              <w:right w:val="single" w:sz="4" w:space="0" w:color="000000"/>
            </w:tcBorders>
          </w:tcPr>
          <w:p>
            <w:pPr/>
          </w:p>
        </w:tc>
        <w:tc>
          <w:tcPr>
            <w:tcW w:w="40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担任公司高级管理人员的谢广才、原森民（同时为</w:t>
            </w:r>
          </w:p>
        </w:tc>
        <w:tc>
          <w:tcPr>
            <w:tcW w:w="852" w:type="dxa"/>
            <w:tcBorders>
              <w:top w:val="single" w:sz="4" w:space="0" w:color="000000"/>
              <w:left w:val="single" w:sz="4" w:space="0" w:color="000000"/>
              <w:bottom w:val="nil" w:sz="6" w:space="0" w:color="auto"/>
              <w:right w:val="single" w:sz="4" w:space="0" w:color="000000"/>
            </w:tcBorders>
          </w:tcPr>
          <w:p>
            <w:pPr/>
          </w:p>
        </w:tc>
        <w:tc>
          <w:tcPr>
            <w:tcW w:w="849" w:type="dxa"/>
            <w:tcBorders>
              <w:top w:val="single" w:sz="4" w:space="0" w:color="000000"/>
              <w:left w:val="single" w:sz="4" w:space="0" w:color="000000"/>
              <w:bottom w:val="nil" w:sz="6" w:space="0" w:color="auto"/>
              <w:right w:val="single" w:sz="4" w:space="0" w:color="000000"/>
            </w:tcBorders>
          </w:tcPr>
          <w:p>
            <w:pPr/>
          </w:p>
        </w:tc>
        <w:tc>
          <w:tcPr>
            <w:tcW w:w="804"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文睿公司的股东）承诺：自公司股票上市之日起十</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二个月内，不转让或者委托他人管理本次发行前已</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持有的文睿公司的股权，也不由文睿公司或中文在</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线回购该部分股份。中文在线上市后</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个月内如其</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股票连续</w:t>
            </w:r>
            <w:r>
              <w:rPr>
                <w:rFonts w:ascii="宋体" w:hAnsi="宋体" w:cs="宋体" w:eastAsia="宋体" w:hint="default"/>
                <w:spacing w:val="-45"/>
                <w:sz w:val="18"/>
                <w:szCs w:val="18"/>
              </w:rPr>
              <w:t> </w:t>
            </w:r>
            <w:r>
              <w:rPr>
                <w:rFonts w:ascii="宋体" w:hAnsi="宋体" w:cs="宋体" w:eastAsia="宋体" w:hint="default"/>
                <w:sz w:val="18"/>
                <w:szCs w:val="18"/>
              </w:rPr>
              <w:t>20</w:t>
            </w:r>
            <w:r>
              <w:rPr>
                <w:rFonts w:ascii="宋体" w:hAnsi="宋体" w:cs="宋体" w:eastAsia="宋体" w:hint="default"/>
                <w:spacing w:val="-45"/>
                <w:sz w:val="18"/>
                <w:szCs w:val="18"/>
              </w:rPr>
              <w:t> </w:t>
            </w:r>
            <w:r>
              <w:rPr>
                <w:rFonts w:ascii="宋体" w:hAnsi="宋体" w:cs="宋体" w:eastAsia="宋体" w:hint="default"/>
                <w:spacing w:val="-3"/>
                <w:sz w:val="18"/>
                <w:szCs w:val="18"/>
              </w:rPr>
              <w:t>个交易日的收盘价均低于发行价，或者</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上市后</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个月期末收盘价低于发行价，谢广才、原</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森民持有的文睿公司股权的锁定期限自动延长</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月。在限售期满后第一年减持所持有的文睿公司股</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权不得超过所持有文睿公司股权的</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z w:val="18"/>
                <w:szCs w:val="18"/>
              </w:rPr>
              <w:t>，在限售期</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1560"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谢广才、原森民</w:t>
            </w:r>
          </w:p>
        </w:tc>
        <w:tc>
          <w:tcPr>
            <w:tcW w:w="16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股份锁定的承诺</w:t>
            </w: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65"/>
              <w:jc w:val="both"/>
              <w:rPr>
                <w:rFonts w:ascii="宋体" w:hAnsi="宋体" w:cs="宋体" w:eastAsia="宋体" w:hint="default"/>
                <w:sz w:val="18"/>
                <w:szCs w:val="18"/>
              </w:rPr>
            </w:pPr>
            <w:r>
              <w:rPr>
                <w:rFonts w:ascii="宋体" w:hAnsi="宋体" w:cs="宋体" w:eastAsia="宋体" w:hint="default"/>
                <w:sz w:val="18"/>
                <w:szCs w:val="18"/>
              </w:rPr>
              <w:t>满后第二年减持所持有的文睿公司股权不得超过所 持有文睿公司股权余额的</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z w:val="18"/>
                <w:szCs w:val="18"/>
              </w:rPr>
              <w:t>，减持所持有的文睿 公司股权应符合相关法律、法规、规章的规定。谢 广才、原森民减持所持有的文睿公司股权的价格根 据股权转让相关方协商确定，并应符合相关法律、</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法规的规定，减持时点的中文在线股票的二级市场</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价格（如因派发现金红利、送股、</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配股等原因进行除权、除息的，须按照中国证券监</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督管理委员会、深圳证券交易所的有关规定进行相</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应调整，下同）不得低于发行价。在上述禁售期满</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后，在其任中文在线董事、监事或高级管理人员期</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间每年转让文睿公司的出资不超过总数的百分之二</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十五；在其离职后半年内，不转让持有文睿公司的</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出资；</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single" w:sz="4" w:space="0" w:color="000000"/>
              <w:right w:val="single" w:sz="4" w:space="0" w:color="000000"/>
            </w:tcBorders>
          </w:tcPr>
          <w:p>
            <w:pPr/>
          </w:p>
        </w:tc>
        <w:tc>
          <w:tcPr>
            <w:tcW w:w="1648" w:type="dxa"/>
            <w:tcBorders>
              <w:top w:val="nil" w:sz="6" w:space="0" w:color="auto"/>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自申报离职之日起十八个月内不得转让持有的文睿</w:t>
            </w:r>
          </w:p>
        </w:tc>
        <w:tc>
          <w:tcPr>
            <w:tcW w:w="852" w:type="dxa"/>
            <w:tcBorders>
              <w:top w:val="nil" w:sz="6" w:space="0" w:color="auto"/>
              <w:left w:val="single" w:sz="4" w:space="0" w:color="000000"/>
              <w:bottom w:val="single" w:sz="4" w:space="0" w:color="000000"/>
              <w:right w:val="single" w:sz="4" w:space="0" w:color="000000"/>
            </w:tcBorders>
          </w:tcPr>
          <w:p>
            <w:pPr/>
          </w:p>
        </w:tc>
        <w:tc>
          <w:tcPr>
            <w:tcW w:w="849" w:type="dxa"/>
            <w:tcBorders>
              <w:top w:val="nil" w:sz="6" w:space="0" w:color="auto"/>
              <w:left w:val="single" w:sz="4" w:space="0" w:color="000000"/>
              <w:bottom w:val="single" w:sz="4" w:space="0" w:color="000000"/>
              <w:right w:val="single" w:sz="4" w:space="0" w:color="000000"/>
            </w:tcBorders>
          </w:tcPr>
          <w:p>
            <w:pPr/>
          </w:p>
        </w:tc>
        <w:tc>
          <w:tcPr>
            <w:tcW w:w="80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r>
        <w:rPr/>
        <w:pict>
          <v:group style="position:absolute;margin-left:361.040009pt;margin-top:215.150009pt;width:80.8pt;height:36.4pt;mso-position-horizontal-relative:page;mso-position-vertical-relative:page;z-index:-1154056" coordorigin="7221,4303" coordsize="1616,728">
            <v:group style="position:absolute;left:7232;top:4314;width:2;height:705" coordorigin="7232,4314" coordsize="2,705">
              <v:shape style="position:absolute;left:7232;top:4314;width:2;height:705" coordorigin="7232,4314" coordsize="0,705" path="m7232,4314l7232,5019e" filled="false" stroked="true" strokeweight="1.140pt" strokecolor="#ffffff">
                <v:path arrowok="t"/>
              </v:shape>
            </v:group>
            <v:group style="position:absolute;left:7244;top:4314;width:1593;height:352" coordorigin="7244,4314" coordsize="1593,352">
              <v:shape style="position:absolute;left:7244;top:4314;width:1593;height:352" coordorigin="7244,4314" coordsize="1593,352" path="m7244,4666l8836,4666,8836,4314,7244,4314,7244,4666xe" filled="true" fillcolor="#ffffff" stroked="false">
                <v:path arrowok="t"/>
                <v:fill type="solid"/>
              </v:shape>
            </v:group>
            <v:group style="position:absolute;left:7244;top:4666;width:1593;height:354" coordorigin="7244,4666" coordsize="1593,354">
              <v:shape style="position:absolute;left:7244;top:4666;width:1593;height:354" coordorigin="7244,4666" coordsize="1593,354" path="m7244,5019l8836,5019,8836,4666,7244,4666,7244,5019xe" filled="true" fillcolor="#ffffff" stroked="false">
                <v:path arrowok="t"/>
                <v:fill type="solid"/>
              </v:shape>
            </v:group>
            <w10:wrap type="none"/>
          </v:group>
        </w:pict>
      </w:r>
      <w:r>
        <w:rPr/>
        <w:pict>
          <v:group style="position:absolute;margin-left:647.5pt;margin-top:233.300003pt;width:39.8pt;height:17.7pt;mso-position-horizontal-relative:page;mso-position-vertical-relative:page;z-index:-1154032" coordorigin="12950,4666" coordsize="796,354">
            <v:shape style="position:absolute;left:12950;top:4666;width:796;height:354" coordorigin="12950,4666" coordsize="796,354" path="m12950,5019l13746,5019,13746,4666,12950,4666,12950,5019xe" filled="true" fillcolor="#ffffff" stroked="false">
              <v:path arrowok="t"/>
              <v:fill type="solid"/>
            </v:shape>
            <w10:wrap type="none"/>
          </v:group>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公司出资；在公司股票上市之日起第七个月至第十</w:t>
            </w:r>
          </w:p>
        </w:tc>
        <w:tc>
          <w:tcPr>
            <w:tcW w:w="852" w:type="dxa"/>
            <w:vMerge w:val="restart"/>
            <w:tcBorders>
              <w:top w:val="single" w:sz="15" w:space="0" w:color="000000"/>
              <w:left w:val="single" w:sz="4" w:space="0" w:color="000000"/>
              <w:right w:val="single" w:sz="4" w:space="0" w:color="000000"/>
            </w:tcBorders>
          </w:tcPr>
          <w:p>
            <w:pP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二个月之间申报离职的，自申报离职之日起十二个</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月内不得转让持有的文睿公司出资。</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648" w:type="dxa"/>
            <w:tcBorders>
              <w:top w:val="single" w:sz="4" w:space="0" w:color="000000"/>
              <w:left w:val="single" w:sz="4" w:space="0" w:color="000000"/>
              <w:bottom w:val="nil" w:sz="6" w:space="0" w:color="auto"/>
              <w:right w:val="single" w:sz="4" w:space="0" w:color="000000"/>
            </w:tcBorders>
          </w:tcPr>
          <w:p>
            <w:pPr/>
          </w:p>
        </w:tc>
        <w:tc>
          <w:tcPr>
            <w:tcW w:w="40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本公司董事、监事、高级管理人员承诺：本人作为</w:t>
            </w:r>
          </w:p>
        </w:tc>
        <w:tc>
          <w:tcPr>
            <w:tcW w:w="852" w:type="dxa"/>
            <w:tcBorders>
              <w:top w:val="single" w:sz="4" w:space="0" w:color="000000"/>
              <w:left w:val="single" w:sz="4" w:space="0" w:color="000000"/>
              <w:bottom w:val="nil" w:sz="6" w:space="0" w:color="auto"/>
              <w:right w:val="single" w:sz="4" w:space="0" w:color="000000"/>
            </w:tcBorders>
          </w:tcPr>
          <w:p>
            <w:pPr/>
          </w:p>
        </w:tc>
        <w:tc>
          <w:tcPr>
            <w:tcW w:w="849" w:type="dxa"/>
            <w:tcBorders>
              <w:top w:val="single" w:sz="4" w:space="0" w:color="000000"/>
              <w:left w:val="single" w:sz="4" w:space="0" w:color="000000"/>
              <w:bottom w:val="nil" w:sz="6" w:space="0" w:color="auto"/>
              <w:right w:val="single" w:sz="4" w:space="0" w:color="000000"/>
            </w:tcBorders>
          </w:tcPr>
          <w:p>
            <w:pPr/>
          </w:p>
        </w:tc>
        <w:tc>
          <w:tcPr>
            <w:tcW w:w="804"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中文在线的董事、监事、高级管理人员，保证将严</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格履行招股说明书披露的本人作出的承诺事项，同</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时提出未能履行承诺时的约束措施如下：若未履行</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上述承诺事项</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）本人将在公司股东大会及中国</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187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319" w:lineRule="auto"/>
              <w:ind w:left="23" w:right="-5"/>
              <w:jc w:val="left"/>
              <w:rPr>
                <w:rFonts w:ascii="宋体" w:hAnsi="宋体" w:cs="宋体" w:eastAsia="宋体" w:hint="default"/>
                <w:sz w:val="18"/>
                <w:szCs w:val="18"/>
              </w:rPr>
            </w:pPr>
            <w:r>
              <w:rPr>
                <w:rFonts w:ascii="宋体" w:hAnsi="宋体" w:cs="宋体" w:eastAsia="宋体" w:hint="default"/>
                <w:spacing w:val="-4"/>
                <w:sz w:val="18"/>
                <w:szCs w:val="18"/>
              </w:rPr>
              <w:t>童之磊、雷霖、周树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华、张帆、何庆源、 </w:t>
            </w:r>
            <w:r>
              <w:rPr>
                <w:rFonts w:ascii="宋体" w:hAnsi="宋体" w:cs="宋体" w:eastAsia="宋体" w:hint="default"/>
                <w:spacing w:val="-14"/>
                <w:sz w:val="18"/>
                <w:szCs w:val="18"/>
              </w:rPr>
              <w:t>陈晓、姜瑞明、曹达</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任佳伟、谢广才、原</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森民</w:t>
            </w:r>
          </w:p>
        </w:tc>
        <w:tc>
          <w:tcPr>
            <w:tcW w:w="16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195" w:lineRule="exact"/>
              <w:ind w:left="22" w:right="0"/>
              <w:jc w:val="left"/>
              <w:rPr>
                <w:rFonts w:ascii="宋体" w:hAnsi="宋体" w:cs="宋体" w:eastAsia="宋体" w:hint="default"/>
                <w:sz w:val="18"/>
                <w:szCs w:val="18"/>
              </w:rPr>
            </w:pPr>
            <w:r>
              <w:rPr>
                <w:rFonts w:ascii="宋体" w:hAnsi="宋体" w:cs="宋体" w:eastAsia="宋体" w:hint="default"/>
                <w:sz w:val="18"/>
                <w:szCs w:val="18"/>
              </w:rPr>
              <w:t>关于未履行承诺时</w:t>
            </w:r>
          </w:p>
          <w:p>
            <w:pPr>
              <w:pStyle w:val="TableParagraph"/>
              <w:spacing w:line="156"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7" w:lineRule="exact"/>
              <w:ind w:left="22" w:right="0"/>
              <w:jc w:val="left"/>
              <w:rPr>
                <w:rFonts w:ascii="宋体" w:hAnsi="宋体" w:cs="宋体" w:eastAsia="宋体" w:hint="default"/>
                <w:sz w:val="18"/>
                <w:szCs w:val="18"/>
              </w:rPr>
            </w:pPr>
            <w:r>
              <w:rPr>
                <w:rFonts w:ascii="宋体" w:hAnsi="宋体" w:cs="宋体" w:eastAsia="宋体" w:hint="default"/>
                <w:sz w:val="18"/>
                <w:szCs w:val="18"/>
              </w:rPr>
              <w:t>的约束措施的承诺</w:t>
            </w:r>
          </w:p>
        </w:tc>
        <w:tc>
          <w:tcPr>
            <w:tcW w:w="4058" w:type="dxa"/>
            <w:tcBorders>
              <w:top w:val="nil" w:sz="6" w:space="0" w:color="auto"/>
              <w:left w:val="single" w:sz="4" w:space="0" w:color="000000"/>
              <w:bottom w:val="nil" w:sz="6" w:space="0" w:color="auto"/>
              <w:right w:val="single" w:sz="13" w:space="0" w:color="FFFFFF"/>
            </w:tcBorders>
          </w:tcPr>
          <w:p>
            <w:pPr>
              <w:pStyle w:val="TableParagraph"/>
              <w:spacing w:line="316" w:lineRule="auto" w:before="10"/>
              <w:ind w:left="22" w:right="-44"/>
              <w:jc w:val="left"/>
              <w:rPr>
                <w:rFonts w:ascii="宋体" w:hAnsi="宋体" w:cs="宋体" w:eastAsia="宋体" w:hint="default"/>
                <w:sz w:val="18"/>
                <w:szCs w:val="18"/>
              </w:rPr>
            </w:pPr>
            <w:r>
              <w:rPr>
                <w:rFonts w:ascii="宋体" w:hAnsi="宋体" w:cs="宋体" w:eastAsia="宋体" w:hint="default"/>
                <w:sz w:val="18"/>
                <w:szCs w:val="18"/>
              </w:rPr>
              <w:t>证监会指定报刊上公开说明未履行承诺的具体原 </w:t>
            </w:r>
            <w:r>
              <w:rPr>
                <w:rFonts w:ascii="宋体" w:hAnsi="宋体" w:cs="宋体" w:eastAsia="宋体" w:hint="default"/>
                <w:spacing w:val="-4"/>
                <w:sz w:val="18"/>
                <w:szCs w:val="18"/>
              </w:rPr>
              <w:t>因，并向公司股东和社会公众投资者道歉；（</w:t>
            </w:r>
            <w:r>
              <w:rPr>
                <w:rFonts w:ascii="宋体" w:hAnsi="宋体" w:cs="宋体" w:eastAsia="宋体" w:hint="default"/>
                <w:spacing w:val="-4"/>
                <w:sz w:val="18"/>
                <w:szCs w:val="18"/>
              </w:rPr>
              <w:t>2</w:t>
            </w:r>
            <w:r>
              <w:rPr>
                <w:rFonts w:ascii="宋体" w:hAnsi="宋体" w:cs="宋体" w:eastAsia="宋体" w:hint="default"/>
                <w:spacing w:val="-4"/>
                <w:sz w:val="18"/>
                <w:szCs w:val="18"/>
              </w:rPr>
              <w:t>）本</w:t>
            </w:r>
            <w:r>
              <w:rPr>
                <w:rFonts w:ascii="宋体" w:hAnsi="宋体" w:cs="宋体" w:eastAsia="宋体" w:hint="default"/>
                <w:sz w:val="18"/>
                <w:szCs w:val="18"/>
              </w:rPr>
              <w:t> 人将在前述事项发生之日起十个交易日内，停止领 </w:t>
            </w:r>
            <w:r>
              <w:rPr>
                <w:rFonts w:ascii="宋体" w:hAnsi="宋体" w:cs="宋体" w:eastAsia="宋体" w:hint="default"/>
                <w:spacing w:val="-11"/>
                <w:sz w:val="18"/>
                <w:szCs w:val="18"/>
              </w:rPr>
              <w:t>取薪酬（若有），同时，本人持有的公司股份（若有）</w:t>
            </w:r>
            <w:r>
              <w:rPr>
                <w:rFonts w:ascii="宋体" w:hAnsi="宋体" w:cs="宋体" w:eastAsia="宋体" w:hint="default"/>
                <w:spacing w:val="-33"/>
                <w:sz w:val="18"/>
                <w:szCs w:val="18"/>
              </w:rPr>
              <w:t> </w:t>
            </w:r>
            <w:r>
              <w:rPr>
                <w:rFonts w:ascii="宋体" w:hAnsi="宋体" w:cs="宋体" w:eastAsia="宋体" w:hint="default"/>
                <w:sz w:val="18"/>
                <w:szCs w:val="18"/>
              </w:rPr>
              <w:t>不得转让，直至本人履行完成相关承诺事项。如因</w:t>
            </w:r>
            <w:r>
              <w:rPr>
                <w:rFonts w:ascii="宋体" w:hAnsi="宋体" w:cs="宋体" w:eastAsia="宋体" w:hint="default"/>
                <w:sz w:val="18"/>
                <w:szCs w:val="18"/>
              </w:rPr>
              <w:t> 本人未履行相关承诺事项，致使公司遭受损失，或</w:t>
            </w:r>
          </w:p>
        </w:tc>
        <w:tc>
          <w:tcPr>
            <w:tcW w:w="852" w:type="dxa"/>
            <w:tcBorders>
              <w:top w:val="nil" w:sz="6" w:space="0" w:color="auto"/>
              <w:left w:val="single" w:sz="13" w:space="0" w:color="FFFFFF"/>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71"/>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者给投资者在证券交易中造成损失的，本人将向公</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司或者投资者依法承担赔偿责任。上述承诺内容系</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本人真实意思表示，本人自愿接受监管机构、自律</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组织及社会公众的监督，若违反上述承诺，本人将</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single" w:sz="4" w:space="0" w:color="000000"/>
              <w:right w:val="single" w:sz="4" w:space="0" w:color="000000"/>
            </w:tcBorders>
          </w:tcPr>
          <w:p>
            <w:pPr/>
          </w:p>
        </w:tc>
        <w:tc>
          <w:tcPr>
            <w:tcW w:w="1648" w:type="dxa"/>
            <w:tcBorders>
              <w:top w:val="nil" w:sz="6" w:space="0" w:color="auto"/>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依法承担相应责任。</w:t>
            </w:r>
          </w:p>
        </w:tc>
        <w:tc>
          <w:tcPr>
            <w:tcW w:w="852" w:type="dxa"/>
            <w:tcBorders>
              <w:top w:val="nil" w:sz="6" w:space="0" w:color="auto"/>
              <w:left w:val="single" w:sz="4" w:space="0" w:color="000000"/>
              <w:bottom w:val="single" w:sz="4" w:space="0" w:color="000000"/>
              <w:right w:val="single" w:sz="4" w:space="0" w:color="000000"/>
            </w:tcBorders>
          </w:tcPr>
          <w:p>
            <w:pPr/>
          </w:p>
        </w:tc>
        <w:tc>
          <w:tcPr>
            <w:tcW w:w="849" w:type="dxa"/>
            <w:tcBorders>
              <w:top w:val="nil" w:sz="6" w:space="0" w:color="auto"/>
              <w:left w:val="single" w:sz="4" w:space="0" w:color="000000"/>
              <w:bottom w:val="single" w:sz="4" w:space="0" w:color="000000"/>
              <w:right w:val="single" w:sz="4" w:space="0" w:color="000000"/>
            </w:tcBorders>
          </w:tcPr>
          <w:p>
            <w:pPr/>
          </w:p>
        </w:tc>
        <w:tc>
          <w:tcPr>
            <w:tcW w:w="804"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648" w:type="dxa"/>
            <w:tcBorders>
              <w:top w:val="single" w:sz="4" w:space="0" w:color="000000"/>
              <w:left w:val="single" w:sz="4" w:space="0" w:color="000000"/>
              <w:bottom w:val="nil" w:sz="6" w:space="0" w:color="auto"/>
              <w:right w:val="single" w:sz="4" w:space="0" w:color="000000"/>
            </w:tcBorders>
          </w:tcPr>
          <w:p>
            <w:pPr/>
          </w:p>
        </w:tc>
        <w:tc>
          <w:tcPr>
            <w:tcW w:w="40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控股股东、实际控制人童之磊以及建水文睿去企业</w:t>
            </w:r>
          </w:p>
        </w:tc>
        <w:tc>
          <w:tcPr>
            <w:tcW w:w="852" w:type="dxa"/>
            <w:tcBorders>
              <w:top w:val="single" w:sz="4" w:space="0" w:color="000000"/>
              <w:left w:val="single" w:sz="4" w:space="0" w:color="000000"/>
              <w:bottom w:val="nil" w:sz="6" w:space="0" w:color="auto"/>
              <w:right w:val="single" w:sz="4" w:space="0" w:color="000000"/>
            </w:tcBorders>
          </w:tcPr>
          <w:p>
            <w:pPr/>
          </w:p>
        </w:tc>
        <w:tc>
          <w:tcPr>
            <w:tcW w:w="849" w:type="dxa"/>
            <w:tcBorders>
              <w:top w:val="single" w:sz="4" w:space="0" w:color="000000"/>
              <w:left w:val="single" w:sz="4" w:space="0" w:color="000000"/>
              <w:bottom w:val="nil" w:sz="6" w:space="0" w:color="auto"/>
              <w:right w:val="single" w:sz="4" w:space="0" w:color="000000"/>
            </w:tcBorders>
          </w:tcPr>
          <w:p>
            <w:pPr/>
          </w:p>
        </w:tc>
        <w:tc>
          <w:tcPr>
            <w:tcW w:w="804"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管理有限公司承诺</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）童之磊及文睿公司将依法</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履行中文在线首次公开发行股票并上市招股说明书</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披露的童之磊、文睿公司作出的承诺事项</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）如</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319" w:lineRule="auto" w:before="147"/>
              <w:ind w:left="23" w:right="20"/>
              <w:jc w:val="left"/>
              <w:rPr>
                <w:rFonts w:ascii="宋体" w:hAnsi="宋体" w:cs="宋体" w:eastAsia="宋体" w:hint="default"/>
                <w:sz w:val="18"/>
                <w:szCs w:val="18"/>
              </w:rPr>
            </w:pPr>
            <w:r>
              <w:rPr>
                <w:rFonts w:ascii="宋体" w:hAnsi="宋体" w:cs="宋体" w:eastAsia="宋体" w:hint="default"/>
                <w:spacing w:val="-4"/>
                <w:sz w:val="18"/>
                <w:szCs w:val="18"/>
              </w:rPr>
              <w:t>童之磊、建水文睿去</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企业管理有限公司</w:t>
            </w:r>
          </w:p>
        </w:tc>
        <w:tc>
          <w:tcPr>
            <w:tcW w:w="1648" w:type="dxa"/>
            <w:tcBorders>
              <w:top w:val="nil" w:sz="6" w:space="0" w:color="auto"/>
              <w:left w:val="single" w:sz="4" w:space="0" w:color="000000"/>
              <w:bottom w:val="nil" w:sz="6" w:space="0" w:color="auto"/>
              <w:right w:val="single" w:sz="4" w:space="0" w:color="000000"/>
            </w:tcBorders>
          </w:tcPr>
          <w:p>
            <w:pPr>
              <w:pStyle w:val="TableParagraph"/>
              <w:spacing w:line="319" w:lineRule="auto" w:before="147"/>
              <w:ind w:left="22" w:right="173"/>
              <w:jc w:val="left"/>
              <w:rPr>
                <w:rFonts w:ascii="宋体" w:hAnsi="宋体" w:cs="宋体" w:eastAsia="宋体" w:hint="default"/>
                <w:sz w:val="18"/>
                <w:szCs w:val="18"/>
              </w:rPr>
            </w:pPr>
            <w:r>
              <w:rPr>
                <w:rFonts w:ascii="宋体" w:hAnsi="宋体" w:cs="宋体" w:eastAsia="宋体" w:hint="default"/>
                <w:sz w:val="18"/>
                <w:szCs w:val="18"/>
              </w:rPr>
              <w:t>关于未履行承诺时 的约束措施的承诺</w:t>
            </w: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65"/>
              <w:jc w:val="both"/>
              <w:rPr>
                <w:rFonts w:ascii="宋体" w:hAnsi="宋体" w:cs="宋体" w:eastAsia="宋体" w:hint="default"/>
                <w:sz w:val="18"/>
                <w:szCs w:val="18"/>
              </w:rPr>
            </w:pPr>
            <w:r>
              <w:rPr>
                <w:rFonts w:ascii="宋体" w:hAnsi="宋体" w:cs="宋体" w:eastAsia="宋体" w:hint="default"/>
                <w:sz w:val="18"/>
                <w:szCs w:val="18"/>
              </w:rPr>
              <w:t>未履行上述承诺事项，童之磊及文睿公司将在中文 在线的股东大会和中国证券监督管理委员会指定的 报刊上公开说明未履行承诺的具体原因，并向中文</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71"/>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在线的股东和社会公众投资者道歉</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）如因未履</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行上述承诺事项给中文在线或者其他投资者造成损</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失的，童之磊及文睿公司将向中文在线或者其他投</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single" w:sz="4" w:space="0" w:color="000000"/>
              <w:right w:val="single" w:sz="4" w:space="0" w:color="000000"/>
            </w:tcBorders>
          </w:tcPr>
          <w:p>
            <w:pPr/>
          </w:p>
        </w:tc>
        <w:tc>
          <w:tcPr>
            <w:tcW w:w="1648" w:type="dxa"/>
            <w:tcBorders>
              <w:top w:val="nil" w:sz="6" w:space="0" w:color="auto"/>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资者依法承担赔偿责任。如童之磊及文睿公司未承</w:t>
            </w:r>
          </w:p>
        </w:tc>
        <w:tc>
          <w:tcPr>
            <w:tcW w:w="852" w:type="dxa"/>
            <w:tcBorders>
              <w:top w:val="nil" w:sz="6" w:space="0" w:color="auto"/>
              <w:left w:val="single" w:sz="4" w:space="0" w:color="000000"/>
              <w:bottom w:val="single" w:sz="4" w:space="0" w:color="000000"/>
              <w:right w:val="single" w:sz="4" w:space="0" w:color="000000"/>
            </w:tcBorders>
          </w:tcPr>
          <w:p>
            <w:pPr/>
          </w:p>
        </w:tc>
        <w:tc>
          <w:tcPr>
            <w:tcW w:w="849" w:type="dxa"/>
            <w:tcBorders>
              <w:top w:val="nil" w:sz="6" w:space="0" w:color="auto"/>
              <w:left w:val="single" w:sz="4" w:space="0" w:color="000000"/>
              <w:bottom w:val="single" w:sz="4" w:space="0" w:color="000000"/>
              <w:right w:val="single" w:sz="4" w:space="0" w:color="000000"/>
            </w:tcBorders>
          </w:tcPr>
          <w:p>
            <w:pPr/>
          </w:p>
        </w:tc>
        <w:tc>
          <w:tcPr>
            <w:tcW w:w="80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200" w:left="1300" w:right="1300"/>
        </w:sectPr>
      </w:pPr>
    </w:p>
    <w:p>
      <w:pPr>
        <w:spacing w:line="240" w:lineRule="auto" w:before="4"/>
        <w:rPr>
          <w:rFonts w:ascii="Times New Roman" w:hAnsi="Times New Roman" w:cs="Times New Roman" w:eastAsia="Times New Roman" w:hint="default"/>
          <w:sz w:val="3"/>
          <w:szCs w:val="3"/>
        </w:rPr>
      </w:pPr>
      <w:r>
        <w:rPr/>
        <w:pict>
          <v:shape style="position:absolute;margin-left:514.177002pt;margin-top:405.960022pt;width:174.25pt;height:123.8pt;mso-position-horizontal-relative:page;mso-position-vertical-relative:page;z-index:-1154008" type="#_x0000_t202" filled="false" stroked="false">
            <v:textbox inset="0,0,0,0">
              <w:txbxContent>
                <w:p>
                  <w:pPr>
                    <w:spacing w:line="240" w:lineRule="auto" w:before="3"/>
                    <w:rPr>
                      <w:rFonts w:ascii="Times New Roman" w:hAnsi="Times New Roman" w:cs="Times New Roman" w:eastAsia="Times New Roman" w:hint="default"/>
                      <w:sz w:val="26"/>
                      <w:szCs w:val="2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在减持所持有的中文在线股份前，</w:t>
                  </w:r>
                </w:p>
              </w:txbxContent>
            </v:textbox>
            <w10:wrap type="none"/>
          </v:shape>
        </w:pict>
      </w:r>
      <w:r>
        <w:rPr/>
        <w:pict>
          <v:group style="position:absolute;margin-left:646.359985pt;margin-top:405.960022pt;width:42.1pt;height:123.8pt;mso-position-horizontal-relative:page;mso-position-vertical-relative:page;z-index:-1153984" coordorigin="12927,8119" coordsize="842,2476">
            <v:shape style="position:absolute;left:12927;top:8119;width:842;height:2476" coordorigin="12927,8119" coordsize="842,2476" path="m12927,10595l13768,10595,13768,8119,12927,8119,12927,10595xe" filled="true" fillcolor="#ffffff" stroked="false">
              <v:path arrowok="t"/>
              <v:fill type="solid"/>
            </v:shape>
            <w10:wrap type="none"/>
          </v:group>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担前述赔偿责任，则童之磊及文睿公司持有的中文</w:t>
            </w:r>
          </w:p>
        </w:tc>
        <w:tc>
          <w:tcPr>
            <w:tcW w:w="852" w:type="dxa"/>
            <w:vMerge w:val="restart"/>
            <w:tcBorders>
              <w:top w:val="single" w:sz="15" w:space="0" w:color="000000"/>
              <w:left w:val="single" w:sz="4" w:space="0" w:color="000000"/>
              <w:right w:val="single" w:sz="4" w:space="0" w:color="000000"/>
            </w:tcBorders>
          </w:tcPr>
          <w:p>
            <w:pP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在线首次公开发行前股份在童之磊、文睿公司履行</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完毕前述赔偿责任之前不得转让，同时中文在线有</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权扣减童之磊、文睿公司所获分配的现金红利用于</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承担前述赔偿责任</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）在童之磊作为中文在线控</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股股东、实际控制人期间，童之磊、文睿公司若未</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履行招股说明书披露的承诺事项，给投资者造成损</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失的，童之磊、文睿公司承诺依法承担赔偿责任。</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上述承诺内容系童之磊及文睿公司的真实意思表</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示，童之磊及文睿公司自愿接受监管机构、自律组</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织及社会公众的监督，若违反上述承诺，童之磊及</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文睿公司将依法承担相应责任。</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648" w:type="dxa"/>
            <w:tcBorders>
              <w:top w:val="single" w:sz="4" w:space="0" w:color="000000"/>
              <w:left w:val="single" w:sz="4" w:space="0" w:color="000000"/>
              <w:bottom w:val="nil" w:sz="6" w:space="0" w:color="auto"/>
              <w:right w:val="single" w:sz="4" w:space="0" w:color="000000"/>
            </w:tcBorders>
          </w:tcPr>
          <w:p>
            <w:pPr/>
          </w:p>
        </w:tc>
        <w:tc>
          <w:tcPr>
            <w:tcW w:w="40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启迪华创、王秋虎、华睿海越创投承诺：在限售期</w:t>
            </w:r>
          </w:p>
        </w:tc>
        <w:tc>
          <w:tcPr>
            <w:tcW w:w="852" w:type="dxa"/>
            <w:tcBorders>
              <w:top w:val="single" w:sz="4" w:space="0" w:color="000000"/>
              <w:left w:val="single" w:sz="4" w:space="0" w:color="000000"/>
              <w:bottom w:val="nil" w:sz="6" w:space="0" w:color="auto"/>
              <w:right w:val="single" w:sz="4" w:space="0" w:color="000000"/>
            </w:tcBorders>
          </w:tcPr>
          <w:p>
            <w:pPr/>
          </w:p>
        </w:tc>
        <w:tc>
          <w:tcPr>
            <w:tcW w:w="849" w:type="dxa"/>
            <w:tcBorders>
              <w:top w:val="single" w:sz="4" w:space="0" w:color="000000"/>
              <w:left w:val="single" w:sz="4" w:space="0" w:color="000000"/>
              <w:bottom w:val="nil" w:sz="6" w:space="0" w:color="auto"/>
              <w:right w:val="single" w:sz="4" w:space="0" w:color="000000"/>
            </w:tcBorders>
          </w:tcPr>
          <w:p>
            <w:pPr/>
          </w:p>
        </w:tc>
        <w:tc>
          <w:tcPr>
            <w:tcW w:w="804"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满后第一年减持所持有的中文在线股份数量总计不</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超过本公司</w:t>
            </w:r>
            <w:r>
              <w:rPr>
                <w:rFonts w:ascii="宋体" w:hAnsi="宋体" w:cs="宋体" w:eastAsia="宋体" w:hint="default"/>
                <w:sz w:val="18"/>
                <w:szCs w:val="18"/>
              </w:rPr>
              <w:t>/</w:t>
            </w:r>
            <w:r>
              <w:rPr>
                <w:rFonts w:ascii="宋体" w:hAnsi="宋体" w:cs="宋体" w:eastAsia="宋体" w:hint="default"/>
                <w:sz w:val="18"/>
                <w:szCs w:val="18"/>
              </w:rPr>
              <w:t>本人所持中文在线股份总数的</w:t>
            </w:r>
            <w:r>
              <w:rPr>
                <w:rFonts w:ascii="宋体" w:hAnsi="宋体" w:cs="宋体" w:eastAsia="宋体" w:hint="default"/>
                <w:spacing w:val="-52"/>
                <w:sz w:val="18"/>
                <w:szCs w:val="18"/>
              </w:rPr>
              <w:t> </w:t>
            </w:r>
            <w:r>
              <w:rPr>
                <w:rFonts w:ascii="宋体" w:hAnsi="宋体" w:cs="宋体" w:eastAsia="宋体" w:hint="default"/>
                <w:sz w:val="18"/>
                <w:szCs w:val="18"/>
              </w:rPr>
              <w:t>40%</w:t>
            </w:r>
            <w:r>
              <w:rPr>
                <w:rFonts w:ascii="宋体" w:hAnsi="宋体" w:cs="宋体" w:eastAsia="宋体" w:hint="default"/>
                <w:sz w:val="18"/>
                <w:szCs w:val="18"/>
              </w:rPr>
              <w:t>，在</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限售期满后第二年减持所持有的中文在线股份数量</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总计不超过本公司</w:t>
            </w:r>
            <w:r>
              <w:rPr>
                <w:rFonts w:ascii="宋体" w:hAnsi="宋体" w:cs="宋体" w:eastAsia="宋体" w:hint="default"/>
                <w:sz w:val="18"/>
                <w:szCs w:val="18"/>
              </w:rPr>
              <w:t>/</w:t>
            </w:r>
            <w:r>
              <w:rPr>
                <w:rFonts w:ascii="宋体" w:hAnsi="宋体" w:cs="宋体" w:eastAsia="宋体" w:hint="default"/>
                <w:sz w:val="18"/>
                <w:szCs w:val="18"/>
              </w:rPr>
              <w:t>本人所持中文在线股份余额的</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40%</w:t>
            </w:r>
            <w:r>
              <w:rPr>
                <w:rFonts w:ascii="宋体" w:hAnsi="宋体" w:cs="宋体" w:eastAsia="宋体" w:hint="default"/>
                <w:spacing w:val="-3"/>
                <w:sz w:val="18"/>
                <w:szCs w:val="18"/>
              </w:rPr>
              <w:t>；减持所持有的中文在线股份的价格根据当时的</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187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319" w:lineRule="auto" w:before="147"/>
              <w:ind w:left="23" w:right="20"/>
              <w:jc w:val="left"/>
              <w:rPr>
                <w:rFonts w:ascii="宋体" w:hAnsi="宋体" w:cs="宋体" w:eastAsia="宋体" w:hint="default"/>
                <w:sz w:val="18"/>
                <w:szCs w:val="18"/>
              </w:rPr>
            </w:pPr>
            <w:r>
              <w:rPr>
                <w:rFonts w:ascii="宋体" w:hAnsi="宋体" w:cs="宋体" w:eastAsia="宋体" w:hint="default"/>
                <w:sz w:val="18"/>
                <w:szCs w:val="18"/>
              </w:rPr>
              <w:t>北京启迪华创投资 </w:t>
            </w:r>
            <w:r>
              <w:rPr>
                <w:rFonts w:ascii="宋体" w:hAnsi="宋体" w:cs="宋体" w:eastAsia="宋体" w:hint="default"/>
                <w:spacing w:val="-4"/>
                <w:sz w:val="18"/>
                <w:szCs w:val="18"/>
              </w:rPr>
              <w:t>咨询有限公司、王秋</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虎、浙江华睿海越现</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代服务业创业投资 有限公司</w:t>
            </w:r>
          </w:p>
        </w:tc>
        <w:tc>
          <w:tcPr>
            <w:tcW w:w="16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0"/>
              <w:ind w:left="22" w:right="0"/>
              <w:jc w:val="left"/>
              <w:rPr>
                <w:rFonts w:ascii="宋体" w:hAnsi="宋体" w:cs="宋体" w:eastAsia="宋体" w:hint="default"/>
                <w:sz w:val="18"/>
                <w:szCs w:val="18"/>
              </w:rPr>
            </w:pPr>
            <w:r>
              <w:rPr>
                <w:rFonts w:ascii="宋体" w:hAnsi="宋体" w:cs="宋体" w:eastAsia="宋体" w:hint="default"/>
                <w:sz w:val="18"/>
                <w:szCs w:val="18"/>
              </w:rPr>
              <w:t>减持意向的承诺</w:t>
            </w: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65"/>
              <w:jc w:val="both"/>
              <w:rPr>
                <w:rFonts w:ascii="宋体" w:hAnsi="宋体" w:cs="宋体" w:eastAsia="宋体" w:hint="default"/>
                <w:sz w:val="18"/>
                <w:szCs w:val="18"/>
              </w:rPr>
            </w:pPr>
            <w:r>
              <w:rPr>
                <w:rFonts w:ascii="宋体" w:hAnsi="宋体" w:cs="宋体" w:eastAsia="宋体" w:hint="default"/>
                <w:sz w:val="18"/>
                <w:szCs w:val="18"/>
              </w:rPr>
              <w:t>二级市场价格确定，并应符合相关法律、法规的规 定，减持时点的中文在线股票的二级市场价格不得 低于发行价的</w:t>
            </w:r>
            <w:r>
              <w:rPr>
                <w:rFonts w:ascii="宋体" w:hAnsi="宋体" w:cs="宋体" w:eastAsia="宋体" w:hint="default"/>
                <w:spacing w:val="-46"/>
                <w:sz w:val="18"/>
                <w:szCs w:val="18"/>
              </w:rPr>
              <w:t> </w:t>
            </w:r>
            <w:r>
              <w:rPr>
                <w:rFonts w:ascii="宋体" w:hAnsi="宋体" w:cs="宋体" w:eastAsia="宋体" w:hint="default"/>
                <w:sz w:val="18"/>
                <w:szCs w:val="18"/>
              </w:rPr>
              <w:t>80%</w:t>
            </w:r>
            <w:r>
              <w:rPr>
                <w:rFonts w:ascii="宋体" w:hAnsi="宋体" w:cs="宋体" w:eastAsia="宋体" w:hint="default"/>
                <w:sz w:val="18"/>
                <w:szCs w:val="18"/>
              </w:rPr>
              <w:t>；减持所持有的中文在线股份应 符合相关法律、法规、规章的规定，减持方式包括 但不限于二级市场竞价交易方式、大宗交易方式、 协议转让方式等；</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8"/>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0"/>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应提前三个交易日予以公告，自公告之日起</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内完成，并按照深圳证券交易所的规则及时、准确</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地履行信息披露义务。未履行上述承诺时的约束措</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施如下</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）如未履行上述承诺事项，上述股东将</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在中文在线的股东大会及中国证监会指定报刊上公</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single" w:sz="4" w:space="0" w:color="000000"/>
              <w:right w:val="single" w:sz="4" w:space="0" w:color="000000"/>
            </w:tcBorders>
          </w:tcPr>
          <w:p>
            <w:pPr/>
          </w:p>
        </w:tc>
        <w:tc>
          <w:tcPr>
            <w:tcW w:w="1648" w:type="dxa"/>
            <w:tcBorders>
              <w:top w:val="nil" w:sz="6" w:space="0" w:color="auto"/>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开说明未履行承诺的具体原因，并向中文在线的股</w:t>
            </w:r>
          </w:p>
        </w:tc>
        <w:tc>
          <w:tcPr>
            <w:tcW w:w="852" w:type="dxa"/>
            <w:tcBorders>
              <w:top w:val="nil" w:sz="6" w:space="0" w:color="auto"/>
              <w:left w:val="single" w:sz="4" w:space="0" w:color="000000"/>
              <w:bottom w:val="single" w:sz="4" w:space="0" w:color="000000"/>
              <w:right w:val="single" w:sz="4" w:space="0" w:color="000000"/>
            </w:tcBorders>
          </w:tcPr>
          <w:p>
            <w:pPr/>
          </w:p>
        </w:tc>
        <w:tc>
          <w:tcPr>
            <w:tcW w:w="849" w:type="dxa"/>
            <w:tcBorders>
              <w:top w:val="nil" w:sz="6" w:space="0" w:color="auto"/>
              <w:left w:val="single" w:sz="4" w:space="0" w:color="000000"/>
              <w:bottom w:val="single" w:sz="4" w:space="0" w:color="000000"/>
              <w:right w:val="single" w:sz="4" w:space="0" w:color="000000"/>
            </w:tcBorders>
          </w:tcPr>
          <w:p>
            <w:pPr/>
          </w:p>
        </w:tc>
        <w:tc>
          <w:tcPr>
            <w:tcW w:w="80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r>
        <w:rPr/>
        <w:pict>
          <v:shape style="position:absolute;margin-left:532.177002pt;margin-top:328.960022pt;width:156.25pt;height:124.85pt;mso-position-horizontal-relative:page;mso-position-vertical-relative:page;z-index:-115396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25"/>
                      <w:szCs w:val="2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文睿公司减持中文在线股份，</w:t>
                  </w:r>
                </w:p>
              </w:txbxContent>
            </v:textbox>
            <w10:wrap type="none"/>
          </v:shape>
        </w:pict>
      </w:r>
      <w:r>
        <w:rPr/>
        <w:pict>
          <v:group style="position:absolute;margin-left:646.359985pt;margin-top:328.960022pt;width:42.1pt;height:124.85pt;mso-position-horizontal-relative:page;mso-position-vertical-relative:page;z-index:-1153936" coordorigin="12927,6579" coordsize="842,2497">
            <v:shape style="position:absolute;left:12927;top:6579;width:842;height:2497" coordorigin="12927,6579" coordsize="842,2497" path="m12927,9076l13768,9076,13768,6579,12927,6579,12927,9076xe" filled="true" fillcolor="#ffffff" stroked="false">
              <v:path arrowok="t"/>
              <v:fill type="solid"/>
            </v:shape>
            <w10:wrap type="none"/>
          </v:group>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东和社会公众投资者道歉</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）如因未履行前述相</w:t>
            </w:r>
          </w:p>
        </w:tc>
        <w:tc>
          <w:tcPr>
            <w:tcW w:w="852" w:type="dxa"/>
            <w:vMerge w:val="restart"/>
            <w:tcBorders>
              <w:top w:val="single" w:sz="15" w:space="0" w:color="000000"/>
              <w:left w:val="single" w:sz="4" w:space="0" w:color="000000"/>
              <w:right w:val="single" w:sz="4" w:space="0" w:color="000000"/>
            </w:tcBorders>
          </w:tcPr>
          <w:p>
            <w:pP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关承诺事项，上述股东持有的中文在线股份在</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月内不得减持</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）因上述股东未履行前述相关承</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诺事项而获得的收益则应依据法律、法规、规章的</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规定处理</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）如果因未履行前述相关承诺事项，</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致使投资者在证券交易中遭受损失的，上述股东将</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依法赔偿投资者该等损失。</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nil" w:sz="6" w:space="0" w:color="auto"/>
              <w:right w:val="single" w:sz="4" w:space="0" w:color="000000"/>
            </w:tcBorders>
          </w:tcPr>
          <w:p>
            <w:pPr/>
          </w:p>
        </w:tc>
        <w:tc>
          <w:tcPr>
            <w:tcW w:w="1648" w:type="dxa"/>
            <w:tcBorders>
              <w:top w:val="single" w:sz="4" w:space="0" w:color="000000"/>
              <w:left w:val="single" w:sz="4" w:space="0" w:color="000000"/>
              <w:bottom w:val="nil" w:sz="6" w:space="0" w:color="auto"/>
              <w:right w:val="single" w:sz="4" w:space="0" w:color="000000"/>
            </w:tcBorders>
          </w:tcPr>
          <w:p>
            <w:pPr/>
          </w:p>
        </w:tc>
        <w:tc>
          <w:tcPr>
            <w:tcW w:w="40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文睿公司承诺：在限售期满后第一年减持所持有的</w:t>
            </w:r>
          </w:p>
        </w:tc>
        <w:tc>
          <w:tcPr>
            <w:tcW w:w="852" w:type="dxa"/>
            <w:tcBorders>
              <w:top w:val="single" w:sz="4" w:space="0" w:color="000000"/>
              <w:left w:val="single" w:sz="4" w:space="0" w:color="000000"/>
              <w:bottom w:val="nil" w:sz="6" w:space="0" w:color="auto"/>
              <w:right w:val="single" w:sz="4" w:space="0" w:color="000000"/>
            </w:tcBorders>
          </w:tcPr>
          <w:p>
            <w:pPr/>
          </w:p>
        </w:tc>
        <w:tc>
          <w:tcPr>
            <w:tcW w:w="849" w:type="dxa"/>
            <w:tcBorders>
              <w:top w:val="single" w:sz="4" w:space="0" w:color="000000"/>
              <w:left w:val="single" w:sz="4" w:space="0" w:color="000000"/>
              <w:bottom w:val="nil" w:sz="6" w:space="0" w:color="auto"/>
              <w:right w:val="single" w:sz="4" w:space="0" w:color="000000"/>
            </w:tcBorders>
          </w:tcPr>
          <w:p>
            <w:pPr/>
          </w:p>
        </w:tc>
        <w:tc>
          <w:tcPr>
            <w:tcW w:w="804"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中文在线股份数量总计不超过本公司所持中文在线</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股份总数的</w:t>
            </w:r>
            <w:r>
              <w:rPr>
                <w:rFonts w:ascii="宋体" w:hAnsi="宋体" w:cs="宋体" w:eastAsia="宋体" w:hint="default"/>
                <w:spacing w:val="-46"/>
                <w:sz w:val="18"/>
                <w:szCs w:val="18"/>
              </w:rPr>
              <w:t> </w:t>
            </w:r>
            <w:r>
              <w:rPr>
                <w:rFonts w:ascii="宋体" w:hAnsi="宋体" w:cs="宋体" w:eastAsia="宋体" w:hint="default"/>
                <w:sz w:val="18"/>
                <w:szCs w:val="18"/>
              </w:rPr>
              <w:t>40%</w:t>
            </w:r>
            <w:r>
              <w:rPr>
                <w:rFonts w:ascii="宋体" w:hAnsi="宋体" w:cs="宋体" w:eastAsia="宋体" w:hint="default"/>
                <w:sz w:val="18"/>
                <w:szCs w:val="18"/>
              </w:rPr>
              <w:t>，在限售期满后第二年减持所持有</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的中文在线股份数量总计不超过本公司所持中文在</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线股份总数余额的</w:t>
            </w:r>
            <w:r>
              <w:rPr>
                <w:rFonts w:ascii="宋体" w:hAnsi="宋体" w:cs="宋体" w:eastAsia="宋体" w:hint="default"/>
                <w:spacing w:val="-46"/>
                <w:sz w:val="18"/>
                <w:szCs w:val="18"/>
              </w:rPr>
              <w:t> </w:t>
            </w:r>
            <w:r>
              <w:rPr>
                <w:rFonts w:ascii="宋体" w:hAnsi="宋体" w:cs="宋体" w:eastAsia="宋体" w:hint="default"/>
                <w:sz w:val="18"/>
                <w:szCs w:val="18"/>
              </w:rPr>
              <w:t>40%</w:t>
            </w:r>
            <w:r>
              <w:rPr>
                <w:rFonts w:ascii="宋体" w:hAnsi="宋体" w:cs="宋体" w:eastAsia="宋体" w:hint="default"/>
                <w:sz w:val="18"/>
                <w:szCs w:val="18"/>
              </w:rPr>
              <w:t>；减持所持有的中文在线股</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份的价格根据当时的二级市场价格确定，并应符合</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相关法律、法规的规定，减持时点的中文在线股票</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的二级市场价格不得低于发行价；减持所持有的中</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804"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316" w:lineRule="auto" w:before="11"/>
              <w:ind w:left="23" w:right="173"/>
              <w:jc w:val="left"/>
              <w:rPr>
                <w:rFonts w:ascii="宋体" w:hAnsi="宋体" w:cs="宋体" w:eastAsia="宋体" w:hint="default"/>
                <w:sz w:val="18"/>
                <w:szCs w:val="18"/>
              </w:rPr>
            </w:pPr>
            <w:r>
              <w:rPr>
                <w:rFonts w:ascii="宋体" w:hAnsi="宋体" w:cs="宋体" w:eastAsia="宋体" w:hint="default"/>
                <w:sz w:val="18"/>
                <w:szCs w:val="18"/>
              </w:rPr>
              <w:t>建水文睿去企业管 理有限公司</w:t>
            </w:r>
          </w:p>
        </w:tc>
        <w:tc>
          <w:tcPr>
            <w:tcW w:w="164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减持意向的承诺</w:t>
            </w: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65"/>
              <w:jc w:val="left"/>
              <w:rPr>
                <w:rFonts w:ascii="宋体" w:hAnsi="宋体" w:cs="宋体" w:eastAsia="宋体" w:hint="default"/>
                <w:sz w:val="18"/>
                <w:szCs w:val="18"/>
              </w:rPr>
            </w:pPr>
            <w:r>
              <w:rPr>
                <w:rFonts w:ascii="宋体" w:hAnsi="宋体" w:cs="宋体" w:eastAsia="宋体" w:hint="default"/>
                <w:sz w:val="18"/>
                <w:szCs w:val="18"/>
              </w:rPr>
              <w:t>文在线股份应符合相关法律、法规、规章的规定， 减持方式包括但不限于二级市场竞价交易方式、大</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宗交易方式、协议转让方式等；在减持所持有的中</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文在线股份前，应提前三个交易日予以公告，自公</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告之日起</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个月内完成，并按照深圳证券交易所的</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规则及时、准确地履行信息披露义务。在文睿公司</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限售期满之日起两年内，童之磊若通过文睿公司间</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接减持中文在线股份、</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nil" w:sz="6" w:space="0" w:color="auto"/>
              <w:right w:val="single" w:sz="4" w:space="0" w:color="000000"/>
            </w:tcBorders>
          </w:tcPr>
          <w:p>
            <w:pPr/>
          </w:p>
        </w:tc>
        <w:tc>
          <w:tcPr>
            <w:tcW w:w="1648" w:type="dxa"/>
            <w:tcBorders>
              <w:top w:val="nil" w:sz="6" w:space="0" w:color="auto"/>
              <w:left w:val="single" w:sz="4" w:space="0" w:color="000000"/>
              <w:bottom w:val="nil" w:sz="6" w:space="0" w:color="auto"/>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减持后所持有的中文在线股份应仍能保持童之磊的</w:t>
            </w:r>
          </w:p>
        </w:tc>
        <w:tc>
          <w:tcPr>
            <w:tcW w:w="852"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4155" w:type="dxa"/>
            <w:vMerge/>
            <w:tcBorders>
              <w:left w:val="single" w:sz="4" w:space="0" w:color="000000"/>
              <w:right w:val="single" w:sz="4" w:space="0" w:color="000000"/>
            </w:tcBorders>
            <w:shd w:val="clear" w:color="auto" w:fill="D2D2D2"/>
          </w:tcPr>
          <w:p>
            <w:pPr/>
          </w:p>
        </w:tc>
        <w:tc>
          <w:tcPr>
            <w:tcW w:w="1649" w:type="dxa"/>
            <w:tcBorders>
              <w:top w:val="nil" w:sz="6" w:space="0" w:color="auto"/>
              <w:left w:val="single" w:sz="4" w:space="0" w:color="000000"/>
              <w:bottom w:val="single" w:sz="4" w:space="0" w:color="000000"/>
              <w:right w:val="single" w:sz="4" w:space="0" w:color="000000"/>
            </w:tcBorders>
          </w:tcPr>
          <w:p>
            <w:pPr/>
          </w:p>
        </w:tc>
        <w:tc>
          <w:tcPr>
            <w:tcW w:w="1648" w:type="dxa"/>
            <w:tcBorders>
              <w:top w:val="nil" w:sz="6" w:space="0" w:color="auto"/>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控股地位。</w:t>
            </w:r>
          </w:p>
        </w:tc>
        <w:tc>
          <w:tcPr>
            <w:tcW w:w="852" w:type="dxa"/>
            <w:tcBorders>
              <w:top w:val="nil" w:sz="6" w:space="0" w:color="auto"/>
              <w:left w:val="single" w:sz="4" w:space="0" w:color="000000"/>
              <w:bottom w:val="single" w:sz="4" w:space="0" w:color="000000"/>
              <w:right w:val="single" w:sz="4" w:space="0" w:color="000000"/>
            </w:tcBorders>
          </w:tcPr>
          <w:p>
            <w:pPr/>
          </w:p>
        </w:tc>
        <w:tc>
          <w:tcPr>
            <w:tcW w:w="849" w:type="dxa"/>
            <w:tcBorders>
              <w:top w:val="nil" w:sz="6" w:space="0" w:color="auto"/>
              <w:left w:val="single" w:sz="4" w:space="0" w:color="000000"/>
              <w:bottom w:val="single" w:sz="4" w:space="0" w:color="000000"/>
              <w:right w:val="single" w:sz="4" w:space="0" w:color="000000"/>
            </w:tcBorders>
          </w:tcPr>
          <w:p>
            <w:pPr/>
          </w:p>
        </w:tc>
        <w:tc>
          <w:tcPr>
            <w:tcW w:w="804" w:type="dxa"/>
            <w:tcBorders>
              <w:top w:val="nil" w:sz="6" w:space="0" w:color="auto"/>
              <w:left w:val="single" w:sz="4" w:space="0" w:color="000000"/>
              <w:bottom w:val="single" w:sz="4" w:space="0" w:color="000000"/>
              <w:right w:val="single" w:sz="4" w:space="0" w:color="000000"/>
            </w:tcBorders>
          </w:tcPr>
          <w:p>
            <w:pPr/>
          </w:p>
        </w:tc>
      </w:tr>
      <w:tr>
        <w:trPr>
          <w:trHeight w:val="1610"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减持意向的承诺</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both"/>
              <w:rPr>
                <w:rFonts w:ascii="宋体" w:hAnsi="宋体" w:cs="宋体" w:eastAsia="宋体" w:hint="default"/>
                <w:sz w:val="18"/>
                <w:szCs w:val="18"/>
              </w:rPr>
            </w:pPr>
            <w:r>
              <w:rPr>
                <w:rFonts w:ascii="宋体" w:hAnsi="宋体" w:cs="宋体" w:eastAsia="宋体" w:hint="default"/>
                <w:spacing w:val="-3"/>
                <w:sz w:val="18"/>
                <w:szCs w:val="18"/>
              </w:rPr>
              <w:t>（</w:t>
            </w:r>
            <w:r>
              <w:rPr>
                <w:rFonts w:ascii="宋体" w:hAnsi="宋体" w:cs="宋体" w:eastAsia="宋体" w:hint="default"/>
                <w:spacing w:val="-3"/>
                <w:sz w:val="18"/>
                <w:szCs w:val="18"/>
              </w:rPr>
              <w:t>1</w:t>
            </w:r>
            <w:r>
              <w:rPr>
                <w:rFonts w:ascii="宋体" w:hAnsi="宋体" w:cs="宋体" w:eastAsia="宋体" w:hint="default"/>
                <w:spacing w:val="-3"/>
                <w:sz w:val="18"/>
                <w:szCs w:val="18"/>
              </w:rPr>
              <w:t>）童之磊关于直接持有中文在线股份的减持承诺</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公司控股股东、实际控制人童之磊承诺：有意长期 持有中文在线股份；在限售期届满之日起两年内减 持直接持有的中文在线股份数量合计不超过其持有 的中文在线股份的</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z w:val="18"/>
                <w:szCs w:val="18"/>
              </w:rPr>
              <w:t>；减持价格不低于中文在线</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20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首次公开股票时的发行价；减持所持有的中文在线</w:t>
            </w:r>
          </w:p>
        </w:tc>
        <w:tc>
          <w:tcPr>
            <w:tcW w:w="852" w:type="dxa"/>
            <w:vMerge w:val="restart"/>
            <w:tcBorders>
              <w:top w:val="single" w:sz="15" w:space="0" w:color="000000"/>
              <w:left w:val="single" w:sz="4" w:space="0" w:color="000000"/>
              <w:right w:val="single" w:sz="4" w:space="0" w:color="000000"/>
            </w:tcBorders>
          </w:tcPr>
          <w:p>
            <w:pP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股份应符合相关法律、法规、规章的规定，减持方</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式包括但不限于二级市场竞价交易方式、大宗交易</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方式、协议转让方式等；在减持所持有的中文在线</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股份前，应提前三个交易日予以公告，自公告之日</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起</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个月内完成，并按照深圳证券交易所的规则及</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时、准确地履行信息披露义务</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）童之磊关于持</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有文睿公司股权的减持承诺公司控股股东、实际控</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制人童之磊承诺：在限售期满后第一年减持所持有</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的文睿公司股权不得超过所持有文睿公司股权的</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25%</w:t>
            </w:r>
            <w:r>
              <w:rPr>
                <w:rFonts w:ascii="宋体" w:hAnsi="宋体" w:cs="宋体" w:eastAsia="宋体" w:hint="default"/>
                <w:spacing w:val="-3"/>
                <w:sz w:val="18"/>
                <w:szCs w:val="18"/>
              </w:rPr>
              <w:t>，在限售期满后第二年减持所持有的文睿公司股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权不得超过所持有文睿公司股权余额的</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z w:val="18"/>
                <w:szCs w:val="18"/>
              </w:rPr>
              <w:t>，童之</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磊减持所持有的文睿公司股权应符合相关法律、法</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规、规章的规定；童之磊减持所持有的文睿公司股</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权的价格根据股权转让相关方协商确定，并应符合</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相关法律、法规的规定，减持时点中文在线股票的</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二级市场价格不得低于发行价；在减持所持有的文</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睿公司股权前，应提前三个交易日予以公告，自公</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告之日起</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个月内完成，并按照深圳证券交易所的</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规则及时、准确地履行信息披露义务。未履行上述</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承诺时的约束措施如下</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）如未履行上述承诺事</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项，上述股东将在中文在线的股东大会及中国证监</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会指定报刊上公开说明未履行承诺的具体原因，并</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向中文在线的股东和社会公众投资者道歉</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）如</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因未履行前述相关承诺事项，上述股东持有的中文</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在线股份在</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个月内不得减持</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）因上述股东未</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履行前述相关承诺事项而获得的收益则应依据法</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律、法规、规章的规定处理</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）如果因未履行前</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3"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述相关承诺事项，致使投资者在证券交易中遭受损</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57"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失的，上述股东将依法赔偿投资者该等损失。</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6"/>
      </w:tblGrid>
      <w:tr>
        <w:trPr>
          <w:trHeight w:val="9426" w:hRule="exact"/>
        </w:trPr>
        <w:tc>
          <w:tcPr>
            <w:tcW w:w="4155" w:type="dxa"/>
            <w:tcBorders>
              <w:top w:val="single" w:sz="15" w:space="0" w:color="000000"/>
              <w:left w:val="single" w:sz="4" w:space="0" w:color="000000"/>
              <w:bottom w:val="single" w:sz="4" w:space="0" w:color="000000"/>
              <w:right w:val="single" w:sz="4" w:space="0" w:color="000000"/>
            </w:tcBorders>
            <w:shd w:val="clear" w:color="auto" w:fill="D2D2D2"/>
          </w:tcPr>
          <w:p>
            <w:pPr/>
          </w:p>
        </w:tc>
        <w:tc>
          <w:tcPr>
            <w:tcW w:w="164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23" w:right="173"/>
              <w:jc w:val="left"/>
              <w:rPr>
                <w:rFonts w:ascii="宋体" w:hAnsi="宋体" w:cs="宋体" w:eastAsia="宋体" w:hint="default"/>
                <w:sz w:val="18"/>
                <w:szCs w:val="18"/>
              </w:rPr>
            </w:pPr>
            <w:r>
              <w:rPr>
                <w:rFonts w:ascii="宋体" w:hAnsi="宋体" w:cs="宋体" w:eastAsia="宋体" w:hint="default"/>
                <w:sz w:val="18"/>
                <w:szCs w:val="18"/>
              </w:rPr>
              <w:t>中文在线数字出版 集团股份有限公司</w:t>
            </w:r>
          </w:p>
        </w:tc>
        <w:tc>
          <w:tcPr>
            <w:tcW w:w="164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利润分配政策的承 诺</w:t>
            </w:r>
          </w:p>
        </w:tc>
        <w:tc>
          <w:tcPr>
            <w:tcW w:w="4058"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为了建立健全公司科学、持续、稳定的分红决策和 监督机制，积极回报投资者，引导投资者树立长期 投资和理性投资理念，根据中国证监会《上市公司 监管指引第</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号</w:t>
            </w:r>
            <w:r>
              <w:rPr>
                <w:rFonts w:ascii="宋体" w:hAnsi="宋体" w:cs="宋体" w:eastAsia="宋体" w:hint="default"/>
                <w:sz w:val="18"/>
                <w:szCs w:val="18"/>
              </w:rPr>
              <w:t>--</w:t>
            </w:r>
            <w:r>
              <w:rPr>
                <w:rFonts w:ascii="宋体" w:hAnsi="宋体" w:cs="宋体" w:eastAsia="宋体" w:hint="default"/>
                <w:sz w:val="18"/>
                <w:szCs w:val="18"/>
              </w:rPr>
              <w:t>上市公司现金分红》的要求以及</w:t>
            </w:r>
          </w:p>
          <w:p>
            <w:pPr>
              <w:pStyle w:val="TableParagraph"/>
              <w:spacing w:line="240" w:lineRule="auto" w:before="17"/>
              <w:ind w:left="22" w:right="0"/>
              <w:jc w:val="left"/>
              <w:rPr>
                <w:rFonts w:ascii="宋体" w:hAnsi="宋体" w:cs="宋体" w:eastAsia="宋体" w:hint="default"/>
                <w:sz w:val="18"/>
                <w:szCs w:val="18"/>
              </w:rPr>
            </w:pPr>
            <w:r>
              <w:rPr>
                <w:rFonts w:ascii="宋体" w:hAnsi="宋体" w:cs="宋体" w:eastAsia="宋体" w:hint="default"/>
                <w:sz w:val="18"/>
                <w:szCs w:val="18"/>
              </w:rPr>
              <w:t>《公司章程（草案</w:t>
            </w:r>
            <w:r>
              <w:rPr>
                <w:rFonts w:ascii="宋体" w:hAnsi="宋体" w:cs="宋体" w:eastAsia="宋体" w:hint="default"/>
                <w:spacing w:val="-90"/>
                <w:sz w:val="18"/>
                <w:szCs w:val="18"/>
              </w:rPr>
              <w:t>）</w:t>
            </w:r>
            <w:r>
              <w:rPr>
                <w:rFonts w:ascii="宋体" w:hAnsi="宋体" w:cs="宋体" w:eastAsia="宋体" w:hint="default"/>
                <w:sz w:val="18"/>
                <w:szCs w:val="18"/>
              </w:rPr>
              <w:t>》的规定，</w:t>
            </w:r>
            <w:r>
              <w:rPr>
                <w:rFonts w:ascii="宋体" w:hAnsi="宋体" w:cs="宋体" w:eastAsia="宋体" w:hint="default"/>
                <w:sz w:val="18"/>
                <w:szCs w:val="18"/>
              </w:rPr>
              <w:t>2014</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18</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316" w:lineRule="auto" w:before="76"/>
              <w:ind w:left="22" w:right="21"/>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4"/>
                <w:sz w:val="18"/>
                <w:szCs w:val="18"/>
              </w:rPr>
              <w:t> </w:t>
            </w:r>
            <w:r>
              <w:rPr>
                <w:rFonts w:ascii="宋体" w:hAnsi="宋体" w:cs="宋体" w:eastAsia="宋体" w:hint="default"/>
                <w:sz w:val="18"/>
                <w:szCs w:val="18"/>
              </w:rPr>
              <w:t>2014</w:t>
            </w:r>
            <w:r>
              <w:rPr>
                <w:rFonts w:ascii="宋体" w:hAnsi="宋体" w:cs="宋体" w:eastAsia="宋体" w:hint="default"/>
                <w:spacing w:val="-44"/>
                <w:sz w:val="18"/>
                <w:szCs w:val="18"/>
              </w:rPr>
              <w:t> </w:t>
            </w:r>
            <w:r>
              <w:rPr>
                <w:rFonts w:ascii="宋体" w:hAnsi="宋体" w:cs="宋体" w:eastAsia="宋体" w:hint="default"/>
                <w:spacing w:val="-3"/>
                <w:sz w:val="18"/>
                <w:szCs w:val="18"/>
              </w:rPr>
              <w:t>年第二次临时股东大会审议通过了《关于</w:t>
            </w:r>
            <w:r>
              <w:rPr>
                <w:rFonts w:ascii="宋体" w:hAnsi="宋体" w:cs="宋体" w:eastAsia="宋体" w:hint="default"/>
                <w:sz w:val="18"/>
                <w:szCs w:val="18"/>
              </w:rPr>
              <w:t> 制定</w:t>
            </w:r>
            <w:r>
              <w:rPr>
                <w:rFonts w:ascii="宋体" w:hAnsi="宋体" w:cs="宋体" w:eastAsia="宋体" w:hint="default"/>
                <w:sz w:val="18"/>
                <w:szCs w:val="18"/>
              </w:rPr>
              <w:t>&lt;</w:t>
            </w:r>
            <w:r>
              <w:rPr>
                <w:rFonts w:ascii="宋体" w:hAnsi="宋体" w:cs="宋体" w:eastAsia="宋体" w:hint="default"/>
                <w:sz w:val="18"/>
                <w:szCs w:val="18"/>
              </w:rPr>
              <w:t>北京中文在线数字出版股份有限公司股东分 </w:t>
            </w:r>
            <w:r>
              <w:rPr>
                <w:rFonts w:ascii="宋体" w:hAnsi="宋体" w:cs="宋体" w:eastAsia="宋体" w:hint="default"/>
                <w:spacing w:val="-10"/>
                <w:sz w:val="18"/>
                <w:szCs w:val="18"/>
              </w:rPr>
              <w:t>红回报规划（上市后未来三年）</w:t>
            </w:r>
            <w:r>
              <w:rPr>
                <w:rFonts w:ascii="宋体" w:hAnsi="宋体" w:cs="宋体" w:eastAsia="宋体" w:hint="default"/>
                <w:spacing w:val="-10"/>
                <w:sz w:val="18"/>
                <w:szCs w:val="18"/>
              </w:rPr>
              <w:t>&gt;</w:t>
            </w:r>
            <w:r>
              <w:rPr>
                <w:rFonts w:ascii="宋体" w:hAnsi="宋体" w:cs="宋体" w:eastAsia="宋体" w:hint="default"/>
                <w:spacing w:val="-10"/>
                <w:sz w:val="18"/>
                <w:szCs w:val="18"/>
              </w:rPr>
              <w:t>的议案》，公司《北</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京中文在线数字出版股份有限公司股东分红回报规 </w:t>
            </w:r>
            <w:r>
              <w:rPr>
                <w:rFonts w:ascii="宋体" w:hAnsi="宋体" w:cs="宋体" w:eastAsia="宋体" w:hint="default"/>
                <w:spacing w:val="-7"/>
                <w:sz w:val="18"/>
                <w:szCs w:val="18"/>
              </w:rPr>
              <w:t>划（上市后未来三年）》具体内容如下： </w:t>
            </w:r>
            <w:r>
              <w:rPr>
                <w:rFonts w:ascii="宋体" w:hAnsi="宋体" w:cs="宋体" w:eastAsia="宋体" w:hint="default"/>
                <w:spacing w:val="-2"/>
                <w:sz w:val="18"/>
                <w:szCs w:val="18"/>
              </w:rPr>
              <w:t>（</w:t>
            </w:r>
            <w:r>
              <w:rPr>
                <w:rFonts w:ascii="宋体" w:hAnsi="宋体" w:cs="宋体" w:eastAsia="宋体" w:hint="default"/>
                <w:spacing w:val="-2"/>
                <w:sz w:val="18"/>
                <w:szCs w:val="18"/>
              </w:rPr>
              <w:t>1</w:t>
            </w:r>
            <w:r>
              <w:rPr>
                <w:rFonts w:ascii="宋体" w:hAnsi="宋体" w:cs="宋体" w:eastAsia="宋体" w:hint="default"/>
                <w:spacing w:val="-2"/>
                <w:sz w:val="18"/>
                <w:szCs w:val="18"/>
              </w:rPr>
              <w:t>）制定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股东回报规划的考虑因素 公司着眼于长远和可持 续发展，在综合分析企业经营发展实际、股东要求 和意愿、社会资金成本、外部融资环境等因素的基 础上，充分考虑公司目前及未来盈利规模、现金流 量状况、发展所处阶段、项目投资资金需求、本次 发行融资、银行信贷及债权融资环境等情况，建立 对投资者持续、稳定、科学的回报机制，保持利润 </w:t>
            </w:r>
            <w:r>
              <w:rPr>
                <w:rFonts w:ascii="宋体" w:hAnsi="宋体" w:cs="宋体" w:eastAsia="宋体" w:hint="default"/>
                <w:spacing w:val="-4"/>
                <w:sz w:val="18"/>
                <w:szCs w:val="18"/>
              </w:rPr>
              <w:t>分配政策的连续性和稳定性。（</w:t>
            </w:r>
            <w:r>
              <w:rPr>
                <w:rFonts w:ascii="宋体" w:hAnsi="宋体" w:cs="宋体" w:eastAsia="宋体" w:hint="default"/>
                <w:spacing w:val="-4"/>
                <w:sz w:val="18"/>
                <w:szCs w:val="18"/>
              </w:rPr>
              <w:t>2</w:t>
            </w:r>
            <w:r>
              <w:rPr>
                <w:rFonts w:ascii="宋体" w:hAnsi="宋体" w:cs="宋体" w:eastAsia="宋体" w:hint="default"/>
                <w:spacing w:val="-4"/>
                <w:sz w:val="18"/>
                <w:szCs w:val="18"/>
              </w:rPr>
              <w:t>）制定股东回报规</w:t>
            </w:r>
            <w:r>
              <w:rPr>
                <w:rFonts w:ascii="宋体" w:hAnsi="宋体" w:cs="宋体" w:eastAsia="宋体" w:hint="default"/>
                <w:sz w:val="18"/>
                <w:szCs w:val="18"/>
              </w:rPr>
              <w:t> 划的原则 公司上市后未来三年将坚持在符合相关 </w:t>
            </w:r>
            <w:r>
              <w:rPr>
                <w:rFonts w:ascii="宋体" w:hAnsi="宋体" w:cs="宋体" w:eastAsia="宋体" w:hint="default"/>
                <w:spacing w:val="-8"/>
                <w:sz w:val="18"/>
                <w:szCs w:val="18"/>
              </w:rPr>
              <w:t>法律法规、《公司章程（草案）》的前提下，综合考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虑投资者的合理投资回报和公司的长远发展，积极 实施持续、稳定的利润分配政策，并充分考虑股东</w:t>
            </w:r>
          </w:p>
          <w:p>
            <w:pPr>
              <w:pStyle w:val="TableParagraph"/>
              <w:spacing w:line="316" w:lineRule="auto" w:before="19"/>
              <w:ind w:left="22" w:right="-25"/>
              <w:jc w:val="left"/>
              <w:rPr>
                <w:rFonts w:ascii="宋体" w:hAnsi="宋体" w:cs="宋体" w:eastAsia="宋体" w:hint="default"/>
                <w:sz w:val="18"/>
                <w:szCs w:val="18"/>
              </w:rPr>
            </w:pPr>
            <w:r>
              <w:rPr>
                <w:rFonts w:ascii="宋体" w:hAnsi="宋体" w:cs="宋体" w:eastAsia="宋体" w:hint="default"/>
                <w:spacing w:val="-8"/>
                <w:sz w:val="18"/>
                <w:szCs w:val="18"/>
              </w:rPr>
              <w:t>（特别是中小股东）、独立董事和监事的意见。（</w:t>
            </w:r>
            <w:r>
              <w:rPr>
                <w:rFonts w:ascii="宋体" w:hAnsi="宋体" w:cs="宋体" w:eastAsia="宋体" w:hint="default"/>
                <w:spacing w:val="-8"/>
                <w:sz w:val="18"/>
                <w:szCs w:val="18"/>
              </w:rPr>
              <w:t>3</w:t>
            </w:r>
            <w:r>
              <w:rPr>
                <w:rFonts w:ascii="宋体" w:hAnsi="宋体" w:cs="宋体" w:eastAsia="宋体" w:hint="default"/>
                <w:spacing w:val="-8"/>
                <w:sz w:val="18"/>
                <w:szCs w:val="18"/>
              </w:rPr>
              <w:t>）</w:t>
            </w:r>
            <w:r>
              <w:rPr>
                <w:rFonts w:ascii="宋体" w:hAnsi="宋体" w:cs="宋体" w:eastAsia="宋体" w:hint="default"/>
                <w:spacing w:val="-78"/>
                <w:sz w:val="18"/>
                <w:szCs w:val="18"/>
              </w:rPr>
              <w:t> </w:t>
            </w:r>
            <w:r>
              <w:rPr>
                <w:rFonts w:ascii="宋体" w:hAnsi="宋体" w:cs="宋体" w:eastAsia="宋体" w:hint="default"/>
                <w:sz w:val="18"/>
                <w:szCs w:val="18"/>
              </w:rPr>
              <w:t>股东回报规划的决策机制 </w:t>
            </w:r>
            <w:r>
              <w:rPr>
                <w:rFonts w:ascii="宋体" w:hAnsi="宋体" w:cs="宋体" w:eastAsia="宋体" w:hint="default"/>
                <w:spacing w:val="-5"/>
                <w:sz w:val="18"/>
                <w:szCs w:val="18"/>
              </w:rPr>
              <w:t>公司管理层、董事会应当</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认真研究和论证公司现金分红的时机、条件和最低 比例、调整的条件及其决策程序要求等事宜，结合 公司盈利情况、资金需求和股东回报规划提出合理 的分红建议和预案，经董事会审议通过后提交股东 大会批准。独立董事应对分红预案独立发表明确意 见。股东大会应依法依规对董事会提出的分红议案</w:t>
            </w:r>
          </w:p>
        </w:tc>
        <w:tc>
          <w:tcPr>
            <w:tcW w:w="85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0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1280"/>
        </w:sectPr>
      </w:pPr>
    </w:p>
    <w:p>
      <w:pPr>
        <w:spacing w:line="240" w:lineRule="auto" w:before="4"/>
        <w:rPr>
          <w:rFonts w:ascii="Times New Roman" w:hAnsi="Times New Roman" w:cs="Times New Roman" w:eastAsia="Times New Roman" w:hint="default"/>
          <w:sz w:val="3"/>
          <w:szCs w:val="3"/>
        </w:rPr>
      </w:pPr>
      <w:r>
        <w:rPr/>
        <w:pict>
          <v:shape style="position:absolute;margin-left:514.171021pt;margin-top:57.180008pt;width:174.25pt;height:468.1pt;mso-position-horizontal-relative:page;mso-position-vertical-relative:page;z-index:-115388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在召开股东大会时除现场会议外，</w:t>
                  </w:r>
                </w:p>
              </w:txbxContent>
            </v:textbox>
            <w10:wrap type="none"/>
          </v:shape>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332"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vMerge w:val="restart"/>
            <w:tcBorders>
              <w:top w:val="single" w:sz="15" w:space="0" w:color="000000"/>
              <w:left w:val="single" w:sz="4" w:space="0" w:color="000000"/>
              <w:right w:val="single" w:sz="4" w:space="0" w:color="000000"/>
            </w:tcBorders>
          </w:tcPr>
          <w:p>
            <w:pPr/>
          </w:p>
        </w:tc>
        <w:tc>
          <w:tcPr>
            <w:tcW w:w="1648" w:type="dxa"/>
            <w:vMerge w:val="restart"/>
            <w:tcBorders>
              <w:top w:val="single" w:sz="15" w:space="0" w:color="000000"/>
              <w:left w:val="single" w:sz="4" w:space="0" w:color="000000"/>
              <w:right w:val="single" w:sz="4" w:space="0" w:color="000000"/>
            </w:tcBorders>
          </w:tcPr>
          <w:p>
            <w:pPr/>
          </w:p>
        </w:tc>
        <w:tc>
          <w:tcPr>
            <w:tcW w:w="4058"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进行表决，公司董事会在有关利润分配方案的决策</w:t>
            </w:r>
          </w:p>
        </w:tc>
        <w:tc>
          <w:tcPr>
            <w:tcW w:w="852" w:type="dxa"/>
            <w:vMerge w:val="restart"/>
            <w:tcBorders>
              <w:top w:val="single" w:sz="15" w:space="0" w:color="000000"/>
              <w:left w:val="single" w:sz="4" w:space="0" w:color="000000"/>
              <w:right w:val="single" w:sz="4" w:space="0" w:color="000000"/>
            </w:tcBorders>
          </w:tcPr>
          <w:p>
            <w:pPr>
              <w:pStyle w:val="TableParagraph"/>
              <w:spacing w:line="9361"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42.1pt;height:468.1pt;mso-position-horizontal-relative:char;mso-position-vertical-relative:line" coordorigin="0,0" coordsize="842,9362">
                  <v:group style="position:absolute;left:0;top:0;width:842;height:9362" coordorigin="0,0" coordsize="842,9362">
                    <v:shape style="position:absolute;left:0;top:0;width:842;height:9362" coordorigin="0,0" coordsize="842,9362" path="m0,9361l841,9361,841,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849" w:type="dxa"/>
            <w:vMerge w:val="restart"/>
            <w:tcBorders>
              <w:top w:val="single" w:sz="15" w:space="0" w:color="000000"/>
              <w:left w:val="single" w:sz="4" w:space="0" w:color="000000"/>
              <w:right w:val="single" w:sz="4" w:space="0" w:color="000000"/>
            </w:tcBorders>
          </w:tcPr>
          <w:p>
            <w:pPr/>
          </w:p>
        </w:tc>
        <w:tc>
          <w:tcPr>
            <w:tcW w:w="804" w:type="dxa"/>
            <w:vMerge w:val="restart"/>
            <w:tcBorders>
              <w:top w:val="single" w:sz="15" w:space="0" w:color="000000"/>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和论证过程中，可以通过电话、传真、信函、电子</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邮件、公司网站上的投资者关系互动平台等方式，</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与中小股东进行沟通和交流，充分听取其意见和诉</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求，及时答复其关心的问题。为了切实保障社会公</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众股股东参与股东大会的权利，董事会、独立董事</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可以向公司股东征集其在股东大会上的投票权。公</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司应当严格执</w:t>
            </w:r>
            <w:r>
              <w:rPr>
                <w:rFonts w:ascii="宋体" w:hAnsi="宋体" w:cs="宋体" w:eastAsia="宋体" w:hint="default"/>
                <w:spacing w:val="-16"/>
                <w:sz w:val="18"/>
                <w:szCs w:val="18"/>
              </w:rPr>
              <w:t>行</w:t>
            </w:r>
            <w:r>
              <w:rPr>
                <w:rFonts w:ascii="宋体" w:hAnsi="宋体" w:cs="宋体" w:eastAsia="宋体" w:hint="default"/>
                <w:sz w:val="18"/>
                <w:szCs w:val="18"/>
              </w:rPr>
              <w:t>《公司章</w:t>
            </w:r>
            <w:r>
              <w:rPr>
                <w:rFonts w:ascii="宋体" w:hAnsi="宋体" w:cs="宋体" w:eastAsia="宋体" w:hint="default"/>
                <w:spacing w:val="-16"/>
                <w:sz w:val="18"/>
                <w:szCs w:val="18"/>
              </w:rPr>
              <w:t>程</w:t>
            </w:r>
            <w:r>
              <w:rPr>
                <w:rFonts w:ascii="宋体" w:hAnsi="宋体" w:cs="宋体" w:eastAsia="宋体" w:hint="default"/>
                <w:spacing w:val="-2"/>
                <w:sz w:val="18"/>
                <w:szCs w:val="18"/>
              </w:rPr>
              <w:t>（</w:t>
            </w:r>
            <w:r>
              <w:rPr>
                <w:rFonts w:ascii="宋体" w:hAnsi="宋体" w:cs="宋体" w:eastAsia="宋体" w:hint="default"/>
                <w:sz w:val="18"/>
                <w:szCs w:val="18"/>
              </w:rPr>
              <w:t>草案</w:t>
            </w:r>
            <w:r>
              <w:rPr>
                <w:rFonts w:ascii="宋体" w:hAnsi="宋体" w:cs="宋体" w:eastAsia="宋体" w:hint="default"/>
                <w:spacing w:val="-90"/>
                <w:sz w:val="18"/>
                <w:szCs w:val="18"/>
              </w:rPr>
              <w:t>）</w:t>
            </w:r>
            <w:r>
              <w:rPr>
                <w:rFonts w:ascii="宋体" w:hAnsi="宋体" w:cs="宋体" w:eastAsia="宋体" w:hint="default"/>
                <w:spacing w:val="-16"/>
                <w:sz w:val="18"/>
                <w:szCs w:val="18"/>
              </w:rPr>
              <w:t>》</w:t>
            </w:r>
            <w:r>
              <w:rPr>
                <w:rFonts w:ascii="宋体" w:hAnsi="宋体" w:cs="宋体" w:eastAsia="宋体" w:hint="default"/>
                <w:sz w:val="18"/>
                <w:szCs w:val="18"/>
              </w:rPr>
              <w:t>确定的现金分</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红政策以及股东大会审议批准的现金分红具体方</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案</w:t>
            </w:r>
            <w:r>
              <w:rPr>
                <w:rFonts w:ascii="宋体" w:hAnsi="宋体" w:cs="宋体" w:eastAsia="宋体" w:hint="default"/>
                <w:spacing w:val="-13"/>
                <w:sz w:val="18"/>
                <w:szCs w:val="18"/>
              </w:rPr>
              <w:t>。</w:t>
            </w:r>
            <w:r>
              <w:rPr>
                <w:rFonts w:ascii="宋体" w:hAnsi="宋体" w:cs="宋体" w:eastAsia="宋体" w:hint="default"/>
                <w:sz w:val="18"/>
                <w:szCs w:val="18"/>
              </w:rPr>
              <w:t>确有必要</w:t>
            </w:r>
            <w:r>
              <w:rPr>
                <w:rFonts w:ascii="宋体" w:hAnsi="宋体" w:cs="宋体" w:eastAsia="宋体" w:hint="default"/>
                <w:spacing w:val="-13"/>
                <w:sz w:val="18"/>
                <w:szCs w:val="18"/>
              </w:rPr>
              <w:t>对</w:t>
            </w:r>
            <w:r>
              <w:rPr>
                <w:rFonts w:ascii="宋体" w:hAnsi="宋体" w:cs="宋体" w:eastAsia="宋体" w:hint="default"/>
                <w:sz w:val="18"/>
                <w:szCs w:val="18"/>
              </w:rPr>
              <w:t>《公司章</w:t>
            </w:r>
            <w:r>
              <w:rPr>
                <w:rFonts w:ascii="宋体" w:hAnsi="宋体" w:cs="宋体" w:eastAsia="宋体" w:hint="default"/>
                <w:spacing w:val="-13"/>
                <w:sz w:val="18"/>
                <w:szCs w:val="18"/>
              </w:rPr>
              <w:t>程</w:t>
            </w:r>
            <w:r>
              <w:rPr>
                <w:rFonts w:ascii="宋体" w:hAnsi="宋体" w:cs="宋体" w:eastAsia="宋体" w:hint="default"/>
                <w:sz w:val="18"/>
                <w:szCs w:val="18"/>
              </w:rPr>
              <w:t>（草案</w:t>
            </w:r>
            <w:r>
              <w:rPr>
                <w:rFonts w:ascii="宋体" w:hAnsi="宋体" w:cs="宋体" w:eastAsia="宋体" w:hint="default"/>
                <w:spacing w:val="-90"/>
                <w:sz w:val="18"/>
                <w:szCs w:val="18"/>
              </w:rPr>
              <w:t>）</w:t>
            </w:r>
            <w:r>
              <w:rPr>
                <w:rFonts w:ascii="宋体" w:hAnsi="宋体" w:cs="宋体" w:eastAsia="宋体" w:hint="default"/>
                <w:spacing w:val="-13"/>
                <w:sz w:val="18"/>
                <w:szCs w:val="18"/>
              </w:rPr>
              <w:t>》</w:t>
            </w:r>
            <w:r>
              <w:rPr>
                <w:rFonts w:ascii="宋体" w:hAnsi="宋体" w:cs="宋体" w:eastAsia="宋体" w:hint="default"/>
                <w:sz w:val="18"/>
                <w:szCs w:val="18"/>
              </w:rPr>
              <w:t>确定的现金分</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红政策进行调整或者变更的，应当满足《公司章程</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（草案</w:t>
            </w:r>
            <w:r>
              <w:rPr>
                <w:rFonts w:ascii="宋体" w:hAnsi="宋体" w:cs="宋体" w:eastAsia="宋体" w:hint="default"/>
                <w:spacing w:val="-90"/>
                <w:sz w:val="18"/>
                <w:szCs w:val="18"/>
              </w:rPr>
              <w:t>）</w:t>
            </w:r>
            <w:r>
              <w:rPr>
                <w:rFonts w:ascii="宋体" w:hAnsi="宋体" w:cs="宋体" w:eastAsia="宋体" w:hint="default"/>
                <w:spacing w:val="-16"/>
                <w:sz w:val="18"/>
                <w:szCs w:val="18"/>
              </w:rPr>
              <w:t>》</w:t>
            </w:r>
            <w:r>
              <w:rPr>
                <w:rFonts w:ascii="宋体" w:hAnsi="宋体" w:cs="宋体" w:eastAsia="宋体" w:hint="default"/>
                <w:sz w:val="18"/>
                <w:szCs w:val="18"/>
              </w:rPr>
              <w:t>规定的条件</w:t>
            </w:r>
            <w:r>
              <w:rPr>
                <w:rFonts w:ascii="宋体" w:hAnsi="宋体" w:cs="宋体" w:eastAsia="宋体" w:hint="default"/>
                <w:spacing w:val="-16"/>
                <w:sz w:val="18"/>
                <w:szCs w:val="18"/>
              </w:rPr>
              <w:t>，</w:t>
            </w:r>
            <w:r>
              <w:rPr>
                <w:rFonts w:ascii="宋体" w:hAnsi="宋体" w:cs="宋体" w:eastAsia="宋体" w:hint="default"/>
                <w:sz w:val="18"/>
                <w:szCs w:val="18"/>
              </w:rPr>
              <w:t>经过详细论证后</w:t>
            </w:r>
            <w:r>
              <w:rPr>
                <w:rFonts w:ascii="宋体" w:hAnsi="宋体" w:cs="宋体" w:eastAsia="宋体" w:hint="default"/>
                <w:spacing w:val="-16"/>
                <w:sz w:val="18"/>
                <w:szCs w:val="18"/>
              </w:rPr>
              <w:t>，</w:t>
            </w:r>
            <w:r>
              <w:rPr>
                <w:rFonts w:ascii="宋体" w:hAnsi="宋体" w:cs="宋体" w:eastAsia="宋体" w:hint="default"/>
                <w:sz w:val="18"/>
                <w:szCs w:val="18"/>
              </w:rPr>
              <w:t>履行相应</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的决策程序，并经出席股东大会的股东所持表决权</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以上通过。</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还应向股东提供网络形式的投票平台。公司应严格</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按照有关规定在定期报告中披露利润分配预案和现</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金分红政策的制定及执行情况。公司年度盈利但未</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提出现金分红预案的，应当在年报中详细说明未分</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红的原因、未用于分红的资金留存公司的用途和使</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用计划，独立董事应当对此发表独立意见并公开披</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露，董事会审议通过后提交股东大会审议表决。在</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召开股东大会时除现场会议外，还应向股东提供网</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络形式的投票平台。</w:t>
            </w:r>
            <w:r>
              <w:rPr>
                <w:rFonts w:ascii="宋体" w:hAnsi="宋体" w:cs="宋体" w:eastAsia="宋体" w:hint="default"/>
                <w:spacing w:val="-48"/>
                <w:sz w:val="18"/>
                <w:szCs w:val="18"/>
              </w:rPr>
              <w:t> </w:t>
            </w:r>
            <w:r>
              <w:rPr>
                <w:rFonts w:ascii="宋体" w:hAnsi="宋体" w:cs="宋体" w:eastAsia="宋体" w:hint="default"/>
                <w:sz w:val="18"/>
                <w:szCs w:val="18"/>
              </w:rPr>
              <w:t>监事会应对董事会和管理层执</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行公司分红政策和股东回报规划的情况及决策程序</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进行监督。公司如因外部经营环境或自身经营状况</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发生重大变化而需调整分红政策和股东回报规划</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的，应以股东权益保护为出发点，详细论证和说明</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原因，由董事会作出决议，独立董事发表独立意见</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2" w:hRule="exact"/>
        </w:trPr>
        <w:tc>
          <w:tcPr>
            <w:tcW w:w="4155" w:type="dxa"/>
            <w:vMerge/>
            <w:tcBorders>
              <w:left w:val="single" w:sz="4" w:space="0" w:color="000000"/>
              <w:right w:val="single" w:sz="4" w:space="0" w:color="000000"/>
            </w:tcBorders>
            <w:shd w:val="clear" w:color="auto" w:fill="D2D2D2"/>
          </w:tcPr>
          <w:p>
            <w:pPr/>
          </w:p>
        </w:tc>
        <w:tc>
          <w:tcPr>
            <w:tcW w:w="1649" w:type="dxa"/>
            <w:vMerge/>
            <w:tcBorders>
              <w:left w:val="single" w:sz="4" w:space="0" w:color="000000"/>
              <w:right w:val="single" w:sz="4" w:space="0" w:color="000000"/>
            </w:tcBorders>
          </w:tcPr>
          <w:p>
            <w:pPr/>
          </w:p>
        </w:tc>
        <w:tc>
          <w:tcPr>
            <w:tcW w:w="1648" w:type="dxa"/>
            <w:vMerge/>
            <w:tcBorders>
              <w:left w:val="single" w:sz="4" w:space="0" w:color="000000"/>
              <w:right w:val="single" w:sz="4" w:space="0" w:color="000000"/>
            </w:tcBorders>
          </w:tcPr>
          <w:p>
            <w:pPr/>
          </w:p>
        </w:tc>
        <w:tc>
          <w:tcPr>
            <w:tcW w:w="40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并公开披露，然后提交股东大会进行表决。 （</w:t>
            </w:r>
            <w:r>
              <w:rPr>
                <w:rFonts w:ascii="宋体" w:hAnsi="宋体" w:cs="宋体" w:eastAsia="宋体" w:hint="default"/>
                <w:sz w:val="18"/>
                <w:szCs w:val="18"/>
              </w:rPr>
              <w:t>4</w:t>
            </w:r>
            <w:r>
              <w:rPr>
                <w:rFonts w:ascii="宋体" w:hAnsi="宋体" w:cs="宋体" w:eastAsia="宋体" w:hint="default"/>
                <w:sz w:val="18"/>
                <w:szCs w:val="18"/>
              </w:rPr>
              <w:t>）</w:t>
            </w:r>
          </w:p>
        </w:tc>
        <w:tc>
          <w:tcPr>
            <w:tcW w:w="852" w:type="dxa"/>
            <w:vMerge/>
            <w:tcBorders>
              <w:left w:val="single" w:sz="4" w:space="0" w:color="000000"/>
              <w:right w:val="single" w:sz="4" w:space="0" w:color="000000"/>
            </w:tcBorders>
          </w:tcPr>
          <w:p>
            <w:pPr/>
          </w:p>
        </w:tc>
        <w:tc>
          <w:tcPr>
            <w:tcW w:w="849" w:type="dxa"/>
            <w:vMerge/>
            <w:tcBorders>
              <w:left w:val="single" w:sz="4" w:space="0" w:color="000000"/>
              <w:right w:val="single" w:sz="4" w:space="0" w:color="000000"/>
            </w:tcBorders>
          </w:tcPr>
          <w:p>
            <w:pPr/>
          </w:p>
        </w:tc>
        <w:tc>
          <w:tcPr>
            <w:tcW w:w="804" w:type="dxa"/>
            <w:vMerge/>
            <w:tcBorders>
              <w:left w:val="single" w:sz="4" w:space="0" w:color="000000"/>
              <w:right w:val="single" w:sz="4" w:space="0" w:color="000000"/>
            </w:tcBorders>
          </w:tcPr>
          <w:p>
            <w:pPr/>
          </w:p>
        </w:tc>
      </w:tr>
      <w:tr>
        <w:trPr>
          <w:trHeight w:val="318"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tcPr>
          <w:p>
            <w:pPr/>
          </w:p>
        </w:tc>
        <w:tc>
          <w:tcPr>
            <w:tcW w:w="1648" w:type="dxa"/>
            <w:vMerge/>
            <w:tcBorders>
              <w:left w:val="single" w:sz="4" w:space="0" w:color="000000"/>
              <w:bottom w:val="single" w:sz="4" w:space="0" w:color="000000"/>
              <w:right w:val="single" w:sz="4" w:space="0" w:color="000000"/>
            </w:tcBorders>
          </w:tcPr>
          <w:p>
            <w:pPr/>
          </w:p>
        </w:tc>
        <w:tc>
          <w:tcPr>
            <w:tcW w:w="40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公司未来三年股东回报具体规划 公司可以采取现</w:t>
            </w:r>
          </w:p>
        </w:tc>
        <w:tc>
          <w:tcPr>
            <w:tcW w:w="852" w:type="dxa"/>
            <w:vMerge/>
            <w:tcBorders>
              <w:left w:val="single" w:sz="4" w:space="0" w:color="000000"/>
              <w:bottom w:val="single" w:sz="4" w:space="0" w:color="000000"/>
              <w:right w:val="single" w:sz="4" w:space="0" w:color="000000"/>
            </w:tcBorders>
          </w:tcPr>
          <w:p>
            <w:pPr/>
          </w:p>
        </w:tc>
        <w:tc>
          <w:tcPr>
            <w:tcW w:w="849" w:type="dxa"/>
            <w:vMerge/>
            <w:tcBorders>
              <w:left w:val="single" w:sz="4" w:space="0" w:color="000000"/>
              <w:bottom w:val="single" w:sz="4" w:space="0" w:color="000000"/>
              <w:right w:val="single" w:sz="4" w:space="0" w:color="000000"/>
            </w:tcBorders>
          </w:tcPr>
          <w:p>
            <w:pPr/>
          </w:p>
        </w:tc>
        <w:tc>
          <w:tcPr>
            <w:tcW w:w="80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11"/>
        <w:rPr>
          <w:rFonts w:ascii="Times New Roman" w:hAnsi="Times New Roman" w:cs="Times New Roman" w:eastAsia="Times New Roman" w:hint="default"/>
          <w:sz w:val="4"/>
          <w:szCs w:val="4"/>
        </w:rPr>
      </w:pPr>
      <w:r>
        <w:rPr/>
        <w:pict>
          <v:shape style="position:absolute;margin-left:496.177002pt;margin-top:57.180008pt;width:192.25pt;height:423.3pt;mso-position-horizontal-relative:page;mso-position-vertical-relative:page;z-index:-115384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47"/>
                    <w:ind w:left="0" w:right="0" w:firstLine="0"/>
                    <w:jc w:val="left"/>
                    <w:rPr>
                      <w:rFonts w:ascii="宋体" w:hAnsi="宋体" w:cs="宋体" w:eastAsia="宋体" w:hint="default"/>
                      <w:sz w:val="18"/>
                      <w:szCs w:val="18"/>
                    </w:rPr>
                  </w:pPr>
                  <w:r>
                    <w:rPr>
                      <w:rFonts w:ascii="宋体" w:hAnsi="宋体" w:cs="宋体" w:eastAsia="宋体" w:hint="default"/>
                      <w:sz w:val="18"/>
                      <w:szCs w:val="18"/>
                    </w:rPr>
                    <w:t>并提交公司股东大会表决通过后实施。</w:t>
                  </w:r>
                </w:p>
              </w:txbxContent>
            </v:textbox>
            <w10:wrap type="none"/>
          </v:shape>
        </w:pict>
      </w: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6"/>
      </w:tblGrid>
      <w:tr>
        <w:trPr>
          <w:trHeight w:val="8490"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tcBorders>
              <w:top w:val="single" w:sz="15" w:space="0" w:color="000000"/>
              <w:left w:val="single" w:sz="4" w:space="0" w:color="000000"/>
              <w:bottom w:val="single" w:sz="4" w:space="0" w:color="000000"/>
              <w:right w:val="single" w:sz="4" w:space="0" w:color="000000"/>
            </w:tcBorders>
          </w:tcPr>
          <w:p>
            <w:pPr/>
          </w:p>
        </w:tc>
        <w:tc>
          <w:tcPr>
            <w:tcW w:w="1648" w:type="dxa"/>
            <w:tcBorders>
              <w:top w:val="single" w:sz="15" w:space="0" w:color="000000"/>
              <w:left w:val="single" w:sz="4" w:space="0" w:color="000000"/>
              <w:bottom w:val="single" w:sz="4" w:space="0" w:color="000000"/>
              <w:right w:val="single" w:sz="4" w:space="0" w:color="000000"/>
            </w:tcBorders>
          </w:tcPr>
          <w:p>
            <w:pPr/>
          </w:p>
        </w:tc>
        <w:tc>
          <w:tcPr>
            <w:tcW w:w="4058"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0"/>
              <w:ind w:left="22" w:right="-25"/>
              <w:jc w:val="left"/>
              <w:rPr>
                <w:rFonts w:ascii="宋体" w:hAnsi="宋体" w:cs="宋体" w:eastAsia="宋体" w:hint="default"/>
                <w:sz w:val="18"/>
                <w:szCs w:val="18"/>
              </w:rPr>
            </w:pPr>
            <w:r>
              <w:rPr>
                <w:rFonts w:ascii="宋体" w:hAnsi="宋体" w:cs="宋体" w:eastAsia="宋体" w:hint="default"/>
                <w:sz w:val="18"/>
                <w:szCs w:val="18"/>
              </w:rPr>
              <w:t>金、股票或者现金与股票相结合的方式分配利润， 且应优先采取现金分红方式分配利润。公司每年度 进行一次利润分配，在有条件的情况下，公司可以 进行中期现金分红。未来三年内，公司应在符合利 润分配原则、保证公司正常经营和长远发展的前提 下，积极采取现金分红的方式进行利润分配。在满 足现金分红条件下，公司未来三年以现金方式累计 分配的利润不少于未来三年实现的年均可分配利润 的</w:t>
            </w:r>
            <w:r>
              <w:rPr>
                <w:rFonts w:ascii="宋体" w:hAnsi="宋体" w:cs="宋体" w:eastAsia="宋体" w:hint="default"/>
                <w:spacing w:val="-46"/>
                <w:sz w:val="18"/>
                <w:szCs w:val="18"/>
              </w:rPr>
              <w:t> </w:t>
            </w:r>
            <w:r>
              <w:rPr>
                <w:rFonts w:ascii="宋体" w:hAnsi="宋体" w:cs="宋体" w:eastAsia="宋体" w:hint="default"/>
                <w:sz w:val="18"/>
                <w:szCs w:val="18"/>
              </w:rPr>
              <w:t>60%</w:t>
            </w:r>
            <w:r>
              <w:rPr>
                <w:rFonts w:ascii="宋体" w:hAnsi="宋体" w:cs="宋体" w:eastAsia="宋体" w:hint="default"/>
                <w:sz w:val="18"/>
                <w:szCs w:val="18"/>
              </w:rPr>
              <w:t>，公司在足额预留法定公积金、盈余公积金 以后，每年向股东以现金形式分配的利润不低于当 年实现的可供分配利润的</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z w:val="18"/>
                <w:szCs w:val="18"/>
              </w:rPr>
              <w:t>，具体分配比例由公 司董事会根据当年实现利润情况和公司发展的需要 以及中国证监会的有关规定拟定，由公司股东大会 审议决定。 在确保以足额现金利润分配的前提下， 公司可根据发展需要，通过资本公积金转增股本或 分配股票股利的方式回报投资者。未来三年，公司 正处于业务发展的关键时期，为了满足经营所需资 金，同时为了充分保护公司全体股东的现金分红权 益，公司计划未来三年各期如进行利润分配时，现 金分红在当期利润分配中所占的比例不低于</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z w:val="18"/>
                <w:szCs w:val="18"/>
              </w:rPr>
              <w:t>。 公司在每个会计年度结束后，由公司董事会提出利 润分配方案， 公司利润分配方案的制定与实施过程将积极采纳和 </w:t>
            </w:r>
            <w:r>
              <w:rPr>
                <w:rFonts w:ascii="宋体" w:hAnsi="宋体" w:cs="宋体" w:eastAsia="宋体" w:hint="default"/>
                <w:spacing w:val="-6"/>
                <w:sz w:val="18"/>
                <w:szCs w:val="18"/>
              </w:rPr>
              <w:t>接受所有股东（包括中小投资者）、独立董事的、监</w:t>
            </w:r>
            <w:r>
              <w:rPr>
                <w:rFonts w:ascii="宋体" w:hAnsi="宋体" w:cs="宋体" w:eastAsia="宋体" w:hint="default"/>
                <w:sz w:val="18"/>
                <w:szCs w:val="18"/>
              </w:rPr>
              <w:t> 事的建议和监督。公司股东大会对利润分配方案作 出决议后，公司董事会须在股东大会召开后</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个月 内完成股利（或股份）的派发事项。</w:t>
            </w:r>
          </w:p>
        </w:tc>
        <w:tc>
          <w:tcPr>
            <w:tcW w:w="852" w:type="dxa"/>
            <w:tcBorders>
              <w:top w:val="single" w:sz="15" w:space="0" w:color="000000"/>
              <w:left w:val="single" w:sz="4" w:space="0" w:color="000000"/>
              <w:bottom w:val="single" w:sz="4" w:space="0" w:color="000000"/>
              <w:right w:val="single" w:sz="4" w:space="0" w:color="000000"/>
            </w:tcBorders>
          </w:tcPr>
          <w:p>
            <w:pPr>
              <w:pStyle w:val="TableParagraph"/>
              <w:spacing w:line="8466"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68"/>
                <w:sz w:val="20"/>
                <w:szCs w:val="20"/>
              </w:rPr>
              <w:pict>
                <v:group style="width:42.1pt;height:423.3pt;mso-position-horizontal-relative:char;mso-position-vertical-relative:line" coordorigin="0,0" coordsize="842,8466">
                  <v:group style="position:absolute;left:0;top:0;width:842;height:8466" coordorigin="0,0" coordsize="842,8466">
                    <v:shape style="position:absolute;left:0;top:0;width:842;height:8466" coordorigin="0,0" coordsize="842,8466" path="m0,8466l841,8466,841,0,0,0,0,8466xe" filled="true" fillcolor="#ffffff" stroked="false">
                      <v:path arrowok="t"/>
                      <v:fill type="solid"/>
                    </v:shape>
                  </v:group>
                </v:group>
              </w:pict>
            </w:r>
            <w:r>
              <w:rPr>
                <w:rFonts w:ascii="Times New Roman" w:hAnsi="Times New Roman" w:cs="Times New Roman" w:eastAsia="Times New Roman" w:hint="default"/>
                <w:position w:val="-168"/>
                <w:sz w:val="20"/>
                <w:szCs w:val="20"/>
              </w:rPr>
            </w:r>
          </w:p>
        </w:tc>
        <w:tc>
          <w:tcPr>
            <w:tcW w:w="849" w:type="dxa"/>
            <w:tcBorders>
              <w:top w:val="single" w:sz="15" w:space="0" w:color="000000"/>
              <w:left w:val="single" w:sz="4" w:space="0" w:color="000000"/>
              <w:bottom w:val="single" w:sz="4" w:space="0" w:color="000000"/>
              <w:right w:val="single" w:sz="4" w:space="0" w:color="000000"/>
            </w:tcBorders>
          </w:tcPr>
          <w:p>
            <w:pPr/>
          </w:p>
        </w:tc>
        <w:tc>
          <w:tcPr>
            <w:tcW w:w="806" w:type="dxa"/>
            <w:tcBorders>
              <w:top w:val="single" w:sz="15" w:space="0" w:color="000000"/>
              <w:left w:val="single" w:sz="4" w:space="0" w:color="000000"/>
              <w:bottom w:val="single" w:sz="4" w:space="0" w:color="000000"/>
              <w:right w:val="single" w:sz="4" w:space="0" w:color="000000"/>
            </w:tcBorders>
          </w:tcPr>
          <w:p>
            <w:pPr/>
          </w:p>
        </w:tc>
      </w:tr>
      <w:tr>
        <w:trPr>
          <w:trHeight w:val="986"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319" w:lineRule="auto"/>
              <w:ind w:left="23" w:right="173"/>
              <w:jc w:val="left"/>
              <w:rPr>
                <w:rFonts w:ascii="宋体" w:hAnsi="宋体" w:cs="宋体" w:eastAsia="宋体" w:hint="default"/>
                <w:sz w:val="18"/>
                <w:szCs w:val="18"/>
              </w:rPr>
            </w:pPr>
            <w:r>
              <w:rPr>
                <w:rFonts w:ascii="宋体" w:hAnsi="宋体" w:cs="宋体" w:eastAsia="宋体" w:hint="default"/>
                <w:sz w:val="18"/>
                <w:szCs w:val="18"/>
              </w:rPr>
              <w:t>中文在线数字出版 集团股份有限公司</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319" w:lineRule="auto"/>
              <w:ind w:left="22" w:right="173"/>
              <w:jc w:val="left"/>
              <w:rPr>
                <w:rFonts w:ascii="宋体" w:hAnsi="宋体" w:cs="宋体" w:eastAsia="宋体" w:hint="default"/>
                <w:sz w:val="18"/>
                <w:szCs w:val="18"/>
              </w:rPr>
            </w:pPr>
            <w:r>
              <w:rPr>
                <w:rFonts w:ascii="宋体" w:hAnsi="宋体" w:cs="宋体" w:eastAsia="宋体" w:hint="default"/>
                <w:sz w:val="18"/>
                <w:szCs w:val="18"/>
              </w:rPr>
              <w:t>填补被摊薄即期回 报的措施及承诺</w:t>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本次发行后，随着募集资金的到位，公司的股本和 净资产都将有较大幅度的增加，但募集资金投资项 目有一定的建设周期，短期内营业收入及净利润较</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21</w:t>
            </w:r>
            <w:r>
              <w:rPr>
                <w:rFonts w:ascii="宋体" w:hAnsi="宋体" w:cs="宋体" w:eastAsia="宋体" w:hint="default"/>
                <w:spacing w:val="-54"/>
                <w:sz w:val="18"/>
                <w:szCs w:val="18"/>
              </w:rPr>
              <w:t> </w:t>
            </w:r>
            <w:r>
              <w:rPr>
                <w:rFonts w:ascii="宋体" w:hAnsi="宋体" w:cs="宋体" w:eastAsia="宋体" w:hint="default"/>
                <w:sz w:val="18"/>
                <w:szCs w:val="18"/>
              </w:rPr>
              <w:t>日至</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22" w:right="0"/>
              <w:jc w:val="left"/>
              <w:rPr>
                <w:rFonts w:ascii="宋体" w:hAnsi="宋体" w:cs="宋体" w:eastAsia="宋体" w:hint="default"/>
                <w:sz w:val="18"/>
                <w:szCs w:val="18"/>
              </w:rPr>
            </w:pPr>
            <w:r>
              <w:rPr>
                <w:rFonts w:ascii="宋体" w:hAnsi="宋体" w:cs="宋体" w:eastAsia="宋体" w:hint="default"/>
                <w:sz w:val="18"/>
                <w:szCs w:val="18"/>
              </w:rPr>
              <w:t>履行完毕</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1300"/>
        </w:sectPr>
      </w:pPr>
    </w:p>
    <w:p>
      <w:pPr>
        <w:spacing w:line="316" w:lineRule="auto" w:before="87"/>
        <w:ind w:left="7591" w:right="-19" w:firstLine="0"/>
        <w:jc w:val="left"/>
        <w:rPr>
          <w:rFonts w:ascii="宋体" w:hAnsi="宋体" w:cs="宋体" w:eastAsia="宋体" w:hint="default"/>
          <w:sz w:val="18"/>
          <w:szCs w:val="18"/>
        </w:rPr>
      </w:pPr>
      <w:r>
        <w:rPr/>
        <w:pict>
          <v:shape style="position:absolute;margin-left:460.177002pt;margin-top:57.180008pt;width:228.25pt;height:468.1pt;mso-position-horizontal-relative:page;mso-position-vertical-relative:page;z-index:-115381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3"/>
                      <w:szCs w:val="23"/>
                    </w:rPr>
                  </w:pPr>
                </w:p>
                <w:p>
                  <w:pPr>
                    <w:spacing w:before="0"/>
                    <w:ind w:left="0" w:right="782" w:firstLine="0"/>
                    <w:jc w:val="right"/>
                    <w:rPr>
                      <w:rFonts w:ascii="宋体" w:hAnsi="宋体" w:cs="宋体" w:eastAsia="宋体" w:hint="default"/>
                      <w:sz w:val="18"/>
                      <w:szCs w:val="18"/>
                    </w:rPr>
                  </w:pPr>
                  <w:r>
                    <w:rPr>
                      <w:rFonts w:ascii="宋体" w:hAnsi="宋体" w:cs="宋体" w:eastAsia="宋体" w:hint="default"/>
                      <w:sz w:val="18"/>
                      <w:szCs w:val="18"/>
                    </w:rPr>
                    <w:t>公司已对募集资金投资项目上进行了前期投入，</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2"/>
                      <w:szCs w:val="22"/>
                    </w:rPr>
                  </w:pPr>
                </w:p>
                <w:p>
                  <w:pPr>
                    <w:spacing w:before="0"/>
                    <w:ind w:left="0" w:right="783" w:firstLine="0"/>
                    <w:jc w:val="right"/>
                    <w:rPr>
                      <w:rFonts w:ascii="宋体" w:hAnsi="宋体" w:cs="宋体" w:eastAsia="宋体" w:hint="default"/>
                      <w:sz w:val="18"/>
                      <w:szCs w:val="18"/>
                    </w:rPr>
                  </w:pPr>
                  <w:r>
                    <w:rPr>
                      <w:rFonts w:ascii="宋体" w:hAnsi="宋体" w:cs="宋体" w:eastAsia="宋体" w:hint="default"/>
                      <w:sz w:val="18"/>
                      <w:szCs w:val="18"/>
                    </w:rPr>
                    <w:t>纠纷少，</w:t>
                  </w:r>
                </w:p>
              </w:txbxContent>
            </v:textbox>
            <w10:wrap type="none"/>
          </v:shape>
        </w:pict>
      </w:r>
      <w:r>
        <w:rPr/>
        <w:pict>
          <v:group style="position:absolute;margin-left:70.139999pt;margin-top:55.260006pt;width:701.7pt;height:470.8pt;mso-position-horizontal-relative:page;mso-position-vertical-relative:page;z-index:-1153792" coordorigin="1403,1105" coordsize="14034,9416">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417;top:1144;width:4146;height:9362" coordorigin="1417,1144" coordsize="4146,9362">
              <v:shape style="position:absolute;left:1417;top:1144;width:4146;height:9362" coordorigin="1417,1144" coordsize="4146,9362" path="m1417,10505l5562,10505,5562,1144,1417,1144,1417,10505xe" filled="true" fillcolor="#d2d2d2" stroked="false">
                <v:path arrowok="t"/>
                <v:fill type="solid"/>
              </v:shape>
            </v:group>
            <v:group style="position:absolute;left:12927;top:1144;width:842;height:9362" coordorigin="12927,1144" coordsize="842,9362">
              <v:shape style="position:absolute;left:12927;top:1144;width:842;height:9362" coordorigin="12927,1144" coordsize="842,9362" path="m12927,10505l13768,10505,13768,1144,12927,1144,12927,10505xe" filled="true" fillcolor="#ffffff" stroked="false">
                <v:path arrowok="t"/>
                <v:fill type="solid"/>
              </v:shape>
            </v:group>
            <v:group style="position:absolute;left:1417;top:1139;width:4146;height:2" coordorigin="1417,1139" coordsize="4146,2">
              <v:shape style="position:absolute;left:1417;top:1139;width:4146;height:2" coordorigin="1417,1139" coordsize="4146,0" path="m1417,1139l5562,1139e" filled="false" stroked="true" strokeweight=".48pt" strokecolor="#000000">
                <v:path arrowok="t"/>
              </v:shape>
            </v:group>
            <v:group style="position:absolute;left:5572;top:1139;width:1640;height:2" coordorigin="5572,1139" coordsize="1640,2">
              <v:shape style="position:absolute;left:5572;top:1139;width:1640;height:2" coordorigin="5572,1139" coordsize="1640,0" path="m5572,1139l7211,1139e" filled="false" stroked="true" strokeweight=".48pt" strokecolor="#000000">
                <v:path arrowok="t"/>
              </v:shape>
            </v:group>
            <v:group style="position:absolute;left:7221;top:1139;width:1639;height:2" coordorigin="7221,1139" coordsize="1639,2">
              <v:shape style="position:absolute;left:7221;top:1139;width:1639;height:2" coordorigin="7221,1139" coordsize="1639,0" path="m7221,1139l8859,1139e" filled="false" stroked="true" strokeweight=".48pt" strokecolor="#000000">
                <v:path arrowok="t"/>
              </v:shape>
            </v:group>
            <v:group style="position:absolute;left:8869;top:1139;width:4049;height:2" coordorigin="8869,1139" coordsize="4049,2">
              <v:shape style="position:absolute;left:8869;top:1139;width:4049;height:2" coordorigin="8869,1139" coordsize="4049,0" path="m8869,1139l12918,1139e" filled="false" stroked="true" strokeweight=".48pt" strokecolor="#000000">
                <v:path arrowok="t"/>
              </v:shape>
            </v:group>
            <v:group style="position:absolute;left:12927;top:1139;width:843;height:2" coordorigin="12927,1139" coordsize="843,2">
              <v:shape style="position:absolute;left:12927;top:1139;width:843;height:2" coordorigin="12927,1139" coordsize="843,0" path="m12927,1139l13770,1139e" filled="false" stroked="true" strokeweight=".48pt" strokecolor="#000000">
                <v:path arrowok="t"/>
              </v:shape>
            </v:group>
            <v:group style="position:absolute;left:13779;top:1139;width:840;height:2" coordorigin="13779,1139" coordsize="840,2">
              <v:shape style="position:absolute;left:13779;top:1139;width:840;height:2" coordorigin="13779,1139" coordsize="840,0" path="m13779,1139l14618,1139e" filled="false" stroked="true" strokeweight=".48pt" strokecolor="#000000">
                <v:path arrowok="t"/>
              </v:shape>
            </v:group>
            <v:group style="position:absolute;left:14628;top:1139;width:795;height:2" coordorigin="14628,1139" coordsize="795,2">
              <v:shape style="position:absolute;left:14628;top:1139;width:795;height:2" coordorigin="14628,1139" coordsize="795,0" path="m14628,1139l15422,1139e" filled="false" stroked="true" strokeweight=".48pt" strokecolor="#000000">
                <v:path arrowok="t"/>
              </v:shape>
            </v:group>
            <v:group style="position:absolute;left:1412;top:1134;width:2;height:9382" coordorigin="1412,1134" coordsize="2,9382">
              <v:shape style="position:absolute;left:1412;top:1134;width:2;height:9382" coordorigin="1412,1134" coordsize="0,9382" path="m1412,1134l1412,10516e" filled="false" stroked="true" strokeweight=".48pt" strokecolor="#000000">
                <v:path arrowok="t"/>
              </v:shape>
            </v:group>
            <v:group style="position:absolute;left:1417;top:10511;width:4146;height:2" coordorigin="1417,10511" coordsize="4146,2">
              <v:shape style="position:absolute;left:1417;top:10511;width:4146;height:2" coordorigin="1417,10511" coordsize="4146,0" path="m1417,10511l5562,10511e" filled="false" stroked="true" strokeweight=".47998pt" strokecolor="#000000">
                <v:path arrowok="t"/>
              </v:shape>
            </v:group>
            <v:group style="position:absolute;left:5567;top:1134;width:2;height:9382" coordorigin="5567,1134" coordsize="2,9382">
              <v:shape style="position:absolute;left:5567;top:1134;width:2;height:9382" coordorigin="5567,1134" coordsize="0,9382" path="m5567,1134l5567,10516e" filled="false" stroked="true" strokeweight=".48001pt" strokecolor="#000000">
                <v:path arrowok="t"/>
              </v:shape>
            </v:group>
            <v:group style="position:absolute;left:5572;top:10511;width:1640;height:2" coordorigin="5572,10511" coordsize="1640,2">
              <v:shape style="position:absolute;left:5572;top:10511;width:1640;height:2" coordorigin="5572,10511" coordsize="1640,0" path="m5572,10511l7211,10511e" filled="false" stroked="true" strokeweight=".47998pt" strokecolor="#000000">
                <v:path arrowok="t"/>
              </v:shape>
            </v:group>
            <v:group style="position:absolute;left:7216;top:1134;width:2;height:9382" coordorigin="7216,1134" coordsize="2,9382">
              <v:shape style="position:absolute;left:7216;top:1134;width:2;height:9382" coordorigin="7216,1134" coordsize="0,9382" path="m7216,1134l7216,10516e" filled="false" stroked="true" strokeweight=".47998pt" strokecolor="#000000">
                <v:path arrowok="t"/>
              </v:shape>
            </v:group>
            <v:group style="position:absolute;left:7221;top:10511;width:1639;height:2" coordorigin="7221,10511" coordsize="1639,2">
              <v:shape style="position:absolute;left:7221;top:10511;width:1639;height:2" coordorigin="7221,10511" coordsize="1639,0" path="m7221,10511l8859,10511e" filled="false" stroked="true" strokeweight=".47998pt" strokecolor="#000000">
                <v:path arrowok="t"/>
              </v:shape>
            </v:group>
            <v:group style="position:absolute;left:8864;top:1134;width:2;height:9382" coordorigin="8864,1134" coordsize="2,9382">
              <v:shape style="position:absolute;left:8864;top:1134;width:2;height:9382" coordorigin="8864,1134" coordsize="0,9382" path="m8864,1134l8864,10516e" filled="false" stroked="true" strokeweight=".48001pt" strokecolor="#000000">
                <v:path arrowok="t"/>
              </v:shape>
            </v:group>
            <v:group style="position:absolute;left:8869;top:10511;width:4049;height:2" coordorigin="8869,10511" coordsize="4049,2">
              <v:shape style="position:absolute;left:8869;top:10511;width:4049;height:2" coordorigin="8869,10511" coordsize="4049,0" path="m8869,10511l12918,10511e" filled="false" stroked="true" strokeweight=".47998pt" strokecolor="#000000">
                <v:path arrowok="t"/>
              </v:shape>
            </v:group>
            <v:group style="position:absolute;left:12922;top:1134;width:2;height:9382" coordorigin="12922,1134" coordsize="2,9382">
              <v:shape style="position:absolute;left:12922;top:1134;width:2;height:9382" coordorigin="12922,1134" coordsize="0,9382" path="m12922,1134l12922,10516e" filled="false" stroked="true" strokeweight=".47998pt" strokecolor="#000000">
                <v:path arrowok="t"/>
              </v:shape>
            </v:group>
            <v:group style="position:absolute;left:12927;top:10511;width:843;height:2" coordorigin="12927,10511" coordsize="843,2">
              <v:shape style="position:absolute;left:12927;top:10511;width:843;height:2" coordorigin="12927,10511" coordsize="843,0" path="m12927,10511l13770,10511e" filled="false" stroked="true" strokeweight=".47998pt" strokecolor="#000000">
                <v:path arrowok="t"/>
              </v:shape>
            </v:group>
            <v:group style="position:absolute;left:13774;top:1134;width:2;height:9382" coordorigin="13774,1134" coordsize="2,9382">
              <v:shape style="position:absolute;left:13774;top:1134;width:2;height:9382" coordorigin="13774,1134" coordsize="0,9382" path="m13774,1134l13774,10516e" filled="false" stroked="true" strokeweight=".47998pt" strokecolor="#000000">
                <v:path arrowok="t"/>
              </v:shape>
            </v:group>
            <v:group style="position:absolute;left:13779;top:10511;width:840;height:2" coordorigin="13779,10511" coordsize="840,2">
              <v:shape style="position:absolute;left:13779;top:10511;width:840;height:2" coordorigin="13779,10511" coordsize="840,0" path="m13779,10511l14618,10511e" filled="false" stroked="true" strokeweight=".47998pt" strokecolor="#000000">
                <v:path arrowok="t"/>
              </v:shape>
            </v:group>
            <v:group style="position:absolute;left:14623;top:1134;width:2;height:9382" coordorigin="14623,1134" coordsize="2,9382">
              <v:shape style="position:absolute;left:14623;top:1134;width:2;height:9382" coordorigin="14623,1134" coordsize="0,9382" path="m14623,1134l14623,10516e" filled="false" stroked="true" strokeweight=".47998pt" strokecolor="#000000">
                <v:path arrowok="t"/>
              </v:shape>
            </v:group>
            <v:group style="position:absolute;left:14628;top:10511;width:795;height:2" coordorigin="14628,10511" coordsize="795,2">
              <v:shape style="position:absolute;left:14628;top:10511;width:795;height:2" coordorigin="14628,10511" coordsize="795,0" path="m14628,10511l15422,10511e" filled="false" stroked="true" strokeweight=".47998pt" strokecolor="#000000">
                <v:path arrowok="t"/>
              </v:shape>
            </v:group>
            <v:group style="position:absolute;left:15427;top:1134;width:2;height:9382" coordorigin="15427,1134" coordsize="2,9382">
              <v:shape style="position:absolute;left:15427;top:1134;width:2;height:9382" coordorigin="15427,1134" coordsize="0,9382" path="m15427,1134l15427,10516e" filled="false" stroked="true" strokeweight=".47998pt" strokecolor="#000000">
                <v:path arrowok="t"/>
              </v:shape>
            </v:group>
            <w10:wrap type="none"/>
          </v:group>
        </w:pict>
      </w:r>
      <w:r>
        <w:rPr>
          <w:rFonts w:ascii="宋体" w:hAnsi="宋体" w:cs="宋体" w:eastAsia="宋体" w:hint="default"/>
          <w:sz w:val="18"/>
          <w:szCs w:val="18"/>
        </w:rPr>
        <w:t>难以实现同步增长，公司短期内存在净资产收益率 下降以及每股收益被摊薄的风险。公司承诺就填补 </w:t>
      </w:r>
      <w:r>
        <w:rPr>
          <w:rFonts w:ascii="宋体" w:hAnsi="宋体" w:cs="宋体" w:eastAsia="宋体" w:hint="default"/>
          <w:spacing w:val="-3"/>
          <w:sz w:val="18"/>
          <w:szCs w:val="18"/>
        </w:rPr>
        <w:t>被摊薄即期回报降采取以下措施：</w:t>
      </w:r>
      <w:r>
        <w:rPr>
          <w:rFonts w:ascii="宋体" w:hAnsi="宋体" w:cs="宋体" w:eastAsia="宋体" w:hint="default"/>
          <w:spacing w:val="-3"/>
          <w:sz w:val="18"/>
          <w:szCs w:val="18"/>
        </w:rPr>
        <w:t>1</w:t>
      </w:r>
      <w:r>
        <w:rPr>
          <w:rFonts w:ascii="宋体" w:hAnsi="宋体" w:cs="宋体" w:eastAsia="宋体" w:hint="default"/>
          <w:spacing w:val="-3"/>
          <w:sz w:val="18"/>
          <w:szCs w:val="18"/>
        </w:rPr>
        <w:t>、加快募集资金</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投资项目的实施，尽快实现效益本次募集资金投资 项目为数字内容资源平台升级改造项目，围绕公司 主营业务，具有良好的盈利前景，有助于巩固公司 的内容资源和教育阅读产品优势，增加公司营业收 入。 募集资金到位后，公司将继续加快募集资金投资项 目的实施，实现项目预期收益，提高股东回报。此 外，本次募集资金到位后，将存放于董事会决定的 募集资金专户进行集中管理，做到专款专用。公司 将进一步完善内部控制，加强资金管理，防止资金 </w:t>
      </w:r>
      <w:r>
        <w:rPr>
          <w:rFonts w:ascii="宋体" w:hAnsi="宋体" w:cs="宋体" w:eastAsia="宋体" w:hint="default"/>
          <w:spacing w:val="-3"/>
          <w:sz w:val="18"/>
          <w:szCs w:val="18"/>
        </w:rPr>
        <w:t>被挤占挪用，提高资金使用效率。</w:t>
      </w:r>
      <w:r>
        <w:rPr>
          <w:rFonts w:ascii="宋体" w:hAnsi="宋体" w:cs="宋体" w:eastAsia="宋体" w:hint="default"/>
          <w:spacing w:val="-3"/>
          <w:sz w:val="18"/>
          <w:szCs w:val="18"/>
        </w:rPr>
        <w:t>2</w:t>
      </w:r>
      <w:r>
        <w:rPr>
          <w:rFonts w:ascii="宋体" w:hAnsi="宋体" w:cs="宋体" w:eastAsia="宋体" w:hint="default"/>
          <w:spacing w:val="-3"/>
          <w:sz w:val="18"/>
          <w:szCs w:val="18"/>
        </w:rPr>
        <w:t>、加大优质版权</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采集力度，提高营业收入优质内容资源是持续吸引 客户、维持客户黏性的重要因素，能创造更高的营 </w:t>
      </w:r>
      <w:r>
        <w:rPr>
          <w:rFonts w:ascii="宋体" w:hAnsi="宋体" w:cs="宋体" w:eastAsia="宋体" w:hint="default"/>
          <w:spacing w:val="-10"/>
          <w:sz w:val="18"/>
          <w:szCs w:val="18"/>
        </w:rPr>
        <w:t>业收入。公</w:t>
      </w:r>
      <w:r>
        <w:rPr>
          <w:rFonts w:ascii="宋体" w:hAnsi="宋体" w:cs="宋体" w:eastAsia="宋体" w:hint="default"/>
          <w:spacing w:val="1"/>
          <w:sz w:val="18"/>
          <w:szCs w:val="18"/>
        </w:rPr>
        <w:t> </w:t>
      </w:r>
      <w:r>
        <w:rPr>
          <w:rFonts w:ascii="宋体" w:hAnsi="宋体" w:cs="宋体" w:eastAsia="宋体" w:hint="default"/>
          <w:sz w:val="18"/>
          <w:szCs w:val="18"/>
        </w:rPr>
        <w:t>司是国内最大的正版数字内容提供商之</w:t>
      </w:r>
      <w:r>
        <w:rPr>
          <w:rFonts w:ascii="宋体" w:hAnsi="宋体" w:cs="宋体" w:eastAsia="宋体" w:hint="default"/>
          <w:sz w:val="18"/>
          <w:szCs w:val="18"/>
        </w:rPr>
        <w:t> </w:t>
      </w:r>
      <w:r>
        <w:rPr>
          <w:rFonts w:ascii="宋体" w:hAnsi="宋体" w:cs="宋体" w:eastAsia="宋体" w:hint="default"/>
          <w:spacing w:val="-3"/>
          <w:sz w:val="18"/>
          <w:szCs w:val="18"/>
        </w:rPr>
        <w:t>一，数字内容数量多、涵盖面广、质量高、</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具有较强的市场竞争力。本次募集资金到位后，公 司将进一步加大优质版权力度，丰富内容资源，提 </w:t>
      </w:r>
      <w:r>
        <w:rPr>
          <w:rFonts w:ascii="宋体" w:hAnsi="宋体" w:cs="宋体" w:eastAsia="宋体" w:hint="default"/>
          <w:spacing w:val="-3"/>
          <w:sz w:val="18"/>
          <w:szCs w:val="18"/>
        </w:rPr>
        <w:t>高营业收入，为股东创造更好回报。</w:t>
      </w:r>
      <w:r>
        <w:rPr>
          <w:rFonts w:ascii="宋体" w:hAnsi="宋体" w:cs="宋体" w:eastAsia="宋体" w:hint="default"/>
          <w:spacing w:val="-3"/>
          <w:sz w:val="18"/>
          <w:szCs w:val="18"/>
        </w:rPr>
        <w:t>3</w:t>
      </w:r>
      <w:r>
        <w:rPr>
          <w:rFonts w:ascii="宋体" w:hAnsi="宋体" w:cs="宋体" w:eastAsia="宋体" w:hint="default"/>
          <w:spacing w:val="-3"/>
          <w:sz w:val="18"/>
          <w:szCs w:val="18"/>
        </w:rPr>
        <w:t>、加强研发投</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入，提高市场竞争力移动互联网是互联网技术发展 的新方向，教育的信息化和数字化逐渐成为全球教 育领域的主流趋势。本次募集资金到位后，公司将 继续增加在移动互联网的研发投入，以进一步巩固 公司核心技术优势、内容采集优势和全媒体出版优 势；增加在教育阅读产品的研发投入，巩固公司在 教育信息化和数字化领域中的先发优势。移动互联 网和教育阅读产品研发投入的增加，有助于保持公 司的竞争优势，促进公司可持续发展，进而提高股</w:t>
      </w:r>
    </w:p>
    <w:p>
      <w:pPr>
        <w:spacing w:before="88"/>
        <w:ind w:left="850" w:right="1086"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after="0"/>
        <w:jc w:val="center"/>
        <w:rPr>
          <w:rFonts w:ascii="宋体" w:hAnsi="宋体" w:cs="宋体" w:eastAsia="宋体" w:hint="default"/>
          <w:sz w:val="18"/>
          <w:szCs w:val="18"/>
        </w:rPr>
        <w:sectPr>
          <w:pgSz w:w="16840" w:h="11910" w:orient="landscape"/>
          <w:pgMar w:header="867" w:footer="979" w:top="1060" w:bottom="1160" w:left="1300" w:right="1300"/>
          <w:cols w:num="2" w:equalWidth="0">
            <w:col w:w="11594" w:space="40"/>
            <w:col w:w="2606"/>
          </w:cols>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4155"/>
        <w:gridCol w:w="1649"/>
        <w:gridCol w:w="1648"/>
        <w:gridCol w:w="4058"/>
        <w:gridCol w:w="852"/>
        <w:gridCol w:w="849"/>
        <w:gridCol w:w="804"/>
      </w:tblGrid>
      <w:tr>
        <w:trPr>
          <w:trHeight w:val="1625" w:hRule="exact"/>
        </w:trPr>
        <w:tc>
          <w:tcPr>
            <w:tcW w:w="4155" w:type="dxa"/>
            <w:vMerge w:val="restart"/>
            <w:tcBorders>
              <w:top w:val="single" w:sz="15" w:space="0" w:color="000000"/>
              <w:left w:val="single" w:sz="4" w:space="0" w:color="000000"/>
              <w:right w:val="single" w:sz="4" w:space="0" w:color="000000"/>
            </w:tcBorders>
            <w:shd w:val="clear" w:color="auto" w:fill="D2D2D2"/>
          </w:tcPr>
          <w:p>
            <w:pPr/>
          </w:p>
        </w:tc>
        <w:tc>
          <w:tcPr>
            <w:tcW w:w="1649" w:type="dxa"/>
            <w:tcBorders>
              <w:top w:val="single" w:sz="15" w:space="0" w:color="000000"/>
              <w:left w:val="single" w:sz="4" w:space="0" w:color="000000"/>
              <w:bottom w:val="single" w:sz="4" w:space="0" w:color="000000"/>
              <w:right w:val="single" w:sz="4" w:space="0" w:color="000000"/>
            </w:tcBorders>
          </w:tcPr>
          <w:p>
            <w:pPr/>
          </w:p>
        </w:tc>
        <w:tc>
          <w:tcPr>
            <w:tcW w:w="1648" w:type="dxa"/>
            <w:tcBorders>
              <w:top w:val="single" w:sz="15" w:space="0" w:color="000000"/>
              <w:left w:val="single" w:sz="4" w:space="0" w:color="000000"/>
              <w:bottom w:val="single" w:sz="4" w:space="0" w:color="000000"/>
              <w:right w:val="single" w:sz="4" w:space="0" w:color="000000"/>
            </w:tcBorders>
          </w:tcPr>
          <w:p>
            <w:pPr/>
          </w:p>
        </w:tc>
        <w:tc>
          <w:tcPr>
            <w:tcW w:w="4058"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10"/>
              <w:ind w:left="22" w:right="22"/>
              <w:jc w:val="both"/>
              <w:rPr>
                <w:rFonts w:ascii="宋体" w:hAnsi="宋体" w:cs="宋体" w:eastAsia="宋体" w:hint="default"/>
                <w:sz w:val="18"/>
                <w:szCs w:val="18"/>
              </w:rPr>
            </w:pPr>
            <w:r>
              <w:rPr>
                <w:rFonts w:ascii="宋体" w:hAnsi="宋体" w:cs="宋体" w:eastAsia="宋体" w:hint="default"/>
                <w:spacing w:val="-3"/>
                <w:sz w:val="18"/>
                <w:szCs w:val="18"/>
              </w:rPr>
              <w:t>东回报。</w:t>
            </w:r>
            <w:r>
              <w:rPr>
                <w:rFonts w:ascii="宋体" w:hAnsi="宋体" w:cs="宋体" w:eastAsia="宋体" w:hint="default"/>
                <w:spacing w:val="-3"/>
                <w:sz w:val="18"/>
                <w:szCs w:val="18"/>
              </w:rPr>
              <w:t>4</w:t>
            </w:r>
            <w:r>
              <w:rPr>
                <w:rFonts w:ascii="宋体" w:hAnsi="宋体" w:cs="宋体" w:eastAsia="宋体" w:hint="default"/>
                <w:spacing w:val="-3"/>
                <w:sz w:val="18"/>
                <w:szCs w:val="18"/>
              </w:rPr>
              <w:t>、科学实施成本、费用管理，提升利润水</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平公司将加大成本控制力度，严格控制公司费用支 出，提升公司利润率。此外，公司将加强对管理层 的考核，将管理层薪酬水平与公司经营效益挂钩， 确保管理层恪尽职守、勤勉尽责。</w:t>
            </w:r>
          </w:p>
        </w:tc>
        <w:tc>
          <w:tcPr>
            <w:tcW w:w="852" w:type="dxa"/>
            <w:tcBorders>
              <w:top w:val="single" w:sz="15" w:space="0" w:color="000000"/>
              <w:left w:val="single" w:sz="4" w:space="0" w:color="000000"/>
              <w:bottom w:val="single" w:sz="4" w:space="0" w:color="000000"/>
              <w:right w:val="single" w:sz="4" w:space="0" w:color="000000"/>
            </w:tcBorders>
          </w:tcPr>
          <w:p>
            <w:pPr/>
          </w:p>
        </w:tc>
        <w:tc>
          <w:tcPr>
            <w:tcW w:w="849" w:type="dxa"/>
            <w:tcBorders>
              <w:top w:val="single" w:sz="15" w:space="0" w:color="000000"/>
              <w:left w:val="single" w:sz="4" w:space="0" w:color="000000"/>
              <w:bottom w:val="single" w:sz="4" w:space="0" w:color="000000"/>
              <w:right w:val="single" w:sz="4" w:space="0" w:color="000000"/>
            </w:tcBorders>
          </w:tcPr>
          <w:p>
            <w:pPr/>
          </w:p>
        </w:tc>
        <w:tc>
          <w:tcPr>
            <w:tcW w:w="804" w:type="dxa"/>
            <w:tcBorders>
              <w:top w:val="single" w:sz="15" w:space="0" w:color="000000"/>
              <w:left w:val="single" w:sz="4" w:space="0" w:color="000000"/>
              <w:bottom w:val="single" w:sz="4" w:space="0" w:color="000000"/>
              <w:right w:val="single" w:sz="4" w:space="0" w:color="000000"/>
            </w:tcBorders>
          </w:tcPr>
          <w:p>
            <w:pPr/>
          </w:p>
        </w:tc>
      </w:tr>
      <w:tr>
        <w:trPr>
          <w:trHeight w:val="5395" w:hRule="exact"/>
        </w:trPr>
        <w:tc>
          <w:tcPr>
            <w:tcW w:w="4155" w:type="dxa"/>
            <w:vMerge/>
            <w:tcBorders>
              <w:left w:val="single" w:sz="4" w:space="0" w:color="000000"/>
              <w:bottom w:val="single" w:sz="4" w:space="0" w:color="000000"/>
              <w:right w:val="single" w:sz="4" w:space="0" w:color="000000"/>
            </w:tcBorders>
            <w:shd w:val="clear" w:color="auto" w:fill="D2D2D2"/>
          </w:tcPr>
          <w:p>
            <w:pPr/>
          </w:p>
        </w:tc>
        <w:tc>
          <w:tcPr>
            <w:tcW w:w="1649" w:type="dxa"/>
            <w:tcBorders>
              <w:top w:val="single" w:sz="4" w:space="0" w:color="000000"/>
              <w:left w:val="single" w:sz="4" w:space="0" w:color="000000"/>
              <w:bottom w:val="single" w:sz="4" w:space="0" w:color="000000"/>
              <w:right w:val="single" w:sz="9" w:space="0" w:color="FFFFFF"/>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316" w:lineRule="auto"/>
              <w:ind w:left="23" w:right="-12"/>
              <w:jc w:val="left"/>
              <w:rPr>
                <w:rFonts w:ascii="宋体" w:hAnsi="宋体" w:cs="宋体" w:eastAsia="宋体" w:hint="default"/>
                <w:sz w:val="18"/>
                <w:szCs w:val="18"/>
              </w:rPr>
            </w:pPr>
            <w:r>
              <w:rPr>
                <w:rFonts w:ascii="宋体" w:hAnsi="宋体" w:cs="宋体" w:eastAsia="宋体" w:hint="default"/>
                <w:sz w:val="18"/>
                <w:szCs w:val="18"/>
              </w:rPr>
              <w:t>中文在线数字出版 集团股份有限公司、 </w:t>
            </w:r>
            <w:r>
              <w:rPr>
                <w:rFonts w:ascii="宋体" w:hAnsi="宋体" w:cs="宋体" w:eastAsia="宋体" w:hint="default"/>
                <w:spacing w:val="-4"/>
                <w:sz w:val="18"/>
                <w:szCs w:val="18"/>
              </w:rPr>
              <w:t>童之磊、雷霖、周树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华、张帆、何庆源、 </w:t>
            </w:r>
            <w:r>
              <w:rPr>
                <w:rFonts w:ascii="宋体" w:hAnsi="宋体" w:cs="宋体" w:eastAsia="宋体" w:hint="default"/>
                <w:spacing w:val="-14"/>
                <w:sz w:val="18"/>
                <w:szCs w:val="18"/>
              </w:rPr>
              <w:t>陈晓、姜瑞明、曹达</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任佳伟、谢广才、原</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森民</w:t>
            </w:r>
          </w:p>
        </w:tc>
        <w:tc>
          <w:tcPr>
            <w:tcW w:w="1648"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310" w:lineRule="atLeast"/>
              <w:ind w:left="16" w:right="173"/>
              <w:jc w:val="left"/>
              <w:rPr>
                <w:rFonts w:ascii="宋体" w:hAnsi="宋体" w:cs="宋体" w:eastAsia="宋体" w:hint="default"/>
                <w:sz w:val="18"/>
                <w:szCs w:val="18"/>
              </w:rPr>
            </w:pPr>
            <w:r>
              <w:rPr>
                <w:rFonts w:ascii="宋体" w:hAnsi="宋体" w:cs="宋体" w:eastAsia="宋体" w:hint="default"/>
                <w:sz w:val="18"/>
                <w:szCs w:val="18"/>
              </w:rPr>
              <w:t>依法承担赔偿或者 补偿责任的承诺</w:t>
            </w:r>
          </w:p>
          <w:p>
            <w:pPr>
              <w:pStyle w:val="TableParagraph"/>
              <w:spacing w:line="155" w:lineRule="exact"/>
              <w:ind w:left="-13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4"/>
                <w:szCs w:val="14"/>
              </w:rPr>
            </w:pPr>
          </w:p>
          <w:p>
            <w:pPr>
              <w:pStyle w:val="TableParagraph"/>
              <w:spacing w:line="2693" w:lineRule="exact"/>
              <w:ind w:left="-7"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3"/>
                <w:sz w:val="20"/>
                <w:szCs w:val="20"/>
              </w:rPr>
              <w:pict>
                <v:group style="width:81.95pt;height:134.7pt;mso-position-horizontal-relative:char;mso-position-vertical-relative:line" coordorigin="0,0" coordsize="1639,2694">
                  <v:group style="position:absolute;left:0;top:353;width:1639;height:2341" coordorigin="0,353" coordsize="1639,2341">
                    <v:shape style="position:absolute;left:0;top:353;width:1639;height:2341" coordorigin="0,353" coordsize="1639,2341" path="m0,2693l1638,2693,1638,353,0,353,0,2693xe" filled="true" fillcolor="#ffffff" stroked="false">
                      <v:path arrowok="t"/>
                      <v:fill type="solid"/>
                    </v:shape>
                  </v:group>
                  <v:group style="position:absolute;left:23;top:0;width:1593;height:353" coordorigin="23,0" coordsize="1593,353">
                    <v:shape style="position:absolute;left:23;top:0;width:1593;height:353" coordorigin="23,0" coordsize="1593,353" path="m23,353l1616,353,1616,0,23,0,23,353xe" filled="true" fillcolor="#ffffff" stroked="false">
                      <v:path arrowok="t"/>
                      <v:fill type="solid"/>
                    </v:shape>
                  </v:group>
                </v:group>
              </w:pict>
            </w:r>
            <w:r>
              <w:rPr>
                <w:rFonts w:ascii="Times New Roman" w:hAnsi="Times New Roman" w:cs="Times New Roman" w:eastAsia="Times New Roman" w:hint="default"/>
                <w:position w:val="-53"/>
                <w:sz w:val="20"/>
                <w:szCs w:val="20"/>
              </w:rPr>
            </w:r>
          </w:p>
        </w:tc>
        <w:tc>
          <w:tcPr>
            <w:tcW w:w="40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both"/>
              <w:rPr>
                <w:rFonts w:ascii="宋体" w:hAnsi="宋体" w:cs="宋体" w:eastAsia="宋体" w:hint="default"/>
                <w:sz w:val="18"/>
                <w:szCs w:val="18"/>
              </w:rPr>
            </w:pPr>
            <w:r>
              <w:rPr>
                <w:rFonts w:ascii="宋体" w:hAnsi="宋体" w:cs="宋体" w:eastAsia="宋体" w:hint="default"/>
                <w:sz w:val="18"/>
                <w:szCs w:val="18"/>
              </w:rPr>
              <w:t>发行人及其控股股东、实际控制人、公司董事、监 </w:t>
            </w:r>
            <w:r>
              <w:rPr>
                <w:rFonts w:ascii="宋体" w:hAnsi="宋体" w:cs="宋体" w:eastAsia="宋体" w:hint="default"/>
                <w:spacing w:val="-3"/>
                <w:sz w:val="18"/>
                <w:szCs w:val="18"/>
              </w:rPr>
              <w:t>事、高级管理人员承诺：</w:t>
            </w:r>
            <w:r>
              <w:rPr>
                <w:rFonts w:ascii="宋体" w:hAnsi="宋体" w:cs="宋体" w:eastAsia="宋体" w:hint="default"/>
                <w:spacing w:val="-3"/>
                <w:sz w:val="18"/>
                <w:szCs w:val="18"/>
              </w:rPr>
              <w:t>1</w:t>
            </w:r>
            <w:r>
              <w:rPr>
                <w:rFonts w:ascii="宋体" w:hAnsi="宋体" w:cs="宋体" w:eastAsia="宋体" w:hint="default"/>
                <w:spacing w:val="-3"/>
                <w:sz w:val="18"/>
                <w:szCs w:val="18"/>
              </w:rPr>
              <w:t>、公司首次公开发行股票</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招股说明书不存在虚假记载、误导性陈述或者重大 </w:t>
            </w:r>
            <w:r>
              <w:rPr>
                <w:rFonts w:ascii="宋体" w:hAnsi="宋体" w:cs="宋体" w:eastAsia="宋体" w:hint="default"/>
                <w:spacing w:val="-3"/>
                <w:sz w:val="18"/>
                <w:szCs w:val="18"/>
              </w:rPr>
              <w:t>遗漏。</w:t>
            </w:r>
            <w:r>
              <w:rPr>
                <w:rFonts w:ascii="宋体" w:hAnsi="宋体" w:cs="宋体" w:eastAsia="宋体" w:hint="default"/>
                <w:spacing w:val="-3"/>
                <w:sz w:val="18"/>
                <w:szCs w:val="18"/>
              </w:rPr>
              <w:t>2</w:t>
            </w:r>
            <w:r>
              <w:rPr>
                <w:rFonts w:ascii="宋体" w:hAnsi="宋体" w:cs="宋体" w:eastAsia="宋体" w:hint="default"/>
                <w:spacing w:val="-3"/>
                <w:sz w:val="18"/>
                <w:szCs w:val="18"/>
              </w:rPr>
              <w:t>、公司首次公开发行股票招股说明书有虚假</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记载、误导性陈述或者重大遗漏，致使投资者在证 券交易中遭受损失的，公司及控股股东、实际控制 人、董事、监事、高级管理人员将依法赔偿投资者 </w:t>
            </w:r>
            <w:r>
              <w:rPr>
                <w:rFonts w:ascii="宋体" w:hAnsi="宋体" w:cs="宋体" w:eastAsia="宋体" w:hint="default"/>
                <w:spacing w:val="-4"/>
                <w:sz w:val="18"/>
                <w:szCs w:val="18"/>
              </w:rPr>
              <w:t>损失。（</w:t>
            </w:r>
            <w:r>
              <w:rPr>
                <w:rFonts w:ascii="宋体" w:hAnsi="宋体" w:cs="宋体" w:eastAsia="宋体" w:hint="default"/>
                <w:spacing w:val="-4"/>
                <w:sz w:val="18"/>
                <w:szCs w:val="18"/>
              </w:rPr>
              <w:t>1</w:t>
            </w:r>
            <w:r>
              <w:rPr>
                <w:rFonts w:ascii="宋体" w:hAnsi="宋体" w:cs="宋体" w:eastAsia="宋体" w:hint="default"/>
                <w:spacing w:val="-4"/>
                <w:sz w:val="18"/>
                <w:szCs w:val="18"/>
              </w:rPr>
              <w:t>）在中国证监会或其他有权部门认定公司</w:t>
            </w:r>
            <w:r>
              <w:rPr>
                <w:rFonts w:ascii="宋体" w:hAnsi="宋体" w:cs="宋体" w:eastAsia="宋体" w:hint="default"/>
                <w:sz w:val="18"/>
                <w:szCs w:val="18"/>
              </w:rPr>
              <w:t> 首次公开发行股票招股说明书存在虚假记载、误导 性陈述或者重大遗漏后二十个工作日内，将启动赔 </w:t>
            </w:r>
            <w:r>
              <w:rPr>
                <w:rFonts w:ascii="宋体" w:hAnsi="宋体" w:cs="宋体" w:eastAsia="宋体" w:hint="default"/>
                <w:spacing w:val="-4"/>
                <w:sz w:val="18"/>
                <w:szCs w:val="18"/>
              </w:rPr>
              <w:t>偿投资者损失的相关工作。（</w:t>
            </w:r>
            <w:r>
              <w:rPr>
                <w:rFonts w:ascii="宋体" w:hAnsi="宋体" w:cs="宋体" w:eastAsia="宋体" w:hint="default"/>
                <w:spacing w:val="-4"/>
                <w:sz w:val="18"/>
                <w:szCs w:val="18"/>
              </w:rPr>
              <w:t>2</w:t>
            </w:r>
            <w:r>
              <w:rPr>
                <w:rFonts w:ascii="宋体" w:hAnsi="宋体" w:cs="宋体" w:eastAsia="宋体" w:hint="default"/>
                <w:spacing w:val="-4"/>
                <w:sz w:val="18"/>
                <w:szCs w:val="18"/>
              </w:rPr>
              <w:t>）投资者的损失根据</w:t>
            </w:r>
            <w:r>
              <w:rPr>
                <w:rFonts w:ascii="宋体" w:hAnsi="宋体" w:cs="宋体" w:eastAsia="宋体" w:hint="default"/>
                <w:sz w:val="18"/>
                <w:szCs w:val="18"/>
              </w:rPr>
              <w:t> 与投资者协商确定的金额、或者依据中国证监会、 司法机关认定的方式或金额确定。上述承诺内容系 公司及控股股东、实际控制人、董事、监事、高级 管理人员的真实意思表示，相关责任主体自愿接受 监管机构、自律组织及社会公众的监督，若违反上 述承诺，相关责任主体将依法承担相应责任。</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01</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02" w:hRule="exact"/>
        </w:trPr>
        <w:tc>
          <w:tcPr>
            <w:tcW w:w="41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05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4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41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2"/>
                <w:sz w:val="18"/>
                <w:szCs w:val="18"/>
              </w:rPr>
              <w:t>如承诺超期未履行完毕的，应当详细说明未完成履行</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的具体原因及下一步的工作计划</w:t>
            </w:r>
          </w:p>
        </w:tc>
        <w:tc>
          <w:tcPr>
            <w:tcW w:w="986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7"/>
        <w:rPr>
          <w:rFonts w:ascii="Times New Roman" w:hAnsi="Times New Roman" w:cs="Times New Roman" w:eastAsia="Times New Roman" w:hint="default"/>
          <w:sz w:val="23"/>
          <w:szCs w:val="23"/>
        </w:rPr>
      </w:pPr>
    </w:p>
    <w:p>
      <w:pPr>
        <w:spacing w:line="273" w:lineRule="auto" w:before="35"/>
        <w:ind w:left="154" w:right="1092" w:firstLine="0"/>
        <w:jc w:val="left"/>
        <w:rPr>
          <w:rFonts w:ascii="宋体" w:hAnsi="宋体" w:cs="宋体" w:eastAsia="宋体" w:hint="default"/>
          <w:sz w:val="21"/>
          <w:szCs w:val="21"/>
        </w:rPr>
      </w:pPr>
      <w:bookmarkStart w:name="2、公司资产或项目存在盈利预测，且报告期仍处在盈利预测期间，公司就资产或项目达到" w:id="65"/>
      <w:bookmarkEnd w:id="65"/>
      <w:r>
        <w:rPr/>
      </w:r>
      <w:r>
        <w:rPr>
          <w:rFonts w:ascii="宋体" w:hAnsi="宋体" w:cs="宋体" w:eastAsia="宋体" w:hint="default"/>
          <w:b/>
          <w:bCs/>
          <w:sz w:val="21"/>
          <w:szCs w:val="21"/>
        </w:rPr>
        <w:t>2</w:t>
      </w:r>
      <w:r>
        <w:rPr>
          <w:rFonts w:ascii="宋体" w:hAnsi="宋体" w:cs="宋体" w:eastAsia="宋体" w:hint="default"/>
          <w:b/>
          <w:bCs/>
          <w:sz w:val="21"/>
          <w:szCs w:val="21"/>
        </w:rPr>
        <w:t>、公司资产或项目存在盈利预测，且报告期仍处在盈利预测期间，公司就资产或项目达到原盈利预测及</w:t>
      </w:r>
      <w:r>
        <w:rPr>
          <w:rFonts w:ascii="宋体" w:hAnsi="宋体" w:cs="宋体" w:eastAsia="宋体" w:hint="default"/>
          <w:b/>
          <w:bCs/>
          <w:spacing w:val="-73"/>
          <w:sz w:val="21"/>
          <w:szCs w:val="21"/>
        </w:rPr>
        <w:t> </w:t>
      </w:r>
      <w:r>
        <w:rPr>
          <w:rFonts w:ascii="宋体" w:hAnsi="宋体" w:cs="宋体" w:eastAsia="宋体" w:hint="default"/>
          <w:b/>
          <w:bCs/>
          <w:spacing w:val="-73"/>
          <w:sz w:val="21"/>
          <w:szCs w:val="21"/>
        </w:rPr>
      </w:r>
      <w:r>
        <w:rPr>
          <w:rFonts w:ascii="宋体" w:hAnsi="宋体" w:cs="宋体" w:eastAsia="宋体" w:hint="default"/>
          <w:b/>
          <w:bCs/>
          <w:sz w:val="21"/>
          <w:szCs w:val="21"/>
        </w:rPr>
        <w:t>其原因做出说明</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line="525" w:lineRule="auto" w:before="0"/>
        <w:ind w:left="154" w:right="2592"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三、控股股东及其关联方对上市公司的非经营性占用资金情况" w:id="66"/>
      <w:bookmarkEnd w:id="66"/>
      <w:r>
        <w:rPr>
          <w:rFonts w:ascii="宋体" w:hAnsi="宋体" w:cs="宋体" w:eastAsia="宋体" w:hint="default"/>
          <w:sz w:val="24"/>
          <w:szCs w:val="24"/>
        </w:rPr>
      </w:r>
      <w:r>
        <w:rPr>
          <w:rFonts w:ascii="宋体" w:hAnsi="宋体" w:cs="宋体" w:eastAsia="宋体" w:hint="default"/>
          <w:b/>
          <w:bCs/>
          <w:w w:val="95"/>
          <w:sz w:val="24"/>
          <w:szCs w:val="24"/>
        </w:rPr>
        <w:t>三、控股股东及其关联方对上市公司的非经营性占用资金情况</w:t>
      </w:r>
      <w:r>
        <w:rPr>
          <w:rFonts w:ascii="宋体" w:hAnsi="宋体" w:cs="宋体" w:eastAsia="宋体" w:hint="default"/>
          <w:sz w:val="24"/>
          <w:szCs w:val="24"/>
        </w:rPr>
      </w:r>
    </w:p>
    <w:p>
      <w:pPr>
        <w:pStyle w:val="BodyText"/>
        <w:spacing w:line="434" w:lineRule="auto" w:before="92"/>
        <w:ind w:left="634" w:right="2592"/>
        <w:jc w:val="left"/>
      </w:pPr>
      <w:r>
        <w:rPr/>
        <w:t>□ 适用 √ 不适用 公司报告期不存在控股股东及其关联方对上市公司的非经营性占用资金。</w:t>
      </w:r>
    </w:p>
    <w:p>
      <w:pPr>
        <w:pStyle w:val="Heading2"/>
        <w:spacing w:line="240" w:lineRule="auto" w:before="180"/>
        <w:ind w:right="1092"/>
        <w:jc w:val="left"/>
        <w:rPr>
          <w:b w:val="0"/>
          <w:bCs w:val="0"/>
        </w:rPr>
      </w:pPr>
      <w:bookmarkStart w:name="四、董事会对最近一期“非标准审计报告”相关情况的说明" w:id="67"/>
      <w:bookmarkEnd w:id="67"/>
      <w:r>
        <w:rPr>
          <w:b w:val="0"/>
          <w:bCs w:val="0"/>
        </w:rPr>
      </w:r>
      <w:r>
        <w:rPr/>
        <w:t>四、董事会对最近一期“非标准审计报告”相关情况的说明</w:t>
      </w:r>
      <w:r>
        <w:rPr>
          <w:b w:val="0"/>
          <w:bCs w:val="0"/>
        </w:rPr>
      </w:r>
    </w:p>
    <w:p>
      <w:pPr>
        <w:spacing w:line="240" w:lineRule="auto" w:before="12"/>
        <w:rPr>
          <w:rFonts w:ascii="宋体" w:hAnsi="宋体" w:cs="宋体" w:eastAsia="宋体" w:hint="default"/>
          <w:b/>
          <w:bCs/>
          <w:sz w:val="28"/>
          <w:szCs w:val="28"/>
        </w:rPr>
      </w:pPr>
    </w:p>
    <w:p>
      <w:pPr>
        <w:pStyle w:val="BodyText"/>
        <w:spacing w:line="240" w:lineRule="auto"/>
        <w:ind w:left="634" w:right="1092"/>
        <w:jc w:val="left"/>
      </w:pPr>
      <w:r>
        <w:rPr/>
        <w:t>□ 适用 √ 不适用</w:t>
      </w:r>
    </w:p>
    <w:p>
      <w:pPr>
        <w:spacing w:line="240" w:lineRule="auto" w:before="8"/>
        <w:rPr>
          <w:rFonts w:ascii="宋体" w:hAnsi="宋体" w:cs="宋体" w:eastAsia="宋体" w:hint="default"/>
          <w:sz w:val="28"/>
          <w:szCs w:val="28"/>
        </w:rPr>
      </w:pPr>
    </w:p>
    <w:p>
      <w:pPr>
        <w:pStyle w:val="Heading2"/>
        <w:spacing w:line="240" w:lineRule="auto" w:before="0"/>
        <w:ind w:right="1512"/>
        <w:jc w:val="left"/>
        <w:rPr>
          <w:b w:val="0"/>
          <w:bCs w:val="0"/>
        </w:rPr>
      </w:pPr>
      <w:bookmarkStart w:name="五、董事会、监事会、独立董事（如有）对会计师事务所本报告期“非标准审计报告”的说" w:id="68"/>
      <w:bookmarkEnd w:id="68"/>
      <w:r>
        <w:rPr>
          <w:b w:val="0"/>
          <w:bCs w:val="0"/>
        </w:rPr>
      </w:r>
      <w:r>
        <w:rPr>
          <w:w w:val="95"/>
        </w:rPr>
        <w:t>五、董事会、监事会、独立董事（如有）对会计师事务所本报告期“非标准审计报告”的说  </w:t>
      </w:r>
      <w:r>
        <w:rPr>
          <w:spacing w:val="111"/>
          <w:w w:val="95"/>
        </w:rPr>
        <w:t> </w:t>
      </w:r>
      <w:r>
        <w:rPr>
          <w:spacing w:val="111"/>
          <w:w w:val="95"/>
        </w:rPr>
      </w:r>
      <w:r>
        <w:rPr/>
        <w:t>明</w:t>
      </w:r>
      <w:r>
        <w:rPr>
          <w:b w:val="0"/>
          <w:bCs w:val="0"/>
        </w:rPr>
      </w:r>
    </w:p>
    <w:p>
      <w:pPr>
        <w:spacing w:line="240" w:lineRule="auto" w:before="11"/>
        <w:rPr>
          <w:rFonts w:ascii="宋体" w:hAnsi="宋体" w:cs="宋体" w:eastAsia="宋体" w:hint="default"/>
          <w:b/>
          <w:bCs/>
          <w:sz w:val="28"/>
          <w:szCs w:val="28"/>
        </w:rPr>
      </w:pPr>
    </w:p>
    <w:p>
      <w:pPr>
        <w:spacing w:line="525" w:lineRule="auto" w:before="0"/>
        <w:ind w:left="154" w:right="1092"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六、董事会关于报告期会计政策、会计估计变更或重大会计差错更正的说明" w:id="69"/>
      <w:bookmarkEnd w:id="69"/>
      <w:r>
        <w:rPr>
          <w:rFonts w:ascii="宋体" w:hAnsi="宋体" w:cs="宋体" w:eastAsia="宋体" w:hint="default"/>
          <w:sz w:val="24"/>
          <w:szCs w:val="24"/>
        </w:rPr>
      </w:r>
      <w:r>
        <w:rPr>
          <w:rFonts w:ascii="宋体" w:hAnsi="宋体" w:cs="宋体" w:eastAsia="宋体" w:hint="default"/>
          <w:b/>
          <w:bCs/>
          <w:w w:val="95"/>
          <w:sz w:val="24"/>
          <w:szCs w:val="24"/>
        </w:rPr>
        <w:t>六、董事会关于报告期会计政策、会计估计变更或重大会计差错更正的说明</w:t>
      </w:r>
      <w:r>
        <w:rPr>
          <w:rFonts w:ascii="宋体" w:hAnsi="宋体" w:cs="宋体" w:eastAsia="宋体" w:hint="default"/>
          <w:sz w:val="24"/>
          <w:szCs w:val="24"/>
        </w:rPr>
      </w:r>
    </w:p>
    <w:p>
      <w:pPr>
        <w:pStyle w:val="BodyText"/>
        <w:spacing w:line="434" w:lineRule="auto" w:before="93"/>
        <w:ind w:left="634" w:right="1092"/>
        <w:jc w:val="left"/>
      </w:pPr>
      <w:r>
        <w:rPr/>
        <w:t>√ 适用 □ 不适用 </w:t>
      </w:r>
      <w:r>
        <w:rPr>
          <w:rFonts w:ascii="宋体" w:hAnsi="宋体" w:cs="宋体" w:eastAsia="宋体" w:hint="default"/>
          <w:spacing w:val="-4"/>
        </w:rPr>
        <w:t>1</w:t>
      </w:r>
      <w:r>
        <w:rPr>
          <w:spacing w:val="-4"/>
        </w:rPr>
        <w:t>、公司第三届董事会第十三次会议审议通过了《关于会计政策变更的议案》：</w:t>
      </w:r>
    </w:p>
    <w:p>
      <w:pPr>
        <w:pStyle w:val="BodyText"/>
        <w:spacing w:line="240" w:lineRule="auto" w:before="60"/>
        <w:ind w:left="634" w:right="1092"/>
        <w:jc w:val="left"/>
      </w:pPr>
      <w:r>
        <w:rPr>
          <w:rFonts w:ascii="宋体" w:hAnsi="宋体" w:cs="宋体" w:eastAsia="宋体" w:hint="default"/>
        </w:rPr>
        <w:t>1</w:t>
      </w:r>
      <w:r>
        <w:rPr/>
        <w:t>）变更原因</w:t>
      </w:r>
    </w:p>
    <w:p>
      <w:pPr>
        <w:spacing w:line="240" w:lineRule="auto" w:before="4"/>
        <w:rPr>
          <w:rFonts w:ascii="宋体" w:hAnsi="宋体" w:cs="宋体" w:eastAsia="宋体" w:hint="default"/>
          <w:sz w:val="19"/>
          <w:szCs w:val="19"/>
        </w:rPr>
      </w:pPr>
    </w:p>
    <w:p>
      <w:pPr>
        <w:pStyle w:val="BodyText"/>
        <w:spacing w:line="357" w:lineRule="auto"/>
        <w:ind w:right="1131" w:firstLine="480"/>
        <w:jc w:val="both"/>
      </w:pPr>
      <w:r>
        <w:rPr>
          <w:rFonts w:ascii="宋体" w:hAnsi="宋体" w:cs="宋体" w:eastAsia="宋体" w:hint="default"/>
        </w:rPr>
        <w:t>2017</w:t>
      </w:r>
      <w:r>
        <w:rPr>
          <w:rFonts w:ascii="宋体" w:hAnsi="宋体" w:cs="宋体" w:eastAsia="宋体" w:hint="default"/>
          <w:spacing w:val="-64"/>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28</w:t>
      </w:r>
      <w:r>
        <w:rPr>
          <w:rFonts w:ascii="宋体" w:hAnsi="宋体" w:cs="宋体" w:eastAsia="宋体" w:hint="default"/>
          <w:spacing w:val="-64"/>
        </w:rPr>
        <w:t> </w:t>
      </w:r>
      <w:r>
        <w:rPr/>
        <w:t>日，财政部发布《企业会计准则第</w:t>
      </w:r>
      <w:r>
        <w:rPr>
          <w:spacing w:val="-64"/>
        </w:rPr>
        <w:t> </w:t>
      </w:r>
      <w:r>
        <w:rPr>
          <w:rFonts w:ascii="宋体" w:hAnsi="宋体" w:cs="宋体" w:eastAsia="宋体" w:hint="default"/>
        </w:rPr>
        <w:t>42</w:t>
      </w:r>
      <w:r>
        <w:rPr>
          <w:rFonts w:ascii="宋体" w:hAnsi="宋体" w:cs="宋体" w:eastAsia="宋体" w:hint="default"/>
          <w:spacing w:val="-64"/>
        </w:rPr>
        <w:t> </w:t>
      </w:r>
      <w:r>
        <w:rPr/>
        <w:t>号——持有待售的非流动资产、处 </w:t>
      </w:r>
      <w:r>
        <w:rPr>
          <w:spacing w:val="-7"/>
        </w:rPr>
        <w:t>置组和终止经营》（财会</w:t>
      </w:r>
      <w:r>
        <w:rPr>
          <w:rFonts w:ascii="宋体" w:hAnsi="宋体" w:cs="宋体" w:eastAsia="宋体" w:hint="default"/>
          <w:spacing w:val="-7"/>
        </w:rPr>
        <w:t>[2017]13</w:t>
      </w:r>
      <w:r>
        <w:rPr>
          <w:rFonts w:ascii="宋体" w:hAnsi="宋体" w:cs="宋体" w:eastAsia="宋体" w:hint="default"/>
          <w:spacing w:val="-39"/>
        </w:rPr>
        <w:t> </w:t>
      </w:r>
      <w:r>
        <w:rPr>
          <w:spacing w:val="-6"/>
        </w:rPr>
        <w:t>号），对于准则施行日存在的持有待售的非流动资产、处置</w:t>
      </w:r>
      <w:r>
        <w:rPr>
          <w:spacing w:val="-117"/>
        </w:rPr>
        <w:t> </w:t>
      </w:r>
      <w:r>
        <w:rPr>
          <w:spacing w:val="-117"/>
        </w:rPr>
      </w:r>
      <w:r>
        <w:rPr/>
        <w:t>组和终止经营，采用未来适用法处理。</w:t>
      </w:r>
    </w:p>
    <w:p>
      <w:pPr>
        <w:pStyle w:val="BodyText"/>
        <w:spacing w:line="357" w:lineRule="auto" w:before="134"/>
        <w:ind w:right="1131" w:firstLine="480"/>
        <w:jc w:val="both"/>
      </w:pP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25</w:t>
      </w:r>
      <w:r>
        <w:rPr>
          <w:rFonts w:ascii="宋体" w:hAnsi="宋体" w:cs="宋体" w:eastAsia="宋体" w:hint="default"/>
          <w:spacing w:val="-65"/>
        </w:rPr>
        <w:t> </w:t>
      </w:r>
      <w:r>
        <w:rPr/>
        <w:t>日，财政部修订并发布了财政部《关于修订印发一般企业财务报表格式 </w:t>
      </w:r>
      <w:r>
        <w:rPr>
          <w:spacing w:val="-8"/>
        </w:rPr>
        <w:t>的通知》（财会【</w:t>
      </w:r>
      <w:r>
        <w:rPr>
          <w:rFonts w:ascii="宋体" w:hAnsi="宋体" w:cs="宋体" w:eastAsia="宋体" w:hint="default"/>
          <w:spacing w:val="-8"/>
        </w:rPr>
        <w:t>2017</w:t>
      </w:r>
      <w:r>
        <w:rPr>
          <w:spacing w:val="-8"/>
        </w:rPr>
        <w:t>】</w:t>
      </w:r>
      <w:r>
        <w:rPr>
          <w:rFonts w:ascii="宋体" w:hAnsi="宋体" w:cs="宋体" w:eastAsia="宋体" w:hint="default"/>
          <w:spacing w:val="-8"/>
        </w:rPr>
        <w:t>30</w:t>
      </w:r>
      <w:r>
        <w:rPr>
          <w:rFonts w:ascii="宋体" w:hAnsi="宋体" w:cs="宋体" w:eastAsia="宋体" w:hint="default"/>
        </w:rPr>
        <w:t> </w:t>
      </w:r>
      <w:r>
        <w:rPr>
          <w:spacing w:val="-6"/>
        </w:rPr>
        <w:t>号），对一般企业财务报表格式进行了修订，适用于</w:t>
      </w:r>
      <w:r>
        <w:rPr/>
        <w:t> </w:t>
      </w:r>
      <w:r>
        <w:rPr>
          <w:rFonts w:ascii="宋体" w:hAnsi="宋体" w:cs="宋体" w:eastAsia="宋体" w:hint="default"/>
        </w:rPr>
        <w:t>2017</w:t>
      </w:r>
      <w:r>
        <w:rPr>
          <w:rFonts w:ascii="宋体" w:hAnsi="宋体" w:cs="宋体" w:eastAsia="宋体" w:hint="default"/>
          <w:spacing w:val="-66"/>
        </w:rPr>
        <w:t> </w:t>
      </w:r>
      <w:r>
        <w:rPr/>
        <w:t>年度及 以后期间的财务报表。</w:t>
      </w:r>
    </w:p>
    <w:p>
      <w:pPr>
        <w:pStyle w:val="BodyText"/>
        <w:spacing w:line="360" w:lineRule="auto" w:before="134"/>
        <w:ind w:right="1092" w:firstLine="480"/>
        <w:jc w:val="left"/>
      </w:pPr>
      <w:r>
        <w:rPr/>
        <w:t>按照上述通知及上述企业会计准则的规定和要求，公司需对原会计政策进行相应变更， 并按以上文件规定的起始日开始执行上述企业会计准则。</w:t>
      </w:r>
    </w:p>
    <w:p>
      <w:pPr>
        <w:pStyle w:val="BodyText"/>
        <w:spacing w:line="240" w:lineRule="auto" w:before="134"/>
        <w:ind w:left="634" w:right="1092"/>
        <w:jc w:val="left"/>
      </w:pPr>
      <w:r>
        <w:rPr>
          <w:rFonts w:ascii="宋体" w:hAnsi="宋体" w:cs="宋体" w:eastAsia="宋体" w:hint="default"/>
        </w:rPr>
        <w:t>2</w:t>
      </w:r>
      <w:r>
        <w:rPr/>
        <w:t>）本次会计政策变更对公司的影响</w:t>
      </w:r>
    </w:p>
    <w:p>
      <w:pPr>
        <w:spacing w:after="0" w:line="240" w:lineRule="auto"/>
        <w:jc w:val="left"/>
        <w:sectPr>
          <w:headerReference w:type="default" r:id="rId25"/>
          <w:footerReference w:type="default" r:id="rId26"/>
          <w:pgSz w:w="11910" w:h="16840"/>
          <w:pgMar w:header="877" w:footer="979" w:top="1100" w:bottom="1160" w:left="980" w:right="0"/>
          <w:pgNumType w:start="67"/>
        </w:sectPr>
      </w:pPr>
    </w:p>
    <w:p>
      <w:pPr>
        <w:spacing w:line="240" w:lineRule="auto" w:before="7"/>
        <w:rPr>
          <w:rFonts w:ascii="宋体" w:hAnsi="宋体" w:cs="宋体" w:eastAsia="宋体" w:hint="default"/>
          <w:sz w:val="25"/>
          <w:szCs w:val="25"/>
        </w:rPr>
      </w:pPr>
    </w:p>
    <w:p>
      <w:pPr>
        <w:pStyle w:val="BodyText"/>
        <w:spacing w:line="240" w:lineRule="auto" w:before="26"/>
        <w:ind w:left="634" w:right="0"/>
        <w:jc w:val="left"/>
      </w:pPr>
      <w:r>
        <w:rPr/>
        <w:t>财政部发布的《企业会计准则第 </w:t>
      </w:r>
      <w:r>
        <w:rPr>
          <w:rFonts w:ascii="宋体" w:hAnsi="宋体" w:cs="宋体" w:eastAsia="宋体" w:hint="default"/>
        </w:rPr>
        <w:t>42</w:t>
      </w:r>
      <w:r>
        <w:rPr>
          <w:rFonts w:ascii="宋体" w:hAnsi="宋体" w:cs="宋体" w:eastAsia="宋体" w:hint="default"/>
          <w:spacing w:val="-81"/>
        </w:rPr>
        <w:t> </w:t>
      </w:r>
      <w:r>
        <w:rPr/>
        <w:t>号——持有待售的非流动资产、处置组和终止经营》</w:t>
      </w:r>
    </w:p>
    <w:p>
      <w:pPr>
        <w:pStyle w:val="BodyText"/>
        <w:spacing w:line="357" w:lineRule="auto" w:before="154"/>
        <w:ind w:right="1092"/>
        <w:jc w:val="left"/>
      </w:pPr>
      <w:r>
        <w:rPr/>
        <w:t>（财会</w:t>
      </w:r>
      <w:r>
        <w:rPr>
          <w:rFonts w:ascii="宋体" w:hAnsi="宋体" w:cs="宋体" w:eastAsia="宋体" w:hint="default"/>
        </w:rPr>
        <w:t>[2017]13</w:t>
      </w:r>
      <w:r>
        <w:rPr>
          <w:rFonts w:ascii="宋体" w:hAnsi="宋体" w:cs="宋体" w:eastAsia="宋体" w:hint="default"/>
          <w:spacing w:val="17"/>
        </w:rPr>
        <w:t> </w:t>
      </w:r>
      <w:r>
        <w:rPr>
          <w:spacing w:val="-4"/>
        </w:rPr>
        <w:t>号），该会计政策变更未对本期财务报表产生影响，此项会计政策变更采用</w:t>
      </w:r>
      <w:r>
        <w:rPr>
          <w:spacing w:val="-117"/>
        </w:rPr>
        <w:t> </w:t>
      </w:r>
      <w:r>
        <w:rPr>
          <w:spacing w:val="-117"/>
        </w:rPr>
      </w:r>
      <w:r>
        <w:rPr/>
        <w:t>未来适用法。</w:t>
      </w:r>
    </w:p>
    <w:p>
      <w:pPr>
        <w:pStyle w:val="BodyText"/>
        <w:spacing w:line="357" w:lineRule="auto" w:before="135"/>
        <w:ind w:right="999" w:firstLine="480"/>
        <w:jc w:val="left"/>
      </w:pPr>
      <w:r>
        <w:rPr>
          <w:spacing w:val="-3"/>
        </w:rPr>
        <w:t>根据财政部印发的《财政部关于修订印发一般企业财务报表格式的通知》的规定和要求，</w:t>
      </w:r>
      <w:r>
        <w:rPr/>
        <w:t> 增加财务报表相关项目，本次会计政策变更仅对财务报表列示产生影响，对公司损益、总资</w:t>
      </w:r>
      <w:r>
        <w:rPr>
          <w:spacing w:val="-116"/>
        </w:rPr>
        <w:t> </w:t>
      </w:r>
      <w:r>
        <w:rPr>
          <w:spacing w:val="-116"/>
        </w:rPr>
      </w:r>
      <w:r>
        <w:rPr/>
        <w:t>产、净资产不产生影响。此项会计政策变更采用追溯调整法。</w:t>
      </w:r>
    </w:p>
    <w:p>
      <w:pPr>
        <w:pStyle w:val="BodyText"/>
        <w:spacing w:line="240" w:lineRule="auto" w:before="137"/>
        <w:ind w:left="634" w:right="1092"/>
        <w:jc w:val="left"/>
      </w:pPr>
      <w:r>
        <w:rPr>
          <w:rFonts w:ascii="宋体" w:hAnsi="宋体" w:cs="宋体" w:eastAsia="宋体" w:hint="default"/>
        </w:rPr>
        <w:t>2</w:t>
      </w:r>
      <w:r>
        <w:rPr/>
        <w:t>、公司第三届董事会第十九次会议审议通过了《关于会计政策变更的议案</w:t>
      </w:r>
      <w:r>
        <w:rPr>
          <w:spacing w:val="-120"/>
        </w:rPr>
        <w:t>》</w:t>
      </w:r>
      <w:r>
        <w:rPr/>
        <w:t>：</w:t>
      </w:r>
    </w:p>
    <w:p>
      <w:pPr>
        <w:spacing w:line="240" w:lineRule="auto" w:before="5"/>
        <w:rPr>
          <w:rFonts w:ascii="宋体" w:hAnsi="宋体" w:cs="宋体" w:eastAsia="宋体" w:hint="default"/>
          <w:sz w:val="19"/>
          <w:szCs w:val="19"/>
        </w:rPr>
      </w:pPr>
    </w:p>
    <w:p>
      <w:pPr>
        <w:pStyle w:val="BodyText"/>
        <w:spacing w:line="432" w:lineRule="auto"/>
        <w:ind w:left="634" w:right="999"/>
        <w:jc w:val="left"/>
      </w:pPr>
      <w:r>
        <w:rPr>
          <w:rFonts w:ascii="宋体" w:hAnsi="宋体" w:cs="宋体" w:eastAsia="宋体" w:hint="default"/>
        </w:rPr>
        <w:t>1</w:t>
      </w:r>
      <w:r>
        <w:rPr/>
        <w:t>）变更原因 </w:t>
      </w:r>
      <w:r>
        <w:rPr>
          <w:spacing w:val="-3"/>
        </w:rPr>
        <w:t>为解决执行企业会计准则的企业在财务报告编制中的实际问题，规范企业财务报表列报，</w:t>
      </w:r>
    </w:p>
    <w:p>
      <w:pPr>
        <w:pStyle w:val="BodyText"/>
        <w:spacing w:line="276" w:lineRule="exact"/>
        <w:ind w:right="0"/>
        <w:jc w:val="both"/>
      </w:pPr>
      <w:r>
        <w:rPr/>
        <w:t>提高会计信息质量，财政部于</w:t>
      </w:r>
      <w:r>
        <w:rPr>
          <w:spacing w:val="-64"/>
        </w:rPr>
        <w:t> </w:t>
      </w:r>
      <w:r>
        <w:rPr>
          <w:rFonts w:ascii="宋体" w:hAnsi="宋体" w:cs="宋体" w:eastAsia="宋体" w:hint="default"/>
        </w:rPr>
        <w:t>2018</w:t>
      </w:r>
      <w:r>
        <w:rPr>
          <w:rFonts w:ascii="宋体" w:hAnsi="宋体" w:cs="宋体" w:eastAsia="宋体" w:hint="default"/>
          <w:spacing w:val="-64"/>
        </w:rPr>
        <w:t> </w:t>
      </w:r>
      <w:r>
        <w:rPr/>
        <w:t>年</w:t>
      </w:r>
      <w:r>
        <w:rPr>
          <w:spacing w:val="-64"/>
        </w:rPr>
        <w:t> </w:t>
      </w:r>
      <w:r>
        <w:rPr>
          <w:rFonts w:ascii="宋体" w:hAnsi="宋体" w:cs="宋体" w:eastAsia="宋体" w:hint="default"/>
        </w:rPr>
        <w:t>6</w:t>
      </w:r>
      <w:r>
        <w:rPr>
          <w:rFonts w:ascii="宋体" w:hAnsi="宋体" w:cs="宋体" w:eastAsia="宋体" w:hint="default"/>
          <w:spacing w:val="-64"/>
        </w:rPr>
        <w:t> </w:t>
      </w:r>
      <w:r>
        <w:rPr/>
        <w:t>月</w:t>
      </w:r>
      <w:r>
        <w:rPr>
          <w:spacing w:val="-64"/>
        </w:rPr>
        <w:t> </w:t>
      </w:r>
      <w:r>
        <w:rPr>
          <w:rFonts w:ascii="宋体" w:hAnsi="宋体" w:cs="宋体" w:eastAsia="宋体" w:hint="default"/>
        </w:rPr>
        <w:t>15</w:t>
      </w:r>
      <w:r>
        <w:rPr>
          <w:rFonts w:ascii="宋体" w:hAnsi="宋体" w:cs="宋体" w:eastAsia="宋体" w:hint="default"/>
          <w:spacing w:val="-64"/>
        </w:rPr>
        <w:t> </w:t>
      </w:r>
      <w:r>
        <w:rPr/>
        <w:t>日发布了财会</w:t>
      </w:r>
      <w:r>
        <w:rPr>
          <w:rFonts w:ascii="宋体" w:hAnsi="宋体" w:cs="宋体" w:eastAsia="宋体" w:hint="default"/>
        </w:rPr>
        <w:t>[2018]15</w:t>
      </w:r>
      <w:r>
        <w:rPr>
          <w:rFonts w:ascii="宋体" w:hAnsi="宋体" w:cs="宋体" w:eastAsia="宋体" w:hint="default"/>
          <w:spacing w:val="-64"/>
        </w:rPr>
        <w:t> </w:t>
      </w:r>
      <w:r>
        <w:rPr/>
        <w:t>号文件，对一般企业财</w:t>
      </w:r>
    </w:p>
    <w:p>
      <w:pPr>
        <w:pStyle w:val="BodyText"/>
        <w:spacing w:line="357" w:lineRule="auto" w:before="154"/>
        <w:ind w:right="1013"/>
        <w:jc w:val="both"/>
      </w:pPr>
      <w:r>
        <w:rPr/>
        <w:t>务报表格式进行了修订。财会</w:t>
      </w:r>
      <w:r>
        <w:rPr>
          <w:rFonts w:ascii="宋体" w:hAnsi="宋体" w:cs="宋体" w:eastAsia="宋体" w:hint="default"/>
        </w:rPr>
        <w:t>[2018]15</w:t>
      </w:r>
      <w:r>
        <w:rPr>
          <w:rFonts w:ascii="宋体" w:hAnsi="宋体" w:cs="宋体" w:eastAsia="宋体" w:hint="default"/>
          <w:spacing w:val="-68"/>
        </w:rPr>
        <w:t> </w:t>
      </w:r>
      <w:r>
        <w:rPr/>
        <w:t>号文件规定，执行企业会计准则的非金融企业中，尚 未执行新金融准则和新收入准则的企业应当按照企业会计准则和该文件附件 </w:t>
      </w:r>
      <w:r>
        <w:rPr>
          <w:rFonts w:ascii="宋体" w:hAnsi="宋体" w:cs="宋体" w:eastAsia="宋体" w:hint="default"/>
        </w:rPr>
        <w:t>1</w:t>
      </w:r>
      <w:r>
        <w:rPr>
          <w:rFonts w:ascii="宋体" w:hAnsi="宋体" w:cs="宋体" w:eastAsia="宋体" w:hint="default"/>
          <w:spacing w:val="-82"/>
        </w:rPr>
        <w:t> </w:t>
      </w:r>
      <w:r>
        <w:rPr/>
        <w:t>的要求编制财 务报表；企业对不存在相应业务的报表项目可结合本企业的实际情况进行必要删减，企业根 </w:t>
      </w:r>
      <w:r>
        <w:rPr>
          <w:spacing w:val="13"/>
        </w:rPr>
        <w:t>据重要性原则并结合本企业的实际情况可以对单独列示的内容增加报表项目。根据财会</w:t>
      </w:r>
      <w:r>
        <w:rPr/>
        <w:t> </w:t>
      </w:r>
      <w:r>
        <w:rPr>
          <w:rFonts w:ascii="宋体" w:hAnsi="宋体" w:cs="宋体" w:eastAsia="宋体" w:hint="default"/>
        </w:rPr>
        <w:t>[2018]15</w:t>
      </w:r>
      <w:r>
        <w:rPr>
          <w:rFonts w:ascii="宋体" w:hAnsi="宋体" w:cs="宋体" w:eastAsia="宋体" w:hint="default"/>
          <w:spacing w:val="-68"/>
        </w:rPr>
        <w:t> </w:t>
      </w:r>
      <w:r>
        <w:rPr/>
        <w:t>号文件的要求，公司需对会计政策相关内容进行相应调整，按照该文件规定的一般 </w:t>
      </w:r>
      <w:r>
        <w:rPr>
          <w:spacing w:val="-2"/>
        </w:rPr>
        <w:t>企业财务报表格式（适用于尚未执行新金融准则和新收入准则的企业）编制公司的财务报表。</w:t>
      </w:r>
    </w:p>
    <w:p>
      <w:pPr>
        <w:pStyle w:val="BodyText"/>
        <w:spacing w:line="240" w:lineRule="auto" w:before="137"/>
        <w:ind w:left="634" w:right="1092"/>
        <w:jc w:val="left"/>
      </w:pPr>
      <w:r>
        <w:rPr>
          <w:rFonts w:ascii="宋体" w:hAnsi="宋体" w:cs="宋体" w:eastAsia="宋体" w:hint="default"/>
        </w:rPr>
        <w:t>2</w:t>
      </w:r>
      <w:r>
        <w:rPr/>
        <w:t>）本次会计政策变更对公司的影响</w:t>
      </w:r>
    </w:p>
    <w:p>
      <w:pPr>
        <w:spacing w:line="240" w:lineRule="auto" w:before="4"/>
        <w:rPr>
          <w:rFonts w:ascii="宋体" w:hAnsi="宋体" w:cs="宋体" w:eastAsia="宋体" w:hint="default"/>
          <w:sz w:val="19"/>
          <w:szCs w:val="19"/>
        </w:rPr>
      </w:pPr>
    </w:p>
    <w:p>
      <w:pPr>
        <w:pStyle w:val="BodyText"/>
        <w:spacing w:line="357" w:lineRule="auto"/>
        <w:ind w:right="1112" w:firstLine="480"/>
        <w:jc w:val="left"/>
      </w:pPr>
      <w:r>
        <w:rPr/>
        <w:t>根据财会</w:t>
      </w:r>
      <w:r>
        <w:rPr>
          <w:rFonts w:ascii="宋体" w:hAnsi="宋体" w:cs="宋体" w:eastAsia="宋体" w:hint="default"/>
        </w:rPr>
        <w:t>[2018]15</w:t>
      </w:r>
      <w:r>
        <w:rPr>
          <w:rFonts w:ascii="宋体" w:hAnsi="宋体" w:cs="宋体" w:eastAsia="宋体" w:hint="default"/>
          <w:spacing w:val="-80"/>
        </w:rPr>
        <w:t> </w:t>
      </w:r>
      <w:r>
        <w:rPr/>
        <w:t>号文件的要求，公司调整以下财务报表项目的列示，并对可比会计期 间的比较数据进行相应调整：</w:t>
      </w:r>
    </w:p>
    <w:p>
      <w:pPr>
        <w:pStyle w:val="BodyText"/>
        <w:spacing w:line="240" w:lineRule="auto" w:before="136"/>
        <w:ind w:left="634" w:right="999"/>
        <w:jc w:val="left"/>
      </w:pPr>
      <w:r>
        <w:rPr>
          <w:spacing w:val="-6"/>
        </w:rPr>
        <w:t>（</w:t>
      </w:r>
      <w:r>
        <w:rPr>
          <w:rFonts w:ascii="宋体" w:hAnsi="宋体" w:cs="宋体" w:eastAsia="宋体" w:hint="default"/>
          <w:spacing w:val="-6"/>
        </w:rPr>
        <w:t>1</w:t>
      </w:r>
      <w:r>
        <w:rPr>
          <w:spacing w:val="-6"/>
        </w:rPr>
        <w:t>）原“应收票据”和“应收账款”项目合并计入新增的“应收票据及应收账款”项目；</w:t>
      </w:r>
    </w:p>
    <w:p>
      <w:pPr>
        <w:spacing w:line="240" w:lineRule="auto" w:before="6"/>
        <w:rPr>
          <w:rFonts w:ascii="宋体" w:hAnsi="宋体" w:cs="宋体" w:eastAsia="宋体" w:hint="default"/>
          <w:sz w:val="19"/>
          <w:szCs w:val="19"/>
        </w:rPr>
      </w:pPr>
    </w:p>
    <w:p>
      <w:pPr>
        <w:pStyle w:val="BodyText"/>
        <w:spacing w:line="240" w:lineRule="auto"/>
        <w:ind w:left="634" w:right="0"/>
        <w:jc w:val="left"/>
      </w:pPr>
      <w:r>
        <w:rPr/>
        <w:t>（</w:t>
      </w:r>
      <w:r>
        <w:rPr>
          <w:rFonts w:ascii="宋体" w:hAnsi="宋体" w:cs="宋体" w:eastAsia="宋体" w:hint="default"/>
        </w:rPr>
        <w:t>2</w:t>
      </w:r>
      <w:r>
        <w:rPr>
          <w:spacing w:val="-26"/>
        </w:rPr>
        <w:t>）原</w:t>
      </w:r>
      <w:r>
        <w:rPr/>
        <w:t>“应收利息</w:t>
      </w:r>
      <w:r>
        <w:rPr>
          <w:spacing w:val="-120"/>
        </w:rPr>
        <w:t>”</w:t>
      </w:r>
      <w:r>
        <w:rPr>
          <w:spacing w:val="-146"/>
        </w:rPr>
        <w:t>、</w:t>
      </w:r>
      <w:r>
        <w:rPr/>
        <w:t>“应收股利</w:t>
      </w:r>
      <w:r>
        <w:rPr>
          <w:spacing w:val="-26"/>
        </w:rPr>
        <w:t>”和</w:t>
      </w:r>
      <w:r>
        <w:rPr/>
        <w:t>“其他应收款</w:t>
      </w:r>
      <w:r>
        <w:rPr>
          <w:spacing w:val="-26"/>
        </w:rPr>
        <w:t>”</w:t>
      </w:r>
      <w:r>
        <w:rPr/>
        <w:t>项目合并计</w:t>
      </w:r>
      <w:r>
        <w:rPr>
          <w:spacing w:val="-26"/>
        </w:rPr>
        <w:t>入</w:t>
      </w:r>
      <w:r>
        <w:rPr/>
        <w:t>“其他应收款</w:t>
      </w:r>
      <w:r>
        <w:rPr>
          <w:spacing w:val="-26"/>
        </w:rPr>
        <w:t>”</w:t>
      </w:r>
      <w:r>
        <w:rPr/>
        <w:t>项目；</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w:t>
      </w:r>
      <w:r>
        <w:rPr>
          <w:rFonts w:ascii="宋体" w:hAnsi="宋体" w:cs="宋体" w:eastAsia="宋体" w:hint="default"/>
        </w:rPr>
        <w:t>3</w:t>
      </w:r>
      <w:r>
        <w:rPr/>
        <w:t>）原“固定资产清理”和“固定资产”项目合并计入“固定资产”项目；</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w:t>
      </w:r>
      <w:r>
        <w:rPr>
          <w:rFonts w:ascii="宋体" w:hAnsi="宋体" w:cs="宋体" w:eastAsia="宋体" w:hint="default"/>
        </w:rPr>
        <w:t>4</w:t>
      </w:r>
      <w:r>
        <w:rPr/>
        <w:t>）原“工程物资”项目归并至“在建工程”项目；</w:t>
      </w:r>
    </w:p>
    <w:p>
      <w:pPr>
        <w:spacing w:line="240" w:lineRule="auto" w:before="6"/>
        <w:rPr>
          <w:rFonts w:ascii="宋体" w:hAnsi="宋体" w:cs="宋体" w:eastAsia="宋体" w:hint="default"/>
          <w:sz w:val="19"/>
          <w:szCs w:val="19"/>
        </w:rPr>
      </w:pPr>
    </w:p>
    <w:p>
      <w:pPr>
        <w:pStyle w:val="BodyText"/>
        <w:spacing w:line="240" w:lineRule="auto"/>
        <w:ind w:left="634" w:right="999"/>
        <w:jc w:val="left"/>
      </w:pPr>
      <w:r>
        <w:rPr>
          <w:spacing w:val="-6"/>
        </w:rPr>
        <w:t>（</w:t>
      </w:r>
      <w:r>
        <w:rPr>
          <w:rFonts w:ascii="宋体" w:hAnsi="宋体" w:cs="宋体" w:eastAsia="宋体" w:hint="default"/>
          <w:spacing w:val="-6"/>
        </w:rPr>
        <w:t>5</w:t>
      </w:r>
      <w:r>
        <w:rPr>
          <w:spacing w:val="-6"/>
        </w:rPr>
        <w:t>）原“应付票据”和“应付账款”项目合并计入新增的“应付票据及应付账款”项目；</w:t>
      </w:r>
    </w:p>
    <w:p>
      <w:pPr>
        <w:spacing w:line="240" w:lineRule="auto" w:before="5"/>
        <w:rPr>
          <w:rFonts w:ascii="宋体" w:hAnsi="宋体" w:cs="宋体" w:eastAsia="宋体" w:hint="default"/>
          <w:sz w:val="19"/>
          <w:szCs w:val="19"/>
        </w:rPr>
      </w:pPr>
    </w:p>
    <w:p>
      <w:pPr>
        <w:pStyle w:val="BodyText"/>
        <w:spacing w:line="240" w:lineRule="auto"/>
        <w:ind w:left="634" w:right="0"/>
        <w:jc w:val="left"/>
      </w:pPr>
      <w:r>
        <w:rPr/>
        <w:t>（</w:t>
      </w:r>
      <w:r>
        <w:rPr>
          <w:rFonts w:ascii="宋体" w:hAnsi="宋体" w:cs="宋体" w:eastAsia="宋体" w:hint="default"/>
        </w:rPr>
        <w:t>6</w:t>
      </w:r>
      <w:r>
        <w:rPr>
          <w:spacing w:val="-26"/>
        </w:rPr>
        <w:t>）原</w:t>
      </w:r>
      <w:r>
        <w:rPr/>
        <w:t>“应付利息</w:t>
      </w:r>
      <w:r>
        <w:rPr>
          <w:spacing w:val="-120"/>
        </w:rPr>
        <w:t>”</w:t>
      </w:r>
      <w:r>
        <w:rPr>
          <w:spacing w:val="-146"/>
        </w:rPr>
        <w:t>、</w:t>
      </w:r>
      <w:r>
        <w:rPr/>
        <w:t>“应付股利</w:t>
      </w:r>
      <w:r>
        <w:rPr>
          <w:spacing w:val="-26"/>
        </w:rPr>
        <w:t>”和</w:t>
      </w:r>
      <w:r>
        <w:rPr/>
        <w:t>“其他应付款</w:t>
      </w:r>
      <w:r>
        <w:rPr>
          <w:spacing w:val="-26"/>
        </w:rPr>
        <w:t>”</w:t>
      </w:r>
      <w:r>
        <w:rPr/>
        <w:t>项目合并计</w:t>
      </w:r>
      <w:r>
        <w:rPr>
          <w:spacing w:val="-26"/>
        </w:rPr>
        <w:t>入</w:t>
      </w:r>
      <w:r>
        <w:rPr/>
        <w:t>“其他应付款</w:t>
      </w:r>
      <w:r>
        <w:rPr>
          <w:spacing w:val="-26"/>
        </w:rPr>
        <w:t>”</w:t>
      </w:r>
      <w:r>
        <w:rPr/>
        <w:t>项目；</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w:t>
      </w:r>
      <w:r>
        <w:rPr>
          <w:rFonts w:ascii="宋体" w:hAnsi="宋体" w:cs="宋体" w:eastAsia="宋体" w:hint="default"/>
        </w:rPr>
        <w:t>7</w:t>
      </w:r>
      <w:r>
        <w:rPr/>
        <w:t>）原“专项应付款”项目归并至“长期应付款”项目；</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spacing w:val="-3"/>
        </w:rPr>
        <w:t>（</w:t>
      </w:r>
      <w:r>
        <w:rPr>
          <w:rFonts w:ascii="宋体" w:hAnsi="宋体" w:cs="宋体" w:eastAsia="宋体" w:hint="default"/>
          <w:spacing w:val="-3"/>
        </w:rPr>
        <w:t>8</w:t>
      </w:r>
      <w:r>
        <w:rPr>
          <w:spacing w:val="-3"/>
        </w:rPr>
        <w:t>）新增“研发费用”项目，原计入“管理费用”项目的研发费用单独列示为“研发费</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right="0"/>
        <w:jc w:val="both"/>
      </w:pPr>
      <w:r>
        <w:rPr/>
        <w:t>用”项目；</w:t>
      </w:r>
    </w:p>
    <w:p>
      <w:pPr>
        <w:spacing w:line="240" w:lineRule="auto" w:before="5"/>
        <w:rPr>
          <w:rFonts w:ascii="宋体" w:hAnsi="宋体" w:cs="宋体" w:eastAsia="宋体" w:hint="default"/>
          <w:sz w:val="19"/>
          <w:szCs w:val="19"/>
        </w:rPr>
      </w:pPr>
    </w:p>
    <w:p>
      <w:pPr>
        <w:pStyle w:val="BodyText"/>
        <w:spacing w:line="434" w:lineRule="auto"/>
        <w:ind w:left="634" w:right="1092"/>
        <w:jc w:val="left"/>
      </w:pPr>
      <w:r>
        <w:rPr/>
        <w:t>（</w:t>
      </w:r>
      <w:r>
        <w:rPr>
          <w:rFonts w:ascii="宋体" w:hAnsi="宋体" w:cs="宋体" w:eastAsia="宋体" w:hint="default"/>
        </w:rPr>
        <w:t>9</w:t>
      </w:r>
      <w:r>
        <w:rPr/>
        <w:t>）在“财务费用”项目下列示“利息费用”和“利息收入”明细项目。 除上述项目变动影响外，本次会计政策变更不涉及对公司以前年度的追溯调整。 本次会计政策变更不会对当期和会计政策变更前公司总资产、负债总额、净资产及净利</w:t>
      </w:r>
    </w:p>
    <w:p>
      <w:pPr>
        <w:pStyle w:val="BodyText"/>
        <w:spacing w:line="275" w:lineRule="exact"/>
        <w:ind w:right="0"/>
        <w:jc w:val="both"/>
      </w:pPr>
      <w:r>
        <w:rPr/>
        <w:t>润产生任何影响。</w:t>
      </w:r>
    </w:p>
    <w:p>
      <w:pPr>
        <w:spacing w:line="240" w:lineRule="auto" w:before="8"/>
        <w:rPr>
          <w:rFonts w:ascii="宋体" w:hAnsi="宋体" w:cs="宋体" w:eastAsia="宋体" w:hint="default"/>
          <w:sz w:val="28"/>
          <w:szCs w:val="28"/>
        </w:rPr>
      </w:pPr>
    </w:p>
    <w:p>
      <w:pPr>
        <w:pStyle w:val="Heading2"/>
        <w:spacing w:line="240" w:lineRule="auto" w:before="0"/>
        <w:ind w:right="0"/>
        <w:jc w:val="both"/>
        <w:rPr>
          <w:b w:val="0"/>
          <w:bCs w:val="0"/>
        </w:rPr>
      </w:pPr>
      <w:bookmarkStart w:name="七、与上年度财务报告相比，合并报表范围发生变化的情况说明" w:id="70"/>
      <w:bookmarkEnd w:id="70"/>
      <w:r>
        <w:rPr>
          <w:b w:val="0"/>
          <w:bCs w:val="0"/>
        </w:rPr>
      </w:r>
      <w:r>
        <w:rPr/>
        <w:t>七、与上年度财务报告相比，合并报表范围发生变化的情况说明</w:t>
      </w:r>
      <w:r>
        <w:rPr>
          <w:b w:val="0"/>
          <w:bCs w:val="0"/>
        </w:rPr>
      </w:r>
    </w:p>
    <w:p>
      <w:pPr>
        <w:spacing w:line="240" w:lineRule="auto" w:before="12"/>
        <w:rPr>
          <w:rFonts w:ascii="宋体" w:hAnsi="宋体" w:cs="宋体" w:eastAsia="宋体" w:hint="default"/>
          <w:b/>
          <w:bCs/>
          <w:sz w:val="28"/>
          <w:szCs w:val="28"/>
        </w:rPr>
      </w:pPr>
    </w:p>
    <w:p>
      <w:pPr>
        <w:pStyle w:val="BodyText"/>
        <w:spacing w:line="432" w:lineRule="auto"/>
        <w:ind w:left="634" w:right="1092"/>
        <w:jc w:val="left"/>
      </w:pPr>
      <w:r>
        <w:rPr/>
        <w:t>√ 适用 □ 不适用 与上年相比，本年因非同一控制下企业合并增加上海晨之科信息技术有限公司（以下简</w:t>
      </w:r>
    </w:p>
    <w:p>
      <w:pPr>
        <w:pStyle w:val="BodyText"/>
        <w:spacing w:line="276" w:lineRule="exact"/>
        <w:ind w:right="0"/>
        <w:jc w:val="both"/>
      </w:pPr>
      <w:r>
        <w:rPr/>
        <w:t>称“晨之科</w:t>
      </w:r>
      <w:r>
        <w:rPr>
          <w:spacing w:val="-119"/>
        </w:rPr>
        <w:t>”）</w:t>
      </w:r>
      <w:r>
        <w:rPr/>
        <w:t>，该主体包括上海乐</w:t>
      </w:r>
      <w:r>
        <w:rPr>
          <w:spacing w:val="4"/>
        </w:rPr>
        <w:t>纷</w:t>
      </w:r>
      <w:r>
        <w:rPr/>
        <w:t>数码科技有限公司、上海乐芝信息技术有限公司、霍尔</w:t>
      </w:r>
    </w:p>
    <w:p>
      <w:pPr>
        <w:pStyle w:val="BodyText"/>
        <w:spacing w:line="357" w:lineRule="auto" w:before="154"/>
        <w:ind w:right="1131"/>
        <w:jc w:val="both"/>
      </w:pPr>
      <w:r>
        <w:rPr>
          <w:spacing w:val="6"/>
        </w:rPr>
        <w:t>果斯乐氪信息技术有限公司、晨之科亚洲控股有限公司、多彩互娱有限公司、</w:t>
      </w:r>
      <w:r>
        <w:rPr>
          <w:rFonts w:ascii="宋体" w:hAnsi="宋体" w:cs="宋体" w:eastAsia="宋体" w:hint="default"/>
          <w:spacing w:val="6"/>
        </w:rPr>
        <w:t>MORNINGTEC</w:t>
      </w:r>
      <w:r>
        <w:rPr>
          <w:rFonts w:ascii="宋体" w:hAnsi="宋体" w:cs="宋体" w:eastAsia="宋体" w:hint="default"/>
        </w:rPr>
        <w:t> JAPAN</w:t>
      </w:r>
      <w:r>
        <w:rPr>
          <w:rFonts w:ascii="宋体" w:hAnsi="宋体" w:cs="宋体" w:eastAsia="宋体" w:hint="default"/>
          <w:spacing w:val="-68"/>
        </w:rPr>
        <w:t> </w:t>
      </w:r>
      <w:r>
        <w:rPr>
          <w:rFonts w:ascii="宋体" w:hAnsi="宋体" w:cs="宋体" w:eastAsia="宋体" w:hint="default"/>
        </w:rPr>
        <w:t>LIMITED</w:t>
      </w:r>
      <w:r>
        <w:rPr/>
        <w:t>、上海岚魔信息技术有限公司等</w:t>
      </w:r>
      <w:r>
        <w:rPr>
          <w:spacing w:val="-68"/>
        </w:rPr>
        <w:t> </w:t>
      </w:r>
      <w:r>
        <w:rPr>
          <w:rFonts w:ascii="宋体" w:hAnsi="宋体" w:cs="宋体" w:eastAsia="宋体" w:hint="default"/>
        </w:rPr>
        <w:t>8</w:t>
      </w:r>
      <w:r>
        <w:rPr>
          <w:rFonts w:ascii="宋体" w:hAnsi="宋体" w:cs="宋体" w:eastAsia="宋体" w:hint="default"/>
          <w:spacing w:val="-68"/>
        </w:rPr>
        <w:t> </w:t>
      </w:r>
      <w:r>
        <w:rPr/>
        <w:t>家公司，与上年相比，晨之科本年因非同一 控制下企业合并增加上海岚魔信息技术有限公司，因新设成立增加晨之科（成都）信息技术 有限公司，本年因注销减少上海晨郡信息技术有限公司；本集团本年因投资新设增加武汉慧 读教育科技发展有限公司、天津中文光之影文化传媒有限公司、上海光之影兄弟文化科技发 展有限公司；本年已对北京中文万维科技有限公司的部分股权进行了处置，已丧失控制权，</w:t>
      </w:r>
      <w:r>
        <w:rPr>
          <w:spacing w:val="-116"/>
        </w:rPr>
        <w:t> </w:t>
      </w:r>
      <w:r>
        <w:rPr>
          <w:spacing w:val="-116"/>
        </w:rPr>
      </w:r>
      <w:r>
        <w:rPr/>
        <w:t>包括其全资子公司霍尔果斯爱看书网信息科技有限公司和霍尔果斯鸿鹭华阅文化传播有限公 司在内均不再纳入合并范围；本年已处置子公司宁波梅山保税港区中昊嘉华股权投资合伙企 </w:t>
      </w:r>
      <w:r>
        <w:rPr>
          <w:spacing w:val="-5"/>
        </w:rPr>
        <w:t>业（有限合伙），包括其子公司宁波梅山保税港区新美嘉华股权投资有限公司均不再纳入合并</w:t>
      </w:r>
      <w:r>
        <w:rPr>
          <w:spacing w:val="-117"/>
        </w:rPr>
        <w:t> </w:t>
      </w:r>
      <w:r>
        <w:rPr>
          <w:spacing w:val="-117"/>
        </w:rPr>
      </w:r>
      <w:r>
        <w:rPr/>
        <w:t>范围。</w:t>
      </w:r>
    </w:p>
    <w:p>
      <w:pPr>
        <w:spacing w:line="240" w:lineRule="auto" w:before="10"/>
        <w:rPr>
          <w:rFonts w:ascii="宋体" w:hAnsi="宋体" w:cs="宋体" w:eastAsia="宋体" w:hint="default"/>
          <w:sz w:val="19"/>
          <w:szCs w:val="19"/>
        </w:rPr>
      </w:pPr>
    </w:p>
    <w:p>
      <w:pPr>
        <w:spacing w:line="528" w:lineRule="auto" w:before="0"/>
        <w:ind w:left="634" w:right="5472" w:hanging="480"/>
        <w:jc w:val="left"/>
        <w:rPr>
          <w:rFonts w:ascii="宋体" w:hAnsi="宋体" w:cs="宋体" w:eastAsia="宋体" w:hint="default"/>
          <w:sz w:val="24"/>
          <w:szCs w:val="24"/>
        </w:rPr>
      </w:pPr>
      <w:r>
        <w:rPr/>
        <w:pict>
          <v:shape style="position:absolute;margin-left:56.459999pt;margin-top:60.935646pt;width:479.2pt;height:121.1pt;mso-position-horizontal-relative:page;mso-position-vertical-relative:paragraph;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659"/>
                    <w:gridCol w:w="3909"/>
                  </w:tblGrid>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160</w:t>
                        </w:r>
                      </w:p>
                    </w:tc>
                  </w:tr>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w:t>
                        </w:r>
                      </w:p>
                    </w:tc>
                  </w:tr>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汪洋、王宏疆</w:t>
                        </w:r>
                      </w:p>
                    </w:tc>
                  </w:tr>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境外会计师事务所名称（如有）</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bookmarkStart w:name="八、聘任、解聘会计师事务所情况" w:id="71"/>
      <w:bookmarkEnd w:id="71"/>
      <w:r>
        <w:rPr/>
      </w:r>
      <w:r>
        <w:rPr>
          <w:rFonts w:ascii="宋体" w:hAnsi="宋体" w:cs="宋体" w:eastAsia="宋体" w:hint="default"/>
          <w:b/>
          <w:bCs/>
          <w:w w:val="95"/>
          <w:sz w:val="24"/>
          <w:szCs w:val="24"/>
        </w:rPr>
        <w:t>八、聘任、解聘会计师事务所情况</w:t>
      </w:r>
      <w:r>
        <w:rPr>
          <w:rFonts w:ascii="宋体" w:hAnsi="宋体" w:cs="宋体" w:eastAsia="宋体" w:hint="default"/>
          <w:b/>
          <w:bCs/>
          <w:spacing w:val="51"/>
          <w:w w:val="95"/>
          <w:sz w:val="24"/>
          <w:szCs w:val="24"/>
        </w:rPr>
        <w:t> </w:t>
      </w:r>
      <w:r>
        <w:rPr>
          <w:rFonts w:ascii="宋体" w:hAnsi="宋体" w:cs="宋体" w:eastAsia="宋体" w:hint="default"/>
          <w:sz w:val="24"/>
          <w:szCs w:val="24"/>
        </w:rPr>
        <w:t>现聘任的会计事务所</w:t>
      </w:r>
    </w:p>
    <w:p>
      <w:pPr>
        <w:spacing w:after="0" w:line="528" w:lineRule="auto"/>
        <w:jc w:val="left"/>
        <w:rPr>
          <w:rFonts w:ascii="宋体" w:hAnsi="宋体" w:cs="宋体" w:eastAsia="宋体" w:hint="default"/>
          <w:sz w:val="24"/>
          <w:szCs w:val="24"/>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5659"/>
        <w:gridCol w:w="3909"/>
      </w:tblGrid>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境外会计师事务所报酬（万元</w:t>
            </w:r>
            <w:r>
              <w:rPr>
                <w:rFonts w:ascii="宋体" w:hAnsi="宋体" w:cs="宋体" w:eastAsia="宋体" w:hint="default"/>
                <w:spacing w:val="-90"/>
                <w:sz w:val="18"/>
                <w:szCs w:val="18"/>
              </w:rPr>
              <w:t>）</w:t>
            </w:r>
            <w:r>
              <w:rPr>
                <w:rFonts w:ascii="宋体" w:hAnsi="宋体" w:cs="宋体" w:eastAsia="宋体" w:hint="default"/>
                <w:sz w:val="18"/>
                <w:szCs w:val="18"/>
              </w:rPr>
              <w:t>（如有）</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境外会计师事务所审计服务的连续年限（如有）</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境外会计师事务所注册会计师姓名（如有）</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56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境外会计师事务所注册会计师审计服务的连续年限（如有）</w:t>
            </w:r>
          </w:p>
        </w:tc>
        <w:tc>
          <w:tcPr>
            <w:tcW w:w="39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是否改聘会计师事务所</w:t>
      </w:r>
    </w:p>
    <w:p>
      <w:pPr>
        <w:spacing w:line="240" w:lineRule="auto" w:before="6"/>
        <w:rPr>
          <w:rFonts w:ascii="宋体" w:hAnsi="宋体" w:cs="宋体" w:eastAsia="宋体" w:hint="default"/>
          <w:sz w:val="19"/>
          <w:szCs w:val="19"/>
        </w:rPr>
      </w:pPr>
    </w:p>
    <w:p>
      <w:pPr>
        <w:pStyle w:val="BodyText"/>
        <w:spacing w:line="434" w:lineRule="auto"/>
        <w:ind w:left="634" w:right="4272"/>
        <w:jc w:val="left"/>
      </w:pPr>
      <w:r>
        <w:rPr/>
        <w:t>□ 是 √ 否 聘请内部控制审计会计师事务所、财务顾问或保荐人情况</w:t>
      </w:r>
    </w:p>
    <w:p>
      <w:pPr>
        <w:spacing w:line="525" w:lineRule="auto" w:before="60"/>
        <w:ind w:left="154" w:right="5472"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九、年度报告披露后面临暂停上市和终止上市情况" w:id="72"/>
      <w:bookmarkEnd w:id="72"/>
      <w:r>
        <w:rPr>
          <w:rFonts w:ascii="宋体" w:hAnsi="宋体" w:cs="宋体" w:eastAsia="宋体" w:hint="default"/>
          <w:sz w:val="24"/>
          <w:szCs w:val="24"/>
        </w:rPr>
      </w:r>
      <w:r>
        <w:rPr>
          <w:rFonts w:ascii="宋体" w:hAnsi="宋体" w:cs="宋体" w:eastAsia="宋体" w:hint="default"/>
          <w:b/>
          <w:bCs/>
          <w:w w:val="95"/>
          <w:sz w:val="24"/>
          <w:szCs w:val="24"/>
        </w:rPr>
        <w:t>九、年度报告披露后面临暂停上市和终止上市情况</w:t>
      </w:r>
      <w:r>
        <w:rPr>
          <w:rFonts w:ascii="宋体" w:hAnsi="宋体" w:cs="宋体" w:eastAsia="宋体" w:hint="default"/>
          <w:sz w:val="24"/>
          <w:szCs w:val="24"/>
        </w:rPr>
      </w:r>
    </w:p>
    <w:p>
      <w:pPr>
        <w:spacing w:line="525" w:lineRule="auto" w:before="92"/>
        <w:ind w:left="154" w:right="8232"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十、破产重整相关事项" w:id="73"/>
      <w:bookmarkEnd w:id="73"/>
      <w:r>
        <w:rPr>
          <w:rFonts w:ascii="宋体" w:hAnsi="宋体" w:cs="宋体" w:eastAsia="宋体" w:hint="default"/>
          <w:sz w:val="24"/>
          <w:szCs w:val="24"/>
        </w:rPr>
      </w:r>
      <w:r>
        <w:rPr>
          <w:rFonts w:ascii="宋体" w:hAnsi="宋体" w:cs="宋体" w:eastAsia="宋体" w:hint="default"/>
          <w:b/>
          <w:bCs/>
          <w:sz w:val="24"/>
          <w:szCs w:val="24"/>
        </w:rPr>
        <w:t>十、破产重整相关事项</w:t>
      </w:r>
      <w:r>
        <w:rPr>
          <w:rFonts w:ascii="宋体" w:hAnsi="宋体" w:cs="宋体" w:eastAsia="宋体" w:hint="default"/>
          <w:sz w:val="24"/>
          <w:szCs w:val="24"/>
        </w:rPr>
      </w:r>
    </w:p>
    <w:p>
      <w:pPr>
        <w:pStyle w:val="BodyText"/>
        <w:spacing w:line="434" w:lineRule="auto" w:before="92"/>
        <w:ind w:left="634" w:right="6192"/>
        <w:jc w:val="left"/>
      </w:pPr>
      <w:r>
        <w:rPr/>
        <w:t>□ 适用 √ 不适用 公司报告期未发生破产重整相关事项。</w:t>
      </w:r>
    </w:p>
    <w:p>
      <w:pPr>
        <w:pStyle w:val="Heading2"/>
        <w:spacing w:line="240" w:lineRule="auto" w:before="180"/>
        <w:ind w:right="1092"/>
        <w:jc w:val="left"/>
        <w:rPr>
          <w:b w:val="0"/>
          <w:bCs w:val="0"/>
        </w:rPr>
      </w:pPr>
      <w:bookmarkStart w:name="十一、重大诉讼、仲裁事项" w:id="74"/>
      <w:bookmarkEnd w:id="74"/>
      <w:r>
        <w:rPr>
          <w:b w:val="0"/>
          <w:bCs w:val="0"/>
        </w:rPr>
      </w:r>
      <w:r>
        <w:rPr/>
        <w:t>十一、重大诉讼、仲裁事项</w:t>
      </w:r>
      <w:r>
        <w:rPr>
          <w:b w:val="0"/>
          <w:bCs w:val="0"/>
        </w:rPr>
      </w:r>
    </w:p>
    <w:p>
      <w:pPr>
        <w:spacing w:line="240" w:lineRule="auto" w:before="12"/>
        <w:rPr>
          <w:rFonts w:ascii="宋体" w:hAnsi="宋体" w:cs="宋体" w:eastAsia="宋体" w:hint="default"/>
          <w:b/>
          <w:bCs/>
          <w:sz w:val="28"/>
          <w:szCs w:val="28"/>
        </w:rPr>
      </w:pPr>
    </w:p>
    <w:p>
      <w:pPr>
        <w:pStyle w:val="BodyText"/>
        <w:spacing w:line="434" w:lineRule="auto"/>
        <w:ind w:left="634" w:right="6432"/>
        <w:jc w:val="left"/>
      </w:pPr>
      <w:r>
        <w:rPr/>
        <w:t>□ 适用 √ 不适用 本年度公司无重大诉讼、仲裁事项。</w:t>
      </w:r>
    </w:p>
    <w:p>
      <w:pPr>
        <w:pStyle w:val="Heading2"/>
        <w:spacing w:line="240" w:lineRule="auto" w:before="180"/>
        <w:ind w:right="1092"/>
        <w:jc w:val="left"/>
        <w:rPr>
          <w:b w:val="0"/>
          <w:bCs w:val="0"/>
        </w:rPr>
      </w:pPr>
      <w:bookmarkStart w:name="十二、处罚及整改情况" w:id="75"/>
      <w:bookmarkEnd w:id="75"/>
      <w:r>
        <w:rPr>
          <w:b w:val="0"/>
          <w:bCs w:val="0"/>
        </w:rPr>
      </w:r>
      <w:r>
        <w:rPr/>
        <w:t>十二、处罚及整改情况</w:t>
      </w:r>
      <w:r>
        <w:rPr>
          <w:b w:val="0"/>
          <w:bCs w:val="0"/>
        </w:rPr>
      </w:r>
    </w:p>
    <w:p>
      <w:pPr>
        <w:spacing w:line="240" w:lineRule="auto" w:before="12"/>
        <w:rPr>
          <w:rFonts w:ascii="宋体" w:hAnsi="宋体" w:cs="宋体" w:eastAsia="宋体" w:hint="default"/>
          <w:b/>
          <w:bCs/>
          <w:sz w:val="28"/>
          <w:szCs w:val="28"/>
        </w:rPr>
      </w:pPr>
    </w:p>
    <w:p>
      <w:pPr>
        <w:pStyle w:val="BodyText"/>
        <w:spacing w:line="434" w:lineRule="auto"/>
        <w:ind w:left="634" w:right="6432"/>
        <w:jc w:val="left"/>
      </w:pPr>
      <w:r>
        <w:rPr/>
        <w:t>□ 适用 √ 不适用 公司报告期不存在处罚及整改情况。</w:t>
      </w:r>
    </w:p>
    <w:p>
      <w:pPr>
        <w:pStyle w:val="Heading2"/>
        <w:spacing w:line="240" w:lineRule="auto" w:before="180"/>
        <w:ind w:right="1092"/>
        <w:jc w:val="left"/>
        <w:rPr>
          <w:b w:val="0"/>
          <w:bCs w:val="0"/>
        </w:rPr>
      </w:pPr>
      <w:bookmarkStart w:name="十三、公司及其控股股东、实际控制人的诚信状况" w:id="76"/>
      <w:bookmarkEnd w:id="76"/>
      <w:r>
        <w:rPr>
          <w:b w:val="0"/>
          <w:bCs w:val="0"/>
        </w:rPr>
      </w:r>
      <w:r>
        <w:rPr/>
        <w:t>十三、公司及其控股股东、实际控制人的诚信状况</w:t>
      </w:r>
      <w:r>
        <w:rPr>
          <w:b w:val="0"/>
          <w:bCs w:val="0"/>
        </w:rPr>
      </w:r>
    </w:p>
    <w:p>
      <w:pPr>
        <w:spacing w:line="240" w:lineRule="auto" w:before="12"/>
        <w:rPr>
          <w:rFonts w:ascii="宋体" w:hAnsi="宋体" w:cs="宋体" w:eastAsia="宋体" w:hint="default"/>
          <w:b/>
          <w:bCs/>
          <w:sz w:val="28"/>
          <w:szCs w:val="28"/>
        </w:rPr>
      </w:pPr>
    </w:p>
    <w:p>
      <w:pPr>
        <w:spacing w:line="525" w:lineRule="auto" w:before="0"/>
        <w:ind w:left="154" w:right="1092"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十四、公司股权激励计划、员工持股计划或其他员工激励措施的实施情况" w:id="77"/>
      <w:bookmarkEnd w:id="77"/>
      <w:r>
        <w:rPr>
          <w:rFonts w:ascii="宋体" w:hAnsi="宋体" w:cs="宋体" w:eastAsia="宋体" w:hint="default"/>
          <w:sz w:val="24"/>
          <w:szCs w:val="24"/>
        </w:rPr>
      </w:r>
      <w:r>
        <w:rPr>
          <w:rFonts w:ascii="宋体" w:hAnsi="宋体" w:cs="宋体" w:eastAsia="宋体" w:hint="default"/>
          <w:b/>
          <w:bCs/>
          <w:w w:val="95"/>
          <w:sz w:val="24"/>
          <w:szCs w:val="24"/>
        </w:rPr>
        <w:t>十四、公司股权激励计划、员工持股计划或其他员工激励措施的实施情况</w:t>
      </w:r>
      <w:r>
        <w:rPr>
          <w:rFonts w:ascii="宋体" w:hAnsi="宋体" w:cs="宋体" w:eastAsia="宋体" w:hint="default"/>
          <w:sz w:val="24"/>
          <w:szCs w:val="24"/>
        </w:rPr>
      </w:r>
    </w:p>
    <w:p>
      <w:pPr>
        <w:pStyle w:val="BodyText"/>
        <w:spacing w:line="240" w:lineRule="auto" w:before="92"/>
        <w:ind w:left="634" w:right="1092"/>
        <w:jc w:val="left"/>
      </w:pPr>
      <w:r>
        <w:rPr/>
        <w:t>√ 适用 □ 不适用</w:t>
      </w:r>
    </w:p>
    <w:p>
      <w:pPr>
        <w:spacing w:after="0" w:line="240"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6" w:firstLine="480"/>
        <w:jc w:val="both"/>
      </w:pPr>
      <w:r>
        <w:rPr/>
        <w:t>为进一步完善公司的法人治理结构，促进公司建立、健全激励约束机制，不断激励公司 董事和高级管理人员，稳定和吸引核心管理人员和核心技术（业务）人员等人员，有效地将</w:t>
      </w:r>
      <w:r>
        <w:rPr>
          <w:spacing w:val="-117"/>
        </w:rPr>
        <w:t> </w:t>
      </w:r>
      <w:r>
        <w:rPr>
          <w:spacing w:val="-117"/>
        </w:rPr>
      </w:r>
      <w:r>
        <w:rPr/>
        <w:t>股东利益、公司利益和员工利益结合在一起，公司根据相关法律法规拟定了《公司股票期权 </w:t>
      </w:r>
      <w:r>
        <w:rPr>
          <w:spacing w:val="-6"/>
        </w:rPr>
        <w:t>激励计划》、《公司第二期股票期权激励计划》以及《公司第三期股票期权与限制性股票激励</w:t>
      </w:r>
      <w:r>
        <w:rPr>
          <w:spacing w:val="-113"/>
        </w:rPr>
        <w:t> </w:t>
      </w:r>
      <w:r>
        <w:rPr>
          <w:spacing w:val="-113"/>
        </w:rPr>
      </w:r>
      <w:r>
        <w:rPr>
          <w:spacing w:val="-6"/>
        </w:rPr>
        <w:t>计划》，向激励对象授予股票期权及限制性股票。</w:t>
      </w:r>
    </w:p>
    <w:p>
      <w:pPr>
        <w:pStyle w:val="BodyText"/>
        <w:spacing w:line="240" w:lineRule="auto" w:before="136"/>
        <w:ind w:left="634" w:right="1092"/>
        <w:jc w:val="left"/>
      </w:pPr>
      <w:r>
        <w:rPr/>
        <w:t>股票期权与限制性股票激励计划实施情况概述：</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（一）首期股票期权激励计划实施情况</w:t>
      </w:r>
    </w:p>
    <w:p>
      <w:pPr>
        <w:spacing w:line="240" w:lineRule="auto" w:before="4"/>
        <w:rPr>
          <w:rFonts w:ascii="宋体" w:hAnsi="宋体" w:cs="宋体" w:eastAsia="宋体" w:hint="default"/>
          <w:sz w:val="19"/>
          <w:szCs w:val="19"/>
        </w:rPr>
      </w:pPr>
    </w:p>
    <w:p>
      <w:pPr>
        <w:pStyle w:val="BodyText"/>
        <w:spacing w:line="357" w:lineRule="auto"/>
        <w:ind w:right="997" w:firstLine="480"/>
        <w:jc w:val="left"/>
      </w:pPr>
      <w:r>
        <w:rPr>
          <w:rFonts w:ascii="宋体" w:hAnsi="宋体" w:cs="宋体" w:eastAsia="宋体" w:hint="default"/>
          <w:spacing w:val="-12"/>
        </w:rPr>
        <w:t>1</w:t>
      </w:r>
      <w:r>
        <w:rPr>
          <w:spacing w:val="-12"/>
        </w:rPr>
        <w:t>、</w:t>
      </w:r>
      <w:r>
        <w:rPr>
          <w:rFonts w:ascii="宋体" w:hAnsi="宋体" w:cs="宋体" w:eastAsia="宋体" w:hint="default"/>
          <w:spacing w:val="-12"/>
        </w:rPr>
        <w:t>2015</w:t>
      </w:r>
      <w:r>
        <w:rPr>
          <w:rFonts w:ascii="宋体" w:hAnsi="宋体" w:cs="宋体" w:eastAsia="宋体" w:hint="default"/>
          <w:spacing w:val="-56"/>
        </w:rPr>
        <w:t> </w:t>
      </w:r>
      <w:r>
        <w:rPr/>
        <w:t>年</w:t>
      </w:r>
      <w:r>
        <w:rPr>
          <w:spacing w:val="-56"/>
        </w:rPr>
        <w:t> </w:t>
      </w:r>
      <w:r>
        <w:rPr>
          <w:rFonts w:ascii="宋体" w:hAnsi="宋体" w:cs="宋体" w:eastAsia="宋体" w:hint="default"/>
        </w:rPr>
        <w:t>5</w:t>
      </w:r>
      <w:r>
        <w:rPr>
          <w:rFonts w:ascii="宋体" w:hAnsi="宋体" w:cs="宋体" w:eastAsia="宋体" w:hint="default"/>
          <w:spacing w:val="-56"/>
        </w:rPr>
        <w:t> </w:t>
      </w:r>
      <w:r>
        <w:rPr/>
        <w:t>月</w:t>
      </w:r>
      <w:r>
        <w:rPr>
          <w:spacing w:val="-56"/>
        </w:rPr>
        <w:t> </w:t>
      </w:r>
      <w:r>
        <w:rPr>
          <w:rFonts w:ascii="宋体" w:hAnsi="宋体" w:cs="宋体" w:eastAsia="宋体" w:hint="default"/>
        </w:rPr>
        <w:t>11</w:t>
      </w:r>
      <w:r>
        <w:rPr>
          <w:rFonts w:ascii="宋体" w:hAnsi="宋体" w:cs="宋体" w:eastAsia="宋体" w:hint="default"/>
          <w:spacing w:val="-56"/>
        </w:rPr>
        <w:t> </w:t>
      </w:r>
      <w:r>
        <w:rPr>
          <w:spacing w:val="-3"/>
        </w:rPr>
        <w:t>日，公司召开第二届董事会第十三次会议及第二届监事会第六次会议，</w:t>
      </w:r>
      <w:r>
        <w:rPr/>
        <w:t> </w:t>
      </w:r>
      <w:r>
        <w:rPr>
          <w:spacing w:val="-5"/>
        </w:rPr>
        <w:t>审议通过了关于《公司股票期权激励计划（草案）》及其摘要的议案，监事会对激励对象名单</w:t>
      </w:r>
      <w:r>
        <w:rPr/>
        <w:t> 进行了核查，独立董事就本次激励计划发表了同意的独立意见，律师出具了专项意见。</w:t>
      </w:r>
    </w:p>
    <w:p>
      <w:pPr>
        <w:pStyle w:val="BodyText"/>
        <w:spacing w:line="357" w:lineRule="auto" w:before="134"/>
        <w:ind w:right="1129" w:firstLine="480"/>
        <w:jc w:val="both"/>
        <w:rPr>
          <w:rFonts w:ascii="宋体" w:hAnsi="宋体" w:cs="宋体" w:eastAsia="宋体" w:hint="default"/>
        </w:rPr>
      </w:pPr>
      <w:r>
        <w:rPr>
          <w:rFonts w:ascii="宋体" w:hAnsi="宋体" w:cs="宋体" w:eastAsia="宋体" w:hint="default"/>
        </w:rPr>
        <w:t>2</w:t>
      </w:r>
      <w:r>
        <w:rPr/>
        <w:t>、</w:t>
      </w:r>
      <w:r>
        <w:rPr>
          <w:rFonts w:ascii="宋体" w:hAnsi="宋体" w:cs="宋体" w:eastAsia="宋体" w:hint="default"/>
        </w:rPr>
        <w:t>2015</w:t>
      </w:r>
      <w:r>
        <w:rPr>
          <w:rFonts w:ascii="宋体" w:hAnsi="宋体" w:cs="宋体" w:eastAsia="宋体" w:hint="default"/>
          <w:spacing w:val="-64"/>
        </w:rPr>
        <w:t> </w:t>
      </w:r>
      <w:r>
        <w:rPr/>
        <w:t>年</w:t>
      </w:r>
      <w:r>
        <w:rPr>
          <w:spacing w:val="-64"/>
        </w:rPr>
        <w:t> </w:t>
      </w:r>
      <w:r>
        <w:rPr>
          <w:rFonts w:ascii="宋体" w:hAnsi="宋体" w:cs="宋体" w:eastAsia="宋体" w:hint="default"/>
        </w:rPr>
        <w:t>6</w:t>
      </w:r>
      <w:r>
        <w:rPr>
          <w:rFonts w:ascii="宋体" w:hAnsi="宋体" w:cs="宋体" w:eastAsia="宋体" w:hint="default"/>
          <w:spacing w:val="-64"/>
        </w:rPr>
        <w:t> </w:t>
      </w:r>
      <w:r>
        <w:rPr/>
        <w:t>月</w:t>
      </w:r>
      <w:r>
        <w:rPr>
          <w:spacing w:val="-64"/>
        </w:rPr>
        <w:t> </w:t>
      </w:r>
      <w:r>
        <w:rPr>
          <w:rFonts w:ascii="宋体" w:hAnsi="宋体" w:cs="宋体" w:eastAsia="宋体" w:hint="default"/>
        </w:rPr>
        <w:t>9</w:t>
      </w:r>
      <w:r>
        <w:rPr>
          <w:rFonts w:ascii="宋体" w:hAnsi="宋体" w:cs="宋体" w:eastAsia="宋体" w:hint="default"/>
          <w:spacing w:val="-64"/>
        </w:rPr>
        <w:t> </w:t>
      </w:r>
      <w:r>
        <w:rPr/>
        <w:t>日，公司召开</w:t>
      </w:r>
      <w:r>
        <w:rPr>
          <w:spacing w:val="-64"/>
        </w:rPr>
        <w:t> </w:t>
      </w:r>
      <w:r>
        <w:rPr>
          <w:rFonts w:ascii="宋体" w:hAnsi="宋体" w:cs="宋体" w:eastAsia="宋体" w:hint="default"/>
        </w:rPr>
        <w:t>2015</w:t>
      </w:r>
      <w:r>
        <w:rPr>
          <w:rFonts w:ascii="宋体" w:hAnsi="宋体" w:cs="宋体" w:eastAsia="宋体" w:hint="default"/>
          <w:spacing w:val="-64"/>
        </w:rPr>
        <w:t> </w:t>
      </w:r>
      <w:r>
        <w:rPr/>
        <w:t>年第二次临时股东大会，审议通过了关于《公司股 </w:t>
      </w:r>
      <w:r>
        <w:rPr>
          <w:spacing w:val="-5"/>
        </w:rPr>
        <w:t>票期权激励计划（草案）》及其摘要的议案；同日，公司召开第二届董事会第十六次会议及第</w:t>
      </w:r>
      <w:r>
        <w:rPr/>
        <w:t> </w:t>
      </w:r>
      <w:r>
        <w:rPr>
          <w:spacing w:val="-7"/>
        </w:rPr>
        <w:t>二届监事会第八次会议，审议通过了《关于向激励对象授予股票期权的议案》，同意确定</w:t>
      </w:r>
      <w:r>
        <w:rPr>
          <w:spacing w:val="-47"/>
        </w:rPr>
        <w:t> </w:t>
      </w:r>
      <w:r>
        <w:rPr>
          <w:rFonts w:ascii="宋体" w:hAnsi="宋体" w:cs="宋体" w:eastAsia="宋体" w:hint="default"/>
        </w:rPr>
        <w:t>2015</w:t>
      </w:r>
    </w:p>
    <w:p>
      <w:pPr>
        <w:pStyle w:val="BodyText"/>
        <w:spacing w:line="240" w:lineRule="auto" w:before="36"/>
        <w:ind w:right="0"/>
        <w:jc w:val="both"/>
      </w:pPr>
      <w:r>
        <w:rPr/>
        <w:t>年</w:t>
      </w:r>
      <w:r>
        <w:rPr>
          <w:spacing w:val="-59"/>
        </w:rPr>
        <w:t> </w:t>
      </w:r>
      <w:r>
        <w:rPr>
          <w:rFonts w:ascii="宋体" w:hAnsi="宋体" w:cs="宋体" w:eastAsia="宋体" w:hint="default"/>
        </w:rPr>
        <w:t>6</w:t>
      </w:r>
      <w:r>
        <w:rPr>
          <w:rFonts w:ascii="宋体" w:hAnsi="宋体" w:cs="宋体" w:eastAsia="宋体" w:hint="default"/>
          <w:spacing w:val="-59"/>
        </w:rPr>
        <w:t> </w:t>
      </w:r>
      <w:r>
        <w:rPr/>
        <w:t>月</w:t>
      </w:r>
      <w:r>
        <w:rPr>
          <w:spacing w:val="-59"/>
        </w:rPr>
        <w:t> </w:t>
      </w:r>
      <w:r>
        <w:rPr>
          <w:rFonts w:ascii="宋体" w:hAnsi="宋体" w:cs="宋体" w:eastAsia="宋体" w:hint="default"/>
        </w:rPr>
        <w:t>9</w:t>
      </w:r>
      <w:r>
        <w:rPr>
          <w:rFonts w:ascii="宋体" w:hAnsi="宋体" w:cs="宋体" w:eastAsia="宋体" w:hint="default"/>
          <w:spacing w:val="-59"/>
        </w:rPr>
        <w:t> </w:t>
      </w:r>
      <w:r>
        <w:rPr>
          <w:spacing w:val="-6"/>
        </w:rPr>
        <w:t>日为授予日，授予</w:t>
      </w:r>
      <w:r>
        <w:rPr>
          <w:spacing w:val="-59"/>
        </w:rPr>
        <w:t> </w:t>
      </w:r>
      <w:r>
        <w:rPr>
          <w:rFonts w:ascii="宋体" w:hAnsi="宋体" w:cs="宋体" w:eastAsia="宋体" w:hint="default"/>
        </w:rPr>
        <w:t>159</w:t>
      </w:r>
      <w:r>
        <w:rPr>
          <w:rFonts w:ascii="宋体" w:hAnsi="宋体" w:cs="宋体" w:eastAsia="宋体" w:hint="default"/>
          <w:spacing w:val="-59"/>
        </w:rPr>
        <w:t> </w:t>
      </w:r>
      <w:r>
        <w:rPr/>
        <w:t>名激励对象</w:t>
      </w:r>
      <w:r>
        <w:rPr>
          <w:spacing w:val="-59"/>
        </w:rPr>
        <w:t> </w:t>
      </w:r>
      <w:r>
        <w:rPr>
          <w:rFonts w:ascii="宋体" w:hAnsi="宋体" w:cs="宋体" w:eastAsia="宋体" w:hint="default"/>
        </w:rPr>
        <w:t>275.35</w:t>
      </w:r>
      <w:r>
        <w:rPr>
          <w:rFonts w:ascii="宋体" w:hAnsi="宋体" w:cs="宋体" w:eastAsia="宋体" w:hint="default"/>
          <w:spacing w:val="-59"/>
        </w:rPr>
        <w:t> </w:t>
      </w:r>
      <w:r>
        <w:rPr>
          <w:spacing w:val="-5"/>
        </w:rPr>
        <w:t>万份股票期权。预留的</w:t>
      </w:r>
      <w:r>
        <w:rPr>
          <w:spacing w:val="-59"/>
        </w:rPr>
        <w:t> </w:t>
      </w:r>
      <w:r>
        <w:rPr>
          <w:rFonts w:ascii="宋体" w:hAnsi="宋体" w:cs="宋体" w:eastAsia="宋体" w:hint="default"/>
        </w:rPr>
        <w:t>24.65</w:t>
      </w:r>
      <w:r>
        <w:rPr>
          <w:rFonts w:ascii="宋体" w:hAnsi="宋体" w:cs="宋体" w:eastAsia="宋体" w:hint="default"/>
          <w:spacing w:val="-59"/>
        </w:rPr>
        <w:t> </w:t>
      </w:r>
      <w:r>
        <w:rPr/>
        <w:t>万股股票期</w:t>
      </w:r>
    </w:p>
    <w:p>
      <w:pPr>
        <w:pStyle w:val="BodyText"/>
        <w:spacing w:line="357" w:lineRule="auto" w:before="154"/>
        <w:ind w:right="1132"/>
        <w:jc w:val="both"/>
      </w:pPr>
      <w:r>
        <w:rPr/>
        <w:t>权的授予日，将在首次授予后的</w:t>
      </w:r>
      <w:r>
        <w:rPr>
          <w:spacing w:val="-65"/>
        </w:rPr>
        <w:t> </w:t>
      </w:r>
      <w:r>
        <w:rPr>
          <w:rFonts w:ascii="宋体" w:hAnsi="宋体" w:cs="宋体" w:eastAsia="宋体" w:hint="default"/>
        </w:rPr>
        <w:t>12</w:t>
      </w:r>
      <w:r>
        <w:rPr>
          <w:rFonts w:ascii="宋体" w:hAnsi="宋体" w:cs="宋体" w:eastAsia="宋体" w:hint="default"/>
          <w:spacing w:val="-65"/>
        </w:rPr>
        <w:t> </w:t>
      </w:r>
      <w:r>
        <w:rPr>
          <w:spacing w:val="-3"/>
        </w:rPr>
        <w:t>个月内，由董事会另行确定。公司监事会对本次授予的激</w:t>
      </w:r>
      <w:r>
        <w:rPr/>
        <w:t> 励对象名单进行了核实，公司独立董事就此议案发表了同意的独立意见，律师出具了专项意</w:t>
      </w:r>
      <w:r>
        <w:rPr>
          <w:spacing w:val="-116"/>
        </w:rPr>
        <w:t> </w:t>
      </w:r>
      <w:r>
        <w:rPr>
          <w:spacing w:val="-116"/>
        </w:rPr>
      </w:r>
      <w:r>
        <w:rPr/>
        <w:t>见。</w:t>
      </w:r>
    </w:p>
    <w:p>
      <w:pPr>
        <w:pStyle w:val="BodyText"/>
        <w:spacing w:line="240" w:lineRule="auto" w:before="136"/>
        <w:ind w:left="634" w:right="0"/>
        <w:jc w:val="left"/>
      </w:pPr>
      <w:r>
        <w:rPr>
          <w:rFonts w:ascii="宋体" w:hAnsi="宋体" w:cs="宋体" w:eastAsia="宋体" w:hint="default"/>
          <w:spacing w:val="-12"/>
        </w:rPr>
        <w:t>3</w:t>
      </w:r>
      <w:r>
        <w:rPr>
          <w:spacing w:val="-12"/>
        </w:rPr>
        <w:t>、</w:t>
      </w:r>
      <w:r>
        <w:rPr>
          <w:rFonts w:ascii="宋体" w:hAnsi="宋体" w:cs="宋体" w:eastAsia="宋体" w:hint="default"/>
          <w:spacing w:val="-12"/>
        </w:rPr>
        <w:t>2015</w:t>
      </w:r>
      <w:r>
        <w:rPr>
          <w:rFonts w:ascii="宋体" w:hAnsi="宋体" w:cs="宋体" w:eastAsia="宋体" w:hint="default"/>
          <w:spacing w:val="-56"/>
        </w:rPr>
        <w:t> </w:t>
      </w:r>
      <w:r>
        <w:rPr/>
        <w:t>年</w:t>
      </w:r>
      <w:r>
        <w:rPr>
          <w:spacing w:val="-56"/>
        </w:rPr>
        <w:t> </w:t>
      </w:r>
      <w:r>
        <w:rPr>
          <w:rFonts w:ascii="宋体" w:hAnsi="宋体" w:cs="宋体" w:eastAsia="宋体" w:hint="default"/>
        </w:rPr>
        <w:t>6</w:t>
      </w:r>
      <w:r>
        <w:rPr>
          <w:rFonts w:ascii="宋体" w:hAnsi="宋体" w:cs="宋体" w:eastAsia="宋体" w:hint="default"/>
          <w:spacing w:val="-56"/>
        </w:rPr>
        <w:t> </w:t>
      </w:r>
      <w:r>
        <w:rPr/>
        <w:t>月</w:t>
      </w:r>
      <w:r>
        <w:rPr>
          <w:spacing w:val="-56"/>
        </w:rPr>
        <w:t> </w:t>
      </w:r>
      <w:r>
        <w:rPr>
          <w:rFonts w:ascii="宋体" w:hAnsi="宋体" w:cs="宋体" w:eastAsia="宋体" w:hint="default"/>
        </w:rPr>
        <w:t>10</w:t>
      </w:r>
      <w:r>
        <w:rPr>
          <w:rFonts w:ascii="宋体" w:hAnsi="宋体" w:cs="宋体" w:eastAsia="宋体" w:hint="default"/>
          <w:spacing w:val="-56"/>
        </w:rPr>
        <w:t> </w:t>
      </w:r>
      <w:r>
        <w:rPr>
          <w:spacing w:val="-3"/>
        </w:rPr>
        <w:t>日，公司召开第二届董事会第十七次会议及第二届监事会第九次会议，</w:t>
      </w:r>
    </w:p>
    <w:p>
      <w:pPr>
        <w:pStyle w:val="BodyText"/>
        <w:spacing w:line="240" w:lineRule="auto" w:before="154"/>
        <w:ind w:right="0"/>
        <w:jc w:val="both"/>
        <w:rPr>
          <w:rFonts w:ascii="宋体" w:hAnsi="宋体" w:cs="宋体" w:eastAsia="宋体" w:hint="default"/>
        </w:rPr>
      </w:pPr>
      <w:r>
        <w:rPr/>
        <w:t>审议通过</w:t>
      </w:r>
      <w:r>
        <w:rPr>
          <w:spacing w:val="-71"/>
        </w:rPr>
        <w:t>了</w:t>
      </w:r>
      <w:r>
        <w:rPr/>
        <w:t>《关于公司首期股票期权激励计划预留期权授予相关事项的议案</w:t>
      </w:r>
      <w:r>
        <w:rPr>
          <w:spacing w:val="-120"/>
        </w:rPr>
        <w:t>》</w:t>
      </w:r>
      <w:r>
        <w:rPr>
          <w:spacing w:val="-71"/>
        </w:rPr>
        <w:t>，</w:t>
      </w:r>
      <w:r>
        <w:rPr/>
        <w:t>同意确定</w:t>
      </w:r>
      <w:r>
        <w:rPr>
          <w:spacing w:val="-59"/>
        </w:rPr>
        <w:t> </w:t>
      </w:r>
      <w:r>
        <w:rPr>
          <w:rFonts w:ascii="宋体" w:hAnsi="宋体" w:cs="宋体" w:eastAsia="宋体" w:hint="default"/>
        </w:rPr>
        <w:t>2015</w:t>
      </w:r>
    </w:p>
    <w:p>
      <w:pPr>
        <w:pStyle w:val="BodyText"/>
        <w:spacing w:line="357" w:lineRule="auto" w:before="154"/>
        <w:ind w:right="1131"/>
        <w:jc w:val="both"/>
      </w:pPr>
      <w:r>
        <w:rPr/>
        <w:t>年</w:t>
      </w:r>
      <w:r>
        <w:rPr>
          <w:spacing w:val="-56"/>
        </w:rPr>
        <w:t> </w:t>
      </w:r>
      <w:r>
        <w:rPr>
          <w:rFonts w:ascii="宋体" w:hAnsi="宋体" w:cs="宋体" w:eastAsia="宋体" w:hint="default"/>
        </w:rPr>
        <w:t>6</w:t>
      </w:r>
      <w:r>
        <w:rPr>
          <w:rFonts w:ascii="宋体" w:hAnsi="宋体" w:cs="宋体" w:eastAsia="宋体" w:hint="default"/>
          <w:spacing w:val="-55"/>
        </w:rPr>
        <w:t> </w:t>
      </w:r>
      <w:r>
        <w:rPr/>
        <w:t>月</w:t>
      </w:r>
      <w:r>
        <w:rPr>
          <w:spacing w:val="-56"/>
        </w:rPr>
        <w:t> </w:t>
      </w:r>
      <w:r>
        <w:rPr>
          <w:rFonts w:ascii="宋体" w:hAnsi="宋体" w:cs="宋体" w:eastAsia="宋体" w:hint="default"/>
        </w:rPr>
        <w:t>10</w:t>
      </w:r>
      <w:r>
        <w:rPr>
          <w:rFonts w:ascii="宋体" w:hAnsi="宋体" w:cs="宋体" w:eastAsia="宋体" w:hint="default"/>
          <w:spacing w:val="-56"/>
        </w:rPr>
        <w:t> </w:t>
      </w:r>
      <w:r>
        <w:rPr/>
        <w:t>日为授予日，授予</w:t>
      </w:r>
      <w:r>
        <w:rPr>
          <w:spacing w:val="-56"/>
        </w:rPr>
        <w:t> </w:t>
      </w:r>
      <w:r>
        <w:rPr>
          <w:rFonts w:ascii="宋体" w:hAnsi="宋体" w:cs="宋体" w:eastAsia="宋体" w:hint="default"/>
        </w:rPr>
        <w:t>20</w:t>
      </w:r>
      <w:r>
        <w:rPr>
          <w:rFonts w:ascii="宋体" w:hAnsi="宋体" w:cs="宋体" w:eastAsia="宋体" w:hint="default"/>
          <w:spacing w:val="-56"/>
        </w:rPr>
        <w:t> </w:t>
      </w:r>
      <w:r>
        <w:rPr/>
        <w:t>名激励对象</w:t>
      </w:r>
      <w:r>
        <w:rPr>
          <w:spacing w:val="-55"/>
        </w:rPr>
        <w:t> </w:t>
      </w:r>
      <w:r>
        <w:rPr>
          <w:rFonts w:ascii="宋体" w:hAnsi="宋体" w:cs="宋体" w:eastAsia="宋体" w:hint="default"/>
        </w:rPr>
        <w:t>24.65</w:t>
      </w:r>
      <w:r>
        <w:rPr>
          <w:rFonts w:ascii="宋体" w:hAnsi="宋体" w:cs="宋体" w:eastAsia="宋体" w:hint="default"/>
          <w:spacing w:val="-56"/>
        </w:rPr>
        <w:t> </w:t>
      </w:r>
      <w:r>
        <w:rPr/>
        <w:t>万份预留股票期权。公司监事会对本次授 予的激励对象名单进行了核实，公司独立董事就此议案发表了同意的独立意见，律师出具了 专项意见。</w:t>
      </w:r>
    </w:p>
    <w:p>
      <w:pPr>
        <w:pStyle w:val="BodyText"/>
        <w:spacing w:line="357" w:lineRule="auto" w:before="134"/>
        <w:ind w:right="1132" w:firstLine="480"/>
        <w:jc w:val="both"/>
      </w:pPr>
      <w:r>
        <w:rPr>
          <w:rFonts w:ascii="宋体" w:hAnsi="宋体" w:cs="宋体" w:eastAsia="宋体" w:hint="default"/>
          <w:spacing w:val="-9"/>
        </w:rPr>
        <w:t>4</w:t>
      </w:r>
      <w:r>
        <w:rPr>
          <w:spacing w:val="-9"/>
        </w:rPr>
        <w:t>、根据中国证监会《上市公司股权激励管理办法（试行）》、深圳证券交易所、中国证券</w:t>
      </w:r>
      <w:r>
        <w:rPr/>
        <w:t> 登记结算有限责任公司深圳分公司有关业务规则的规定，公司于</w:t>
      </w:r>
      <w:r>
        <w:rPr>
          <w:spacing w:val="-54"/>
        </w:rPr>
        <w:t> </w:t>
      </w:r>
      <w:r>
        <w:rPr>
          <w:rFonts w:ascii="宋体" w:hAnsi="宋体" w:cs="宋体" w:eastAsia="宋体" w:hint="default"/>
        </w:rPr>
        <w:t>2015</w:t>
      </w:r>
      <w:r>
        <w:rPr>
          <w:rFonts w:ascii="宋体" w:hAnsi="宋体" w:cs="宋体" w:eastAsia="宋体" w:hint="default"/>
          <w:spacing w:val="-54"/>
        </w:rPr>
        <w:t> </w:t>
      </w:r>
      <w:r>
        <w:rPr/>
        <w:t>年</w:t>
      </w:r>
      <w:r>
        <w:rPr>
          <w:spacing w:val="-54"/>
        </w:rPr>
        <w:t> </w:t>
      </w:r>
      <w:r>
        <w:rPr>
          <w:rFonts w:ascii="宋体" w:hAnsi="宋体" w:cs="宋体" w:eastAsia="宋体" w:hint="default"/>
        </w:rPr>
        <w:t>7</w:t>
      </w:r>
      <w:r>
        <w:rPr>
          <w:rFonts w:ascii="宋体" w:hAnsi="宋体" w:cs="宋体" w:eastAsia="宋体" w:hint="default"/>
          <w:spacing w:val="-54"/>
        </w:rPr>
        <w:t> </w:t>
      </w:r>
      <w:r>
        <w:rPr/>
        <w:t>月</w:t>
      </w:r>
      <w:r>
        <w:rPr>
          <w:spacing w:val="-54"/>
        </w:rPr>
        <w:t> </w:t>
      </w:r>
      <w:r>
        <w:rPr>
          <w:rFonts w:ascii="宋体" w:hAnsi="宋体" w:cs="宋体" w:eastAsia="宋体" w:hint="default"/>
        </w:rPr>
        <w:t>23</w:t>
      </w:r>
      <w:r>
        <w:rPr>
          <w:rFonts w:ascii="宋体" w:hAnsi="宋体" w:cs="宋体" w:eastAsia="宋体" w:hint="default"/>
          <w:spacing w:val="-54"/>
        </w:rPr>
        <w:t> </w:t>
      </w:r>
      <w:r>
        <w:rPr/>
        <w:t>日完成了首</w:t>
      </w:r>
    </w:p>
    <w:p>
      <w:pPr>
        <w:pStyle w:val="BodyText"/>
        <w:spacing w:line="360" w:lineRule="auto" w:before="36"/>
        <w:ind w:right="1131"/>
        <w:jc w:val="both"/>
      </w:pPr>
      <w:r>
        <w:rPr>
          <w:spacing w:val="-6"/>
        </w:rPr>
        <w:t>次授予股票期权的授予登记工作，于</w:t>
      </w:r>
      <w:r>
        <w:rPr>
          <w:spacing w:val="-58"/>
        </w:rPr>
        <w:t> </w:t>
      </w:r>
      <w:r>
        <w:rPr>
          <w:rFonts w:ascii="宋体" w:hAnsi="宋体" w:cs="宋体" w:eastAsia="宋体" w:hint="default"/>
        </w:rPr>
        <w:t>2015</w:t>
      </w:r>
      <w:r>
        <w:rPr>
          <w:rFonts w:ascii="宋体" w:hAnsi="宋体" w:cs="宋体" w:eastAsia="宋体" w:hint="default"/>
          <w:spacing w:val="-58"/>
        </w:rPr>
        <w:t> </w:t>
      </w:r>
      <w:r>
        <w:rPr/>
        <w:t>年</w:t>
      </w:r>
      <w:r>
        <w:rPr>
          <w:spacing w:val="-58"/>
        </w:rPr>
        <w:t> </w:t>
      </w:r>
      <w:r>
        <w:rPr>
          <w:rFonts w:ascii="宋体" w:hAnsi="宋体" w:cs="宋体" w:eastAsia="宋体" w:hint="default"/>
        </w:rPr>
        <w:t>8</w:t>
      </w:r>
      <w:r>
        <w:rPr>
          <w:rFonts w:ascii="宋体" w:hAnsi="宋体" w:cs="宋体" w:eastAsia="宋体" w:hint="default"/>
          <w:spacing w:val="-58"/>
        </w:rPr>
        <w:t> </w:t>
      </w:r>
      <w:r>
        <w:rPr/>
        <w:t>月</w:t>
      </w:r>
      <w:r>
        <w:rPr>
          <w:spacing w:val="-58"/>
        </w:rPr>
        <w:t> </w:t>
      </w:r>
      <w:r>
        <w:rPr>
          <w:rFonts w:ascii="宋体" w:hAnsi="宋体" w:cs="宋体" w:eastAsia="宋体" w:hint="default"/>
        </w:rPr>
        <w:t>5</w:t>
      </w:r>
      <w:r>
        <w:rPr>
          <w:rFonts w:ascii="宋体" w:hAnsi="宋体" w:cs="宋体" w:eastAsia="宋体" w:hint="default"/>
          <w:spacing w:val="-58"/>
        </w:rPr>
        <w:t> </w:t>
      </w:r>
      <w:r>
        <w:rPr/>
        <w:t>日完成了首期股票期权激励计划预留期权 的授予登记工作。</w:t>
      </w:r>
    </w:p>
    <w:p>
      <w:pPr>
        <w:pStyle w:val="BodyText"/>
        <w:spacing w:line="357" w:lineRule="auto" w:before="132"/>
        <w:ind w:right="1131" w:firstLine="480"/>
        <w:jc w:val="both"/>
      </w:pPr>
      <w:r>
        <w:rPr>
          <w:rFonts w:ascii="宋体" w:hAnsi="宋体" w:cs="宋体" w:eastAsia="宋体" w:hint="default"/>
        </w:rPr>
        <w:t>5</w:t>
      </w:r>
      <w:r>
        <w:rPr/>
        <w:t>、</w:t>
      </w:r>
      <w:r>
        <w:rPr>
          <w:rFonts w:ascii="宋体" w:hAnsi="宋体" w:cs="宋体" w:eastAsia="宋体" w:hint="default"/>
        </w:rPr>
        <w:t>2016</w:t>
      </w:r>
      <w:r>
        <w:rPr>
          <w:rFonts w:ascii="宋体" w:hAnsi="宋体" w:cs="宋体" w:eastAsia="宋体" w:hint="default"/>
          <w:spacing w:val="-65"/>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w:t>
      </w:r>
      <w:r>
        <w:rPr>
          <w:spacing w:val="-65"/>
        </w:rPr>
        <w:t> </w:t>
      </w:r>
      <w:r>
        <w:rPr>
          <w:rFonts w:ascii="宋体" w:hAnsi="宋体" w:cs="宋体" w:eastAsia="宋体" w:hint="default"/>
        </w:rPr>
        <w:t>24</w:t>
      </w:r>
      <w:r>
        <w:rPr>
          <w:rFonts w:ascii="宋体" w:hAnsi="宋体" w:cs="宋体" w:eastAsia="宋体" w:hint="default"/>
          <w:spacing w:val="-65"/>
        </w:rPr>
        <w:t> </w:t>
      </w:r>
      <w:r>
        <w:rPr/>
        <w:t>日，公司召开第二届董事会第三十一次会议及第二届监事会第二十一 次会议，审议通过了《关于调整首期股票期权激励计划激励对象名单及授予权益数量、价格</w:t>
      </w:r>
    </w:p>
    <w:p>
      <w:pPr>
        <w:spacing w:after="0" w:line="357"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0"/>
        <w:jc w:val="both"/>
      </w:pPr>
      <w:r>
        <w:rPr>
          <w:spacing w:val="-5"/>
        </w:rPr>
        <w:t>的议案》以及《关于调整首期股票期权激励计划预留部分授予权益数量、价格的议案》：调整</w:t>
      </w:r>
      <w:r>
        <w:rPr/>
        <w:t> 后，首期股票期权激励计划首次授予股票期权的数量为 </w:t>
      </w:r>
      <w:r>
        <w:rPr>
          <w:rFonts w:ascii="宋体" w:hAnsi="宋体" w:cs="宋体" w:eastAsia="宋体" w:hint="default"/>
        </w:rPr>
        <w:t>4,746,896</w:t>
      </w:r>
      <w:r>
        <w:rPr>
          <w:rFonts w:ascii="宋体" w:hAnsi="宋体" w:cs="宋体" w:eastAsia="宋体" w:hint="default"/>
          <w:spacing w:val="-81"/>
        </w:rPr>
        <w:t> </w:t>
      </w:r>
      <w:r>
        <w:rPr/>
        <w:t>股，股票期权的行权价格</w:t>
      </w:r>
    </w:p>
    <w:p>
      <w:pPr>
        <w:pStyle w:val="BodyText"/>
        <w:spacing w:line="240" w:lineRule="auto" w:before="36"/>
        <w:ind w:right="0"/>
        <w:jc w:val="both"/>
      </w:pPr>
      <w:r>
        <w:rPr/>
        <w:t>为</w:t>
      </w:r>
      <w:r>
        <w:rPr>
          <w:spacing w:val="-51"/>
        </w:rPr>
        <w:t> </w:t>
      </w:r>
      <w:r>
        <w:rPr>
          <w:rFonts w:ascii="宋体" w:hAnsi="宋体" w:cs="宋体" w:eastAsia="宋体" w:hint="default"/>
        </w:rPr>
        <w:t>55.352</w:t>
      </w:r>
      <w:r>
        <w:rPr>
          <w:rFonts w:ascii="宋体" w:hAnsi="宋体" w:cs="宋体" w:eastAsia="宋体" w:hint="default"/>
          <w:spacing w:val="-50"/>
        </w:rPr>
        <w:t> </w:t>
      </w:r>
      <w:r>
        <w:rPr/>
        <w:t>元</w:t>
      </w:r>
      <w:r>
        <w:rPr>
          <w:rFonts w:ascii="宋体" w:hAnsi="宋体" w:cs="宋体" w:eastAsia="宋体" w:hint="default"/>
        </w:rPr>
        <w:t>/</w:t>
      </w:r>
      <w:r>
        <w:rPr/>
        <w:t>股，授予激励对象人数为</w:t>
      </w:r>
      <w:r>
        <w:rPr>
          <w:spacing w:val="-50"/>
        </w:rPr>
        <w:t> </w:t>
      </w:r>
      <w:r>
        <w:rPr>
          <w:rFonts w:ascii="宋体" w:hAnsi="宋体" w:cs="宋体" w:eastAsia="宋体" w:hint="default"/>
        </w:rPr>
        <w:t>127</w:t>
      </w:r>
      <w:r>
        <w:rPr>
          <w:rFonts w:ascii="宋体" w:hAnsi="宋体" w:cs="宋体" w:eastAsia="宋体" w:hint="default"/>
          <w:spacing w:val="-51"/>
        </w:rPr>
        <w:t> </w:t>
      </w:r>
      <w:r>
        <w:rPr/>
        <w:t>名；首期股票期权激励计划预留部分股票期权的</w:t>
      </w:r>
    </w:p>
    <w:p>
      <w:pPr>
        <w:pStyle w:val="BodyText"/>
        <w:spacing w:line="357" w:lineRule="auto" w:before="154"/>
        <w:ind w:right="1131"/>
        <w:jc w:val="both"/>
      </w:pPr>
      <w:r>
        <w:rPr/>
        <w:t>数量为</w:t>
      </w:r>
      <w:r>
        <w:rPr>
          <w:spacing w:val="-50"/>
        </w:rPr>
        <w:t> </w:t>
      </w:r>
      <w:r>
        <w:rPr>
          <w:rFonts w:ascii="宋体" w:hAnsi="宋体" w:cs="宋体" w:eastAsia="宋体" w:hint="default"/>
        </w:rPr>
        <w:t>489,463</w:t>
      </w:r>
      <w:r>
        <w:rPr>
          <w:rFonts w:ascii="宋体" w:hAnsi="宋体" w:cs="宋体" w:eastAsia="宋体" w:hint="default"/>
          <w:spacing w:val="-51"/>
        </w:rPr>
        <w:t> </w:t>
      </w:r>
      <w:r>
        <w:rPr/>
        <w:t>股，股票期权的行权价格为</w:t>
      </w:r>
      <w:r>
        <w:rPr>
          <w:spacing w:val="-50"/>
        </w:rPr>
        <w:t> </w:t>
      </w:r>
      <w:r>
        <w:rPr>
          <w:rFonts w:ascii="宋体" w:hAnsi="宋体" w:cs="宋体" w:eastAsia="宋体" w:hint="default"/>
        </w:rPr>
        <w:t>70.944</w:t>
      </w:r>
      <w:r>
        <w:rPr>
          <w:rFonts w:ascii="宋体" w:hAnsi="宋体" w:cs="宋体" w:eastAsia="宋体" w:hint="default"/>
          <w:spacing w:val="-51"/>
        </w:rPr>
        <w:t> </w:t>
      </w:r>
      <w:r>
        <w:rPr/>
        <w:t>元</w:t>
      </w:r>
      <w:r>
        <w:rPr>
          <w:rFonts w:ascii="宋体" w:hAnsi="宋体" w:cs="宋体" w:eastAsia="宋体" w:hint="default"/>
        </w:rPr>
        <w:t>/</w:t>
      </w:r>
      <w:r>
        <w:rPr/>
        <w:t>股。监事会对调整后的人员名单进行 了核实。独立董事发表了独立意见。</w:t>
      </w:r>
    </w:p>
    <w:p>
      <w:pPr>
        <w:pStyle w:val="BodyText"/>
        <w:spacing w:line="357" w:lineRule="auto" w:before="134"/>
        <w:ind w:right="1131" w:firstLine="480"/>
        <w:jc w:val="both"/>
      </w:pPr>
      <w:r>
        <w:rPr>
          <w:rFonts w:ascii="宋体" w:hAnsi="宋体" w:cs="宋体" w:eastAsia="宋体" w:hint="default"/>
        </w:rPr>
        <w:t>6</w:t>
      </w:r>
      <w:r>
        <w:rPr/>
        <w:t>、</w:t>
      </w:r>
      <w:r>
        <w:rPr>
          <w:rFonts w:ascii="宋体" w:hAnsi="宋体" w:cs="宋体" w:eastAsia="宋体" w:hint="default"/>
        </w:rPr>
        <w:t>2016</w:t>
      </w:r>
      <w:r>
        <w:rPr>
          <w:rFonts w:ascii="宋体" w:hAnsi="宋体" w:cs="宋体" w:eastAsia="宋体" w:hint="default"/>
          <w:spacing w:val="-65"/>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w:t>
      </w:r>
      <w:r>
        <w:rPr>
          <w:spacing w:val="-65"/>
        </w:rPr>
        <w:t> </w:t>
      </w:r>
      <w:r>
        <w:rPr>
          <w:rFonts w:ascii="宋体" w:hAnsi="宋体" w:cs="宋体" w:eastAsia="宋体" w:hint="default"/>
        </w:rPr>
        <w:t>24</w:t>
      </w:r>
      <w:r>
        <w:rPr>
          <w:rFonts w:ascii="宋体" w:hAnsi="宋体" w:cs="宋体" w:eastAsia="宋体" w:hint="default"/>
          <w:spacing w:val="-65"/>
        </w:rPr>
        <w:t> </w:t>
      </w:r>
      <w:r>
        <w:rPr/>
        <w:t>日，公司召开第二届董事会第三十一次会议及第二届监事会第二十一 次会议，审议通过了《关于公司首期股票期权激励计划首次授予部分第一个行权期可行权的 </w:t>
      </w:r>
      <w:r>
        <w:rPr>
          <w:spacing w:val="-19"/>
        </w:rPr>
        <w:t>议案》，认为公司</w:t>
      </w:r>
      <w:r>
        <w:rPr>
          <w:spacing w:val="-55"/>
        </w:rPr>
        <w:t> </w:t>
      </w:r>
      <w:r>
        <w:rPr>
          <w:rFonts w:ascii="宋体" w:hAnsi="宋体" w:cs="宋体" w:eastAsia="宋体" w:hint="default"/>
        </w:rPr>
        <w:t>127</w:t>
      </w:r>
      <w:r>
        <w:rPr>
          <w:rFonts w:ascii="宋体" w:hAnsi="宋体" w:cs="宋体" w:eastAsia="宋体" w:hint="default"/>
          <w:spacing w:val="-55"/>
        </w:rPr>
        <w:t> </w:t>
      </w:r>
      <w:r>
        <w:rPr>
          <w:spacing w:val="-2"/>
        </w:rPr>
        <w:t>名激励对象的行权资格合法、有效，满足公司首期股票期权激励计划首</w:t>
      </w:r>
    </w:p>
    <w:p>
      <w:pPr>
        <w:pStyle w:val="BodyText"/>
        <w:spacing w:line="240" w:lineRule="auto" w:before="36"/>
        <w:ind w:right="0"/>
        <w:jc w:val="both"/>
      </w:pPr>
      <w:r>
        <w:rPr/>
        <w:t>次授予部分第一个行权期的行权条件，同意此 </w:t>
      </w:r>
      <w:r>
        <w:rPr>
          <w:rFonts w:ascii="宋体" w:hAnsi="宋体" w:cs="宋体" w:eastAsia="宋体" w:hint="default"/>
        </w:rPr>
        <w:t>127</w:t>
      </w:r>
      <w:r>
        <w:rPr>
          <w:rFonts w:ascii="宋体" w:hAnsi="宋体" w:cs="宋体" w:eastAsia="宋体" w:hint="default"/>
          <w:spacing w:val="-81"/>
        </w:rPr>
        <w:t> </w:t>
      </w:r>
      <w:r>
        <w:rPr/>
        <w:t>名激励对象在第一个行权期行权，可行权</w:t>
      </w:r>
    </w:p>
    <w:p>
      <w:pPr>
        <w:pStyle w:val="BodyText"/>
        <w:spacing w:line="357" w:lineRule="auto" w:before="154"/>
        <w:ind w:right="1131"/>
        <w:jc w:val="both"/>
      </w:pPr>
      <w:r>
        <w:rPr/>
        <w:t>数量为</w:t>
      </w:r>
      <w:r>
        <w:rPr>
          <w:spacing w:val="-63"/>
        </w:rPr>
        <w:t> </w:t>
      </w:r>
      <w:r>
        <w:rPr>
          <w:rFonts w:ascii="宋体" w:hAnsi="宋体" w:cs="宋体" w:eastAsia="宋体" w:hint="default"/>
        </w:rPr>
        <w:t>1,424,069</w:t>
      </w:r>
      <w:r>
        <w:rPr>
          <w:rFonts w:ascii="宋体" w:hAnsi="宋体" w:cs="宋体" w:eastAsia="宋体" w:hint="default"/>
          <w:spacing w:val="-63"/>
        </w:rPr>
        <w:t> </w:t>
      </w:r>
      <w:r>
        <w:rPr/>
        <w:t>股，行权价格</w:t>
      </w:r>
      <w:r>
        <w:rPr>
          <w:spacing w:val="-63"/>
        </w:rPr>
        <w:t> </w:t>
      </w:r>
      <w:r>
        <w:rPr>
          <w:rFonts w:ascii="宋体" w:hAnsi="宋体" w:cs="宋体" w:eastAsia="宋体" w:hint="default"/>
        </w:rPr>
        <w:t>55.352</w:t>
      </w:r>
      <w:r>
        <w:rPr>
          <w:rFonts w:ascii="宋体" w:hAnsi="宋体" w:cs="宋体" w:eastAsia="宋体" w:hint="default"/>
          <w:spacing w:val="-63"/>
        </w:rPr>
        <w:t> </w:t>
      </w:r>
      <w:r>
        <w:rPr/>
        <w:t>元</w:t>
      </w:r>
      <w:r>
        <w:rPr>
          <w:rFonts w:ascii="宋体" w:hAnsi="宋体" w:cs="宋体" w:eastAsia="宋体" w:hint="default"/>
        </w:rPr>
        <w:t>/</w:t>
      </w:r>
      <w:r>
        <w:rPr/>
        <w:t>股。</w:t>
      </w:r>
      <w:r>
        <w:rPr>
          <w:rFonts w:ascii="宋体" w:hAnsi="宋体" w:cs="宋体" w:eastAsia="宋体" w:hint="default"/>
        </w:rPr>
        <w:t>2016</w:t>
      </w:r>
      <w:r>
        <w:rPr>
          <w:rFonts w:ascii="宋体" w:hAnsi="宋体" w:cs="宋体" w:eastAsia="宋体" w:hint="default"/>
          <w:spacing w:val="-63"/>
        </w:rPr>
        <w:t> </w:t>
      </w:r>
      <w:r>
        <w:rPr/>
        <w:t>年</w:t>
      </w:r>
      <w:r>
        <w:rPr>
          <w:spacing w:val="-63"/>
        </w:rPr>
        <w:t> </w:t>
      </w:r>
      <w:r>
        <w:rPr>
          <w:rFonts w:ascii="宋体" w:hAnsi="宋体" w:cs="宋体" w:eastAsia="宋体" w:hint="default"/>
        </w:rPr>
        <w:t>7</w:t>
      </w:r>
      <w:r>
        <w:rPr>
          <w:rFonts w:ascii="宋体" w:hAnsi="宋体" w:cs="宋体" w:eastAsia="宋体" w:hint="default"/>
          <w:spacing w:val="-63"/>
        </w:rPr>
        <w:t> </w:t>
      </w:r>
      <w:r>
        <w:rPr/>
        <w:t>月</w:t>
      </w:r>
      <w:r>
        <w:rPr>
          <w:spacing w:val="-63"/>
        </w:rPr>
        <w:t> </w:t>
      </w:r>
      <w:r>
        <w:rPr>
          <w:rFonts w:ascii="宋体" w:hAnsi="宋体" w:cs="宋体" w:eastAsia="宋体" w:hint="default"/>
        </w:rPr>
        <w:t>8</w:t>
      </w:r>
      <w:r>
        <w:rPr>
          <w:rFonts w:ascii="宋体" w:hAnsi="宋体" w:cs="宋体" w:eastAsia="宋体" w:hint="default"/>
          <w:spacing w:val="-63"/>
        </w:rPr>
        <w:t> </w:t>
      </w:r>
      <w:r>
        <w:rPr/>
        <w:t>日，公司召开第二届董事会第 三十二次会议及第二届监事会第二十二次会议，审议通过了《关于公司首期股票期权激励计 </w:t>
      </w:r>
      <w:r>
        <w:rPr>
          <w:spacing w:val="-6"/>
        </w:rPr>
        <w:t>划预留部分第一个行权期可行权的议案》，认为公司</w:t>
      </w:r>
      <w:r>
        <w:rPr/>
        <w:t> </w:t>
      </w:r>
      <w:r>
        <w:rPr>
          <w:rFonts w:ascii="宋体" w:hAnsi="宋体" w:cs="宋体" w:eastAsia="宋体" w:hint="default"/>
        </w:rPr>
        <w:t>20</w:t>
      </w:r>
      <w:r>
        <w:rPr>
          <w:rFonts w:ascii="宋体" w:hAnsi="宋体" w:cs="宋体" w:eastAsia="宋体" w:hint="default"/>
          <w:spacing w:val="-63"/>
        </w:rPr>
        <w:t> </w:t>
      </w:r>
      <w:r>
        <w:rPr/>
        <w:t>名激励对象的行权资格合法、有效，</w:t>
      </w:r>
    </w:p>
    <w:p>
      <w:pPr>
        <w:pStyle w:val="BodyText"/>
        <w:spacing w:line="240" w:lineRule="auto" w:before="36"/>
        <w:ind w:right="0"/>
        <w:jc w:val="both"/>
      </w:pPr>
      <w:r>
        <w:rPr>
          <w:spacing w:val="-3"/>
        </w:rPr>
        <w:t>满足公司首期股票期权激励计划预留部分第一个行权期的行权条件，同意此</w:t>
      </w:r>
      <w:r>
        <w:rPr>
          <w:spacing w:val="-51"/>
        </w:rPr>
        <w:t> </w:t>
      </w:r>
      <w:r>
        <w:rPr>
          <w:rFonts w:ascii="宋体" w:hAnsi="宋体" w:cs="宋体" w:eastAsia="宋体" w:hint="default"/>
        </w:rPr>
        <w:t>20</w:t>
      </w:r>
      <w:r>
        <w:rPr>
          <w:rFonts w:ascii="宋体" w:hAnsi="宋体" w:cs="宋体" w:eastAsia="宋体" w:hint="default"/>
          <w:spacing w:val="-52"/>
        </w:rPr>
        <w:t> </w:t>
      </w:r>
      <w:r>
        <w:rPr/>
        <w:t>名激励对象在</w:t>
      </w:r>
    </w:p>
    <w:p>
      <w:pPr>
        <w:pStyle w:val="BodyText"/>
        <w:spacing w:line="240" w:lineRule="auto" w:before="155"/>
        <w:ind w:right="0"/>
        <w:jc w:val="both"/>
      </w:pPr>
      <w:r>
        <w:rPr/>
        <w:t>第一个行权期行权，可行权数量为</w:t>
      </w:r>
      <w:r>
        <w:rPr>
          <w:spacing w:val="-60"/>
        </w:rPr>
        <w:t> </w:t>
      </w:r>
      <w:r>
        <w:rPr>
          <w:rFonts w:ascii="宋体" w:hAnsi="宋体" w:cs="宋体" w:eastAsia="宋体" w:hint="default"/>
        </w:rPr>
        <w:t>146,839</w:t>
      </w:r>
      <w:r>
        <w:rPr>
          <w:rFonts w:ascii="宋体" w:hAnsi="宋体" w:cs="宋体" w:eastAsia="宋体" w:hint="default"/>
          <w:spacing w:val="-60"/>
        </w:rPr>
        <w:t> </w:t>
      </w:r>
      <w:r>
        <w:rPr/>
        <w:t>股，行权价格</w:t>
      </w:r>
      <w:r>
        <w:rPr>
          <w:spacing w:val="-60"/>
        </w:rPr>
        <w:t> </w:t>
      </w:r>
      <w:r>
        <w:rPr>
          <w:rFonts w:ascii="宋体" w:hAnsi="宋体" w:cs="宋体" w:eastAsia="宋体" w:hint="default"/>
        </w:rPr>
        <w:t>70.944</w:t>
      </w:r>
      <w:r>
        <w:rPr>
          <w:rFonts w:ascii="宋体" w:hAnsi="宋体" w:cs="宋体" w:eastAsia="宋体" w:hint="default"/>
          <w:spacing w:val="-60"/>
        </w:rPr>
        <w:t> </w:t>
      </w:r>
      <w:r>
        <w:rPr/>
        <w:t>元</w:t>
      </w:r>
      <w:r>
        <w:rPr>
          <w:rFonts w:ascii="宋体" w:hAnsi="宋体" w:cs="宋体" w:eastAsia="宋体" w:hint="default"/>
        </w:rPr>
        <w:t>/</w:t>
      </w:r>
      <w:r>
        <w:rPr/>
        <w:t>股。</w:t>
      </w:r>
    </w:p>
    <w:p>
      <w:pPr>
        <w:spacing w:line="240" w:lineRule="auto" w:before="5"/>
        <w:rPr>
          <w:rFonts w:ascii="宋体" w:hAnsi="宋体" w:cs="宋体" w:eastAsia="宋体" w:hint="default"/>
          <w:sz w:val="19"/>
          <w:szCs w:val="19"/>
        </w:rPr>
      </w:pPr>
    </w:p>
    <w:p>
      <w:pPr>
        <w:pStyle w:val="BodyText"/>
        <w:spacing w:line="357" w:lineRule="auto"/>
        <w:ind w:right="999" w:firstLine="480"/>
        <w:jc w:val="left"/>
      </w:pPr>
      <w:r>
        <w:rPr>
          <w:rFonts w:ascii="宋体" w:hAnsi="宋体" w:cs="宋体" w:eastAsia="宋体" w:hint="default"/>
        </w:rPr>
        <w:t>7</w:t>
      </w:r>
      <w:r>
        <w:rPr/>
        <w:t>、</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9</w:t>
      </w:r>
      <w:r>
        <w:rPr>
          <w:rFonts w:ascii="宋体" w:hAnsi="宋体" w:cs="宋体" w:eastAsia="宋体" w:hint="default"/>
          <w:spacing w:val="-40"/>
        </w:rPr>
        <w:t> </w:t>
      </w:r>
      <w:r>
        <w:rPr/>
        <w:t>日，公司召开第三届董事会第三次会议及第三届监事会第三次会议， </w:t>
      </w:r>
      <w:r>
        <w:rPr>
          <w:spacing w:val="-3"/>
        </w:rPr>
        <w:t>审议通过了《关于调整首期股票期权激励计划激励对象名单及授予权益数量、价格的议案》、</w:t>
      </w:r>
    </w:p>
    <w:p>
      <w:pPr>
        <w:pStyle w:val="BodyText"/>
        <w:spacing w:line="357" w:lineRule="auto" w:before="36"/>
        <w:ind w:right="1130"/>
        <w:jc w:val="both"/>
      </w:pPr>
      <w:r>
        <w:rPr>
          <w:spacing w:val="-5"/>
        </w:rPr>
        <w:t>《关于调整首期股票期权激励计划预留部分激励对象名单及授予权益数量、价格的议案》，调</w:t>
      </w:r>
      <w:r>
        <w:rPr>
          <w:spacing w:val="-117"/>
        </w:rPr>
        <w:t> </w:t>
      </w:r>
      <w:r>
        <w:rPr>
          <w:spacing w:val="-117"/>
        </w:rPr>
      </w:r>
      <w:r>
        <w:rPr/>
        <w:t>整后，首期股票期权激励计划首次授予股票期权的数量为</w:t>
      </w:r>
      <w:r>
        <w:rPr>
          <w:spacing w:val="-76"/>
        </w:rPr>
        <w:t> </w:t>
      </w:r>
      <w:r>
        <w:rPr>
          <w:rFonts w:ascii="宋体" w:hAnsi="宋体" w:cs="宋体" w:eastAsia="宋体" w:hint="default"/>
        </w:rPr>
        <w:t>10,283,648</w:t>
      </w:r>
      <w:r>
        <w:rPr>
          <w:rFonts w:ascii="宋体" w:hAnsi="宋体" w:cs="宋体" w:eastAsia="宋体" w:hint="default"/>
          <w:spacing w:val="-76"/>
        </w:rPr>
        <w:t> </w:t>
      </w:r>
      <w:r>
        <w:rPr>
          <w:spacing w:val="-5"/>
        </w:rPr>
        <w:t>股，股票期权的行权价</w:t>
      </w:r>
    </w:p>
    <w:p>
      <w:pPr>
        <w:pStyle w:val="BodyText"/>
        <w:spacing w:line="240" w:lineRule="auto" w:before="36"/>
        <w:ind w:right="0"/>
        <w:jc w:val="both"/>
      </w:pPr>
      <w:r>
        <w:rPr/>
        <w:t>格为</w:t>
      </w:r>
      <w:r>
        <w:rPr>
          <w:spacing w:val="-68"/>
        </w:rPr>
        <w:t> </w:t>
      </w:r>
      <w:r>
        <w:rPr>
          <w:rFonts w:ascii="宋体" w:hAnsi="宋体" w:cs="宋体" w:eastAsia="宋体" w:hint="default"/>
        </w:rPr>
        <w:t>22.11</w:t>
      </w:r>
      <w:r>
        <w:rPr>
          <w:rFonts w:ascii="宋体" w:hAnsi="宋体" w:cs="宋体" w:eastAsia="宋体" w:hint="default"/>
          <w:spacing w:val="-68"/>
        </w:rPr>
        <w:t> </w:t>
      </w:r>
      <w:r>
        <w:rPr>
          <w:spacing w:val="-4"/>
        </w:rPr>
        <w:t>元</w:t>
      </w:r>
      <w:r>
        <w:rPr>
          <w:rFonts w:ascii="宋体" w:hAnsi="宋体" w:cs="宋体" w:eastAsia="宋体" w:hint="default"/>
          <w:spacing w:val="-4"/>
        </w:rPr>
        <w:t>/</w:t>
      </w:r>
      <w:r>
        <w:rPr>
          <w:spacing w:val="-4"/>
        </w:rPr>
        <w:t>股，授予激励对象人数为</w:t>
      </w:r>
      <w:r>
        <w:rPr>
          <w:spacing w:val="-68"/>
        </w:rPr>
        <w:t> </w:t>
      </w:r>
      <w:r>
        <w:rPr>
          <w:rFonts w:ascii="宋体" w:hAnsi="宋体" w:cs="宋体" w:eastAsia="宋体" w:hint="default"/>
        </w:rPr>
        <w:t>108</w:t>
      </w:r>
      <w:r>
        <w:rPr>
          <w:rFonts w:ascii="宋体" w:hAnsi="宋体" w:cs="宋体" w:eastAsia="宋体" w:hint="default"/>
          <w:spacing w:val="-68"/>
        </w:rPr>
        <w:t> </w:t>
      </w:r>
      <w:r>
        <w:rPr/>
        <w:t>名；首期股票期权激励计划预留部分股票期权的</w:t>
      </w:r>
    </w:p>
    <w:p>
      <w:pPr>
        <w:pStyle w:val="BodyText"/>
        <w:spacing w:line="240" w:lineRule="auto" w:before="155"/>
        <w:ind w:right="0"/>
        <w:jc w:val="both"/>
      </w:pPr>
      <w:r>
        <w:rPr/>
        <w:t>数量为</w:t>
      </w:r>
      <w:r>
        <w:rPr>
          <w:spacing w:val="-60"/>
        </w:rPr>
        <w:t> </w:t>
      </w:r>
      <w:r>
        <w:rPr>
          <w:rFonts w:ascii="宋体" w:hAnsi="宋体" w:cs="宋体" w:eastAsia="宋体" w:hint="default"/>
        </w:rPr>
        <w:t>1,009,701</w:t>
      </w:r>
      <w:r>
        <w:rPr>
          <w:rFonts w:ascii="宋体" w:hAnsi="宋体" w:cs="宋体" w:eastAsia="宋体" w:hint="default"/>
          <w:spacing w:val="-60"/>
        </w:rPr>
        <w:t> </w:t>
      </w:r>
      <w:r>
        <w:rPr/>
        <w:t>股，股票期权的行权价格为</w:t>
      </w:r>
      <w:r>
        <w:rPr>
          <w:spacing w:val="-60"/>
        </w:rPr>
        <w:t> </w:t>
      </w:r>
      <w:r>
        <w:rPr>
          <w:rFonts w:ascii="宋体" w:hAnsi="宋体" w:cs="宋体" w:eastAsia="宋体" w:hint="default"/>
        </w:rPr>
        <w:t>28.35</w:t>
      </w:r>
      <w:r>
        <w:rPr>
          <w:rFonts w:ascii="宋体" w:hAnsi="宋体" w:cs="宋体" w:eastAsia="宋体" w:hint="default"/>
          <w:spacing w:val="-60"/>
        </w:rPr>
        <w:t> </w:t>
      </w:r>
      <w:r>
        <w:rPr/>
        <w:t>元</w:t>
      </w:r>
      <w:r>
        <w:rPr>
          <w:rFonts w:ascii="宋体" w:hAnsi="宋体" w:cs="宋体" w:eastAsia="宋体" w:hint="default"/>
        </w:rPr>
        <w:t>/</w:t>
      </w:r>
      <w:r>
        <w:rPr/>
        <w:t>股，授予激励对象人数为</w:t>
      </w:r>
      <w:r>
        <w:rPr>
          <w:spacing w:val="-60"/>
        </w:rPr>
        <w:t> </w:t>
      </w:r>
      <w:r>
        <w:rPr>
          <w:rFonts w:ascii="宋体" w:hAnsi="宋体" w:cs="宋体" w:eastAsia="宋体" w:hint="default"/>
        </w:rPr>
        <w:t>14</w:t>
      </w:r>
      <w:r>
        <w:rPr>
          <w:rFonts w:ascii="宋体" w:hAnsi="宋体" w:cs="宋体" w:eastAsia="宋体" w:hint="default"/>
          <w:spacing w:val="-60"/>
        </w:rPr>
        <w:t> </w:t>
      </w:r>
      <w:r>
        <w:rPr/>
        <w:t>名。</w:t>
      </w:r>
    </w:p>
    <w:p>
      <w:pPr>
        <w:spacing w:line="240" w:lineRule="auto" w:before="4"/>
        <w:rPr>
          <w:rFonts w:ascii="宋体" w:hAnsi="宋体" w:cs="宋体" w:eastAsia="宋体" w:hint="default"/>
          <w:sz w:val="19"/>
          <w:szCs w:val="19"/>
        </w:rPr>
      </w:pPr>
    </w:p>
    <w:p>
      <w:pPr>
        <w:pStyle w:val="BodyText"/>
        <w:spacing w:line="357" w:lineRule="auto"/>
        <w:ind w:right="999" w:firstLine="480"/>
        <w:jc w:val="left"/>
      </w:pPr>
      <w:r>
        <w:rPr>
          <w:rFonts w:ascii="宋体" w:hAnsi="宋体" w:cs="宋体" w:eastAsia="宋体" w:hint="default"/>
        </w:rPr>
        <w:t>8</w:t>
      </w:r>
      <w:r>
        <w:rPr/>
        <w:t>、</w:t>
      </w:r>
      <w:r>
        <w:rPr>
          <w:rFonts w:ascii="宋体" w:hAnsi="宋体" w:cs="宋体" w:eastAsia="宋体" w:hint="default"/>
        </w:rPr>
        <w:t>2017</w:t>
      </w:r>
      <w:r>
        <w:rPr>
          <w:rFonts w:ascii="宋体" w:hAnsi="宋体" w:cs="宋体" w:eastAsia="宋体" w:hint="default"/>
          <w:spacing w:val="-64"/>
        </w:rPr>
        <w:t> </w:t>
      </w:r>
      <w:r>
        <w:rPr/>
        <w:t>年</w:t>
      </w:r>
      <w:r>
        <w:rPr>
          <w:spacing w:val="-64"/>
        </w:rPr>
        <w:t> </w:t>
      </w:r>
      <w:r>
        <w:rPr>
          <w:rFonts w:ascii="宋体" w:hAnsi="宋体" w:cs="宋体" w:eastAsia="宋体" w:hint="default"/>
        </w:rPr>
        <w:t>8</w:t>
      </w:r>
      <w:r>
        <w:rPr>
          <w:rFonts w:ascii="宋体" w:hAnsi="宋体" w:cs="宋体" w:eastAsia="宋体" w:hint="default"/>
          <w:spacing w:val="-64"/>
        </w:rPr>
        <w:t> </w:t>
      </w:r>
      <w:r>
        <w:rPr/>
        <w:t>月</w:t>
      </w:r>
      <w:r>
        <w:rPr>
          <w:spacing w:val="-64"/>
        </w:rPr>
        <w:t> </w:t>
      </w:r>
      <w:r>
        <w:rPr>
          <w:rFonts w:ascii="宋体" w:hAnsi="宋体" w:cs="宋体" w:eastAsia="宋体" w:hint="default"/>
        </w:rPr>
        <w:t>25</w:t>
      </w:r>
      <w:r>
        <w:rPr>
          <w:rFonts w:ascii="宋体" w:hAnsi="宋体" w:cs="宋体" w:eastAsia="宋体" w:hint="default"/>
          <w:spacing w:val="-64"/>
        </w:rPr>
        <w:t> </w:t>
      </w:r>
      <w:r>
        <w:rPr/>
        <w:t>日，公司召开第三届董事会第四次会议及第三届监事会第四次会议审 </w:t>
      </w:r>
      <w:r>
        <w:rPr>
          <w:spacing w:val="-3"/>
        </w:rPr>
        <w:t>议通过了《关于注销首期股票期权激励计划首次授予部分第一个行权期的股票期权的议案》、</w:t>
      </w:r>
    </w:p>
    <w:p>
      <w:pPr>
        <w:pStyle w:val="BodyText"/>
        <w:spacing w:line="357" w:lineRule="auto" w:before="36"/>
        <w:ind w:right="1131"/>
        <w:jc w:val="both"/>
      </w:pPr>
      <w:r>
        <w:rPr>
          <w:spacing w:val="-5"/>
        </w:rPr>
        <w:t>《关于注销首期股票期权激励计划预留部分第一个行权期的股票期权的议案》，决定注销首期</w:t>
      </w:r>
      <w:r>
        <w:rPr>
          <w:spacing w:val="-117"/>
        </w:rPr>
        <w:t> </w:t>
      </w:r>
      <w:r>
        <w:rPr>
          <w:spacing w:val="-117"/>
        </w:rPr>
      </w:r>
      <w:r>
        <w:rPr/>
        <w:t>股票期权激励计划首次授予的第一个行权期的 </w:t>
      </w:r>
      <w:r>
        <w:rPr>
          <w:rFonts w:ascii="宋体" w:hAnsi="宋体" w:cs="宋体" w:eastAsia="宋体" w:hint="default"/>
        </w:rPr>
        <w:t>3,085,060</w:t>
      </w:r>
      <w:r>
        <w:rPr>
          <w:rFonts w:ascii="宋体" w:hAnsi="宋体" w:cs="宋体" w:eastAsia="宋体" w:hint="default"/>
          <w:spacing w:val="-81"/>
        </w:rPr>
        <w:t> </w:t>
      </w:r>
      <w:r>
        <w:rPr/>
        <w:t>份股票期权，注销首期股票期权激</w:t>
      </w:r>
    </w:p>
    <w:p>
      <w:pPr>
        <w:pStyle w:val="BodyText"/>
        <w:spacing w:line="240" w:lineRule="auto" w:before="37"/>
        <w:ind w:right="0"/>
        <w:jc w:val="both"/>
      </w:pPr>
      <w:r>
        <w:rPr/>
        <w:t>励计划预留部分的第一个行权期的</w:t>
      </w:r>
      <w:r>
        <w:rPr>
          <w:spacing w:val="-60"/>
        </w:rPr>
        <w:t> </w:t>
      </w:r>
      <w:r>
        <w:rPr>
          <w:rFonts w:ascii="宋体" w:hAnsi="宋体" w:cs="宋体" w:eastAsia="宋体" w:hint="default"/>
        </w:rPr>
        <w:t>302,907</w:t>
      </w:r>
      <w:r>
        <w:rPr>
          <w:rFonts w:ascii="宋体" w:hAnsi="宋体" w:cs="宋体" w:eastAsia="宋体" w:hint="default"/>
          <w:spacing w:val="-60"/>
        </w:rPr>
        <w:t> </w:t>
      </w:r>
      <w:r>
        <w:rPr/>
        <w:t>份股票期权。</w:t>
      </w:r>
    </w:p>
    <w:p>
      <w:pPr>
        <w:spacing w:line="240" w:lineRule="auto" w:before="4"/>
        <w:rPr>
          <w:rFonts w:ascii="宋体" w:hAnsi="宋体" w:cs="宋体" w:eastAsia="宋体" w:hint="default"/>
          <w:sz w:val="19"/>
          <w:szCs w:val="19"/>
        </w:rPr>
      </w:pPr>
    </w:p>
    <w:p>
      <w:pPr>
        <w:pStyle w:val="BodyText"/>
        <w:spacing w:line="357" w:lineRule="auto"/>
        <w:ind w:right="1131" w:firstLine="480"/>
        <w:jc w:val="both"/>
      </w:pPr>
      <w:r>
        <w:rPr>
          <w:rFonts w:ascii="宋体" w:hAnsi="宋体" w:cs="宋体" w:eastAsia="宋体" w:hint="default"/>
        </w:rPr>
        <w:t>9</w:t>
      </w:r>
      <w:r>
        <w:rPr/>
        <w:t>、</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8</w:t>
      </w:r>
      <w:r>
        <w:rPr>
          <w:rFonts w:ascii="宋体" w:hAnsi="宋体" w:cs="宋体" w:eastAsia="宋体" w:hint="default"/>
          <w:spacing w:val="-65"/>
        </w:rPr>
        <w:t> </w:t>
      </w:r>
      <w:r>
        <w:rPr/>
        <w:t>月</w:t>
      </w:r>
      <w:r>
        <w:rPr>
          <w:spacing w:val="-65"/>
        </w:rPr>
        <w:t> </w:t>
      </w:r>
      <w:r>
        <w:rPr>
          <w:rFonts w:ascii="宋体" w:hAnsi="宋体" w:cs="宋体" w:eastAsia="宋体" w:hint="default"/>
        </w:rPr>
        <w:t>25</w:t>
      </w:r>
      <w:r>
        <w:rPr>
          <w:rFonts w:ascii="宋体" w:hAnsi="宋体" w:cs="宋体" w:eastAsia="宋体" w:hint="default"/>
          <w:spacing w:val="-65"/>
        </w:rPr>
        <w:t> </w:t>
      </w:r>
      <w:r>
        <w:rPr/>
        <w:t>日，公司召开第三届董事会第四次会议及第三届监事会第四次会议审 </w:t>
      </w:r>
      <w:r>
        <w:rPr>
          <w:spacing w:val="-5"/>
        </w:rPr>
        <w:t>议通过了《关于首期股票期权激励计划首次授予部分第二个行权期可行权的议案》，认为公司</w:t>
      </w:r>
      <w:r>
        <w:rPr>
          <w:spacing w:val="-117"/>
        </w:rPr>
        <w:t> </w:t>
      </w:r>
      <w:r>
        <w:rPr>
          <w:spacing w:val="-117"/>
        </w:rPr>
      </w:r>
      <w:r>
        <w:rPr>
          <w:rFonts w:ascii="宋体" w:hAnsi="宋体" w:cs="宋体" w:eastAsia="宋体" w:hint="default"/>
        </w:rPr>
        <w:t>108</w:t>
      </w:r>
      <w:r>
        <w:rPr>
          <w:rFonts w:ascii="宋体" w:hAnsi="宋体" w:cs="宋体" w:eastAsia="宋体" w:hint="default"/>
          <w:spacing w:val="5"/>
        </w:rPr>
        <w:t> </w:t>
      </w:r>
      <w:r>
        <w:rPr/>
        <w:t>名激励对象的行权资格合法、有效，满足公司首期股票期权激励计划首次授予部分第二</w:t>
      </w:r>
    </w:p>
    <w:p>
      <w:pPr>
        <w:pStyle w:val="BodyText"/>
        <w:spacing w:line="240" w:lineRule="auto" w:before="36"/>
        <w:ind w:right="0"/>
        <w:jc w:val="both"/>
        <w:rPr>
          <w:rFonts w:ascii="宋体" w:hAnsi="宋体" w:cs="宋体" w:eastAsia="宋体" w:hint="default"/>
        </w:rPr>
      </w:pPr>
      <w:r>
        <w:rPr>
          <w:spacing w:val="-6"/>
        </w:rPr>
        <w:t>个行权期的行权条件，同意此</w:t>
      </w:r>
      <w:r>
        <w:rPr>
          <w:spacing w:val="-54"/>
        </w:rPr>
        <w:t> </w:t>
      </w:r>
      <w:r>
        <w:rPr>
          <w:rFonts w:ascii="宋体" w:hAnsi="宋体" w:cs="宋体" w:eastAsia="宋体" w:hint="default"/>
        </w:rPr>
        <w:t>108</w:t>
      </w:r>
      <w:r>
        <w:rPr>
          <w:rFonts w:ascii="宋体" w:hAnsi="宋体" w:cs="宋体" w:eastAsia="宋体" w:hint="default"/>
          <w:spacing w:val="-54"/>
        </w:rPr>
        <w:t> </w:t>
      </w:r>
      <w:r>
        <w:rPr>
          <w:spacing w:val="-4"/>
        </w:rPr>
        <w:t>名激励对象在第二个行权期行权，可行权数量为</w:t>
      </w:r>
      <w:r>
        <w:rPr>
          <w:spacing w:val="-54"/>
        </w:rPr>
        <w:t> </w:t>
      </w:r>
      <w:r>
        <w:rPr>
          <w:rFonts w:ascii="宋体" w:hAnsi="宋体" w:cs="宋体" w:eastAsia="宋体" w:hint="default"/>
        </w:rPr>
        <w:t>3,085,094</w:t>
      </w:r>
    </w:p>
    <w:p>
      <w:pPr>
        <w:spacing w:after="0" w:line="240" w:lineRule="auto"/>
        <w:jc w:val="both"/>
        <w:rPr>
          <w:rFonts w:ascii="宋体" w:hAnsi="宋体" w:cs="宋体" w:eastAsia="宋体" w:hint="default"/>
        </w:rPr>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right="0"/>
        <w:jc w:val="both"/>
      </w:pPr>
      <w:r>
        <w:rPr/>
        <w:t>股，行权价格</w:t>
      </w:r>
      <w:r>
        <w:rPr>
          <w:spacing w:val="-60"/>
        </w:rPr>
        <w:t> </w:t>
      </w:r>
      <w:r>
        <w:rPr>
          <w:rFonts w:ascii="宋体" w:hAnsi="宋体" w:cs="宋体" w:eastAsia="宋体" w:hint="default"/>
        </w:rPr>
        <w:t>22.11</w:t>
      </w:r>
      <w:r>
        <w:rPr>
          <w:rFonts w:ascii="宋体" w:hAnsi="宋体" w:cs="宋体" w:eastAsia="宋体" w:hint="default"/>
          <w:spacing w:val="-60"/>
        </w:rPr>
        <w:t> </w:t>
      </w:r>
      <w:r>
        <w:rPr/>
        <w:t>元</w:t>
      </w:r>
      <w:r>
        <w:rPr>
          <w:rFonts w:ascii="宋体" w:hAnsi="宋体" w:cs="宋体" w:eastAsia="宋体" w:hint="default"/>
        </w:rPr>
        <w:t>/</w:t>
      </w:r>
      <w:r>
        <w:rPr/>
        <w:t>股。</w:t>
      </w:r>
    </w:p>
    <w:p>
      <w:pPr>
        <w:spacing w:line="240" w:lineRule="auto" w:before="4"/>
        <w:rPr>
          <w:rFonts w:ascii="宋体" w:hAnsi="宋体" w:cs="宋体" w:eastAsia="宋体" w:hint="default"/>
          <w:sz w:val="19"/>
          <w:szCs w:val="19"/>
        </w:rPr>
      </w:pPr>
    </w:p>
    <w:p>
      <w:pPr>
        <w:pStyle w:val="BodyText"/>
        <w:spacing w:line="357" w:lineRule="auto"/>
        <w:ind w:right="1133" w:firstLine="480"/>
        <w:jc w:val="both"/>
      </w:pPr>
      <w:r>
        <w:rPr>
          <w:rFonts w:ascii="宋体" w:hAnsi="宋体" w:cs="宋体" w:eastAsia="宋体" w:hint="default"/>
        </w:rPr>
        <w:t>10</w:t>
      </w:r>
      <w:r>
        <w:rPr/>
        <w:t>、</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25</w:t>
      </w:r>
      <w:r>
        <w:rPr>
          <w:rFonts w:ascii="宋体" w:hAnsi="宋体" w:cs="宋体" w:eastAsia="宋体" w:hint="default"/>
          <w:spacing w:val="-40"/>
        </w:rPr>
        <w:t> </w:t>
      </w:r>
      <w:r>
        <w:rPr/>
        <w:t>日，公司召开第三届董事会第四次会议及第三届监事会第四次会议 审议通过了《关于首期股票期权激励计划预留部分第二个行权期可行权的议案》，认为公司</w:t>
      </w:r>
      <w:r>
        <w:rPr>
          <w:spacing w:val="-110"/>
        </w:rPr>
        <w:t> </w:t>
      </w:r>
      <w:r>
        <w:rPr>
          <w:spacing w:val="-110"/>
        </w:rPr>
      </w:r>
      <w:r>
        <w:rPr>
          <w:rFonts w:ascii="宋体" w:hAnsi="宋体" w:cs="宋体" w:eastAsia="宋体" w:hint="default"/>
        </w:rPr>
        <w:t>14</w:t>
      </w:r>
      <w:r>
        <w:rPr>
          <w:rFonts w:ascii="宋体" w:hAnsi="宋体" w:cs="宋体" w:eastAsia="宋体" w:hint="default"/>
          <w:spacing w:val="-82"/>
        </w:rPr>
        <w:t> </w:t>
      </w:r>
      <w:r>
        <w:rPr/>
        <w:t>名激励对象的行权资格合法、有效，满足公司首期股票期权激励计划预留部分第二个行权</w:t>
      </w:r>
    </w:p>
    <w:p>
      <w:pPr>
        <w:pStyle w:val="BodyText"/>
        <w:spacing w:line="240" w:lineRule="auto" w:before="36"/>
        <w:ind w:right="0"/>
        <w:jc w:val="both"/>
      </w:pPr>
      <w:r>
        <w:rPr>
          <w:spacing w:val="-3"/>
        </w:rPr>
        <w:t>期的行权条件，同意此</w:t>
      </w:r>
      <w:r>
        <w:rPr>
          <w:spacing w:val="-67"/>
        </w:rPr>
        <w:t> </w:t>
      </w:r>
      <w:r>
        <w:rPr>
          <w:rFonts w:ascii="宋体" w:hAnsi="宋体" w:cs="宋体" w:eastAsia="宋体" w:hint="default"/>
        </w:rPr>
        <w:t>14</w:t>
      </w:r>
      <w:r>
        <w:rPr>
          <w:rFonts w:ascii="宋体" w:hAnsi="宋体" w:cs="宋体" w:eastAsia="宋体" w:hint="default"/>
          <w:spacing w:val="-67"/>
        </w:rPr>
        <w:t> </w:t>
      </w:r>
      <w:r>
        <w:rPr/>
        <w:t>名激励对象在第二个行权期行权，可行权数量为</w:t>
      </w:r>
      <w:r>
        <w:rPr>
          <w:spacing w:val="-67"/>
        </w:rPr>
        <w:t> </w:t>
      </w:r>
      <w:r>
        <w:rPr>
          <w:rFonts w:ascii="宋体" w:hAnsi="宋体" w:cs="宋体" w:eastAsia="宋体" w:hint="default"/>
        </w:rPr>
        <w:t>302,910</w:t>
      </w:r>
      <w:r>
        <w:rPr>
          <w:rFonts w:ascii="宋体" w:hAnsi="宋体" w:cs="宋体" w:eastAsia="宋体" w:hint="default"/>
          <w:spacing w:val="-67"/>
        </w:rPr>
        <w:t> </w:t>
      </w:r>
      <w:r>
        <w:rPr>
          <w:spacing w:val="-7"/>
        </w:rPr>
        <w:t>股，行权</w:t>
      </w:r>
    </w:p>
    <w:p>
      <w:pPr>
        <w:pStyle w:val="BodyText"/>
        <w:spacing w:line="240" w:lineRule="auto" w:before="155"/>
        <w:ind w:right="0"/>
        <w:jc w:val="both"/>
      </w:pPr>
      <w:r>
        <w:rPr/>
        <w:t>价格</w:t>
      </w:r>
      <w:r>
        <w:rPr>
          <w:spacing w:val="-60"/>
        </w:rPr>
        <w:t> </w:t>
      </w:r>
      <w:r>
        <w:rPr>
          <w:rFonts w:ascii="宋体" w:hAnsi="宋体" w:cs="宋体" w:eastAsia="宋体" w:hint="default"/>
        </w:rPr>
        <w:t>28.35</w:t>
      </w:r>
      <w:r>
        <w:rPr>
          <w:rFonts w:ascii="宋体" w:hAnsi="宋体" w:cs="宋体" w:eastAsia="宋体" w:hint="default"/>
          <w:spacing w:val="-60"/>
        </w:rPr>
        <w:t> </w:t>
      </w:r>
      <w:r>
        <w:rPr/>
        <w:t>元</w:t>
      </w:r>
      <w:r>
        <w:rPr>
          <w:rFonts w:ascii="宋体" w:hAnsi="宋体" w:cs="宋体" w:eastAsia="宋体" w:hint="default"/>
        </w:rPr>
        <w:t>/</w:t>
      </w:r>
      <w:r>
        <w:rPr/>
        <w:t>股。</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（二）第二期股票期权激励计划实施情况</w:t>
      </w:r>
    </w:p>
    <w:p>
      <w:pPr>
        <w:spacing w:line="240" w:lineRule="auto" w:before="4"/>
        <w:rPr>
          <w:rFonts w:ascii="宋体" w:hAnsi="宋体" w:cs="宋体" w:eastAsia="宋体" w:hint="default"/>
          <w:sz w:val="19"/>
          <w:szCs w:val="19"/>
        </w:rPr>
      </w:pPr>
    </w:p>
    <w:p>
      <w:pPr>
        <w:pStyle w:val="BodyText"/>
        <w:spacing w:line="357" w:lineRule="auto"/>
        <w:ind w:right="1131" w:firstLine="480"/>
        <w:jc w:val="both"/>
      </w:pPr>
      <w:r>
        <w:rPr>
          <w:rFonts w:ascii="宋体" w:hAnsi="宋体" w:cs="宋体" w:eastAsia="宋体" w:hint="default"/>
        </w:rPr>
        <w:t>1</w:t>
      </w:r>
      <w:r>
        <w:rPr/>
        <w:t>、</w:t>
      </w:r>
      <w:r>
        <w:rPr>
          <w:rFonts w:ascii="宋体" w:hAnsi="宋体" w:cs="宋体" w:eastAsia="宋体" w:hint="default"/>
        </w:rPr>
        <w:t>2016</w:t>
      </w:r>
      <w:r>
        <w:rPr>
          <w:rFonts w:ascii="宋体" w:hAnsi="宋体" w:cs="宋体" w:eastAsia="宋体" w:hint="default"/>
          <w:spacing w:val="-65"/>
        </w:rPr>
        <w:t> </w:t>
      </w:r>
      <w:r>
        <w:rPr/>
        <w:t>年</w:t>
      </w:r>
      <w:r>
        <w:rPr>
          <w:spacing w:val="-65"/>
        </w:rPr>
        <w:t> </w:t>
      </w:r>
      <w:r>
        <w:rPr>
          <w:rFonts w:ascii="宋体" w:hAnsi="宋体" w:cs="宋体" w:eastAsia="宋体" w:hint="default"/>
        </w:rPr>
        <w:t>4</w:t>
      </w:r>
      <w:r>
        <w:rPr>
          <w:rFonts w:ascii="宋体" w:hAnsi="宋体" w:cs="宋体" w:eastAsia="宋体" w:hint="default"/>
          <w:spacing w:val="-65"/>
        </w:rPr>
        <w:t> </w:t>
      </w:r>
      <w:r>
        <w:rPr/>
        <w:t>月</w:t>
      </w:r>
      <w:r>
        <w:rPr>
          <w:spacing w:val="-65"/>
        </w:rPr>
        <w:t> </w:t>
      </w:r>
      <w:r>
        <w:rPr>
          <w:rFonts w:ascii="宋体" w:hAnsi="宋体" w:cs="宋体" w:eastAsia="宋体" w:hint="default"/>
        </w:rPr>
        <w:t>12</w:t>
      </w:r>
      <w:r>
        <w:rPr>
          <w:rFonts w:ascii="宋体" w:hAnsi="宋体" w:cs="宋体" w:eastAsia="宋体" w:hint="default"/>
          <w:spacing w:val="-65"/>
        </w:rPr>
        <w:t> </w:t>
      </w:r>
      <w:r>
        <w:rPr/>
        <w:t>日，公司分别召开了第二届董事会第二十七次会议和第二届监事会第 十七次会议，审议通过了《关于</w:t>
      </w:r>
      <w:r>
        <w:rPr>
          <w:rFonts w:ascii="宋体" w:hAnsi="宋体" w:cs="宋体" w:eastAsia="宋体" w:hint="default"/>
        </w:rPr>
        <w:t>&lt;</w:t>
      </w:r>
      <w:r>
        <w:rPr/>
        <w:t>公司第三期股票期权与限制性股票激励计划</w:t>
      </w:r>
      <w:r>
        <w:rPr>
          <w:rFonts w:ascii="宋体" w:hAnsi="宋体" w:cs="宋体" w:eastAsia="宋体" w:hint="default"/>
        </w:rPr>
        <w:t>(</w:t>
      </w:r>
      <w:r>
        <w:rPr/>
        <w:t>草案</w:t>
      </w:r>
      <w:r>
        <w:rPr>
          <w:rFonts w:ascii="宋体" w:hAnsi="宋体" w:cs="宋体" w:eastAsia="宋体" w:hint="default"/>
        </w:rPr>
        <w:t>)&gt;</w:t>
      </w:r>
      <w:r>
        <w:rPr/>
        <w:t>及其摘</w:t>
      </w:r>
      <w:r>
        <w:rPr>
          <w:spacing w:val="-109"/>
        </w:rPr>
        <w:t> </w:t>
      </w:r>
      <w:r>
        <w:rPr>
          <w:spacing w:val="-4"/>
        </w:rPr>
        <w:t>要的议案》，公司独立董事对此发表了独立意见，律师出具相应法律意见。</w:t>
      </w:r>
    </w:p>
    <w:p>
      <w:pPr>
        <w:pStyle w:val="BodyText"/>
        <w:spacing w:line="357" w:lineRule="auto" w:before="134"/>
        <w:ind w:right="1130" w:firstLine="480"/>
        <w:jc w:val="both"/>
      </w:pPr>
      <w:r>
        <w:rPr>
          <w:rFonts w:ascii="宋体" w:hAnsi="宋体" w:cs="宋体" w:eastAsia="宋体" w:hint="default"/>
        </w:rPr>
        <w:t>2</w:t>
      </w:r>
      <w:r>
        <w:rPr/>
        <w:t>、</w:t>
      </w:r>
      <w:r>
        <w:rPr>
          <w:rFonts w:ascii="宋体" w:hAnsi="宋体" w:cs="宋体" w:eastAsia="宋体" w:hint="default"/>
        </w:rPr>
        <w:t>2016</w:t>
      </w:r>
      <w:r>
        <w:rPr>
          <w:rFonts w:ascii="宋体" w:hAnsi="宋体" w:cs="宋体" w:eastAsia="宋体" w:hint="default"/>
          <w:spacing w:val="-64"/>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28</w:t>
      </w:r>
      <w:r>
        <w:rPr>
          <w:rFonts w:ascii="宋体" w:hAnsi="宋体" w:cs="宋体" w:eastAsia="宋体" w:hint="default"/>
          <w:spacing w:val="-64"/>
        </w:rPr>
        <w:t> </w:t>
      </w:r>
      <w:r>
        <w:rPr/>
        <w:t>日，公司召开</w:t>
      </w:r>
      <w:r>
        <w:rPr>
          <w:spacing w:val="-64"/>
        </w:rPr>
        <w:t> </w:t>
      </w:r>
      <w:r>
        <w:rPr>
          <w:rFonts w:ascii="宋体" w:hAnsi="宋体" w:cs="宋体" w:eastAsia="宋体" w:hint="default"/>
        </w:rPr>
        <w:t>2016</w:t>
      </w:r>
      <w:r>
        <w:rPr>
          <w:rFonts w:ascii="宋体" w:hAnsi="宋体" w:cs="宋体" w:eastAsia="宋体" w:hint="default"/>
          <w:spacing w:val="-64"/>
        </w:rPr>
        <w:t> </w:t>
      </w:r>
      <w:r>
        <w:rPr/>
        <w:t>年第一次临时股东大会，审议通过了《关于</w:t>
      </w:r>
      <w:r>
        <w:rPr>
          <w:rFonts w:ascii="宋体" w:hAnsi="宋体" w:cs="宋体" w:eastAsia="宋体" w:hint="default"/>
        </w:rPr>
        <w:t>&lt;</w:t>
      </w:r>
      <w:r>
        <w:rPr/>
        <w:t>公司</w:t>
      </w:r>
      <w:r>
        <w:rPr>
          <w:spacing w:val="1"/>
        </w:rPr>
        <w:t> </w:t>
      </w:r>
      <w:r>
        <w:rPr>
          <w:spacing w:val="-6"/>
        </w:rPr>
        <w:t>第三期股票期权与限制性股票激励计划</w:t>
      </w:r>
      <w:r>
        <w:rPr>
          <w:rFonts w:ascii="宋体" w:hAnsi="宋体" w:cs="宋体" w:eastAsia="宋体" w:hint="default"/>
          <w:spacing w:val="-6"/>
        </w:rPr>
        <w:t>(</w:t>
      </w:r>
      <w:r>
        <w:rPr>
          <w:spacing w:val="-6"/>
        </w:rPr>
        <w:t>草案</w:t>
      </w:r>
      <w:r>
        <w:rPr>
          <w:rFonts w:ascii="宋体" w:hAnsi="宋体" w:cs="宋体" w:eastAsia="宋体" w:hint="default"/>
          <w:spacing w:val="-6"/>
        </w:rPr>
        <w:t>)&gt;</w:t>
      </w:r>
      <w:r>
        <w:rPr>
          <w:spacing w:val="-6"/>
        </w:rPr>
        <w:t>及其摘要的议案》，《关于</w:t>
      </w:r>
      <w:r>
        <w:rPr>
          <w:rFonts w:ascii="宋体" w:hAnsi="宋体" w:cs="宋体" w:eastAsia="宋体" w:hint="default"/>
          <w:spacing w:val="-6"/>
        </w:rPr>
        <w:t>&lt;</w:t>
      </w:r>
      <w:r>
        <w:rPr>
          <w:spacing w:val="-6"/>
        </w:rPr>
        <w:t>公司第三期股票期</w:t>
      </w:r>
      <w:r>
        <w:rPr>
          <w:spacing w:val="-89"/>
        </w:rPr>
        <w:t> </w:t>
      </w:r>
      <w:r>
        <w:rPr>
          <w:spacing w:val="-8"/>
        </w:rPr>
        <w:t>权与限制性股票激励计划实施考核管理办法</w:t>
      </w:r>
      <w:r>
        <w:rPr>
          <w:rFonts w:ascii="宋体" w:hAnsi="宋体" w:cs="宋体" w:eastAsia="宋体" w:hint="default"/>
          <w:spacing w:val="-8"/>
        </w:rPr>
        <w:t>&gt;</w:t>
      </w:r>
      <w:r>
        <w:rPr>
          <w:spacing w:val="-8"/>
        </w:rPr>
        <w:t>的议案》、《关于提请公司股东大会授权董事会办</w:t>
      </w:r>
      <w:r>
        <w:rPr>
          <w:spacing w:val="-106"/>
        </w:rPr>
        <w:t> </w:t>
      </w:r>
      <w:r>
        <w:rPr>
          <w:spacing w:val="-106"/>
        </w:rPr>
      </w:r>
      <w:r>
        <w:rPr>
          <w:spacing w:val="-5"/>
        </w:rPr>
        <w:t>理公司第三期股票期权与限制性股票激励计划相关事宜的议案》，公司实施第三期股票期权与</w:t>
      </w:r>
      <w:r>
        <w:rPr>
          <w:spacing w:val="-117"/>
        </w:rPr>
        <w:t> </w:t>
      </w:r>
      <w:r>
        <w:rPr>
          <w:spacing w:val="-117"/>
        </w:rPr>
      </w:r>
      <w:r>
        <w:rPr/>
        <w:t>限制性股票激励计划获得批准，董事会被授权确定股票期权与限制性股票授予日、在激励对 象符合条件时向激励对象授予股票期权与限制性股票并办理授予股票期权与限制性股票所必 须的全部事宜。</w:t>
      </w:r>
    </w:p>
    <w:p>
      <w:pPr>
        <w:pStyle w:val="BodyText"/>
        <w:spacing w:line="240" w:lineRule="auto" w:before="136"/>
        <w:ind w:left="634" w:right="1092"/>
        <w:jc w:val="left"/>
      </w:pPr>
      <w:r>
        <w:rPr>
          <w:rFonts w:ascii="宋体" w:hAnsi="宋体" w:cs="宋体" w:eastAsia="宋体" w:hint="default"/>
        </w:rPr>
        <w:t>3</w:t>
      </w:r>
      <w:r>
        <w:rPr/>
        <w:t>、</w:t>
      </w:r>
      <w:r>
        <w:rPr>
          <w:rFonts w:ascii="宋体" w:hAnsi="宋体" w:cs="宋体" w:eastAsia="宋体" w:hint="default"/>
        </w:rPr>
        <w:t>2016</w:t>
      </w:r>
      <w:r>
        <w:rPr>
          <w:rFonts w:ascii="宋体" w:hAnsi="宋体" w:cs="宋体" w:eastAsia="宋体" w:hint="default"/>
          <w:spacing w:val="-65"/>
        </w:rPr>
        <w:t> </w:t>
      </w:r>
      <w:r>
        <w:rPr/>
        <w:t>年</w:t>
      </w:r>
      <w:r>
        <w:rPr>
          <w:spacing w:val="-65"/>
        </w:rPr>
        <w:t> </w:t>
      </w:r>
      <w:r>
        <w:rPr>
          <w:rFonts w:ascii="宋体" w:hAnsi="宋体" w:cs="宋体" w:eastAsia="宋体" w:hint="default"/>
        </w:rPr>
        <w:t>4</w:t>
      </w:r>
      <w:r>
        <w:rPr>
          <w:rFonts w:ascii="宋体" w:hAnsi="宋体" w:cs="宋体" w:eastAsia="宋体" w:hint="default"/>
          <w:spacing w:val="-65"/>
        </w:rPr>
        <w:t> </w:t>
      </w:r>
      <w:r>
        <w:rPr/>
        <w:t>月</w:t>
      </w:r>
      <w:r>
        <w:rPr>
          <w:spacing w:val="-65"/>
        </w:rPr>
        <w:t> </w:t>
      </w:r>
      <w:r>
        <w:rPr>
          <w:rFonts w:ascii="宋体" w:hAnsi="宋体" w:cs="宋体" w:eastAsia="宋体" w:hint="default"/>
        </w:rPr>
        <w:t>29</w:t>
      </w:r>
      <w:r>
        <w:rPr>
          <w:rFonts w:ascii="宋体" w:hAnsi="宋体" w:cs="宋体" w:eastAsia="宋体" w:hint="default"/>
          <w:spacing w:val="-65"/>
        </w:rPr>
        <w:t> </w:t>
      </w:r>
      <w:r>
        <w:rPr/>
        <w:t>日，公司召开第二届董事会第三十次会议审议通过了《关于向激励对</w:t>
      </w:r>
    </w:p>
    <w:p>
      <w:pPr>
        <w:pStyle w:val="BodyText"/>
        <w:spacing w:line="357" w:lineRule="auto" w:before="154"/>
        <w:ind w:right="1130"/>
        <w:jc w:val="both"/>
      </w:pPr>
      <w:r>
        <w:rPr>
          <w:spacing w:val="-6"/>
        </w:rPr>
        <w:t>象授予第三期股票期权和限制性股票的议案》，确定授予日为</w:t>
      </w:r>
      <w:r>
        <w:rPr>
          <w:spacing w:val="-60"/>
        </w:rPr>
        <w:t> </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29</w:t>
      </w:r>
      <w:r>
        <w:rPr>
          <w:rFonts w:ascii="宋体" w:hAnsi="宋体" w:cs="宋体" w:eastAsia="宋体" w:hint="default"/>
          <w:spacing w:val="-60"/>
        </w:rPr>
        <w:t> </w:t>
      </w:r>
      <w:r>
        <w:rPr>
          <w:spacing w:val="-6"/>
        </w:rPr>
        <w:t>日，并于当日召</w:t>
      </w:r>
      <w:r>
        <w:rPr/>
        <w:t> 开第二届监事会第二十次会议，审议通过了《关于核实公司第三期股票期权与限制性股票激</w:t>
      </w:r>
      <w:r>
        <w:rPr>
          <w:spacing w:val="-115"/>
        </w:rPr>
        <w:t> </w:t>
      </w:r>
      <w:r>
        <w:rPr>
          <w:spacing w:val="-115"/>
        </w:rPr>
      </w:r>
      <w:r>
        <w:rPr>
          <w:spacing w:val="-5"/>
        </w:rPr>
        <w:t>励计划的激励对象名单的议案》。公司独立董事对此发表了独立意见，认为激励对象主体资格</w:t>
      </w:r>
      <w:r>
        <w:rPr>
          <w:spacing w:val="-117"/>
        </w:rPr>
        <w:t> </w:t>
      </w:r>
      <w:r>
        <w:rPr>
          <w:spacing w:val="-117"/>
        </w:rPr>
      </w:r>
      <w:r>
        <w:rPr/>
        <w:t>确认办法合法有效，确定的授权日符合相关规定。</w:t>
      </w:r>
    </w:p>
    <w:p>
      <w:pPr>
        <w:pStyle w:val="BodyText"/>
        <w:spacing w:line="357" w:lineRule="auto" w:before="134"/>
        <w:ind w:right="1010" w:firstLine="480"/>
        <w:jc w:val="both"/>
      </w:pPr>
      <w:r>
        <w:rPr>
          <w:rFonts w:ascii="宋体" w:hAnsi="宋体" w:cs="宋体" w:eastAsia="宋体" w:hint="default"/>
        </w:rPr>
        <w:t>4</w:t>
      </w:r>
      <w:r>
        <w:rPr/>
        <w:t>、</w:t>
      </w:r>
      <w:r>
        <w:rPr>
          <w:rFonts w:ascii="宋体" w:hAnsi="宋体" w:cs="宋体" w:eastAsia="宋体" w:hint="default"/>
        </w:rPr>
        <w:t>2016</w:t>
      </w:r>
      <w:r>
        <w:rPr>
          <w:rFonts w:ascii="宋体" w:hAnsi="宋体" w:cs="宋体" w:eastAsia="宋体" w:hint="default"/>
          <w:spacing w:val="-64"/>
        </w:rPr>
        <w:t> </w:t>
      </w:r>
      <w:r>
        <w:rPr/>
        <w:t>年</w:t>
      </w:r>
      <w:r>
        <w:rPr>
          <w:spacing w:val="-64"/>
        </w:rPr>
        <w:t> </w:t>
      </w:r>
      <w:r>
        <w:rPr>
          <w:rFonts w:ascii="宋体" w:hAnsi="宋体" w:cs="宋体" w:eastAsia="宋体" w:hint="default"/>
        </w:rPr>
        <w:t>5</w:t>
      </w:r>
      <w:r>
        <w:rPr>
          <w:rFonts w:ascii="宋体" w:hAnsi="宋体" w:cs="宋体" w:eastAsia="宋体" w:hint="default"/>
          <w:spacing w:val="-64"/>
        </w:rPr>
        <w:t> </w:t>
      </w:r>
      <w:r>
        <w:rPr/>
        <w:t>月</w:t>
      </w:r>
      <w:r>
        <w:rPr>
          <w:spacing w:val="-64"/>
        </w:rPr>
        <w:t> </w:t>
      </w:r>
      <w:r>
        <w:rPr>
          <w:rFonts w:ascii="宋体" w:hAnsi="宋体" w:cs="宋体" w:eastAsia="宋体" w:hint="default"/>
        </w:rPr>
        <w:t>26</w:t>
      </w:r>
      <w:r>
        <w:rPr>
          <w:rFonts w:ascii="宋体" w:hAnsi="宋体" w:cs="宋体" w:eastAsia="宋体" w:hint="default"/>
          <w:spacing w:val="-64"/>
        </w:rPr>
        <w:t> </w:t>
      </w:r>
      <w:r>
        <w:rPr/>
        <w:t>日，公司完成了首次授予的股票期权与限制性股票在中国证券登记结 算有限公司深圳分公司的登记手续，并发布了《关于第三期股票期权与限制性股票首次授予 </w:t>
      </w:r>
      <w:r>
        <w:rPr>
          <w:spacing w:val="-23"/>
        </w:rPr>
        <w:t>登记完成的公告》，向</w:t>
      </w:r>
      <w:r>
        <w:rPr>
          <w:spacing w:val="-58"/>
        </w:rPr>
        <w:t> </w:t>
      </w:r>
      <w:r>
        <w:rPr>
          <w:rFonts w:ascii="宋体" w:hAnsi="宋体" w:cs="宋体" w:eastAsia="宋体" w:hint="default"/>
        </w:rPr>
        <w:t>34</w:t>
      </w:r>
      <w:r>
        <w:rPr>
          <w:rFonts w:ascii="宋体" w:hAnsi="宋体" w:cs="宋体" w:eastAsia="宋体" w:hint="default"/>
          <w:spacing w:val="-58"/>
        </w:rPr>
        <w:t> </w:t>
      </w:r>
      <w:r>
        <w:rPr/>
        <w:t>名激励对象授予</w:t>
      </w:r>
      <w:r>
        <w:rPr>
          <w:spacing w:val="-58"/>
        </w:rPr>
        <w:t> </w:t>
      </w:r>
      <w:r>
        <w:rPr>
          <w:rFonts w:ascii="宋体" w:hAnsi="宋体" w:cs="宋体" w:eastAsia="宋体" w:hint="default"/>
        </w:rPr>
        <w:t>174.70</w:t>
      </w:r>
      <w:r>
        <w:rPr>
          <w:rFonts w:ascii="宋体" w:hAnsi="宋体" w:cs="宋体" w:eastAsia="宋体" w:hint="default"/>
          <w:spacing w:val="-58"/>
        </w:rPr>
        <w:t> </w:t>
      </w:r>
      <w:r>
        <w:rPr>
          <w:spacing w:val="-7"/>
        </w:rPr>
        <w:t>万股限制性股票，授予价格为每股</w:t>
      </w:r>
      <w:r>
        <w:rPr>
          <w:spacing w:val="-58"/>
        </w:rPr>
        <w:t> </w:t>
      </w:r>
      <w:r>
        <w:rPr>
          <w:rFonts w:ascii="宋体" w:hAnsi="宋体" w:cs="宋体" w:eastAsia="宋体" w:hint="default"/>
        </w:rPr>
        <w:t>49.78</w:t>
      </w:r>
      <w:r>
        <w:rPr>
          <w:rFonts w:ascii="宋体" w:hAnsi="宋体" w:cs="宋体" w:eastAsia="宋体" w:hint="default"/>
          <w:spacing w:val="-58"/>
        </w:rPr>
        <w:t> </w:t>
      </w:r>
      <w:r>
        <w:rPr/>
        <w:t>元。</w:t>
      </w:r>
    </w:p>
    <w:p>
      <w:pPr>
        <w:pStyle w:val="BodyText"/>
        <w:spacing w:line="240" w:lineRule="auto" w:before="36"/>
        <w:ind w:right="0"/>
        <w:jc w:val="both"/>
      </w:pPr>
      <w:r>
        <w:rPr/>
        <w:t>向</w:t>
      </w:r>
      <w:r>
        <w:rPr>
          <w:spacing w:val="-54"/>
        </w:rPr>
        <w:t> </w:t>
      </w:r>
      <w:r>
        <w:rPr>
          <w:rFonts w:ascii="宋体" w:hAnsi="宋体" w:cs="宋体" w:eastAsia="宋体" w:hint="default"/>
        </w:rPr>
        <w:t>62</w:t>
      </w:r>
      <w:r>
        <w:rPr>
          <w:rFonts w:ascii="宋体" w:hAnsi="宋体" w:cs="宋体" w:eastAsia="宋体" w:hint="default"/>
          <w:spacing w:val="-54"/>
        </w:rPr>
        <w:t> </w:t>
      </w:r>
      <w:r>
        <w:rPr/>
        <w:t>名激励对象授予</w:t>
      </w:r>
      <w:r>
        <w:rPr>
          <w:spacing w:val="-54"/>
        </w:rPr>
        <w:t> </w:t>
      </w:r>
      <w:r>
        <w:rPr>
          <w:rFonts w:ascii="宋体" w:hAnsi="宋体" w:cs="宋体" w:eastAsia="宋体" w:hint="default"/>
        </w:rPr>
        <w:t>15.24</w:t>
      </w:r>
      <w:r>
        <w:rPr>
          <w:rFonts w:ascii="宋体" w:hAnsi="宋体" w:cs="宋体" w:eastAsia="宋体" w:hint="default"/>
          <w:spacing w:val="-54"/>
        </w:rPr>
        <w:t> </w:t>
      </w:r>
      <w:r>
        <w:rPr/>
        <w:t>万股股票期权，行权价格为</w:t>
      </w:r>
      <w:r>
        <w:rPr>
          <w:spacing w:val="-54"/>
        </w:rPr>
        <w:t> </w:t>
      </w:r>
      <w:r>
        <w:rPr>
          <w:rFonts w:ascii="宋体" w:hAnsi="宋体" w:cs="宋体" w:eastAsia="宋体" w:hint="default"/>
        </w:rPr>
        <w:t>101.35</w:t>
      </w:r>
      <w:r>
        <w:rPr>
          <w:rFonts w:ascii="宋体" w:hAnsi="宋体" w:cs="宋体" w:eastAsia="宋体" w:hint="default"/>
          <w:spacing w:val="-53"/>
        </w:rPr>
        <w:t> </w:t>
      </w:r>
      <w:r>
        <w:rPr/>
        <w:t>元。限制性股票的上市日期</w:t>
      </w:r>
    </w:p>
    <w:p>
      <w:pPr>
        <w:pStyle w:val="BodyText"/>
        <w:spacing w:line="240" w:lineRule="auto" w:before="155"/>
        <w:ind w:right="0"/>
        <w:jc w:val="both"/>
      </w:pPr>
      <w:r>
        <w:rPr/>
        <w:t>为</w:t>
      </w:r>
      <w:r>
        <w:rPr>
          <w:spacing w:val="-60"/>
        </w:rPr>
        <w:t> </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30</w:t>
      </w:r>
      <w:r>
        <w:rPr>
          <w:rFonts w:ascii="宋体" w:hAnsi="宋体" w:cs="宋体" w:eastAsia="宋体" w:hint="default"/>
          <w:spacing w:val="-60"/>
        </w:rPr>
        <w:t> </w:t>
      </w:r>
      <w:r>
        <w:rPr/>
        <w:t>日。</w:t>
      </w:r>
    </w:p>
    <w:p>
      <w:pPr>
        <w:spacing w:line="240" w:lineRule="auto" w:before="4"/>
        <w:rPr>
          <w:rFonts w:ascii="宋体" w:hAnsi="宋体" w:cs="宋体" w:eastAsia="宋体" w:hint="default"/>
          <w:sz w:val="19"/>
          <w:szCs w:val="19"/>
        </w:rPr>
      </w:pPr>
    </w:p>
    <w:p>
      <w:pPr>
        <w:pStyle w:val="BodyText"/>
        <w:spacing w:line="240" w:lineRule="auto"/>
        <w:ind w:left="634" w:right="1092"/>
        <w:jc w:val="left"/>
      </w:pPr>
      <w:r>
        <w:rPr>
          <w:rFonts w:ascii="宋体" w:hAnsi="宋体" w:cs="宋体" w:eastAsia="宋体" w:hint="default"/>
        </w:rPr>
        <w:t>5</w:t>
      </w:r>
      <w:r>
        <w:rPr/>
        <w:t>、</w:t>
      </w:r>
      <w:r>
        <w:rPr>
          <w:rFonts w:ascii="宋体" w:hAnsi="宋体" w:cs="宋体" w:eastAsia="宋体" w:hint="default"/>
        </w:rPr>
        <w:t>2016</w:t>
      </w:r>
      <w:r>
        <w:rPr>
          <w:rFonts w:ascii="宋体" w:hAnsi="宋体" w:cs="宋体" w:eastAsia="宋体" w:hint="default"/>
          <w:spacing w:val="-63"/>
        </w:rPr>
        <w:t> </w:t>
      </w:r>
      <w:r>
        <w:rPr/>
        <w:t>年</w:t>
      </w:r>
      <w:r>
        <w:rPr>
          <w:spacing w:val="-63"/>
        </w:rPr>
        <w:t> </w:t>
      </w:r>
      <w:r>
        <w:rPr>
          <w:rFonts w:ascii="宋体" w:hAnsi="宋体" w:cs="宋体" w:eastAsia="宋体" w:hint="default"/>
        </w:rPr>
        <w:t>6</w:t>
      </w:r>
      <w:r>
        <w:rPr>
          <w:rFonts w:ascii="宋体" w:hAnsi="宋体" w:cs="宋体" w:eastAsia="宋体" w:hint="default"/>
          <w:spacing w:val="-63"/>
        </w:rPr>
        <w:t> </w:t>
      </w:r>
      <w:r>
        <w:rPr/>
        <w:t>月</w:t>
      </w:r>
      <w:r>
        <w:rPr>
          <w:spacing w:val="-63"/>
        </w:rPr>
        <w:t> </w:t>
      </w:r>
      <w:r>
        <w:rPr>
          <w:rFonts w:ascii="宋体" w:hAnsi="宋体" w:cs="宋体" w:eastAsia="宋体" w:hint="default"/>
        </w:rPr>
        <w:t>7</w:t>
      </w:r>
      <w:r>
        <w:rPr>
          <w:rFonts w:ascii="宋体" w:hAnsi="宋体" w:cs="宋体" w:eastAsia="宋体" w:hint="default"/>
          <w:spacing w:val="-63"/>
        </w:rPr>
        <w:t> </w:t>
      </w:r>
      <w:r>
        <w:rPr/>
        <w:t>日，公司实施了</w:t>
      </w:r>
      <w:r>
        <w:rPr>
          <w:spacing w:val="-63"/>
        </w:rPr>
        <w:t> </w:t>
      </w:r>
      <w:r>
        <w:rPr>
          <w:rFonts w:ascii="宋体" w:hAnsi="宋体" w:cs="宋体" w:eastAsia="宋体" w:hint="default"/>
        </w:rPr>
        <w:t>2015</w:t>
      </w:r>
      <w:r>
        <w:rPr>
          <w:rFonts w:ascii="宋体" w:hAnsi="宋体" w:cs="宋体" w:eastAsia="宋体" w:hint="default"/>
          <w:spacing w:val="-63"/>
        </w:rPr>
        <w:t> </w:t>
      </w:r>
      <w:r>
        <w:rPr/>
        <w:t>年年度权益分派：以公司股本</w:t>
      </w:r>
      <w:r>
        <w:rPr>
          <w:spacing w:val="-63"/>
        </w:rPr>
        <w:t> </w:t>
      </w:r>
      <w:r>
        <w:rPr>
          <w:rFonts w:ascii="宋体" w:hAnsi="宋体" w:cs="宋体" w:eastAsia="宋体" w:hint="default"/>
        </w:rPr>
        <w:t>121,747,000</w:t>
      </w:r>
      <w:r>
        <w:rPr>
          <w:rFonts w:ascii="宋体" w:hAnsi="宋体" w:cs="宋体" w:eastAsia="宋体" w:hint="default"/>
          <w:spacing w:val="-63"/>
        </w:rPr>
        <w:t> </w:t>
      </w:r>
      <w:r>
        <w:rPr/>
        <w:t>股为</w:t>
      </w:r>
    </w:p>
    <w:p>
      <w:pPr>
        <w:spacing w:after="0" w:line="240"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240" w:lineRule="auto" w:before="26"/>
        <w:ind w:right="0"/>
        <w:jc w:val="both"/>
      </w:pPr>
      <w:r>
        <w:rPr/>
        <w:t>基数</w:t>
      </w:r>
      <w:r>
        <w:rPr>
          <w:spacing w:val="-21"/>
        </w:rPr>
        <w:t>，</w:t>
      </w:r>
      <w:r>
        <w:rPr/>
        <w:t>向全体股东每</w:t>
      </w:r>
      <w:r>
        <w:rPr>
          <w:spacing w:val="-60"/>
        </w:rPr>
        <w:t> </w:t>
      </w:r>
      <w:r>
        <w:rPr>
          <w:rFonts w:ascii="宋体" w:hAnsi="宋体" w:cs="宋体" w:eastAsia="宋体" w:hint="default"/>
        </w:rPr>
        <w:t>10</w:t>
      </w:r>
      <w:r>
        <w:rPr>
          <w:rFonts w:ascii="宋体" w:hAnsi="宋体" w:cs="宋体" w:eastAsia="宋体" w:hint="default"/>
          <w:spacing w:val="-60"/>
        </w:rPr>
        <w:t> </w:t>
      </w:r>
      <w:r>
        <w:rPr/>
        <w:t>股派</w:t>
      </w:r>
      <w:r>
        <w:rPr>
          <w:spacing w:val="-60"/>
        </w:rPr>
        <w:t> </w:t>
      </w:r>
      <w:r>
        <w:rPr>
          <w:rFonts w:ascii="宋体" w:hAnsi="宋体" w:cs="宋体" w:eastAsia="宋体" w:hint="default"/>
        </w:rPr>
        <w:t>0.197130</w:t>
      </w:r>
      <w:r>
        <w:rPr>
          <w:rFonts w:ascii="宋体" w:hAnsi="宋体" w:cs="宋体" w:eastAsia="宋体" w:hint="default"/>
          <w:spacing w:val="-60"/>
        </w:rPr>
        <w:t> </w:t>
      </w:r>
      <w:r>
        <w:rPr/>
        <w:t>元人民币现</w:t>
      </w:r>
      <w:r>
        <w:rPr>
          <w:spacing w:val="-21"/>
        </w:rPr>
        <w:t>金</w:t>
      </w:r>
      <w:r>
        <w:rPr/>
        <w:t>（含税</w:t>
      </w:r>
      <w:r>
        <w:rPr>
          <w:spacing w:val="-120"/>
        </w:rPr>
        <w:t>）</w:t>
      </w:r>
      <w:r>
        <w:rPr>
          <w:spacing w:val="-21"/>
        </w:rPr>
        <w:t>，</w:t>
      </w:r>
      <w:r>
        <w:rPr/>
        <w:t>同时</w:t>
      </w:r>
      <w:r>
        <w:rPr>
          <w:spacing w:val="-21"/>
        </w:rPr>
        <w:t>，</w:t>
      </w:r>
      <w:r>
        <w:rPr/>
        <w:t>以资本公积金向全体股</w:t>
      </w:r>
    </w:p>
    <w:p>
      <w:pPr>
        <w:pStyle w:val="BodyText"/>
        <w:spacing w:line="240" w:lineRule="auto" w:before="155"/>
        <w:ind w:right="0"/>
        <w:jc w:val="both"/>
      </w:pPr>
      <w:r>
        <w:rPr/>
        <w:t>东每</w:t>
      </w:r>
      <w:r>
        <w:rPr>
          <w:spacing w:val="-60"/>
        </w:rPr>
        <w:t> </w:t>
      </w:r>
      <w:r>
        <w:rPr>
          <w:rFonts w:ascii="宋体" w:hAnsi="宋体" w:cs="宋体" w:eastAsia="宋体" w:hint="default"/>
        </w:rPr>
        <w:t>10</w:t>
      </w:r>
      <w:r>
        <w:rPr>
          <w:rFonts w:ascii="宋体" w:hAnsi="宋体" w:cs="宋体" w:eastAsia="宋体" w:hint="default"/>
          <w:spacing w:val="-60"/>
        </w:rPr>
        <w:t> </w:t>
      </w:r>
      <w:r>
        <w:rPr/>
        <w:t>股转增</w:t>
      </w:r>
      <w:r>
        <w:rPr>
          <w:spacing w:val="-60"/>
        </w:rPr>
        <w:t> </w:t>
      </w:r>
      <w:r>
        <w:rPr>
          <w:rFonts w:ascii="宋体" w:hAnsi="宋体" w:cs="宋体" w:eastAsia="宋体" w:hint="default"/>
        </w:rPr>
        <w:t>9.856505</w:t>
      </w:r>
      <w:r>
        <w:rPr>
          <w:rFonts w:ascii="宋体" w:hAnsi="宋体" w:cs="宋体" w:eastAsia="宋体" w:hint="default"/>
          <w:spacing w:val="-60"/>
        </w:rPr>
        <w:t> </w:t>
      </w:r>
      <w:r>
        <w:rPr/>
        <w:t>股。</w:t>
      </w:r>
    </w:p>
    <w:p>
      <w:pPr>
        <w:spacing w:line="240" w:lineRule="auto" w:before="4"/>
        <w:rPr>
          <w:rFonts w:ascii="宋体" w:hAnsi="宋体" w:cs="宋体" w:eastAsia="宋体" w:hint="default"/>
          <w:sz w:val="19"/>
          <w:szCs w:val="19"/>
        </w:rPr>
      </w:pPr>
    </w:p>
    <w:p>
      <w:pPr>
        <w:pStyle w:val="BodyText"/>
        <w:spacing w:line="357" w:lineRule="auto"/>
        <w:ind w:right="1008" w:firstLine="480"/>
        <w:jc w:val="left"/>
      </w:pPr>
      <w:r>
        <w:rPr>
          <w:rFonts w:ascii="宋体" w:hAnsi="宋体" w:cs="宋体" w:eastAsia="宋体" w:hint="default"/>
        </w:rPr>
        <w:t>6</w:t>
      </w:r>
      <w:r>
        <w:rPr/>
        <w:t>、</w:t>
      </w:r>
      <w:r>
        <w:rPr>
          <w:rFonts w:ascii="宋体" w:hAnsi="宋体" w:cs="宋体" w:eastAsia="宋体" w:hint="default"/>
        </w:rPr>
        <w:t>2016</w:t>
      </w:r>
      <w:r>
        <w:rPr>
          <w:rFonts w:ascii="宋体" w:hAnsi="宋体" w:cs="宋体" w:eastAsia="宋体" w:hint="default"/>
          <w:spacing w:val="-64"/>
        </w:rPr>
        <w:t> </w:t>
      </w:r>
      <w:r>
        <w:rPr/>
        <w:t>年</w:t>
      </w:r>
      <w:r>
        <w:rPr>
          <w:spacing w:val="-64"/>
        </w:rPr>
        <w:t> </w:t>
      </w:r>
      <w:r>
        <w:rPr>
          <w:rFonts w:ascii="宋体" w:hAnsi="宋体" w:cs="宋体" w:eastAsia="宋体" w:hint="default"/>
        </w:rPr>
        <w:t>8</w:t>
      </w:r>
      <w:r>
        <w:rPr>
          <w:rFonts w:ascii="宋体" w:hAnsi="宋体" w:cs="宋体" w:eastAsia="宋体" w:hint="default"/>
          <w:spacing w:val="-64"/>
        </w:rPr>
        <w:t> </w:t>
      </w:r>
      <w:r>
        <w:rPr/>
        <w:t>月</w:t>
      </w:r>
      <w:r>
        <w:rPr>
          <w:spacing w:val="-64"/>
        </w:rPr>
        <w:t> </w:t>
      </w:r>
      <w:r>
        <w:rPr>
          <w:rFonts w:ascii="宋体" w:hAnsi="宋体" w:cs="宋体" w:eastAsia="宋体" w:hint="default"/>
        </w:rPr>
        <w:t>30</w:t>
      </w:r>
      <w:r>
        <w:rPr>
          <w:rFonts w:ascii="宋体" w:hAnsi="宋体" w:cs="宋体" w:eastAsia="宋体" w:hint="default"/>
          <w:spacing w:val="-64"/>
        </w:rPr>
        <w:t> </w:t>
      </w:r>
      <w:r>
        <w:rPr/>
        <w:t>日，公司召开第二届董事会第三十五次会议审议通过了《关于调整第 </w:t>
      </w:r>
      <w:r>
        <w:rPr>
          <w:spacing w:val="-6"/>
        </w:rPr>
        <w:t>三期股票期权与限制性股票激励计划预留限制性股票数量的议案》、《关于向激励对象授予第</w:t>
      </w:r>
      <w:r>
        <w:rPr>
          <w:spacing w:val="-112"/>
        </w:rPr>
        <w:t> </w:t>
      </w:r>
      <w:r>
        <w:rPr>
          <w:spacing w:val="-112"/>
        </w:rPr>
      </w:r>
      <w:r>
        <w:rPr>
          <w:spacing w:val="-5"/>
        </w:rPr>
        <w:t>三期股票期权与限制性股票激励计划预留权益的议案》，并于当日召开第二届监事会第二十四</w:t>
      </w:r>
      <w:r>
        <w:rPr>
          <w:spacing w:val="-117"/>
        </w:rPr>
        <w:t> </w:t>
      </w:r>
      <w:r>
        <w:rPr>
          <w:spacing w:val="-117"/>
        </w:rPr>
      </w:r>
      <w:r>
        <w:rPr/>
        <w:t>次会议，审议通过了《关于调整第三期股票期权与限制性股票激励计划预留限制性股票数量</w:t>
      </w:r>
      <w:r>
        <w:rPr/>
        <w:t> </w:t>
      </w:r>
      <w:r>
        <w:rPr>
          <w:spacing w:val="-6"/>
        </w:rPr>
        <w:t>的议案》、《关于核实公司第三期股票期权与限制性股票激励计划预留限制性股票的激励对象</w:t>
      </w:r>
      <w:r>
        <w:rPr>
          <w:spacing w:val="-112"/>
        </w:rPr>
        <w:t> </w:t>
      </w:r>
      <w:r>
        <w:rPr>
          <w:spacing w:val="-112"/>
        </w:rPr>
      </w:r>
      <w:r>
        <w:rPr>
          <w:spacing w:val="-8"/>
        </w:rPr>
        <w:t>名单的议案》。公司独立董事对此发表了独立意见，认为激励对象主体资格确认办法合法有效，</w:t>
      </w:r>
      <w:r>
        <w:rPr>
          <w:spacing w:val="-106"/>
        </w:rPr>
        <w:t> </w:t>
      </w:r>
      <w:r>
        <w:rPr>
          <w:spacing w:val="-106"/>
        </w:rPr>
      </w:r>
      <w:r>
        <w:rPr/>
        <w:t>确定的授予日符合相关规定。同意公司本次预留限制性股票的授予日为</w:t>
      </w:r>
      <w:r>
        <w:rPr>
          <w:spacing w:val="-53"/>
        </w:rPr>
        <w:t> </w:t>
      </w:r>
      <w:r>
        <w:rPr>
          <w:rFonts w:ascii="宋体" w:hAnsi="宋体" w:cs="宋体" w:eastAsia="宋体" w:hint="default"/>
        </w:rPr>
        <w:t>2016</w:t>
      </w:r>
      <w:r>
        <w:rPr>
          <w:rFonts w:ascii="宋体" w:hAnsi="宋体" w:cs="宋体" w:eastAsia="宋体" w:hint="default"/>
          <w:spacing w:val="-54"/>
        </w:rPr>
        <w:t> </w:t>
      </w:r>
      <w:r>
        <w:rPr/>
        <w:t>年</w:t>
      </w:r>
      <w:r>
        <w:rPr>
          <w:spacing w:val="-53"/>
        </w:rPr>
        <w:t> </w:t>
      </w:r>
      <w:r>
        <w:rPr>
          <w:rFonts w:ascii="宋体" w:hAnsi="宋体" w:cs="宋体" w:eastAsia="宋体" w:hint="default"/>
        </w:rPr>
        <w:t>8</w:t>
      </w:r>
      <w:r>
        <w:rPr>
          <w:rFonts w:ascii="宋体" w:hAnsi="宋体" w:cs="宋体" w:eastAsia="宋体" w:hint="default"/>
          <w:spacing w:val="-54"/>
        </w:rPr>
        <w:t> </w:t>
      </w:r>
      <w:r>
        <w:rPr/>
        <w:t>月</w:t>
      </w:r>
      <w:r>
        <w:rPr>
          <w:spacing w:val="-54"/>
        </w:rPr>
        <w:t> </w:t>
      </w:r>
      <w:r>
        <w:rPr>
          <w:rFonts w:ascii="宋体" w:hAnsi="宋体" w:cs="宋体" w:eastAsia="宋体" w:hint="default"/>
        </w:rPr>
        <w:t>30</w:t>
      </w:r>
      <w:r>
        <w:rPr>
          <w:rFonts w:ascii="宋体" w:hAnsi="宋体" w:cs="宋体" w:eastAsia="宋体" w:hint="default"/>
          <w:spacing w:val="-54"/>
        </w:rPr>
        <w:t> </w:t>
      </w:r>
      <w:r>
        <w:rPr/>
        <w:t>日，</w:t>
      </w:r>
    </w:p>
    <w:p>
      <w:pPr>
        <w:pStyle w:val="BodyText"/>
        <w:spacing w:line="240" w:lineRule="auto" w:before="37"/>
        <w:ind w:right="0"/>
        <w:jc w:val="both"/>
      </w:pPr>
      <w:r>
        <w:rPr/>
        <w:t>同意公司向</w:t>
      </w:r>
      <w:r>
        <w:rPr>
          <w:spacing w:val="-60"/>
        </w:rPr>
        <w:t> </w:t>
      </w:r>
      <w:r>
        <w:rPr>
          <w:rFonts w:ascii="宋体" w:hAnsi="宋体" w:cs="宋体" w:eastAsia="宋体" w:hint="default"/>
        </w:rPr>
        <w:t>4</w:t>
      </w:r>
      <w:r>
        <w:rPr>
          <w:rFonts w:ascii="宋体" w:hAnsi="宋体" w:cs="宋体" w:eastAsia="宋体" w:hint="default"/>
          <w:spacing w:val="-60"/>
        </w:rPr>
        <w:t> </w:t>
      </w:r>
      <w:r>
        <w:rPr/>
        <w:t>名激励对象授予</w:t>
      </w:r>
      <w:r>
        <w:rPr>
          <w:spacing w:val="-60"/>
        </w:rPr>
        <w:t> </w:t>
      </w:r>
      <w:r>
        <w:rPr>
          <w:rFonts w:ascii="宋体" w:hAnsi="宋体" w:cs="宋体" w:eastAsia="宋体" w:hint="default"/>
        </w:rPr>
        <w:t>41.6986</w:t>
      </w:r>
      <w:r>
        <w:rPr>
          <w:rFonts w:ascii="宋体" w:hAnsi="宋体" w:cs="宋体" w:eastAsia="宋体" w:hint="default"/>
          <w:spacing w:val="-60"/>
        </w:rPr>
        <w:t> </w:t>
      </w:r>
      <w:r>
        <w:rPr/>
        <w:t>万股预留限制性股票，授予价格为</w:t>
      </w:r>
      <w:r>
        <w:rPr>
          <w:spacing w:val="-60"/>
        </w:rPr>
        <w:t> </w:t>
      </w:r>
      <w:r>
        <w:rPr>
          <w:rFonts w:ascii="宋体" w:hAnsi="宋体" w:cs="宋体" w:eastAsia="宋体" w:hint="default"/>
        </w:rPr>
        <w:t>25.67</w:t>
      </w:r>
      <w:r>
        <w:rPr>
          <w:rFonts w:ascii="宋体" w:hAnsi="宋体" w:cs="宋体" w:eastAsia="宋体" w:hint="default"/>
          <w:spacing w:val="-60"/>
        </w:rPr>
        <w:t> </w:t>
      </w:r>
      <w:r>
        <w:rPr/>
        <w:t>元</w:t>
      </w:r>
      <w:r>
        <w:rPr>
          <w:rFonts w:ascii="宋体" w:hAnsi="宋体" w:cs="宋体" w:eastAsia="宋体" w:hint="default"/>
        </w:rPr>
        <w:t>/</w:t>
      </w:r>
      <w:r>
        <w:rPr/>
        <w:t>股。</w:t>
      </w:r>
    </w:p>
    <w:p>
      <w:pPr>
        <w:spacing w:line="240" w:lineRule="auto" w:before="5"/>
        <w:rPr>
          <w:rFonts w:ascii="宋体" w:hAnsi="宋体" w:cs="宋体" w:eastAsia="宋体" w:hint="default"/>
          <w:sz w:val="19"/>
          <w:szCs w:val="19"/>
        </w:rPr>
      </w:pPr>
    </w:p>
    <w:p>
      <w:pPr>
        <w:pStyle w:val="BodyText"/>
        <w:spacing w:line="357" w:lineRule="auto"/>
        <w:ind w:right="1130" w:firstLine="480"/>
        <w:jc w:val="both"/>
      </w:pPr>
      <w:r>
        <w:rPr>
          <w:rFonts w:ascii="宋体" w:hAnsi="宋体" w:cs="宋体" w:eastAsia="宋体" w:hint="default"/>
        </w:rPr>
        <w:t>7</w:t>
      </w:r>
      <w:r>
        <w:rPr/>
        <w:t>、</w:t>
      </w:r>
      <w:r>
        <w:rPr>
          <w:rFonts w:ascii="宋体" w:hAnsi="宋体" w:cs="宋体" w:eastAsia="宋体" w:hint="default"/>
        </w:rPr>
        <w:t>2016</w:t>
      </w:r>
      <w:r>
        <w:rPr>
          <w:rFonts w:ascii="宋体" w:hAnsi="宋体" w:cs="宋体" w:eastAsia="宋体" w:hint="default"/>
          <w:spacing w:val="-65"/>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5</w:t>
      </w:r>
      <w:r>
        <w:rPr>
          <w:rFonts w:ascii="宋体" w:hAnsi="宋体" w:cs="宋体" w:eastAsia="宋体" w:hint="default"/>
          <w:spacing w:val="-65"/>
        </w:rPr>
        <w:t> </w:t>
      </w:r>
      <w:r>
        <w:rPr/>
        <w:t>日，公司分别召开了第二届董事会第四十次会议和第二届监事会第二 十八次会议，审议通过了《关于调整第三期股票期权与限制性股票激励计划首次授予部分激</w:t>
      </w:r>
      <w:r>
        <w:rPr>
          <w:spacing w:val="-117"/>
        </w:rPr>
        <w:t> </w:t>
      </w:r>
      <w:r>
        <w:rPr>
          <w:spacing w:val="-117"/>
        </w:rPr>
      </w:r>
      <w:r>
        <w:rPr>
          <w:spacing w:val="-5"/>
        </w:rPr>
        <w:t>励对象名单及授予权益数量价格的议案》以及《关于回购注销部分限制性股票的议案》。因公</w:t>
      </w:r>
      <w:r>
        <w:rPr/>
        <w:t> 司实施了</w:t>
      </w:r>
      <w:r>
        <w:rPr>
          <w:spacing w:val="-70"/>
        </w:rPr>
        <w:t> </w:t>
      </w:r>
      <w:r>
        <w:rPr>
          <w:rFonts w:ascii="宋体" w:hAnsi="宋体" w:cs="宋体" w:eastAsia="宋体" w:hint="default"/>
        </w:rPr>
        <w:t>2015</w:t>
      </w:r>
      <w:r>
        <w:rPr>
          <w:rFonts w:ascii="宋体" w:hAnsi="宋体" w:cs="宋体" w:eastAsia="宋体" w:hint="default"/>
          <w:spacing w:val="-70"/>
        </w:rPr>
        <w:t> </w:t>
      </w:r>
      <w:r>
        <w:rPr/>
        <w:t>年度权益分派，公司第三期限制性股票数量调整为</w:t>
      </w:r>
      <w:r>
        <w:rPr>
          <w:spacing w:val="-70"/>
        </w:rPr>
        <w:t> </w:t>
      </w:r>
      <w:r>
        <w:rPr>
          <w:rFonts w:ascii="宋体" w:hAnsi="宋体" w:cs="宋体" w:eastAsia="宋体" w:hint="default"/>
        </w:rPr>
        <w:t>3,322,490</w:t>
      </w:r>
      <w:r>
        <w:rPr>
          <w:rFonts w:ascii="宋体" w:hAnsi="宋体" w:cs="宋体" w:eastAsia="宋体" w:hint="default"/>
          <w:spacing w:val="-70"/>
        </w:rPr>
        <w:t> </w:t>
      </w:r>
      <w:r>
        <w:rPr>
          <w:spacing w:val="-6"/>
        </w:rPr>
        <w:t>股，调整后的限</w:t>
      </w:r>
    </w:p>
    <w:p>
      <w:pPr>
        <w:pStyle w:val="BodyText"/>
        <w:spacing w:line="357" w:lineRule="auto" w:before="36"/>
        <w:ind w:right="1130"/>
        <w:jc w:val="both"/>
      </w:pPr>
      <w:r>
        <w:rPr/>
        <w:t>制性股票价格为</w:t>
      </w:r>
      <w:r>
        <w:rPr>
          <w:spacing w:val="-54"/>
        </w:rPr>
        <w:t> </w:t>
      </w:r>
      <w:r>
        <w:rPr>
          <w:rFonts w:ascii="宋体" w:hAnsi="宋体" w:cs="宋体" w:eastAsia="宋体" w:hint="default"/>
        </w:rPr>
        <w:t>25.06</w:t>
      </w:r>
      <w:r>
        <w:rPr>
          <w:rFonts w:ascii="宋体" w:hAnsi="宋体" w:cs="宋体" w:eastAsia="宋体" w:hint="default"/>
          <w:spacing w:val="-53"/>
        </w:rPr>
        <w:t> </w:t>
      </w:r>
      <w:r>
        <w:rPr/>
        <w:t>元</w:t>
      </w:r>
      <w:r>
        <w:rPr>
          <w:rFonts w:ascii="宋体" w:hAnsi="宋体" w:cs="宋体" w:eastAsia="宋体" w:hint="default"/>
        </w:rPr>
        <w:t>/</w:t>
      </w:r>
      <w:r>
        <w:rPr/>
        <w:t>股，调整后的期权行权价格为</w:t>
      </w:r>
      <w:r>
        <w:rPr>
          <w:spacing w:val="-54"/>
        </w:rPr>
        <w:t> </w:t>
      </w:r>
      <w:r>
        <w:rPr>
          <w:rFonts w:ascii="宋体" w:hAnsi="宋体" w:cs="宋体" w:eastAsia="宋体" w:hint="default"/>
        </w:rPr>
        <w:t>51.03</w:t>
      </w:r>
      <w:r>
        <w:rPr>
          <w:rFonts w:ascii="宋体" w:hAnsi="宋体" w:cs="宋体" w:eastAsia="宋体" w:hint="default"/>
          <w:spacing w:val="-54"/>
        </w:rPr>
        <w:t> </w:t>
      </w:r>
      <w:r>
        <w:rPr/>
        <w:t>元</w:t>
      </w:r>
      <w:r>
        <w:rPr>
          <w:rFonts w:ascii="宋体" w:hAnsi="宋体" w:cs="宋体" w:eastAsia="宋体" w:hint="default"/>
        </w:rPr>
        <w:t>/</w:t>
      </w:r>
      <w:r>
        <w:rPr/>
        <w:t>股；由于</w:t>
      </w:r>
      <w:r>
        <w:rPr>
          <w:spacing w:val="-54"/>
        </w:rPr>
        <w:t> </w:t>
      </w:r>
      <w:r>
        <w:rPr>
          <w:rFonts w:ascii="宋体" w:hAnsi="宋体" w:cs="宋体" w:eastAsia="宋体" w:hint="default"/>
        </w:rPr>
        <w:t>2</w:t>
      </w:r>
      <w:r>
        <w:rPr>
          <w:rFonts w:ascii="宋体" w:hAnsi="宋体" w:cs="宋体" w:eastAsia="宋体" w:hint="default"/>
          <w:spacing w:val="-54"/>
        </w:rPr>
        <w:t> </w:t>
      </w:r>
      <w:r>
        <w:rPr/>
        <w:t>名激励对象因 个人原因离职，董事会审议决定取消上述激励对象资格并回购注销其已获授但尚未解锁的全 </w:t>
      </w:r>
      <w:r>
        <w:rPr>
          <w:spacing w:val="-3"/>
        </w:rPr>
        <w:t>部限制性股票，回购股份共计</w:t>
      </w:r>
      <w:r>
        <w:rPr>
          <w:spacing w:val="-65"/>
        </w:rPr>
        <w:t> </w:t>
      </w:r>
      <w:r>
        <w:rPr>
          <w:rFonts w:ascii="宋体" w:hAnsi="宋体" w:cs="宋体" w:eastAsia="宋体" w:hint="default"/>
        </w:rPr>
        <w:t>146,442</w:t>
      </w:r>
      <w:r>
        <w:rPr>
          <w:rFonts w:ascii="宋体" w:hAnsi="宋体" w:cs="宋体" w:eastAsia="宋体" w:hint="default"/>
          <w:spacing w:val="-65"/>
        </w:rPr>
        <w:t> </w:t>
      </w:r>
      <w:r>
        <w:rPr>
          <w:spacing w:val="-4"/>
        </w:rPr>
        <w:t>股，回购价格为</w:t>
      </w:r>
      <w:r>
        <w:rPr>
          <w:spacing w:val="-65"/>
        </w:rPr>
        <w:t> </w:t>
      </w:r>
      <w:r>
        <w:rPr>
          <w:rFonts w:ascii="宋体" w:hAnsi="宋体" w:cs="宋体" w:eastAsia="宋体" w:hint="default"/>
        </w:rPr>
        <w:t>25.06</w:t>
      </w:r>
      <w:r>
        <w:rPr>
          <w:rFonts w:ascii="宋体" w:hAnsi="宋体" w:cs="宋体" w:eastAsia="宋体" w:hint="default"/>
          <w:spacing w:val="-65"/>
        </w:rPr>
        <w:t> </w:t>
      </w:r>
      <w:r>
        <w:rPr/>
        <w:t>元</w:t>
      </w:r>
      <w:r>
        <w:rPr>
          <w:rFonts w:ascii="宋体" w:hAnsi="宋体" w:cs="宋体" w:eastAsia="宋体" w:hint="default"/>
        </w:rPr>
        <w:t>/</w:t>
      </w:r>
      <w:r>
        <w:rPr/>
        <w:t>股；公司独立董事对相关事</w:t>
      </w:r>
    </w:p>
    <w:p>
      <w:pPr>
        <w:pStyle w:val="BodyText"/>
        <w:spacing w:line="357" w:lineRule="auto" w:before="36"/>
        <w:ind w:right="1132"/>
        <w:jc w:val="both"/>
      </w:pPr>
      <w:r>
        <w:rPr/>
        <w:t>项发表了独立意见，律师出具了相应法律意见。</w:t>
      </w:r>
      <w:r>
        <w:rPr>
          <w:rFonts w:ascii="宋体" w:hAnsi="宋体" w:cs="宋体" w:eastAsia="宋体" w:hint="default"/>
        </w:rPr>
        <w:t>2017</w:t>
      </w:r>
      <w:r>
        <w:rPr>
          <w:rFonts w:ascii="宋体" w:hAnsi="宋体" w:cs="宋体" w:eastAsia="宋体" w:hint="default"/>
          <w:spacing w:val="-47"/>
        </w:rPr>
        <w:t> </w:t>
      </w:r>
      <w:r>
        <w:rPr/>
        <w:t>年</w:t>
      </w:r>
      <w:r>
        <w:rPr>
          <w:spacing w:val="-48"/>
        </w:rPr>
        <w:t> </w:t>
      </w:r>
      <w:r>
        <w:rPr>
          <w:rFonts w:ascii="宋体" w:hAnsi="宋体" w:cs="宋体" w:eastAsia="宋体" w:hint="default"/>
        </w:rPr>
        <w:t>2</w:t>
      </w:r>
      <w:r>
        <w:rPr>
          <w:rFonts w:ascii="宋体" w:hAnsi="宋体" w:cs="宋体" w:eastAsia="宋体" w:hint="default"/>
          <w:spacing w:val="-47"/>
        </w:rPr>
        <w:t> </w:t>
      </w:r>
      <w:r>
        <w:rPr/>
        <w:t>月</w:t>
      </w:r>
      <w:r>
        <w:rPr>
          <w:spacing w:val="-47"/>
        </w:rPr>
        <w:t> </w:t>
      </w:r>
      <w:r>
        <w:rPr>
          <w:rFonts w:ascii="宋体" w:hAnsi="宋体" w:cs="宋体" w:eastAsia="宋体" w:hint="default"/>
        </w:rPr>
        <w:t>14</w:t>
      </w:r>
      <w:r>
        <w:rPr>
          <w:rFonts w:ascii="宋体" w:hAnsi="宋体" w:cs="宋体" w:eastAsia="宋体" w:hint="default"/>
          <w:spacing w:val="-47"/>
        </w:rPr>
        <w:t> </w:t>
      </w:r>
      <w:r>
        <w:rPr/>
        <w:t>日，公司完成上述</w:t>
      </w:r>
      <w:r>
        <w:rPr>
          <w:spacing w:val="-47"/>
        </w:rPr>
        <w:t> </w:t>
      </w:r>
      <w:r>
        <w:rPr>
          <w:rFonts w:ascii="宋体" w:hAnsi="宋体" w:cs="宋体" w:eastAsia="宋体" w:hint="default"/>
        </w:rPr>
        <w:t>2</w:t>
      </w:r>
      <w:r>
        <w:rPr>
          <w:rFonts w:ascii="宋体" w:hAnsi="宋体" w:cs="宋体" w:eastAsia="宋体" w:hint="default"/>
          <w:spacing w:val="-47"/>
        </w:rPr>
        <w:t> </w:t>
      </w:r>
      <w:r>
        <w:rPr/>
        <w:t>名激励 对象限制性股票的回购注销手续。</w:t>
      </w:r>
    </w:p>
    <w:p>
      <w:pPr>
        <w:pStyle w:val="BodyText"/>
        <w:spacing w:line="357" w:lineRule="auto" w:before="134"/>
        <w:ind w:right="1130" w:firstLine="480"/>
        <w:jc w:val="both"/>
      </w:pPr>
      <w:r>
        <w:rPr>
          <w:rFonts w:ascii="宋体" w:hAnsi="宋体" w:cs="宋体" w:eastAsia="宋体" w:hint="default"/>
        </w:rPr>
        <w:t>8</w:t>
      </w:r>
      <w:r>
        <w:rPr/>
        <w:t>、</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3</w:t>
      </w:r>
      <w:r>
        <w:rPr>
          <w:rFonts w:ascii="宋体" w:hAnsi="宋体" w:cs="宋体" w:eastAsia="宋体" w:hint="default"/>
          <w:spacing w:val="-65"/>
        </w:rPr>
        <w:t> </w:t>
      </w:r>
      <w:r>
        <w:rPr/>
        <w:t>月</w:t>
      </w:r>
      <w:r>
        <w:rPr>
          <w:spacing w:val="-65"/>
        </w:rPr>
        <w:t> </w:t>
      </w:r>
      <w:r>
        <w:rPr>
          <w:rFonts w:ascii="宋体" w:hAnsi="宋体" w:cs="宋体" w:eastAsia="宋体" w:hint="default"/>
        </w:rPr>
        <w:t>17</w:t>
      </w:r>
      <w:r>
        <w:rPr>
          <w:rFonts w:ascii="宋体" w:hAnsi="宋体" w:cs="宋体" w:eastAsia="宋体" w:hint="default"/>
          <w:spacing w:val="-65"/>
        </w:rPr>
        <w:t> </w:t>
      </w:r>
      <w:r>
        <w:rPr/>
        <w:t>日，公司分别召开第二届董事会第四十四次会议和第二届监事会第三 </w:t>
      </w:r>
      <w:r>
        <w:rPr>
          <w:spacing w:val="-5"/>
        </w:rPr>
        <w:t>十一次会议，审议通过了《关于回购注销部分限制性股票的议案》，</w:t>
      </w:r>
      <w:r>
        <w:rPr>
          <w:rFonts w:ascii="宋体" w:hAnsi="宋体" w:cs="宋体" w:eastAsia="宋体" w:hint="default"/>
          <w:spacing w:val="-5"/>
        </w:rPr>
        <w:t>1</w:t>
      </w:r>
      <w:r>
        <w:rPr>
          <w:rFonts w:ascii="宋体" w:hAnsi="宋体" w:cs="宋体" w:eastAsia="宋体" w:hint="default"/>
          <w:spacing w:val="-49"/>
        </w:rPr>
        <w:t> </w:t>
      </w:r>
      <w:r>
        <w:rPr/>
        <w:t>名激励对象因个人原因 离职，董事会审议决定取消上述激励对象资格并回购注销其已获授但尚未解锁的全部限制性 股票</w:t>
      </w:r>
      <w:r>
        <w:rPr>
          <w:spacing w:val="-50"/>
        </w:rPr>
        <w:t> </w:t>
      </w:r>
      <w:r>
        <w:rPr>
          <w:rFonts w:ascii="宋体" w:hAnsi="宋体" w:cs="宋体" w:eastAsia="宋体" w:hint="default"/>
        </w:rPr>
        <w:t>83,397</w:t>
      </w:r>
      <w:r>
        <w:rPr>
          <w:rFonts w:ascii="宋体" w:hAnsi="宋体" w:cs="宋体" w:eastAsia="宋体" w:hint="default"/>
          <w:spacing w:val="-51"/>
        </w:rPr>
        <w:t> </w:t>
      </w:r>
      <w:r>
        <w:rPr/>
        <w:t>股，回购价格为</w:t>
      </w:r>
      <w:r>
        <w:rPr>
          <w:spacing w:val="-51"/>
        </w:rPr>
        <w:t> </w:t>
      </w:r>
      <w:r>
        <w:rPr>
          <w:rFonts w:ascii="宋体" w:hAnsi="宋体" w:cs="宋体" w:eastAsia="宋体" w:hint="default"/>
        </w:rPr>
        <w:t>25.06</w:t>
      </w:r>
      <w:r>
        <w:rPr>
          <w:rFonts w:ascii="宋体" w:hAnsi="宋体" w:cs="宋体" w:eastAsia="宋体" w:hint="default"/>
          <w:spacing w:val="-50"/>
        </w:rPr>
        <w:t> </w:t>
      </w:r>
      <w:r>
        <w:rPr/>
        <w:t>元</w:t>
      </w:r>
      <w:r>
        <w:rPr>
          <w:rFonts w:ascii="宋体" w:hAnsi="宋体" w:cs="宋体" w:eastAsia="宋体" w:hint="default"/>
        </w:rPr>
        <w:t>/</w:t>
      </w:r>
      <w:r>
        <w:rPr/>
        <w:t>股。公司独立董事对相关事项发表了独立意见，律师 出具了相应法律意见。</w:t>
      </w:r>
    </w:p>
    <w:p>
      <w:pPr>
        <w:pStyle w:val="BodyText"/>
        <w:spacing w:line="357" w:lineRule="auto" w:before="134"/>
        <w:ind w:right="1130" w:firstLine="480"/>
        <w:jc w:val="both"/>
      </w:pP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4</w:t>
      </w:r>
      <w:r>
        <w:rPr>
          <w:rFonts w:ascii="宋体" w:hAnsi="宋体" w:cs="宋体" w:eastAsia="宋体" w:hint="default"/>
          <w:spacing w:val="-40"/>
        </w:rPr>
        <w:t> </w:t>
      </w:r>
      <w:r>
        <w:rPr/>
        <w:t>月</w:t>
      </w:r>
      <w:r>
        <w:rPr>
          <w:spacing w:val="-41"/>
        </w:rPr>
        <w:t> </w:t>
      </w:r>
      <w:r>
        <w:rPr>
          <w:rFonts w:ascii="宋体" w:hAnsi="宋体" w:cs="宋体" w:eastAsia="宋体" w:hint="default"/>
        </w:rPr>
        <w:t>12</w:t>
      </w:r>
      <w:r>
        <w:rPr>
          <w:rFonts w:ascii="宋体" w:hAnsi="宋体" w:cs="宋体" w:eastAsia="宋体" w:hint="default"/>
          <w:spacing w:val="-41"/>
        </w:rPr>
        <w:t> </w:t>
      </w:r>
      <w:r>
        <w:rPr/>
        <w:t>日，公司分别召开第二届董事会第四十五次会议和第二届监事会第三十 </w:t>
      </w:r>
      <w:r>
        <w:rPr>
          <w:spacing w:val="-5"/>
        </w:rPr>
        <w:t>二次会议，审议通过了《关于回购注销部分限制性股票的议案》，</w:t>
      </w:r>
      <w:r>
        <w:rPr>
          <w:rFonts w:ascii="宋体" w:hAnsi="宋体" w:cs="宋体" w:eastAsia="宋体" w:hint="default"/>
          <w:spacing w:val="-5"/>
        </w:rPr>
        <w:t>2</w:t>
      </w:r>
      <w:r>
        <w:rPr>
          <w:rFonts w:ascii="宋体" w:hAnsi="宋体" w:cs="宋体" w:eastAsia="宋体" w:hint="default"/>
          <w:spacing w:val="-54"/>
        </w:rPr>
        <w:t> </w:t>
      </w:r>
      <w:r>
        <w:rPr/>
        <w:t>名激励对象因个人原因离 职，董事会审议决定取消上述激励对象资格并回购注销其已获授但尚未解锁的全部限制性股 票合计</w:t>
      </w:r>
      <w:r>
        <w:rPr>
          <w:spacing w:val="-56"/>
        </w:rPr>
        <w:t> </w:t>
      </w:r>
      <w:r>
        <w:rPr>
          <w:rFonts w:ascii="宋体" w:hAnsi="宋体" w:cs="宋体" w:eastAsia="宋体" w:hint="default"/>
        </w:rPr>
        <w:t>143,960</w:t>
      </w:r>
      <w:r>
        <w:rPr>
          <w:rFonts w:ascii="宋体" w:hAnsi="宋体" w:cs="宋体" w:eastAsia="宋体" w:hint="default"/>
          <w:spacing w:val="-56"/>
        </w:rPr>
        <w:t> </w:t>
      </w:r>
      <w:r>
        <w:rPr>
          <w:spacing w:val="-4"/>
        </w:rPr>
        <w:t>股，回购价格为</w:t>
      </w:r>
      <w:r>
        <w:rPr>
          <w:spacing w:val="-56"/>
        </w:rPr>
        <w:t> </w:t>
      </w:r>
      <w:r>
        <w:rPr>
          <w:rFonts w:ascii="宋体" w:hAnsi="宋体" w:cs="宋体" w:eastAsia="宋体" w:hint="default"/>
        </w:rPr>
        <w:t>25.06</w:t>
      </w:r>
      <w:r>
        <w:rPr>
          <w:rFonts w:ascii="宋体" w:hAnsi="宋体" w:cs="宋体" w:eastAsia="宋体" w:hint="default"/>
          <w:spacing w:val="-56"/>
        </w:rPr>
        <w:t> </w:t>
      </w:r>
      <w:r>
        <w:rPr>
          <w:spacing w:val="-3"/>
        </w:rPr>
        <w:t>元</w:t>
      </w:r>
      <w:r>
        <w:rPr>
          <w:rFonts w:ascii="宋体" w:hAnsi="宋体" w:cs="宋体" w:eastAsia="宋体" w:hint="default"/>
          <w:spacing w:val="-3"/>
        </w:rPr>
        <w:t>/</w:t>
      </w:r>
      <w:r>
        <w:rPr>
          <w:spacing w:val="-3"/>
        </w:rPr>
        <w:t>股。公司独立董事对相关事项发表了独立意见，律</w:t>
      </w:r>
    </w:p>
    <w:p>
      <w:pPr>
        <w:pStyle w:val="BodyText"/>
        <w:spacing w:line="240" w:lineRule="auto" w:before="36"/>
        <w:ind w:right="0"/>
        <w:jc w:val="both"/>
      </w:pPr>
      <w:r>
        <w:rPr/>
        <w:t>师出具了相应法律意见。</w:t>
      </w:r>
      <w:r>
        <w:rPr>
          <w:rFonts w:ascii="宋体" w:hAnsi="宋体" w:cs="宋体" w:eastAsia="宋体" w:hint="default"/>
        </w:rPr>
        <w:t>2017</w:t>
      </w:r>
      <w:r>
        <w:rPr>
          <w:rFonts w:ascii="宋体" w:hAnsi="宋体" w:cs="宋体" w:eastAsia="宋体" w:hint="default"/>
          <w:spacing w:val="-47"/>
        </w:rPr>
        <w:t> </w:t>
      </w:r>
      <w:r>
        <w:rPr/>
        <w:t>年</w:t>
      </w:r>
      <w:r>
        <w:rPr>
          <w:spacing w:val="-48"/>
        </w:rPr>
        <w:t> </w:t>
      </w:r>
      <w:r>
        <w:rPr>
          <w:rFonts w:ascii="宋体" w:hAnsi="宋体" w:cs="宋体" w:eastAsia="宋体" w:hint="default"/>
        </w:rPr>
        <w:t>7</w:t>
      </w:r>
      <w:r>
        <w:rPr>
          <w:rFonts w:ascii="宋体" w:hAnsi="宋体" w:cs="宋体" w:eastAsia="宋体" w:hint="default"/>
          <w:spacing w:val="-47"/>
        </w:rPr>
        <w:t> </w:t>
      </w:r>
      <w:r>
        <w:rPr/>
        <w:t>月</w:t>
      </w:r>
      <w:r>
        <w:rPr>
          <w:spacing w:val="-47"/>
        </w:rPr>
        <w:t> </w:t>
      </w:r>
      <w:r>
        <w:rPr>
          <w:rFonts w:ascii="宋体" w:hAnsi="宋体" w:cs="宋体" w:eastAsia="宋体" w:hint="default"/>
        </w:rPr>
        <w:t>21</w:t>
      </w:r>
      <w:r>
        <w:rPr>
          <w:rFonts w:ascii="宋体" w:hAnsi="宋体" w:cs="宋体" w:eastAsia="宋体" w:hint="default"/>
          <w:spacing w:val="-47"/>
        </w:rPr>
        <w:t> </w:t>
      </w:r>
      <w:r>
        <w:rPr/>
        <w:t>日，公司完成上述</w:t>
      </w:r>
      <w:r>
        <w:rPr>
          <w:spacing w:val="-47"/>
        </w:rPr>
        <w:t> </w:t>
      </w:r>
      <w:r>
        <w:rPr>
          <w:rFonts w:ascii="宋体" w:hAnsi="宋体" w:cs="宋体" w:eastAsia="宋体" w:hint="default"/>
        </w:rPr>
        <w:t>3</w:t>
      </w:r>
      <w:r>
        <w:rPr>
          <w:rFonts w:ascii="宋体" w:hAnsi="宋体" w:cs="宋体" w:eastAsia="宋体" w:hint="default"/>
          <w:spacing w:val="-47"/>
        </w:rPr>
        <w:t> </w:t>
      </w:r>
      <w:r>
        <w:rPr/>
        <w:t>名激励对象限制性股票的回购</w:t>
      </w:r>
    </w:p>
    <w:p>
      <w:pPr>
        <w:spacing w:after="0" w:line="240"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right="0"/>
        <w:jc w:val="both"/>
      </w:pPr>
      <w:r>
        <w:rPr/>
        <w:t>注销手续。</w:t>
      </w:r>
    </w:p>
    <w:p>
      <w:pPr>
        <w:spacing w:line="240" w:lineRule="auto" w:before="4"/>
        <w:rPr>
          <w:rFonts w:ascii="宋体" w:hAnsi="宋体" w:cs="宋体" w:eastAsia="宋体" w:hint="default"/>
          <w:sz w:val="19"/>
          <w:szCs w:val="19"/>
        </w:rPr>
      </w:pPr>
    </w:p>
    <w:p>
      <w:pPr>
        <w:pStyle w:val="BodyText"/>
        <w:spacing w:line="240" w:lineRule="auto"/>
        <w:ind w:left="634" w:right="1092"/>
        <w:jc w:val="left"/>
      </w:pPr>
      <w:r>
        <w:rPr>
          <w:rFonts w:ascii="宋体" w:hAnsi="宋体" w:cs="宋体" w:eastAsia="宋体" w:hint="default"/>
        </w:rPr>
        <w:t>9</w:t>
      </w:r>
      <w:r>
        <w:rPr/>
        <w:t>、</w:t>
      </w:r>
      <w:r>
        <w:rPr>
          <w:rFonts w:ascii="宋体" w:hAnsi="宋体" w:cs="宋体" w:eastAsia="宋体" w:hint="default"/>
        </w:rPr>
        <w:t>2017</w:t>
      </w:r>
      <w:r>
        <w:rPr>
          <w:rFonts w:ascii="宋体" w:hAnsi="宋体" w:cs="宋体" w:eastAsia="宋体" w:hint="default"/>
          <w:spacing w:val="-63"/>
        </w:rPr>
        <w:t> </w:t>
      </w:r>
      <w:r>
        <w:rPr/>
        <w:t>年</w:t>
      </w:r>
      <w:r>
        <w:rPr>
          <w:spacing w:val="-63"/>
        </w:rPr>
        <w:t> </w:t>
      </w:r>
      <w:r>
        <w:rPr>
          <w:rFonts w:ascii="宋体" w:hAnsi="宋体" w:cs="宋体" w:eastAsia="宋体" w:hint="default"/>
        </w:rPr>
        <w:t>8</w:t>
      </w:r>
      <w:r>
        <w:rPr>
          <w:rFonts w:ascii="宋体" w:hAnsi="宋体" w:cs="宋体" w:eastAsia="宋体" w:hint="default"/>
          <w:spacing w:val="-63"/>
        </w:rPr>
        <w:t> </w:t>
      </w:r>
      <w:r>
        <w:rPr/>
        <w:t>月</w:t>
      </w:r>
      <w:r>
        <w:rPr>
          <w:spacing w:val="-63"/>
        </w:rPr>
        <w:t> </w:t>
      </w:r>
      <w:r>
        <w:rPr>
          <w:rFonts w:ascii="宋体" w:hAnsi="宋体" w:cs="宋体" w:eastAsia="宋体" w:hint="default"/>
        </w:rPr>
        <w:t>1</w:t>
      </w:r>
      <w:r>
        <w:rPr>
          <w:rFonts w:ascii="宋体" w:hAnsi="宋体" w:cs="宋体" w:eastAsia="宋体" w:hint="default"/>
          <w:spacing w:val="-63"/>
        </w:rPr>
        <w:t> </w:t>
      </w:r>
      <w:r>
        <w:rPr/>
        <w:t>日，公司实施了</w:t>
      </w:r>
      <w:r>
        <w:rPr>
          <w:spacing w:val="-63"/>
        </w:rPr>
        <w:t> </w:t>
      </w:r>
      <w:r>
        <w:rPr>
          <w:rFonts w:ascii="宋体" w:hAnsi="宋体" w:cs="宋体" w:eastAsia="宋体" w:hint="default"/>
        </w:rPr>
        <w:t>2016</w:t>
      </w:r>
      <w:r>
        <w:rPr>
          <w:rFonts w:ascii="宋体" w:hAnsi="宋体" w:cs="宋体" w:eastAsia="宋体" w:hint="default"/>
          <w:spacing w:val="-63"/>
        </w:rPr>
        <w:t> </w:t>
      </w:r>
      <w:r>
        <w:rPr/>
        <w:t>年年度权益分派：以公司股本</w:t>
      </w:r>
      <w:r>
        <w:rPr>
          <w:spacing w:val="-63"/>
        </w:rPr>
        <w:t> </w:t>
      </w:r>
      <w:r>
        <w:rPr>
          <w:rFonts w:ascii="宋体" w:hAnsi="宋体" w:cs="宋体" w:eastAsia="宋体" w:hint="default"/>
        </w:rPr>
        <w:t>284,525,220</w:t>
      </w:r>
      <w:r>
        <w:rPr>
          <w:rFonts w:ascii="宋体" w:hAnsi="宋体" w:cs="宋体" w:eastAsia="宋体" w:hint="default"/>
          <w:spacing w:val="-63"/>
        </w:rPr>
        <w:t> </w:t>
      </w:r>
      <w:r>
        <w:rPr/>
        <w:t>股为</w:t>
      </w:r>
    </w:p>
    <w:p>
      <w:pPr>
        <w:pStyle w:val="BodyText"/>
        <w:spacing w:line="240" w:lineRule="auto" w:before="154"/>
        <w:ind w:right="0"/>
        <w:jc w:val="both"/>
      </w:pPr>
      <w:r>
        <w:rPr/>
        <w:t>基数</w:t>
      </w:r>
      <w:r>
        <w:rPr>
          <w:spacing w:val="-21"/>
        </w:rPr>
        <w:t>，</w:t>
      </w:r>
      <w:r>
        <w:rPr/>
        <w:t>向全体股东每</w:t>
      </w:r>
      <w:r>
        <w:rPr>
          <w:spacing w:val="-60"/>
        </w:rPr>
        <w:t> </w:t>
      </w:r>
      <w:r>
        <w:rPr>
          <w:rFonts w:ascii="宋体" w:hAnsi="宋体" w:cs="宋体" w:eastAsia="宋体" w:hint="default"/>
        </w:rPr>
        <w:t>10</w:t>
      </w:r>
      <w:r>
        <w:rPr>
          <w:rFonts w:ascii="宋体" w:hAnsi="宋体" w:cs="宋体" w:eastAsia="宋体" w:hint="default"/>
          <w:spacing w:val="-60"/>
        </w:rPr>
        <w:t> </w:t>
      </w:r>
      <w:r>
        <w:rPr/>
        <w:t>股派</w:t>
      </w:r>
      <w:r>
        <w:rPr>
          <w:spacing w:val="-60"/>
        </w:rPr>
        <w:t> </w:t>
      </w:r>
      <w:r>
        <w:rPr>
          <w:rFonts w:ascii="宋体" w:hAnsi="宋体" w:cs="宋体" w:eastAsia="宋体" w:hint="default"/>
        </w:rPr>
        <w:t>0.400319</w:t>
      </w:r>
      <w:r>
        <w:rPr>
          <w:rFonts w:ascii="宋体" w:hAnsi="宋体" w:cs="宋体" w:eastAsia="宋体" w:hint="default"/>
          <w:spacing w:val="-60"/>
        </w:rPr>
        <w:t> </w:t>
      </w:r>
      <w:r>
        <w:rPr/>
        <w:t>元人民币现</w:t>
      </w:r>
      <w:r>
        <w:rPr>
          <w:spacing w:val="-21"/>
        </w:rPr>
        <w:t>金</w:t>
      </w:r>
      <w:r>
        <w:rPr/>
        <w:t>（含税</w:t>
      </w:r>
      <w:r>
        <w:rPr>
          <w:spacing w:val="-120"/>
        </w:rPr>
        <w:t>）</w:t>
      </w:r>
      <w:r>
        <w:rPr>
          <w:spacing w:val="-21"/>
        </w:rPr>
        <w:t>，</w:t>
      </w:r>
      <w:r>
        <w:rPr/>
        <w:t>同时</w:t>
      </w:r>
      <w:r>
        <w:rPr>
          <w:spacing w:val="-21"/>
        </w:rPr>
        <w:t>，</w:t>
      </w:r>
      <w:r>
        <w:rPr/>
        <w:t>以资本公积金向全体股</w:t>
      </w:r>
    </w:p>
    <w:p>
      <w:pPr>
        <w:pStyle w:val="BodyText"/>
        <w:spacing w:line="240" w:lineRule="auto" w:before="155"/>
        <w:ind w:right="0"/>
        <w:jc w:val="both"/>
      </w:pPr>
      <w:r>
        <w:rPr/>
        <w:t>东每</w:t>
      </w:r>
      <w:r>
        <w:rPr>
          <w:spacing w:val="-60"/>
        </w:rPr>
        <w:t> </w:t>
      </w:r>
      <w:r>
        <w:rPr>
          <w:rFonts w:ascii="宋体" w:hAnsi="宋体" w:cs="宋体" w:eastAsia="宋体" w:hint="default"/>
        </w:rPr>
        <w:t>10</w:t>
      </w:r>
      <w:r>
        <w:rPr>
          <w:rFonts w:ascii="宋体" w:hAnsi="宋体" w:cs="宋体" w:eastAsia="宋体" w:hint="default"/>
          <w:spacing w:val="-60"/>
        </w:rPr>
        <w:t> </w:t>
      </w:r>
      <w:r>
        <w:rPr/>
        <w:t>股转增</w:t>
      </w:r>
      <w:r>
        <w:rPr>
          <w:spacing w:val="-60"/>
        </w:rPr>
        <w:t> </w:t>
      </w:r>
      <w:r>
        <w:rPr>
          <w:rFonts w:ascii="宋体" w:hAnsi="宋体" w:cs="宋体" w:eastAsia="宋体" w:hint="default"/>
        </w:rPr>
        <w:t>15.011986</w:t>
      </w:r>
      <w:r>
        <w:rPr>
          <w:rFonts w:ascii="宋体" w:hAnsi="宋体" w:cs="宋体" w:eastAsia="宋体" w:hint="default"/>
          <w:spacing w:val="-60"/>
        </w:rPr>
        <w:t> </w:t>
      </w:r>
      <w:r>
        <w:rPr/>
        <w:t>股。</w:t>
      </w:r>
    </w:p>
    <w:p>
      <w:pPr>
        <w:spacing w:line="240" w:lineRule="auto" w:before="5"/>
        <w:rPr>
          <w:rFonts w:ascii="宋体" w:hAnsi="宋体" w:cs="宋体" w:eastAsia="宋体" w:hint="default"/>
          <w:sz w:val="19"/>
          <w:szCs w:val="19"/>
        </w:rPr>
      </w:pPr>
    </w:p>
    <w:p>
      <w:pPr>
        <w:pStyle w:val="BodyText"/>
        <w:spacing w:line="357" w:lineRule="auto"/>
        <w:ind w:right="1130" w:firstLine="480"/>
        <w:jc w:val="both"/>
      </w:pPr>
      <w:r>
        <w:rPr>
          <w:rFonts w:ascii="宋体" w:hAnsi="宋体" w:cs="宋体" w:eastAsia="宋体" w:hint="default"/>
        </w:rPr>
        <w:t>10</w:t>
      </w:r>
      <w:r>
        <w:rPr/>
        <w:t>、</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8</w:t>
      </w:r>
      <w:r>
        <w:rPr>
          <w:rFonts w:ascii="宋体" w:hAnsi="宋体" w:cs="宋体" w:eastAsia="宋体" w:hint="default"/>
          <w:spacing w:val="-65"/>
        </w:rPr>
        <w:t> </w:t>
      </w:r>
      <w:r>
        <w:rPr/>
        <w:t>月</w:t>
      </w:r>
      <w:r>
        <w:rPr>
          <w:spacing w:val="-65"/>
        </w:rPr>
        <w:t> </w:t>
      </w:r>
      <w:r>
        <w:rPr>
          <w:rFonts w:ascii="宋体" w:hAnsi="宋体" w:cs="宋体" w:eastAsia="宋体" w:hint="default"/>
        </w:rPr>
        <w:t>9</w:t>
      </w:r>
      <w:r>
        <w:rPr>
          <w:rFonts w:ascii="宋体" w:hAnsi="宋体" w:cs="宋体" w:eastAsia="宋体" w:hint="default"/>
          <w:spacing w:val="-65"/>
        </w:rPr>
        <w:t> </w:t>
      </w:r>
      <w:r>
        <w:rPr/>
        <w:t>日，公司分别召开第三届董事会第三次会议和第三届监事会第三次会 议，审议通过了《关于调整第三期股票期权与限制性股票激励计划激励对象名单及授予权益 </w:t>
      </w:r>
      <w:r>
        <w:rPr>
          <w:spacing w:val="-4"/>
        </w:rPr>
        <w:t>数量、价格的议案》以及《关于回购注销部分限制性股票的议案》。因公司实施了</w:t>
      </w:r>
      <w:r>
        <w:rPr/>
        <w:t> </w:t>
      </w:r>
      <w:r>
        <w:rPr>
          <w:rFonts w:ascii="宋体" w:hAnsi="宋体" w:cs="宋体" w:eastAsia="宋体" w:hint="default"/>
        </w:rPr>
        <w:t>2016</w:t>
      </w:r>
      <w:r>
        <w:rPr>
          <w:rFonts w:ascii="宋体" w:hAnsi="宋体" w:cs="宋体" w:eastAsia="宋体" w:hint="default"/>
          <w:spacing w:val="-57"/>
        </w:rPr>
        <w:t> </w:t>
      </w:r>
      <w:r>
        <w:rPr/>
        <w:t>年度</w:t>
      </w:r>
    </w:p>
    <w:p>
      <w:pPr>
        <w:pStyle w:val="BodyText"/>
        <w:spacing w:line="240" w:lineRule="auto" w:before="36"/>
        <w:ind w:right="0"/>
        <w:jc w:val="both"/>
      </w:pPr>
      <w:r>
        <w:rPr>
          <w:spacing w:val="3"/>
        </w:rPr>
        <w:t>权益分派，公司第三期限制性股票数量调整为 </w:t>
      </w:r>
      <w:r>
        <w:rPr>
          <w:rFonts w:ascii="宋体" w:hAnsi="宋体" w:cs="宋体" w:eastAsia="宋体" w:hint="default"/>
        </w:rPr>
        <w:t>7,244,889</w:t>
      </w:r>
      <w:r>
        <w:rPr>
          <w:rFonts w:ascii="宋体" w:hAnsi="宋体" w:cs="宋体" w:eastAsia="宋体" w:hint="default"/>
          <w:spacing w:val="31"/>
        </w:rPr>
        <w:t> </w:t>
      </w:r>
      <w:r>
        <w:rPr>
          <w:spacing w:val="3"/>
        </w:rPr>
        <w:t>股，调整后的限制性股票价格为</w:t>
      </w:r>
    </w:p>
    <w:p>
      <w:pPr>
        <w:pStyle w:val="BodyText"/>
        <w:spacing w:line="240" w:lineRule="auto" w:before="154"/>
        <w:ind w:right="0"/>
        <w:jc w:val="both"/>
      </w:pPr>
      <w:r>
        <w:rPr>
          <w:rFonts w:ascii="宋体" w:hAnsi="宋体" w:cs="宋体" w:eastAsia="宋体" w:hint="default"/>
        </w:rPr>
        <w:t>10.00</w:t>
      </w:r>
      <w:r>
        <w:rPr>
          <w:rFonts w:ascii="宋体" w:hAnsi="宋体" w:cs="宋体" w:eastAsia="宋体" w:hint="default"/>
          <w:spacing w:val="-41"/>
        </w:rPr>
        <w:t> </w:t>
      </w:r>
      <w:r>
        <w:rPr/>
        <w:t>元</w:t>
      </w:r>
      <w:r>
        <w:rPr>
          <w:rFonts w:ascii="宋体" w:hAnsi="宋体" w:cs="宋体" w:eastAsia="宋体" w:hint="default"/>
        </w:rPr>
        <w:t>/</w:t>
      </w:r>
      <w:r>
        <w:rPr/>
        <w:t>股，调整后的期权数量为</w:t>
      </w:r>
      <w:r>
        <w:rPr>
          <w:spacing w:val="-41"/>
        </w:rPr>
        <w:t> </w:t>
      </w:r>
      <w:r>
        <w:rPr>
          <w:rFonts w:ascii="宋体" w:hAnsi="宋体" w:cs="宋体" w:eastAsia="宋体" w:hint="default"/>
        </w:rPr>
        <w:t>602,934</w:t>
      </w:r>
      <w:r>
        <w:rPr>
          <w:rFonts w:ascii="宋体" w:hAnsi="宋体" w:cs="宋体" w:eastAsia="宋体" w:hint="default"/>
          <w:spacing w:val="-41"/>
        </w:rPr>
        <w:t> </w:t>
      </w:r>
      <w:r>
        <w:rPr/>
        <w:t>股，调整后的期权行权价格为</w:t>
      </w:r>
      <w:r>
        <w:rPr>
          <w:spacing w:val="-41"/>
        </w:rPr>
        <w:t> </w:t>
      </w:r>
      <w:r>
        <w:rPr>
          <w:rFonts w:ascii="宋体" w:hAnsi="宋体" w:cs="宋体" w:eastAsia="宋体" w:hint="default"/>
        </w:rPr>
        <w:t>20.39</w:t>
      </w:r>
      <w:r>
        <w:rPr>
          <w:rFonts w:ascii="宋体" w:hAnsi="宋体" w:cs="宋体" w:eastAsia="宋体" w:hint="default"/>
          <w:spacing w:val="-41"/>
        </w:rPr>
        <w:t> </w:t>
      </w:r>
      <w:r>
        <w:rPr/>
        <w:t>元</w:t>
      </w:r>
      <w:r>
        <w:rPr>
          <w:rFonts w:ascii="宋体" w:hAnsi="宋体" w:cs="宋体" w:eastAsia="宋体" w:hint="default"/>
        </w:rPr>
        <w:t>/</w:t>
      </w:r>
      <w:r>
        <w:rPr/>
        <w:t>股；由</w:t>
      </w:r>
    </w:p>
    <w:p>
      <w:pPr>
        <w:pStyle w:val="BodyText"/>
        <w:spacing w:line="240" w:lineRule="auto" w:before="154"/>
        <w:ind w:right="0"/>
        <w:jc w:val="both"/>
      </w:pPr>
      <w:r>
        <w:rPr/>
        <w:t>于 </w:t>
      </w:r>
      <w:r>
        <w:rPr>
          <w:rFonts w:ascii="宋体" w:hAnsi="宋体" w:cs="宋体" w:eastAsia="宋体" w:hint="default"/>
        </w:rPr>
        <w:t>1</w:t>
      </w:r>
      <w:r>
        <w:rPr>
          <w:rFonts w:ascii="宋体" w:hAnsi="宋体" w:cs="宋体" w:eastAsia="宋体" w:hint="default"/>
          <w:spacing w:val="-82"/>
        </w:rPr>
        <w:t> </w:t>
      </w:r>
      <w:r>
        <w:rPr/>
        <w:t>名激励对象因个人原因离职，董事会审议决定取消上述激励对象资格并回购注销其已获</w:t>
      </w:r>
    </w:p>
    <w:p>
      <w:pPr>
        <w:pStyle w:val="BodyText"/>
        <w:spacing w:line="357" w:lineRule="auto" w:before="154"/>
        <w:ind w:right="1132"/>
        <w:jc w:val="both"/>
      </w:pPr>
      <w:r>
        <w:rPr/>
        <w:t>授但尚未解锁的全部限制性股票，回购股份共计</w:t>
      </w:r>
      <w:r>
        <w:rPr>
          <w:spacing w:val="-67"/>
        </w:rPr>
        <w:t> </w:t>
      </w:r>
      <w:r>
        <w:rPr>
          <w:rFonts w:ascii="宋体" w:hAnsi="宋体" w:cs="宋体" w:eastAsia="宋体" w:hint="default"/>
        </w:rPr>
        <w:t>496,651</w:t>
      </w:r>
      <w:r>
        <w:rPr>
          <w:rFonts w:ascii="宋体" w:hAnsi="宋体" w:cs="宋体" w:eastAsia="宋体" w:hint="default"/>
          <w:spacing w:val="-67"/>
        </w:rPr>
        <w:t> </w:t>
      </w:r>
      <w:r>
        <w:rPr>
          <w:spacing w:val="-4"/>
        </w:rPr>
        <w:t>股，回购价格为</w:t>
      </w:r>
      <w:r>
        <w:rPr>
          <w:spacing w:val="-67"/>
        </w:rPr>
        <w:t> </w:t>
      </w:r>
      <w:r>
        <w:rPr>
          <w:rFonts w:ascii="宋体" w:hAnsi="宋体" w:cs="宋体" w:eastAsia="宋体" w:hint="default"/>
        </w:rPr>
        <w:t>10.00</w:t>
      </w:r>
      <w:r>
        <w:rPr>
          <w:rFonts w:ascii="宋体" w:hAnsi="宋体" w:cs="宋体" w:eastAsia="宋体" w:hint="default"/>
          <w:spacing w:val="-67"/>
        </w:rPr>
        <w:t> </w:t>
      </w:r>
      <w:r>
        <w:rPr>
          <w:spacing w:val="-5"/>
        </w:rPr>
        <w:t>元</w:t>
      </w:r>
      <w:r>
        <w:rPr>
          <w:rFonts w:ascii="宋体" w:hAnsi="宋体" w:cs="宋体" w:eastAsia="宋体" w:hint="default"/>
          <w:spacing w:val="-5"/>
        </w:rPr>
        <w:t>/</w:t>
      </w:r>
      <w:r>
        <w:rPr>
          <w:spacing w:val="-5"/>
        </w:rPr>
        <w:t>股。公司</w:t>
      </w:r>
      <w:r>
        <w:rPr/>
        <w:t> 独立董事对相关事项发表了独立意见，律师出具了相应法律意见。本次限制性股票的回购注 销手续包含上述</w:t>
      </w:r>
      <w:r>
        <w:rPr>
          <w:spacing w:val="-60"/>
        </w:rPr>
        <w:t> </w:t>
      </w:r>
      <w:r>
        <w:rPr>
          <w:rFonts w:ascii="宋体" w:hAnsi="宋体" w:cs="宋体" w:eastAsia="宋体" w:hint="default"/>
        </w:rPr>
        <w:t>1</w:t>
      </w:r>
      <w:r>
        <w:rPr>
          <w:rFonts w:ascii="宋体" w:hAnsi="宋体" w:cs="宋体" w:eastAsia="宋体" w:hint="default"/>
          <w:spacing w:val="-60"/>
        </w:rPr>
        <w:t> </w:t>
      </w:r>
      <w:r>
        <w:rPr/>
        <w:t>名激励对象限制性股票的回购注销。</w:t>
      </w:r>
    </w:p>
    <w:p>
      <w:pPr>
        <w:pStyle w:val="BodyText"/>
        <w:spacing w:line="357" w:lineRule="auto" w:before="134"/>
        <w:ind w:right="1130" w:firstLine="480"/>
        <w:jc w:val="both"/>
      </w:pPr>
      <w:r>
        <w:rPr>
          <w:rFonts w:ascii="宋体" w:hAnsi="宋体" w:cs="宋体" w:eastAsia="宋体" w:hint="default"/>
        </w:rPr>
        <w:t>11</w:t>
      </w:r>
      <w:r>
        <w:rPr/>
        <w:t>、</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25</w:t>
      </w:r>
      <w:r>
        <w:rPr>
          <w:rFonts w:ascii="宋体" w:hAnsi="宋体" w:cs="宋体" w:eastAsia="宋体" w:hint="default"/>
          <w:spacing w:val="-40"/>
        </w:rPr>
        <w:t> </w:t>
      </w:r>
      <w:r>
        <w:rPr/>
        <w:t>日，公司召开第三届董事会第四次会议和第三届监事会第四次会议 </w:t>
      </w:r>
      <w:r>
        <w:rPr>
          <w:spacing w:val="-2"/>
        </w:rPr>
        <w:t>审议通过了《关于第三期股票期权与限制性股票激励计划首次授予部分第一个行权</w:t>
      </w:r>
      <w:r>
        <w:rPr>
          <w:rFonts w:ascii="宋体" w:hAnsi="宋体" w:cs="宋体" w:eastAsia="宋体" w:hint="default"/>
          <w:spacing w:val="-2"/>
        </w:rPr>
        <w:t>/</w:t>
      </w:r>
      <w:r>
        <w:rPr>
          <w:spacing w:val="-2"/>
        </w:rPr>
        <w:t>解锁期可</w:t>
      </w:r>
      <w:r>
        <w:rPr/>
        <w:t> </w:t>
      </w:r>
      <w:r>
        <w:rPr>
          <w:spacing w:val="-9"/>
        </w:rPr>
        <w:t>行权</w:t>
      </w:r>
      <w:r>
        <w:rPr>
          <w:rFonts w:ascii="宋体" w:hAnsi="宋体" w:cs="宋体" w:eastAsia="宋体" w:hint="default"/>
          <w:spacing w:val="-9"/>
        </w:rPr>
        <w:t>/</w:t>
      </w:r>
      <w:r>
        <w:rPr>
          <w:spacing w:val="-9"/>
        </w:rPr>
        <w:t>解锁的议案》，认为公司</w:t>
      </w:r>
      <w:r>
        <w:rPr/>
        <w:t> </w:t>
      </w:r>
      <w:r>
        <w:rPr>
          <w:rFonts w:ascii="宋体" w:hAnsi="宋体" w:cs="宋体" w:eastAsia="宋体" w:hint="default"/>
        </w:rPr>
        <w:t>52 </w:t>
      </w:r>
      <w:r>
        <w:rPr/>
        <w:t>名激励对象的行权资格，</w:t>
      </w:r>
      <w:r>
        <w:rPr>
          <w:rFonts w:ascii="宋体" w:hAnsi="宋体" w:cs="宋体" w:eastAsia="宋体" w:hint="default"/>
        </w:rPr>
        <w:t>28</w:t>
      </w:r>
      <w:r>
        <w:rPr>
          <w:rFonts w:ascii="宋体" w:hAnsi="宋体" w:cs="宋体" w:eastAsia="宋体" w:hint="default"/>
          <w:spacing w:val="-79"/>
        </w:rPr>
        <w:t> </w:t>
      </w:r>
      <w:r>
        <w:rPr/>
        <w:t>名激励对象解锁资格合法、有 </w:t>
      </w:r>
      <w:r>
        <w:rPr>
          <w:spacing w:val="-2"/>
        </w:rPr>
        <w:t>效，满足公司第三期股票期权与限制性股票激励计划首次授予部分第一个行权</w:t>
      </w:r>
      <w:r>
        <w:rPr>
          <w:rFonts w:ascii="宋体" w:hAnsi="宋体" w:cs="宋体" w:eastAsia="宋体" w:hint="default"/>
          <w:spacing w:val="-2"/>
        </w:rPr>
        <w:t>/</w:t>
      </w:r>
      <w:r>
        <w:rPr>
          <w:spacing w:val="-2"/>
        </w:rPr>
        <w:t>解锁期的行权</w:t>
      </w:r>
    </w:p>
    <w:p>
      <w:pPr>
        <w:pStyle w:val="BodyText"/>
        <w:spacing w:line="240" w:lineRule="auto" w:before="37"/>
        <w:ind w:right="0"/>
        <w:jc w:val="both"/>
      </w:pPr>
      <w:r>
        <w:rPr>
          <w:rFonts w:ascii="宋体" w:hAnsi="宋体" w:cs="宋体" w:eastAsia="宋体" w:hint="default"/>
        </w:rPr>
        <w:t>/</w:t>
      </w:r>
      <w:r>
        <w:rPr/>
        <w:t>解锁条件，同意激励对象在第一个行权</w:t>
      </w:r>
      <w:r>
        <w:rPr>
          <w:rFonts w:ascii="宋体" w:hAnsi="宋体" w:cs="宋体" w:eastAsia="宋体" w:hint="default"/>
        </w:rPr>
        <w:t>/</w:t>
      </w:r>
      <w:r>
        <w:rPr/>
        <w:t>解锁期行权</w:t>
      </w:r>
      <w:r>
        <w:rPr>
          <w:rFonts w:ascii="宋体" w:hAnsi="宋体" w:cs="宋体" w:eastAsia="宋体" w:hint="default"/>
        </w:rPr>
        <w:t>/</w:t>
      </w:r>
      <w:r>
        <w:rPr/>
        <w:t>解锁。</w:t>
      </w:r>
    </w:p>
    <w:p>
      <w:pPr>
        <w:spacing w:line="240" w:lineRule="auto" w:before="4"/>
        <w:rPr>
          <w:rFonts w:ascii="宋体" w:hAnsi="宋体" w:cs="宋体" w:eastAsia="宋体" w:hint="default"/>
          <w:sz w:val="19"/>
          <w:szCs w:val="19"/>
        </w:rPr>
      </w:pPr>
    </w:p>
    <w:p>
      <w:pPr>
        <w:pStyle w:val="BodyText"/>
        <w:spacing w:line="357" w:lineRule="auto"/>
        <w:ind w:right="1131" w:firstLine="480"/>
        <w:jc w:val="both"/>
      </w:pPr>
      <w:r>
        <w:rPr>
          <w:rFonts w:ascii="宋体" w:hAnsi="宋体" w:cs="宋体" w:eastAsia="宋体" w:hint="default"/>
        </w:rPr>
        <w:t>12</w:t>
      </w:r>
      <w:r>
        <w:rPr/>
        <w:t>、</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10</w:t>
      </w:r>
      <w:r>
        <w:rPr>
          <w:rFonts w:ascii="宋体" w:hAnsi="宋体" w:cs="宋体" w:eastAsia="宋体" w:hint="default"/>
          <w:spacing w:val="-65"/>
        </w:rPr>
        <w:t> </w:t>
      </w:r>
      <w:r>
        <w:rPr/>
        <w:t>月</w:t>
      </w:r>
      <w:r>
        <w:rPr>
          <w:spacing w:val="-65"/>
        </w:rPr>
        <w:t> </w:t>
      </w:r>
      <w:r>
        <w:rPr>
          <w:rFonts w:ascii="宋体" w:hAnsi="宋体" w:cs="宋体" w:eastAsia="宋体" w:hint="default"/>
        </w:rPr>
        <w:t>18</w:t>
      </w:r>
      <w:r>
        <w:rPr>
          <w:rFonts w:ascii="宋体" w:hAnsi="宋体" w:cs="宋体" w:eastAsia="宋体" w:hint="default"/>
          <w:spacing w:val="-65"/>
        </w:rPr>
        <w:t> </w:t>
      </w:r>
      <w:r>
        <w:rPr/>
        <w:t>日，公司召开第三届董事会第六次会议和第三届监事会第六次会议 审议通过了《关于第三期股票期权与限制性股票激励计划预留限制性股票第一个解锁期可解 </w:t>
      </w:r>
      <w:r>
        <w:rPr>
          <w:spacing w:val="-19"/>
        </w:rPr>
        <w:t>锁的议案》，认为</w:t>
      </w:r>
      <w:r>
        <w:rPr>
          <w:spacing w:val="-55"/>
        </w:rPr>
        <w:t> </w:t>
      </w:r>
      <w:r>
        <w:rPr>
          <w:rFonts w:ascii="宋体" w:hAnsi="宋体" w:cs="宋体" w:eastAsia="宋体" w:hint="default"/>
        </w:rPr>
        <w:t>4</w:t>
      </w:r>
      <w:r>
        <w:rPr>
          <w:rFonts w:ascii="宋体" w:hAnsi="宋体" w:cs="宋体" w:eastAsia="宋体" w:hint="default"/>
          <w:spacing w:val="-55"/>
        </w:rPr>
        <w:t> </w:t>
      </w:r>
      <w:r>
        <w:rPr>
          <w:spacing w:val="-2"/>
        </w:rPr>
        <w:t>名激励对象解锁资格合法、有效，满足公司第三期股票期权与限制性股票</w:t>
      </w:r>
      <w:r>
        <w:rPr/>
        <w:t> 激励计划预留部分第一个解锁期的解锁条件，同意激励对象在第一个解锁期解锁。</w:t>
      </w:r>
    </w:p>
    <w:p>
      <w:pPr>
        <w:pStyle w:val="BodyText"/>
        <w:spacing w:line="357" w:lineRule="auto" w:before="136"/>
        <w:ind w:right="1130" w:firstLine="480"/>
        <w:jc w:val="both"/>
      </w:pPr>
      <w:r>
        <w:rPr>
          <w:rFonts w:ascii="宋体" w:hAnsi="宋体" w:cs="宋体" w:eastAsia="宋体" w:hint="default"/>
        </w:rPr>
        <w:t>13</w:t>
      </w:r>
      <w:r>
        <w:rPr/>
        <w:t>、</w:t>
      </w:r>
      <w:r>
        <w:rPr>
          <w:rFonts w:ascii="宋体" w:hAnsi="宋体" w:cs="宋体" w:eastAsia="宋体" w:hint="default"/>
        </w:rPr>
        <w:t>2018</w:t>
      </w:r>
      <w:r>
        <w:rPr>
          <w:rFonts w:ascii="宋体" w:hAnsi="宋体" w:cs="宋体" w:eastAsia="宋体" w:hint="default"/>
          <w:spacing w:val="-41"/>
        </w:rPr>
        <w:t> </w:t>
      </w:r>
      <w:r>
        <w:rPr/>
        <w:t>年</w:t>
      </w:r>
      <w:r>
        <w:rPr>
          <w:spacing w:val="-41"/>
        </w:rPr>
        <w:t> </w:t>
      </w:r>
      <w:r>
        <w:rPr>
          <w:rFonts w:ascii="宋体" w:hAnsi="宋体" w:cs="宋体" w:eastAsia="宋体" w:hint="default"/>
        </w:rPr>
        <w:t>4</w:t>
      </w:r>
      <w:r>
        <w:rPr>
          <w:rFonts w:ascii="宋体" w:hAnsi="宋体" w:cs="宋体" w:eastAsia="宋体" w:hint="default"/>
          <w:spacing w:val="-41"/>
        </w:rPr>
        <w:t> </w:t>
      </w:r>
      <w:r>
        <w:rPr/>
        <w:t>月</w:t>
      </w:r>
      <w:r>
        <w:rPr>
          <w:spacing w:val="-41"/>
        </w:rPr>
        <w:t> </w:t>
      </w:r>
      <w:r>
        <w:rPr>
          <w:rFonts w:ascii="宋体" w:hAnsi="宋体" w:cs="宋体" w:eastAsia="宋体" w:hint="default"/>
        </w:rPr>
        <w:t>24</w:t>
      </w:r>
      <w:r>
        <w:rPr>
          <w:rFonts w:ascii="宋体" w:hAnsi="宋体" w:cs="宋体" w:eastAsia="宋体" w:hint="default"/>
          <w:spacing w:val="-40"/>
        </w:rPr>
        <w:t> </w:t>
      </w:r>
      <w:r>
        <w:rPr/>
        <w:t>日，公司分别召开第三届董事会第十三次会议和第三届监事会第十 </w:t>
      </w:r>
      <w:r>
        <w:rPr>
          <w:spacing w:val="-5"/>
        </w:rPr>
        <w:t>一次会议，审议通过了《关于回购注销部分限制性股票的议案》。第三期股票期权与限制性股</w:t>
      </w:r>
      <w:r>
        <w:rPr/>
        <w:t> 票激励计划首次授予限制性股票中</w:t>
      </w:r>
      <w:r>
        <w:rPr>
          <w:spacing w:val="-50"/>
        </w:rPr>
        <w:t> </w:t>
      </w:r>
      <w:r>
        <w:rPr>
          <w:rFonts w:ascii="宋体" w:hAnsi="宋体" w:cs="宋体" w:eastAsia="宋体" w:hint="default"/>
        </w:rPr>
        <w:t>4</w:t>
      </w:r>
      <w:r>
        <w:rPr>
          <w:rFonts w:ascii="宋体" w:hAnsi="宋体" w:cs="宋体" w:eastAsia="宋体" w:hint="default"/>
          <w:spacing w:val="-50"/>
        </w:rPr>
        <w:t> </w:t>
      </w:r>
      <w:r>
        <w:rPr/>
        <w:t>名激励对象及预留授予部分中</w:t>
      </w:r>
      <w:r>
        <w:rPr>
          <w:spacing w:val="-50"/>
        </w:rPr>
        <w:t> </w:t>
      </w:r>
      <w:r>
        <w:rPr>
          <w:rFonts w:ascii="宋体" w:hAnsi="宋体" w:cs="宋体" w:eastAsia="宋体" w:hint="default"/>
        </w:rPr>
        <w:t>2</w:t>
      </w:r>
      <w:r>
        <w:rPr>
          <w:rFonts w:ascii="宋体" w:hAnsi="宋体" w:cs="宋体" w:eastAsia="宋体" w:hint="default"/>
          <w:spacing w:val="-51"/>
        </w:rPr>
        <w:t> </w:t>
      </w:r>
      <w:r>
        <w:rPr/>
        <w:t>名激励对象因个人原因 离职，董事会审议决定取消上述激励对象资格并回购注销其已获授但尚未解锁的全部限制性 股票。首次授予部分回购人数</w:t>
      </w:r>
      <w:r>
        <w:rPr>
          <w:spacing w:val="-54"/>
        </w:rPr>
        <w:t> </w:t>
      </w:r>
      <w:r>
        <w:rPr>
          <w:rFonts w:ascii="宋体" w:hAnsi="宋体" w:cs="宋体" w:eastAsia="宋体" w:hint="default"/>
        </w:rPr>
        <w:t>4</w:t>
      </w:r>
      <w:r>
        <w:rPr>
          <w:rFonts w:ascii="宋体" w:hAnsi="宋体" w:cs="宋体" w:eastAsia="宋体" w:hint="default"/>
          <w:spacing w:val="-54"/>
        </w:rPr>
        <w:t> </w:t>
      </w:r>
      <w:r>
        <w:rPr/>
        <w:t>人，回购股份共计</w:t>
      </w:r>
      <w:r>
        <w:rPr>
          <w:spacing w:val="-54"/>
        </w:rPr>
        <w:t> </w:t>
      </w:r>
      <w:r>
        <w:rPr>
          <w:rFonts w:ascii="宋体" w:hAnsi="宋体" w:cs="宋体" w:eastAsia="宋体" w:hint="default"/>
        </w:rPr>
        <w:t>759,877</w:t>
      </w:r>
      <w:r>
        <w:rPr>
          <w:rFonts w:ascii="宋体" w:hAnsi="宋体" w:cs="宋体" w:eastAsia="宋体" w:hint="default"/>
          <w:spacing w:val="-54"/>
        </w:rPr>
        <w:t> </w:t>
      </w:r>
      <w:r>
        <w:rPr/>
        <w:t>股，回购价格为</w:t>
      </w:r>
      <w:r>
        <w:rPr>
          <w:spacing w:val="-54"/>
        </w:rPr>
        <w:t> </w:t>
      </w:r>
      <w:r>
        <w:rPr>
          <w:rFonts w:ascii="宋体" w:hAnsi="宋体" w:cs="宋体" w:eastAsia="宋体" w:hint="default"/>
        </w:rPr>
        <w:t>10</w:t>
      </w:r>
      <w:r>
        <w:rPr>
          <w:rFonts w:ascii="宋体" w:hAnsi="宋体" w:cs="宋体" w:eastAsia="宋体" w:hint="default"/>
          <w:spacing w:val="-54"/>
        </w:rPr>
        <w:t> </w:t>
      </w:r>
      <w:r>
        <w:rPr/>
        <w:t>元</w:t>
      </w:r>
      <w:r>
        <w:rPr>
          <w:rFonts w:ascii="宋体" w:hAnsi="宋体" w:cs="宋体" w:eastAsia="宋体" w:hint="default"/>
        </w:rPr>
        <w:t>/</w:t>
      </w:r>
      <w:r>
        <w:rPr/>
        <w:t>股；预留</w:t>
      </w:r>
    </w:p>
    <w:p>
      <w:pPr>
        <w:pStyle w:val="BodyText"/>
        <w:spacing w:line="240" w:lineRule="auto" w:before="36"/>
        <w:ind w:right="0"/>
        <w:jc w:val="both"/>
      </w:pPr>
      <w:r>
        <w:rPr/>
        <w:t>授予部分回购人数</w:t>
      </w:r>
      <w:r>
        <w:rPr>
          <w:spacing w:val="-59"/>
        </w:rPr>
        <w:t> </w:t>
      </w:r>
      <w:r>
        <w:rPr>
          <w:rFonts w:ascii="宋体" w:hAnsi="宋体" w:cs="宋体" w:eastAsia="宋体" w:hint="default"/>
        </w:rPr>
        <w:t>2</w:t>
      </w:r>
      <w:r>
        <w:rPr>
          <w:rFonts w:ascii="宋体" w:hAnsi="宋体" w:cs="宋体" w:eastAsia="宋体" w:hint="default"/>
          <w:spacing w:val="-59"/>
        </w:rPr>
        <w:t> </w:t>
      </w:r>
      <w:r>
        <w:rPr>
          <w:spacing w:val="-4"/>
        </w:rPr>
        <w:t>人，回购股份共计</w:t>
      </w:r>
      <w:r>
        <w:rPr>
          <w:spacing w:val="-59"/>
        </w:rPr>
        <w:t> </w:t>
      </w:r>
      <w:r>
        <w:rPr>
          <w:rFonts w:ascii="宋体" w:hAnsi="宋体" w:cs="宋体" w:eastAsia="宋体" w:hint="default"/>
        </w:rPr>
        <w:t>448,063</w:t>
      </w:r>
      <w:r>
        <w:rPr>
          <w:rFonts w:ascii="宋体" w:hAnsi="宋体" w:cs="宋体" w:eastAsia="宋体" w:hint="default"/>
          <w:spacing w:val="-59"/>
        </w:rPr>
        <w:t> </w:t>
      </w:r>
      <w:r>
        <w:rPr>
          <w:spacing w:val="-4"/>
        </w:rPr>
        <w:t>股，回购价格为</w:t>
      </w:r>
      <w:r>
        <w:rPr>
          <w:spacing w:val="-59"/>
        </w:rPr>
        <w:t> </w:t>
      </w:r>
      <w:r>
        <w:rPr>
          <w:rFonts w:ascii="宋体" w:hAnsi="宋体" w:cs="宋体" w:eastAsia="宋体" w:hint="default"/>
        </w:rPr>
        <w:t>10.25</w:t>
      </w:r>
      <w:r>
        <w:rPr>
          <w:rFonts w:ascii="宋体" w:hAnsi="宋体" w:cs="宋体" w:eastAsia="宋体" w:hint="default"/>
          <w:spacing w:val="-59"/>
        </w:rPr>
        <w:t> </w:t>
      </w:r>
      <w:r>
        <w:rPr>
          <w:spacing w:val="-3"/>
        </w:rPr>
        <w:t>元</w:t>
      </w:r>
      <w:r>
        <w:rPr>
          <w:rFonts w:ascii="宋体" w:hAnsi="宋体" w:cs="宋体" w:eastAsia="宋体" w:hint="default"/>
          <w:spacing w:val="-3"/>
        </w:rPr>
        <w:t>/</w:t>
      </w:r>
      <w:r>
        <w:rPr>
          <w:spacing w:val="-3"/>
        </w:rPr>
        <w:t>股。公司独立董事</w:t>
      </w:r>
    </w:p>
    <w:p>
      <w:pPr>
        <w:spacing w:after="0" w:line="240"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092"/>
        <w:jc w:val="left"/>
      </w:pPr>
      <w:r>
        <w:rPr/>
        <w:t>对相关事项发表了独立意见，律师出具了相应法律意见。本次限制性股票的回购注销手续包</w:t>
      </w:r>
      <w:r>
        <w:rPr>
          <w:spacing w:val="-116"/>
        </w:rPr>
        <w:t> </w:t>
      </w:r>
      <w:r>
        <w:rPr>
          <w:spacing w:val="-116"/>
        </w:rPr>
      </w:r>
      <w:r>
        <w:rPr/>
        <w:t>含上述</w:t>
      </w:r>
      <w:r>
        <w:rPr>
          <w:spacing w:val="-60"/>
        </w:rPr>
        <w:t> </w:t>
      </w:r>
      <w:r>
        <w:rPr>
          <w:rFonts w:ascii="宋体" w:hAnsi="宋体" w:cs="宋体" w:eastAsia="宋体" w:hint="default"/>
        </w:rPr>
        <w:t>6</w:t>
      </w:r>
      <w:r>
        <w:rPr>
          <w:rFonts w:ascii="宋体" w:hAnsi="宋体" w:cs="宋体" w:eastAsia="宋体" w:hint="default"/>
          <w:spacing w:val="-60"/>
        </w:rPr>
        <w:t> </w:t>
      </w:r>
      <w:r>
        <w:rPr/>
        <w:t>名激励对象限制性股票的回购注销。</w:t>
      </w:r>
    </w:p>
    <w:p>
      <w:pPr>
        <w:pStyle w:val="BodyText"/>
        <w:spacing w:line="357" w:lineRule="auto" w:before="134"/>
        <w:ind w:right="1130" w:firstLine="480"/>
        <w:jc w:val="both"/>
      </w:pPr>
      <w:r>
        <w:rPr>
          <w:rFonts w:ascii="宋体" w:hAnsi="宋体" w:cs="宋体" w:eastAsia="宋体" w:hint="default"/>
        </w:rPr>
        <w:t>14</w:t>
      </w:r>
      <w:r>
        <w:rPr/>
        <w:t>、</w:t>
      </w:r>
      <w:r>
        <w:rPr>
          <w:rFonts w:ascii="宋体" w:hAnsi="宋体" w:cs="宋体" w:eastAsia="宋体" w:hint="default"/>
        </w:rPr>
        <w:t>2018</w:t>
      </w:r>
      <w:r>
        <w:rPr>
          <w:rFonts w:ascii="宋体" w:hAnsi="宋体" w:cs="宋体" w:eastAsia="宋体" w:hint="default"/>
          <w:spacing w:val="-65"/>
        </w:rPr>
        <w:t> </w:t>
      </w:r>
      <w:r>
        <w:rPr/>
        <w:t>年</w:t>
      </w:r>
      <w:r>
        <w:rPr>
          <w:spacing w:val="-65"/>
        </w:rPr>
        <w:t> </w:t>
      </w:r>
      <w:r>
        <w:rPr>
          <w:rFonts w:ascii="宋体" w:hAnsi="宋体" w:cs="宋体" w:eastAsia="宋体" w:hint="default"/>
        </w:rPr>
        <w:t>5</w:t>
      </w:r>
      <w:r>
        <w:rPr>
          <w:rFonts w:ascii="宋体" w:hAnsi="宋体" w:cs="宋体" w:eastAsia="宋体" w:hint="default"/>
          <w:spacing w:val="-65"/>
        </w:rPr>
        <w:t> </w:t>
      </w:r>
      <w:r>
        <w:rPr/>
        <w:t>月</w:t>
      </w:r>
      <w:r>
        <w:rPr>
          <w:spacing w:val="-65"/>
        </w:rPr>
        <w:t> </w:t>
      </w:r>
      <w:r>
        <w:rPr>
          <w:rFonts w:ascii="宋体" w:hAnsi="宋体" w:cs="宋体" w:eastAsia="宋体" w:hint="default"/>
        </w:rPr>
        <w:t>2</w:t>
      </w:r>
      <w:r>
        <w:rPr>
          <w:rFonts w:ascii="宋体" w:hAnsi="宋体" w:cs="宋体" w:eastAsia="宋体" w:hint="default"/>
          <w:spacing w:val="-65"/>
        </w:rPr>
        <w:t> </w:t>
      </w:r>
      <w:r>
        <w:rPr/>
        <w:t>日，公司分别召开第三届董事会第十五次会议和第三届监事会第十三 </w:t>
      </w:r>
      <w:r>
        <w:rPr>
          <w:spacing w:val="3"/>
        </w:rPr>
        <w:t>次会议审议通过了《关于第三期股票期权与限制性股票激励计划首次授予部分第二个行权</w:t>
      </w:r>
      <w:r>
        <w:rPr>
          <w:rFonts w:ascii="宋体" w:hAnsi="宋体" w:cs="宋体" w:eastAsia="宋体" w:hint="default"/>
          <w:spacing w:val="3"/>
        </w:rPr>
        <w:t>/</w:t>
      </w:r>
      <w:r>
        <w:rPr>
          <w:rFonts w:ascii="宋体" w:hAnsi="宋体" w:cs="宋体" w:eastAsia="宋体" w:hint="default"/>
          <w:spacing w:val="-100"/>
        </w:rPr>
        <w:t> </w:t>
      </w:r>
      <w:r>
        <w:rPr>
          <w:spacing w:val="-7"/>
        </w:rPr>
        <w:t>解锁期可行权</w:t>
      </w:r>
      <w:r>
        <w:rPr>
          <w:rFonts w:ascii="宋体" w:hAnsi="宋体" w:cs="宋体" w:eastAsia="宋体" w:hint="default"/>
          <w:spacing w:val="-7"/>
        </w:rPr>
        <w:t>/</w:t>
      </w:r>
      <w:r>
        <w:rPr>
          <w:spacing w:val="-7"/>
        </w:rPr>
        <w:t>解锁的议案》，认为公司</w:t>
      </w:r>
      <w:r>
        <w:rPr/>
        <w:t> </w:t>
      </w:r>
      <w:r>
        <w:rPr>
          <w:rFonts w:ascii="宋体" w:hAnsi="宋体" w:cs="宋体" w:eastAsia="宋体" w:hint="default"/>
        </w:rPr>
        <w:t>46 </w:t>
      </w:r>
      <w:r>
        <w:rPr/>
        <w:t>名激励对象的行权资格，</w:t>
      </w:r>
      <w:r>
        <w:rPr>
          <w:rFonts w:ascii="宋体" w:hAnsi="宋体" w:cs="宋体" w:eastAsia="宋体" w:hint="default"/>
        </w:rPr>
        <w:t>24</w:t>
      </w:r>
      <w:r>
        <w:rPr>
          <w:rFonts w:ascii="宋体" w:hAnsi="宋体" w:cs="宋体" w:eastAsia="宋体" w:hint="default"/>
          <w:spacing w:val="-79"/>
        </w:rPr>
        <w:t> </w:t>
      </w:r>
      <w:r>
        <w:rPr/>
        <w:t>名激励对象解锁资格 </w:t>
      </w:r>
      <w:r>
        <w:rPr>
          <w:spacing w:val="-2"/>
        </w:rPr>
        <w:t>合法、有效，满足公司第三期股票期权与限制性股票激励计划首次授予部分第二个行权</w:t>
      </w:r>
      <w:r>
        <w:rPr>
          <w:rFonts w:ascii="宋体" w:hAnsi="宋体" w:cs="宋体" w:eastAsia="宋体" w:hint="default"/>
          <w:spacing w:val="-2"/>
        </w:rPr>
        <w:t>/</w:t>
      </w:r>
      <w:r>
        <w:rPr>
          <w:spacing w:val="-2"/>
        </w:rPr>
        <w:t>解锁</w:t>
      </w:r>
      <w:r>
        <w:rPr/>
        <w:t> 期的行权</w:t>
      </w:r>
      <w:r>
        <w:rPr>
          <w:rFonts w:ascii="宋体" w:hAnsi="宋体" w:cs="宋体" w:eastAsia="宋体" w:hint="default"/>
        </w:rPr>
        <w:t>/</w:t>
      </w:r>
      <w:r>
        <w:rPr/>
        <w:t>解锁条件，同意激励对象在第二个行权</w:t>
      </w:r>
      <w:r>
        <w:rPr>
          <w:rFonts w:ascii="宋体" w:hAnsi="宋体" w:cs="宋体" w:eastAsia="宋体" w:hint="default"/>
        </w:rPr>
        <w:t>/</w:t>
      </w:r>
      <w:r>
        <w:rPr/>
        <w:t>解锁期行权</w:t>
      </w:r>
      <w:r>
        <w:rPr>
          <w:rFonts w:ascii="宋体" w:hAnsi="宋体" w:cs="宋体" w:eastAsia="宋体" w:hint="default"/>
        </w:rPr>
        <w:t>/</w:t>
      </w:r>
      <w:r>
        <w:rPr/>
        <w:t>解锁。</w:t>
      </w:r>
    </w:p>
    <w:p>
      <w:pPr>
        <w:pStyle w:val="BodyText"/>
        <w:spacing w:line="240" w:lineRule="auto" w:before="136"/>
        <w:ind w:left="634" w:right="1092"/>
        <w:jc w:val="left"/>
      </w:pPr>
      <w:r>
        <w:rPr>
          <w:rFonts w:ascii="宋体" w:hAnsi="宋体" w:cs="宋体" w:eastAsia="宋体" w:hint="default"/>
        </w:rPr>
        <w:t>15</w:t>
      </w:r>
      <w:r>
        <w:rPr/>
        <w:t>、</w:t>
      </w:r>
      <w:r>
        <w:rPr>
          <w:rFonts w:ascii="宋体" w:hAnsi="宋体" w:cs="宋体" w:eastAsia="宋体" w:hint="default"/>
        </w:rPr>
        <w:t>2018</w:t>
      </w:r>
      <w:r>
        <w:rPr>
          <w:rFonts w:ascii="宋体" w:hAnsi="宋体" w:cs="宋体" w:eastAsia="宋体" w:hint="default"/>
          <w:spacing w:val="-63"/>
        </w:rPr>
        <w:t> </w:t>
      </w:r>
      <w:r>
        <w:rPr/>
        <w:t>年</w:t>
      </w:r>
      <w:r>
        <w:rPr>
          <w:spacing w:val="-63"/>
        </w:rPr>
        <w:t> </w:t>
      </w:r>
      <w:r>
        <w:rPr>
          <w:rFonts w:ascii="宋体" w:hAnsi="宋体" w:cs="宋体" w:eastAsia="宋体" w:hint="default"/>
        </w:rPr>
        <w:t>6</w:t>
      </w:r>
      <w:r>
        <w:rPr>
          <w:rFonts w:ascii="宋体" w:hAnsi="宋体" w:cs="宋体" w:eastAsia="宋体" w:hint="default"/>
          <w:spacing w:val="-63"/>
        </w:rPr>
        <w:t> </w:t>
      </w:r>
      <w:r>
        <w:rPr/>
        <w:t>月</w:t>
      </w:r>
      <w:r>
        <w:rPr>
          <w:spacing w:val="-63"/>
        </w:rPr>
        <w:t> </w:t>
      </w:r>
      <w:r>
        <w:rPr>
          <w:rFonts w:ascii="宋体" w:hAnsi="宋体" w:cs="宋体" w:eastAsia="宋体" w:hint="default"/>
        </w:rPr>
        <w:t>22</w:t>
      </w:r>
      <w:r>
        <w:rPr>
          <w:rFonts w:ascii="宋体" w:hAnsi="宋体" w:cs="宋体" w:eastAsia="宋体" w:hint="default"/>
          <w:spacing w:val="-63"/>
        </w:rPr>
        <w:t> </w:t>
      </w:r>
      <w:r>
        <w:rPr/>
        <w:t>日，公司实施了</w:t>
      </w:r>
      <w:r>
        <w:rPr>
          <w:spacing w:val="-63"/>
        </w:rPr>
        <w:t> </w:t>
      </w:r>
      <w:r>
        <w:rPr>
          <w:rFonts w:ascii="宋体" w:hAnsi="宋体" w:cs="宋体" w:eastAsia="宋体" w:hint="default"/>
        </w:rPr>
        <w:t>2017</w:t>
      </w:r>
      <w:r>
        <w:rPr>
          <w:rFonts w:ascii="宋体" w:hAnsi="宋体" w:cs="宋体" w:eastAsia="宋体" w:hint="default"/>
          <w:spacing w:val="-63"/>
        </w:rPr>
        <w:t> </w:t>
      </w:r>
      <w:r>
        <w:rPr/>
        <w:t>年年度权益分派：以公司股本</w:t>
      </w:r>
      <w:r>
        <w:rPr>
          <w:spacing w:val="-63"/>
        </w:rPr>
        <w:t> </w:t>
      </w:r>
      <w:r>
        <w:rPr>
          <w:rFonts w:ascii="宋体" w:hAnsi="宋体" w:cs="宋体" w:eastAsia="宋体" w:hint="default"/>
        </w:rPr>
        <w:t>775,674,085</w:t>
      </w:r>
      <w:r>
        <w:rPr>
          <w:rFonts w:ascii="宋体" w:hAnsi="宋体" w:cs="宋体" w:eastAsia="宋体" w:hint="default"/>
          <w:spacing w:val="-63"/>
        </w:rPr>
        <w:t> </w:t>
      </w:r>
      <w:r>
        <w:rPr/>
        <w:t>股</w:t>
      </w:r>
    </w:p>
    <w:p>
      <w:pPr>
        <w:pStyle w:val="BodyText"/>
        <w:spacing w:line="240" w:lineRule="auto" w:before="155"/>
        <w:ind w:right="0"/>
        <w:jc w:val="both"/>
      </w:pPr>
      <w:r>
        <w:rPr/>
        <w:t>为基数，向全体股东每</w:t>
      </w:r>
      <w:r>
        <w:rPr>
          <w:spacing w:val="-60"/>
        </w:rPr>
        <w:t> </w:t>
      </w:r>
      <w:r>
        <w:rPr>
          <w:rFonts w:ascii="宋体" w:hAnsi="宋体" w:cs="宋体" w:eastAsia="宋体" w:hint="default"/>
        </w:rPr>
        <w:t>10</w:t>
      </w:r>
      <w:r>
        <w:rPr>
          <w:rFonts w:ascii="宋体" w:hAnsi="宋体" w:cs="宋体" w:eastAsia="宋体" w:hint="default"/>
          <w:spacing w:val="-60"/>
        </w:rPr>
        <w:t> </w:t>
      </w:r>
      <w:r>
        <w:rPr/>
        <w:t>股派</w:t>
      </w:r>
      <w:r>
        <w:rPr>
          <w:spacing w:val="-60"/>
        </w:rPr>
        <w:t> </w:t>
      </w:r>
      <w:r>
        <w:rPr>
          <w:rFonts w:ascii="宋体" w:hAnsi="宋体" w:cs="宋体" w:eastAsia="宋体" w:hint="default"/>
        </w:rPr>
        <w:t>0.140</w:t>
      </w:r>
      <w:r>
        <w:rPr>
          <w:rFonts w:ascii="宋体" w:hAnsi="宋体" w:cs="宋体" w:eastAsia="宋体" w:hint="default"/>
          <w:spacing w:val="-60"/>
        </w:rPr>
        <w:t> </w:t>
      </w:r>
      <w:r>
        <w:rPr/>
        <w:t>元人民币现金（含税</w:t>
      </w:r>
      <w:r>
        <w:rPr>
          <w:spacing w:val="-120"/>
        </w:rPr>
        <w:t>）</w:t>
      </w:r>
      <w:r>
        <w:rPr/>
        <w:t>。</w:t>
      </w:r>
    </w:p>
    <w:p>
      <w:pPr>
        <w:spacing w:line="240" w:lineRule="auto" w:before="4"/>
        <w:rPr>
          <w:rFonts w:ascii="宋体" w:hAnsi="宋体" w:cs="宋体" w:eastAsia="宋体" w:hint="default"/>
          <w:sz w:val="19"/>
          <w:szCs w:val="19"/>
        </w:rPr>
      </w:pPr>
    </w:p>
    <w:p>
      <w:pPr>
        <w:pStyle w:val="BodyText"/>
        <w:spacing w:line="357" w:lineRule="auto"/>
        <w:ind w:right="1130" w:firstLine="480"/>
        <w:jc w:val="both"/>
      </w:pPr>
      <w:r>
        <w:rPr>
          <w:rFonts w:ascii="宋体" w:hAnsi="宋体" w:cs="宋体" w:eastAsia="宋体" w:hint="default"/>
        </w:rPr>
        <w:t>16</w:t>
      </w:r>
      <w:r>
        <w:rPr/>
        <w:t>、</w:t>
      </w:r>
      <w:r>
        <w:rPr>
          <w:rFonts w:ascii="宋体" w:hAnsi="宋体" w:cs="宋体" w:eastAsia="宋体" w:hint="default"/>
        </w:rPr>
        <w:t>2018</w:t>
      </w:r>
      <w:r>
        <w:rPr>
          <w:rFonts w:ascii="宋体" w:hAnsi="宋体" w:cs="宋体" w:eastAsia="宋体" w:hint="default"/>
          <w:spacing w:val="-65"/>
        </w:rPr>
        <w:t> </w:t>
      </w:r>
      <w:r>
        <w:rPr/>
        <w:t>年</w:t>
      </w:r>
      <w:r>
        <w:rPr>
          <w:spacing w:val="-65"/>
        </w:rPr>
        <w:t> </w:t>
      </w:r>
      <w:r>
        <w:rPr>
          <w:rFonts w:ascii="宋体" w:hAnsi="宋体" w:cs="宋体" w:eastAsia="宋体" w:hint="default"/>
        </w:rPr>
        <w:t>7</w:t>
      </w:r>
      <w:r>
        <w:rPr>
          <w:rFonts w:ascii="宋体" w:hAnsi="宋体" w:cs="宋体" w:eastAsia="宋体" w:hint="default"/>
          <w:spacing w:val="-65"/>
        </w:rPr>
        <w:t> </w:t>
      </w:r>
      <w:r>
        <w:rPr/>
        <w:t>月</w:t>
      </w:r>
      <w:r>
        <w:rPr>
          <w:spacing w:val="-65"/>
        </w:rPr>
        <w:t> </w:t>
      </w:r>
      <w:r>
        <w:rPr>
          <w:rFonts w:ascii="宋体" w:hAnsi="宋体" w:cs="宋体" w:eastAsia="宋体" w:hint="default"/>
        </w:rPr>
        <w:t>4</w:t>
      </w:r>
      <w:r>
        <w:rPr>
          <w:rFonts w:ascii="宋体" w:hAnsi="宋体" w:cs="宋体" w:eastAsia="宋体" w:hint="default"/>
          <w:spacing w:val="-65"/>
        </w:rPr>
        <w:t> </w:t>
      </w:r>
      <w:r>
        <w:rPr/>
        <w:t>日，公司召开了第三届董事会第十七次会议和第三届监事会第十四次 会议，审议通过了《关于终止第三期股票期权与限制性股票激励计划暨回购注销已授予未解 </w:t>
      </w:r>
      <w:r>
        <w:rPr>
          <w:spacing w:val="-5"/>
        </w:rPr>
        <w:t>锁的全部限制性股票的议案》，同意终止实施公司第三期股票期权与限制性股票激励计划，决</w:t>
      </w:r>
      <w:r>
        <w:rPr>
          <w:spacing w:val="-117"/>
        </w:rPr>
        <w:t> </w:t>
      </w:r>
      <w:r>
        <w:rPr>
          <w:spacing w:val="-117"/>
        </w:rPr>
      </w:r>
      <w:r>
        <w:rPr/>
        <w:t>定注销尚未行权的股票期权</w:t>
      </w:r>
      <w:r>
        <w:rPr>
          <w:spacing w:val="-50"/>
        </w:rPr>
        <w:t> </w:t>
      </w:r>
      <w:r>
        <w:rPr>
          <w:rFonts w:ascii="宋体" w:hAnsi="宋体" w:cs="宋体" w:eastAsia="宋体" w:hint="default"/>
        </w:rPr>
        <w:t>160,766</w:t>
      </w:r>
      <w:r>
        <w:rPr>
          <w:rFonts w:ascii="宋体" w:hAnsi="宋体" w:cs="宋体" w:eastAsia="宋体" w:hint="default"/>
          <w:spacing w:val="-50"/>
        </w:rPr>
        <w:t> </w:t>
      </w:r>
      <w:r>
        <w:rPr/>
        <w:t>份，回购并注销尚未解锁的限制性股票</w:t>
      </w:r>
      <w:r>
        <w:rPr>
          <w:spacing w:val="-50"/>
        </w:rPr>
        <w:t> </w:t>
      </w:r>
      <w:r>
        <w:rPr>
          <w:rFonts w:ascii="宋体" w:hAnsi="宋体" w:cs="宋体" w:eastAsia="宋体" w:hint="default"/>
        </w:rPr>
        <w:t>1,971,244</w:t>
      </w:r>
      <w:r>
        <w:rPr>
          <w:rFonts w:ascii="宋体" w:hAnsi="宋体" w:cs="宋体" w:eastAsia="宋体" w:hint="default"/>
          <w:spacing w:val="-51"/>
        </w:rPr>
        <w:t> </w:t>
      </w:r>
      <w:r>
        <w:rPr/>
        <w:t>股，</w:t>
      </w:r>
    </w:p>
    <w:p>
      <w:pPr>
        <w:pStyle w:val="BodyText"/>
        <w:spacing w:line="240" w:lineRule="auto" w:before="36"/>
        <w:ind w:right="0"/>
        <w:jc w:val="both"/>
      </w:pPr>
      <w:r>
        <w:rPr/>
        <w:t>其中首次授予部分回购人数</w:t>
      </w:r>
      <w:r>
        <w:rPr>
          <w:spacing w:val="-60"/>
        </w:rPr>
        <w:t> </w:t>
      </w:r>
      <w:r>
        <w:rPr>
          <w:rFonts w:ascii="宋体" w:hAnsi="宋体" w:cs="宋体" w:eastAsia="宋体" w:hint="default"/>
        </w:rPr>
        <w:t>24</w:t>
      </w:r>
      <w:r>
        <w:rPr>
          <w:rFonts w:ascii="宋体" w:hAnsi="宋体" w:cs="宋体" w:eastAsia="宋体" w:hint="default"/>
          <w:spacing w:val="-60"/>
        </w:rPr>
        <w:t> </w:t>
      </w:r>
      <w:r>
        <w:rPr/>
        <w:t>人</w:t>
      </w:r>
      <w:r>
        <w:rPr>
          <w:spacing w:val="-101"/>
        </w:rPr>
        <w:t>，</w:t>
      </w:r>
      <w:r>
        <w:rPr/>
        <w:t>回购股份共计</w:t>
      </w:r>
      <w:r>
        <w:rPr>
          <w:spacing w:val="-60"/>
        </w:rPr>
        <w:t> </w:t>
      </w:r>
      <w:r>
        <w:rPr>
          <w:rFonts w:ascii="宋体" w:hAnsi="宋体" w:cs="宋体" w:eastAsia="宋体" w:hint="default"/>
        </w:rPr>
        <w:t>1,793,528</w:t>
      </w:r>
      <w:r>
        <w:rPr>
          <w:rFonts w:ascii="宋体" w:hAnsi="宋体" w:cs="宋体" w:eastAsia="宋体" w:hint="default"/>
          <w:spacing w:val="-60"/>
        </w:rPr>
        <w:t> </w:t>
      </w:r>
      <w:r>
        <w:rPr/>
        <w:t>股</w:t>
      </w:r>
      <w:r>
        <w:rPr>
          <w:spacing w:val="-101"/>
        </w:rPr>
        <w:t>，</w:t>
      </w:r>
      <w:r>
        <w:rPr/>
        <w:t>预留授予部分回购人数</w:t>
      </w:r>
      <w:r>
        <w:rPr>
          <w:spacing w:val="-60"/>
        </w:rPr>
        <w:t> </w:t>
      </w:r>
      <w:r>
        <w:rPr>
          <w:rFonts w:ascii="宋体" w:hAnsi="宋体" w:cs="宋体" w:eastAsia="宋体" w:hint="default"/>
        </w:rPr>
        <w:t>2</w:t>
      </w:r>
      <w:r>
        <w:rPr>
          <w:rFonts w:ascii="宋体" w:hAnsi="宋体" w:cs="宋体" w:eastAsia="宋体" w:hint="default"/>
          <w:spacing w:val="-60"/>
        </w:rPr>
        <w:t> </w:t>
      </w:r>
      <w:r>
        <w:rPr/>
        <w:t>人，</w:t>
      </w:r>
    </w:p>
    <w:p>
      <w:pPr>
        <w:pStyle w:val="BodyText"/>
        <w:spacing w:line="240" w:lineRule="auto" w:before="154"/>
        <w:ind w:right="0"/>
        <w:jc w:val="both"/>
      </w:pPr>
      <w:r>
        <w:rPr/>
        <w:t>回购股份共计</w:t>
      </w:r>
      <w:r>
        <w:rPr>
          <w:spacing w:val="-54"/>
        </w:rPr>
        <w:t> </w:t>
      </w:r>
      <w:r>
        <w:rPr>
          <w:rFonts w:ascii="宋体" w:hAnsi="宋体" w:cs="宋体" w:eastAsia="宋体" w:hint="default"/>
        </w:rPr>
        <w:t>177,716</w:t>
      </w:r>
      <w:r>
        <w:rPr>
          <w:rFonts w:ascii="宋体" w:hAnsi="宋体" w:cs="宋体" w:eastAsia="宋体" w:hint="default"/>
          <w:spacing w:val="-54"/>
        </w:rPr>
        <w:t> </w:t>
      </w:r>
      <w:r>
        <w:rPr>
          <w:spacing w:val="-6"/>
        </w:rPr>
        <w:t>股；因公司实施了</w:t>
      </w:r>
      <w:r>
        <w:rPr>
          <w:spacing w:val="-54"/>
        </w:rPr>
        <w:t> </w:t>
      </w:r>
      <w:r>
        <w:rPr>
          <w:rFonts w:ascii="宋体" w:hAnsi="宋体" w:cs="宋体" w:eastAsia="宋体" w:hint="default"/>
        </w:rPr>
        <w:t>2017</w:t>
      </w:r>
      <w:r>
        <w:rPr>
          <w:rFonts w:ascii="宋体" w:hAnsi="宋体" w:cs="宋体" w:eastAsia="宋体" w:hint="default"/>
          <w:spacing w:val="-54"/>
        </w:rPr>
        <w:t> </w:t>
      </w:r>
      <w:r>
        <w:rPr>
          <w:spacing w:val="-3"/>
        </w:rPr>
        <w:t>年年度权益分派，首次授予的限制性股票价格</w:t>
      </w:r>
    </w:p>
    <w:p>
      <w:pPr>
        <w:pStyle w:val="BodyText"/>
        <w:spacing w:line="357" w:lineRule="auto" w:before="154"/>
        <w:ind w:right="1130"/>
        <w:jc w:val="both"/>
        <w:rPr>
          <w:rFonts w:ascii="宋体" w:hAnsi="宋体" w:cs="宋体" w:eastAsia="宋体" w:hint="default"/>
        </w:rPr>
      </w:pPr>
      <w:r>
        <w:rPr/>
        <w:t>调整为</w:t>
      </w:r>
      <w:r>
        <w:rPr>
          <w:spacing w:val="-57"/>
        </w:rPr>
        <w:t> </w:t>
      </w:r>
      <w:r>
        <w:rPr>
          <w:rFonts w:ascii="宋体" w:hAnsi="宋体" w:cs="宋体" w:eastAsia="宋体" w:hint="default"/>
        </w:rPr>
        <w:t>9.986</w:t>
      </w:r>
      <w:r>
        <w:rPr>
          <w:rFonts w:ascii="宋体" w:hAnsi="宋体" w:cs="宋体" w:eastAsia="宋体" w:hint="default"/>
          <w:spacing w:val="-57"/>
        </w:rPr>
        <w:t> </w:t>
      </w:r>
      <w:r>
        <w:rPr>
          <w:spacing w:val="-3"/>
        </w:rPr>
        <w:t>元</w:t>
      </w:r>
      <w:r>
        <w:rPr>
          <w:rFonts w:ascii="宋体" w:hAnsi="宋体" w:cs="宋体" w:eastAsia="宋体" w:hint="default"/>
          <w:spacing w:val="-3"/>
        </w:rPr>
        <w:t>/</w:t>
      </w:r>
      <w:r>
        <w:rPr>
          <w:spacing w:val="-3"/>
        </w:rPr>
        <w:t>股，预留限制性股票价格调整为</w:t>
      </w:r>
      <w:r>
        <w:rPr>
          <w:spacing w:val="-57"/>
        </w:rPr>
        <w:t> </w:t>
      </w:r>
      <w:r>
        <w:rPr>
          <w:rFonts w:ascii="宋体" w:hAnsi="宋体" w:cs="宋体" w:eastAsia="宋体" w:hint="default"/>
        </w:rPr>
        <w:t>10.236</w:t>
      </w:r>
      <w:r>
        <w:rPr>
          <w:rFonts w:ascii="宋体" w:hAnsi="宋体" w:cs="宋体" w:eastAsia="宋体" w:hint="default"/>
          <w:spacing w:val="-57"/>
        </w:rPr>
        <w:t> </w:t>
      </w:r>
      <w:r>
        <w:rPr>
          <w:spacing w:val="-3"/>
        </w:rPr>
        <w:t>元</w:t>
      </w:r>
      <w:r>
        <w:rPr>
          <w:rFonts w:ascii="宋体" w:hAnsi="宋体" w:cs="宋体" w:eastAsia="宋体" w:hint="default"/>
          <w:spacing w:val="-3"/>
        </w:rPr>
        <w:t>/</w:t>
      </w:r>
      <w:r>
        <w:rPr>
          <w:spacing w:val="-3"/>
        </w:rPr>
        <w:t>股。公司第三期股票期权与限制</w:t>
      </w:r>
      <w:r>
        <w:rPr/>
        <w:t> 性股票激励计划配套的《公司第三期股权激励计划实施考核管理办法》等文件一并终止，公 司独立董事对相关事项发表了独立意见，律师出具了相应法律意见。上述议案已经公司</w:t>
      </w:r>
      <w:r>
        <w:rPr>
          <w:spacing w:val="-81"/>
        </w:rPr>
        <w:t> </w:t>
      </w:r>
      <w:r>
        <w:rPr>
          <w:rFonts w:ascii="宋体" w:hAnsi="宋体" w:cs="宋体" w:eastAsia="宋体" w:hint="default"/>
        </w:rPr>
        <w:t>2018</w:t>
      </w:r>
    </w:p>
    <w:p>
      <w:pPr>
        <w:pStyle w:val="BodyText"/>
        <w:spacing w:line="357" w:lineRule="auto" w:before="36"/>
        <w:ind w:right="1116"/>
        <w:jc w:val="left"/>
      </w:pPr>
      <w:r>
        <w:rPr/>
        <w:t>年第二次临时股东大会审议通过。</w:t>
      </w:r>
      <w:r>
        <w:rPr>
          <w:rFonts w:ascii="宋体" w:hAnsi="宋体" w:cs="宋体" w:eastAsia="宋体" w:hint="default"/>
        </w:rPr>
        <w:t>2018</w:t>
      </w:r>
      <w:r>
        <w:rPr>
          <w:rFonts w:ascii="宋体" w:hAnsi="宋体" w:cs="宋体" w:eastAsia="宋体" w:hint="default"/>
          <w:spacing w:val="-41"/>
        </w:rPr>
        <w:t> </w:t>
      </w:r>
      <w:r>
        <w:rPr/>
        <w:t>年</w:t>
      </w:r>
      <w:r>
        <w:rPr>
          <w:spacing w:val="-41"/>
        </w:rPr>
        <w:t> </w:t>
      </w:r>
      <w:r>
        <w:rPr>
          <w:rFonts w:ascii="宋体" w:hAnsi="宋体" w:cs="宋体" w:eastAsia="宋体" w:hint="default"/>
        </w:rPr>
        <w:t>9</w:t>
      </w:r>
      <w:r>
        <w:rPr>
          <w:rFonts w:ascii="宋体" w:hAnsi="宋体" w:cs="宋体" w:eastAsia="宋体" w:hint="default"/>
          <w:spacing w:val="-40"/>
        </w:rPr>
        <w:t> </w:t>
      </w:r>
      <w:r>
        <w:rPr/>
        <w:t>月</w:t>
      </w:r>
      <w:r>
        <w:rPr>
          <w:spacing w:val="-41"/>
        </w:rPr>
        <w:t> </w:t>
      </w:r>
      <w:r>
        <w:rPr>
          <w:rFonts w:ascii="宋体" w:hAnsi="宋体" w:cs="宋体" w:eastAsia="宋体" w:hint="default"/>
        </w:rPr>
        <w:t>25</w:t>
      </w:r>
      <w:r>
        <w:rPr>
          <w:rFonts w:ascii="宋体" w:hAnsi="宋体" w:cs="宋体" w:eastAsia="宋体" w:hint="default"/>
          <w:spacing w:val="-41"/>
        </w:rPr>
        <w:t> </w:t>
      </w:r>
      <w:r>
        <w:rPr/>
        <w:t>日，公司完成上述限制性股票的回购注销 手续。</w:t>
      </w:r>
    </w:p>
    <w:p>
      <w:pPr>
        <w:spacing w:line="240" w:lineRule="auto" w:before="9"/>
        <w:rPr>
          <w:rFonts w:ascii="宋体" w:hAnsi="宋体" w:cs="宋体" w:eastAsia="宋体" w:hint="default"/>
          <w:sz w:val="19"/>
          <w:szCs w:val="19"/>
        </w:rPr>
      </w:pPr>
    </w:p>
    <w:p>
      <w:pPr>
        <w:pStyle w:val="Heading2"/>
        <w:spacing w:line="240" w:lineRule="auto" w:before="0"/>
        <w:ind w:right="0"/>
        <w:jc w:val="both"/>
        <w:rPr>
          <w:b w:val="0"/>
          <w:bCs w:val="0"/>
        </w:rPr>
      </w:pPr>
      <w:bookmarkStart w:name="十五、重大关联交易" w:id="78"/>
      <w:bookmarkEnd w:id="78"/>
      <w:r>
        <w:rPr>
          <w:b w:val="0"/>
          <w:bCs w:val="0"/>
        </w:rPr>
      </w:r>
      <w:r>
        <w:rPr/>
        <w:t>十五、重大关联交易</w:t>
      </w:r>
      <w:r>
        <w:rPr>
          <w:b w:val="0"/>
          <w:bCs w:val="0"/>
        </w:rPr>
      </w:r>
    </w:p>
    <w:p>
      <w:pPr>
        <w:spacing w:line="240" w:lineRule="auto" w:before="9"/>
        <w:rPr>
          <w:rFonts w:ascii="宋体" w:hAnsi="宋体" w:cs="宋体" w:eastAsia="宋体" w:hint="default"/>
          <w:b/>
          <w:bCs/>
          <w:sz w:val="24"/>
          <w:szCs w:val="24"/>
        </w:rPr>
      </w:pPr>
    </w:p>
    <w:p>
      <w:pPr>
        <w:spacing w:before="0"/>
        <w:ind w:left="154" w:right="0" w:firstLine="0"/>
        <w:jc w:val="both"/>
        <w:rPr>
          <w:rFonts w:ascii="宋体" w:hAnsi="宋体" w:cs="宋体" w:eastAsia="宋体" w:hint="default"/>
          <w:sz w:val="21"/>
          <w:szCs w:val="21"/>
        </w:rPr>
      </w:pPr>
      <w:bookmarkStart w:name="1、与日常经营相关的关联交易" w:id="79"/>
      <w:bookmarkEnd w:id="79"/>
      <w:r>
        <w:rPr/>
      </w:r>
      <w:r>
        <w:rPr>
          <w:rFonts w:ascii="宋体" w:hAnsi="宋体" w:cs="宋体" w:eastAsia="宋体" w:hint="default"/>
          <w:b/>
          <w:bCs/>
          <w:sz w:val="21"/>
          <w:szCs w:val="21"/>
        </w:rPr>
        <w:t>1</w:t>
      </w:r>
      <w:r>
        <w:rPr>
          <w:rFonts w:ascii="宋体" w:hAnsi="宋体" w:cs="宋体" w:eastAsia="宋体" w:hint="default"/>
          <w:b/>
          <w:bCs/>
          <w:sz w:val="21"/>
          <w:szCs w:val="21"/>
        </w:rPr>
        <w:t>、与日常经营相关的关联交易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5232"/>
        <w:jc w:val="left"/>
      </w:pPr>
      <w:r>
        <w:rPr/>
        <w:t>□ 适用 √ 不适用 公司报告期未发生与日常经营相关的关联交易。</w:t>
      </w:r>
    </w:p>
    <w:p>
      <w:pPr>
        <w:spacing w:before="205"/>
        <w:ind w:left="154" w:right="0" w:firstLine="0"/>
        <w:jc w:val="both"/>
        <w:rPr>
          <w:rFonts w:ascii="宋体" w:hAnsi="宋体" w:cs="宋体" w:eastAsia="宋体" w:hint="default"/>
          <w:sz w:val="21"/>
          <w:szCs w:val="21"/>
        </w:rPr>
      </w:pPr>
      <w:bookmarkStart w:name="2、资产或股权收购、出售发生的关联交易" w:id="80"/>
      <w:bookmarkEnd w:id="80"/>
      <w:r>
        <w:rPr/>
      </w:r>
      <w:r>
        <w:rPr>
          <w:rFonts w:ascii="宋体" w:hAnsi="宋体" w:cs="宋体" w:eastAsia="宋体" w:hint="default"/>
          <w:b/>
          <w:bCs/>
          <w:sz w:val="21"/>
          <w:szCs w:val="21"/>
        </w:rPr>
        <w:t>2</w:t>
      </w:r>
      <w:r>
        <w:rPr>
          <w:rFonts w:ascii="宋体" w:hAnsi="宋体" w:cs="宋体" w:eastAsia="宋体" w:hint="default"/>
          <w:b/>
          <w:bCs/>
          <w:sz w:val="21"/>
          <w:szCs w:val="21"/>
        </w:rPr>
        <w:t>、资产或股权收购、出售发生的关联交易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left="634" w:right="1092"/>
        <w:jc w:val="left"/>
      </w:pPr>
      <w:r>
        <w:rPr/>
        <w:t>公司报告期未发生资产或股权收购、出售的关联交易。</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共同对外投资的关联交易" w:id="81"/>
      <w:bookmarkEnd w:id="81"/>
      <w:r>
        <w:rPr/>
      </w:r>
      <w:r>
        <w:rPr>
          <w:rFonts w:ascii="宋体" w:hAnsi="宋体" w:cs="宋体" w:eastAsia="宋体" w:hint="default"/>
          <w:b/>
          <w:bCs/>
          <w:sz w:val="21"/>
          <w:szCs w:val="21"/>
        </w:rPr>
        <w:t>3</w:t>
      </w:r>
      <w:r>
        <w:rPr>
          <w:rFonts w:ascii="宋体" w:hAnsi="宋体" w:cs="宋体" w:eastAsia="宋体" w:hint="default"/>
          <w:b/>
          <w:bCs/>
          <w:sz w:val="21"/>
          <w:szCs w:val="21"/>
        </w:rPr>
        <w:t>、共同对外投资的关联交易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3"/>
        <w:ind w:left="634" w:right="5472"/>
        <w:jc w:val="left"/>
      </w:pPr>
      <w:r>
        <w:rPr/>
        <w:t>□ 适用 √ 不适用 公司报告期未发生共同对外投资的关联交易。</w:t>
      </w:r>
    </w:p>
    <w:p>
      <w:pPr>
        <w:spacing w:before="204"/>
        <w:ind w:left="154" w:right="1092" w:firstLine="0"/>
        <w:jc w:val="left"/>
        <w:rPr>
          <w:rFonts w:ascii="宋体" w:hAnsi="宋体" w:cs="宋体" w:eastAsia="宋体" w:hint="default"/>
          <w:sz w:val="21"/>
          <w:szCs w:val="21"/>
        </w:rPr>
      </w:pPr>
      <w:bookmarkStart w:name="4、关联债权债务往来" w:id="82"/>
      <w:bookmarkEnd w:id="82"/>
      <w:r>
        <w:rPr/>
      </w:r>
      <w:r>
        <w:rPr>
          <w:rFonts w:ascii="宋体" w:hAnsi="宋体" w:cs="宋体" w:eastAsia="宋体" w:hint="default"/>
          <w:b/>
          <w:bCs/>
          <w:sz w:val="21"/>
          <w:szCs w:val="21"/>
        </w:rPr>
        <w:t>4</w:t>
      </w:r>
      <w:r>
        <w:rPr>
          <w:rFonts w:ascii="宋体" w:hAnsi="宋体" w:cs="宋体" w:eastAsia="宋体" w:hint="default"/>
          <w:b/>
          <w:bCs/>
          <w:sz w:val="21"/>
          <w:szCs w:val="21"/>
        </w:rPr>
        <w:t>、关联债权债务往来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6192"/>
        <w:jc w:val="left"/>
      </w:pPr>
      <w:r>
        <w:rPr/>
        <w:t>□ 适用 √ 不适用 公司报告期不存在关联债权债务往来。</w:t>
      </w:r>
    </w:p>
    <w:p>
      <w:pPr>
        <w:spacing w:before="203"/>
        <w:ind w:left="154" w:right="1092" w:firstLine="0"/>
        <w:jc w:val="left"/>
        <w:rPr>
          <w:rFonts w:ascii="宋体" w:hAnsi="宋体" w:cs="宋体" w:eastAsia="宋体" w:hint="default"/>
          <w:sz w:val="21"/>
          <w:szCs w:val="21"/>
        </w:rPr>
      </w:pPr>
      <w:bookmarkStart w:name="5、其他重大关联交易" w:id="83"/>
      <w:bookmarkEnd w:id="83"/>
      <w:r>
        <w:rPr/>
      </w:r>
      <w:r>
        <w:rPr>
          <w:rFonts w:ascii="宋体" w:hAnsi="宋体" w:cs="宋体" w:eastAsia="宋体" w:hint="default"/>
          <w:b/>
          <w:bCs/>
          <w:sz w:val="21"/>
          <w:szCs w:val="21"/>
        </w:rPr>
        <w:t>5</w:t>
      </w:r>
      <w:r>
        <w:rPr>
          <w:rFonts w:ascii="宋体" w:hAnsi="宋体" w:cs="宋体" w:eastAsia="宋体" w:hint="default"/>
          <w:b/>
          <w:bCs/>
          <w:sz w:val="21"/>
          <w:szCs w:val="21"/>
        </w:rPr>
        <w:t>、其他重大关联交易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3"/>
        <w:ind w:left="634" w:right="1632"/>
        <w:jc w:val="left"/>
      </w:pPr>
      <w:r>
        <w:rPr/>
        <w:t>√ 适用 □ 不适用 报告期内公司控股股东为公司申请银行授信提供担保暨关联交易，具体情况如下： 重大关联交易临时报告披露网站相关查询</w:t>
      </w:r>
    </w:p>
    <w:tbl>
      <w:tblPr>
        <w:tblW w:w="0" w:type="auto"/>
        <w:jc w:val="left"/>
        <w:tblInd w:w="149" w:type="dxa"/>
        <w:tblLayout w:type="fixed"/>
        <w:tblCellMar>
          <w:top w:w="0" w:type="dxa"/>
          <w:left w:w="0" w:type="dxa"/>
          <w:bottom w:w="0" w:type="dxa"/>
          <w:right w:w="0" w:type="dxa"/>
        </w:tblCellMar>
        <w:tblLook w:val="01E0"/>
      </w:tblPr>
      <w:tblGrid>
        <w:gridCol w:w="5388"/>
        <w:gridCol w:w="2127"/>
        <w:gridCol w:w="2054"/>
      </w:tblGrid>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临时公告披露日期</w:t>
            </w:r>
          </w:p>
        </w:tc>
        <w:tc>
          <w:tcPr>
            <w:tcW w:w="2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714" w:hRule="exact"/>
        </w:trPr>
        <w:tc>
          <w:tcPr>
            <w:tcW w:w="538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3"/>
                <w:sz w:val="18"/>
                <w:szCs w:val="18"/>
              </w:rPr>
              <w:t>关于公司股东及公司为全资子公司提供担保暨关联交易的公告（公告</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编号：</w:t>
            </w:r>
            <w:r>
              <w:rPr>
                <w:rFonts w:ascii="宋体" w:hAnsi="宋体" w:cs="宋体" w:eastAsia="宋体" w:hint="default"/>
                <w:sz w:val="18"/>
                <w:szCs w:val="18"/>
              </w:rPr>
              <w:t>2018-070</w:t>
            </w:r>
            <w:r>
              <w:rPr>
                <w:rFonts w:ascii="宋体" w:hAnsi="宋体" w:cs="宋体" w:eastAsia="宋体"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538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3"/>
                <w:sz w:val="18"/>
                <w:szCs w:val="18"/>
              </w:rPr>
              <w:t>关于控股股东为公司申请银行授信提供担保暨关联交易的公告（公告</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编号：</w:t>
            </w:r>
            <w:r>
              <w:rPr>
                <w:rFonts w:ascii="宋体" w:hAnsi="宋体" w:cs="宋体" w:eastAsia="宋体" w:hint="default"/>
                <w:sz w:val="18"/>
                <w:szCs w:val="18"/>
              </w:rPr>
              <w:t>2018-039</w:t>
            </w:r>
            <w:r>
              <w:rPr>
                <w:rFonts w:ascii="宋体" w:hAnsi="宋体" w:cs="宋体" w:eastAsia="宋体"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538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3"/>
                <w:sz w:val="18"/>
                <w:szCs w:val="18"/>
              </w:rPr>
              <w:t>关于控股股东为公司申请银行授信提供担保暨关联交易的公告（公告</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编号：</w:t>
            </w:r>
            <w:r>
              <w:rPr>
                <w:rFonts w:ascii="宋体" w:hAnsi="宋体" w:cs="宋体" w:eastAsia="宋体" w:hint="default"/>
                <w:sz w:val="18"/>
                <w:szCs w:val="18"/>
              </w:rPr>
              <w:t>2018-018</w:t>
            </w:r>
            <w:r>
              <w:rPr>
                <w:rFonts w:ascii="宋体" w:hAnsi="宋体" w:cs="宋体" w:eastAsia="宋体" w:hint="default"/>
                <w:sz w:val="18"/>
                <w:szCs w:val="18"/>
              </w:rPr>
              <w:t>）</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line="240" w:lineRule="auto" w:before="7"/>
        <w:rPr>
          <w:rFonts w:ascii="宋体" w:hAnsi="宋体" w:cs="宋体" w:eastAsia="宋体" w:hint="default"/>
          <w:sz w:val="19"/>
          <w:szCs w:val="19"/>
        </w:rPr>
      </w:pPr>
    </w:p>
    <w:p>
      <w:pPr>
        <w:pStyle w:val="Heading2"/>
        <w:spacing w:line="240" w:lineRule="auto"/>
        <w:ind w:right="1092"/>
        <w:jc w:val="left"/>
        <w:rPr>
          <w:b w:val="0"/>
          <w:bCs w:val="0"/>
        </w:rPr>
      </w:pPr>
      <w:bookmarkStart w:name="十六、重大合同及其履行情况" w:id="84"/>
      <w:bookmarkEnd w:id="84"/>
      <w:r>
        <w:rPr>
          <w:b w:val="0"/>
          <w:bCs w:val="0"/>
        </w:rPr>
      </w:r>
      <w:r>
        <w:rPr/>
        <w:t>十六、重大合同及其履行情况</w:t>
      </w:r>
      <w:r>
        <w:rPr>
          <w:b w:val="0"/>
          <w:bCs w:val="0"/>
        </w:rPr>
      </w:r>
    </w:p>
    <w:p>
      <w:pPr>
        <w:spacing w:line="240" w:lineRule="auto" w:before="8"/>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托管、承包、租赁事项情况" w:id="85"/>
      <w:bookmarkEnd w:id="85"/>
      <w:r>
        <w:rPr/>
      </w:r>
      <w:r>
        <w:rPr>
          <w:rFonts w:ascii="宋体" w:hAnsi="宋体" w:cs="宋体" w:eastAsia="宋体" w:hint="default"/>
          <w:b/>
          <w:bCs/>
          <w:sz w:val="21"/>
          <w:szCs w:val="21"/>
        </w:rPr>
        <w:t>1</w:t>
      </w:r>
      <w:r>
        <w:rPr>
          <w:rFonts w:ascii="宋体" w:hAnsi="宋体" w:cs="宋体" w:eastAsia="宋体" w:hint="default"/>
          <w:b/>
          <w:bCs/>
          <w:sz w:val="21"/>
          <w:szCs w:val="21"/>
        </w:rPr>
        <w:t>、托管、承包、租赁事项情况</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托管情况" w:id="86"/>
      <w:bookmarkEnd w:id="86"/>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）托管情况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7152"/>
        <w:jc w:val="left"/>
      </w:pPr>
      <w:r>
        <w:rPr/>
        <w:t>□ 适用 √ 不适用 公司报告期不存在托管情况。</w:t>
      </w:r>
    </w:p>
    <w:p>
      <w:pPr>
        <w:spacing w:after="0" w:line="434"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承包情况" w:id="87"/>
      <w:bookmarkEnd w:id="87"/>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）承包情况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3"/>
        <w:ind w:left="634" w:right="7152"/>
        <w:jc w:val="left"/>
      </w:pPr>
      <w:r>
        <w:rPr/>
        <w:t>□ 适用 √ 不适用 公司报告期不存在承包情况。</w:t>
      </w:r>
    </w:p>
    <w:p>
      <w:pPr>
        <w:spacing w:before="204"/>
        <w:ind w:left="154" w:right="1092" w:firstLine="0"/>
        <w:jc w:val="left"/>
        <w:rPr>
          <w:rFonts w:ascii="宋体" w:hAnsi="宋体" w:cs="宋体" w:eastAsia="宋体" w:hint="default"/>
          <w:sz w:val="21"/>
          <w:szCs w:val="21"/>
        </w:rPr>
      </w:pPr>
      <w:bookmarkStart w:name="（3）租赁情况" w:id="88"/>
      <w:bookmarkEnd w:id="88"/>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）租赁情况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7152"/>
        <w:jc w:val="left"/>
      </w:pPr>
      <w:r>
        <w:rPr/>
        <w:t>□ 适用 √ 不适用 公司报告期不存在租赁情况。</w:t>
      </w:r>
    </w:p>
    <w:p>
      <w:pPr>
        <w:spacing w:before="203"/>
        <w:ind w:left="154" w:right="1092" w:firstLine="0"/>
        <w:jc w:val="left"/>
        <w:rPr>
          <w:rFonts w:ascii="宋体" w:hAnsi="宋体" w:cs="宋体" w:eastAsia="宋体" w:hint="default"/>
          <w:sz w:val="21"/>
          <w:szCs w:val="21"/>
        </w:rPr>
      </w:pPr>
      <w:bookmarkStart w:name="2、重大担保" w:id="89"/>
      <w:bookmarkEnd w:id="89"/>
      <w:r>
        <w:rPr/>
      </w:r>
      <w:r>
        <w:rPr>
          <w:rFonts w:ascii="宋体" w:hAnsi="宋体" w:cs="宋体" w:eastAsia="宋体" w:hint="default"/>
          <w:b/>
          <w:bCs/>
          <w:sz w:val="21"/>
          <w:szCs w:val="21"/>
        </w:rPr>
        <w:t>2</w:t>
      </w:r>
      <w:r>
        <w:rPr>
          <w:rFonts w:ascii="宋体" w:hAnsi="宋体" w:cs="宋体" w:eastAsia="宋体" w:hint="default"/>
          <w:b/>
          <w:bCs/>
          <w:sz w:val="21"/>
          <w:szCs w:val="21"/>
        </w:rPr>
        <w:t>、重大担保</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担保情况" w:id="90"/>
      <w:bookmarkEnd w:id="90"/>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）担保情况</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17"/>
        <w:gridCol w:w="933"/>
        <w:gridCol w:w="1302"/>
        <w:gridCol w:w="1058"/>
        <w:gridCol w:w="1029"/>
        <w:gridCol w:w="1051"/>
        <w:gridCol w:w="796"/>
        <w:gridCol w:w="780"/>
      </w:tblGrid>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96" w:right="89"/>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5"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29"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52"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3"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2"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上海晨之科信息技术 有限公司</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07</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60" w:right="0"/>
              <w:jc w:val="left"/>
              <w:rPr>
                <w:rFonts w:ascii="宋体" w:hAnsi="宋体" w:cs="宋体" w:eastAsia="宋体" w:hint="default"/>
                <w:sz w:val="18"/>
                <w:szCs w:val="18"/>
              </w:rPr>
            </w:pPr>
            <w:r>
              <w:rPr>
                <w:rFonts w:ascii="宋体"/>
                <w:sz w:val="18"/>
              </w:rPr>
              <w:t>13,000</w:t>
            </w:r>
          </w:p>
        </w:tc>
        <w:tc>
          <w:tcPr>
            <w:tcW w:w="1302"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4"/>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26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71"/>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宋体" w:hAnsi="宋体" w:cs="宋体" w:eastAsia="宋体" w:hint="default"/>
                <w:sz w:val="18"/>
                <w:szCs w:val="18"/>
              </w:rPr>
              <w:t>B1</w:t>
            </w:r>
            <w:r>
              <w:rPr>
                <w:rFonts w:ascii="宋体" w:hAnsi="宋体" w:cs="宋体" w:eastAsia="宋体" w:hint="default"/>
                <w:sz w:val="18"/>
                <w:szCs w:val="18"/>
              </w:rPr>
              <w:t>）</w:t>
            </w:r>
          </w:p>
        </w:tc>
        <w:tc>
          <w:tcPr>
            <w:tcW w:w="2235"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8"/>
                <w:szCs w:val="18"/>
              </w:rPr>
            </w:pPr>
            <w:r>
              <w:rPr>
                <w:rFonts w:ascii="宋体"/>
                <w:sz w:val="18"/>
              </w:rPr>
              <w:t>13,000</w:t>
            </w:r>
          </w:p>
        </w:tc>
        <w:tc>
          <w:tcPr>
            <w:tcW w:w="20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 w:right="77"/>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宋体" w:hAnsi="宋体" w:cs="宋体" w:eastAsia="宋体" w:hint="default"/>
                <w:sz w:val="18"/>
                <w:szCs w:val="18"/>
              </w:rPr>
              <w:t>B2</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r>
      <w:tr>
        <w:trPr>
          <w:trHeight w:val="719" w:hRule="exact"/>
        </w:trPr>
        <w:tc>
          <w:tcPr>
            <w:tcW w:w="26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71"/>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宋体" w:hAnsi="宋体" w:cs="宋体" w:eastAsia="宋体" w:hint="default"/>
                <w:sz w:val="18"/>
                <w:szCs w:val="18"/>
              </w:rPr>
              <w:t>B3</w:t>
            </w:r>
            <w:r>
              <w:rPr>
                <w:rFonts w:ascii="宋体" w:hAnsi="宋体" w:cs="宋体" w:eastAsia="宋体" w:hint="default"/>
                <w:sz w:val="18"/>
                <w:szCs w:val="18"/>
              </w:rPr>
              <w:t>）</w:t>
            </w:r>
          </w:p>
        </w:tc>
        <w:tc>
          <w:tcPr>
            <w:tcW w:w="2235"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8"/>
                <w:szCs w:val="18"/>
              </w:rPr>
            </w:pPr>
            <w:r>
              <w:rPr>
                <w:rFonts w:ascii="宋体"/>
                <w:sz w:val="18"/>
              </w:rPr>
              <w:t>13,000</w:t>
            </w:r>
          </w:p>
        </w:tc>
        <w:tc>
          <w:tcPr>
            <w:tcW w:w="20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 w:right="77"/>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宋体" w:hAnsi="宋体" w:cs="宋体" w:eastAsia="宋体" w:hint="default"/>
                <w:sz w:val="18"/>
                <w:szCs w:val="18"/>
              </w:rPr>
              <w:t>B4</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r>
      <w:tr>
        <w:trPr>
          <w:trHeight w:val="396"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5" w:hRule="exact"/>
        </w:trPr>
        <w:tc>
          <w:tcPr>
            <w:tcW w:w="26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A1+B1+C1</w:t>
            </w:r>
            <w:r>
              <w:rPr>
                <w:rFonts w:ascii="宋体" w:hAnsi="宋体" w:cs="宋体" w:eastAsia="宋体" w:hint="default"/>
                <w:sz w:val="18"/>
                <w:szCs w:val="18"/>
              </w:rPr>
              <w:t>）</w:t>
            </w:r>
          </w:p>
        </w:tc>
        <w:tc>
          <w:tcPr>
            <w:tcW w:w="2235"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8"/>
                <w:szCs w:val="18"/>
              </w:rPr>
            </w:pPr>
            <w:r>
              <w:rPr>
                <w:rFonts w:ascii="宋体"/>
                <w:sz w:val="18"/>
              </w:rPr>
              <w:t>13,000</w:t>
            </w:r>
          </w:p>
        </w:tc>
        <w:tc>
          <w:tcPr>
            <w:tcW w:w="20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 w:right="77"/>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宋体" w:hAnsi="宋体" w:cs="宋体" w:eastAsia="宋体" w:hint="default"/>
                <w:sz w:val="18"/>
                <w:szCs w:val="18"/>
              </w:rPr>
              <w:t>A2+B2+C2</w:t>
            </w:r>
            <w:r>
              <w:rPr>
                <w:rFonts w:ascii="宋体" w:hAnsi="宋体" w:cs="宋体" w:eastAsia="宋体" w:hint="default"/>
                <w:sz w:val="18"/>
                <w:szCs w:val="18"/>
              </w:rPr>
              <w:t>）</w:t>
            </w:r>
          </w:p>
        </w:tc>
        <w:tc>
          <w:tcPr>
            <w:tcW w:w="2627"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违规对外担保情况" w:id="91"/>
      <w:bookmarkEnd w:id="91"/>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）违规对外担保情况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6672"/>
        <w:jc w:val="left"/>
      </w:pPr>
      <w:r>
        <w:rPr/>
        <w:t>□ 适用 √ 不适用 公司报告期无违规对外担保情况。</w:t>
      </w:r>
    </w:p>
    <w:p>
      <w:pPr>
        <w:spacing w:after="0" w:line="434"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3、委托他人进行现金资产管理情况" w:id="92"/>
      <w:bookmarkEnd w:id="92"/>
      <w:r>
        <w:rPr/>
      </w:r>
      <w:r>
        <w:rPr>
          <w:rFonts w:ascii="宋体" w:hAnsi="宋体" w:cs="宋体" w:eastAsia="宋体" w:hint="default"/>
          <w:b/>
          <w:bCs/>
          <w:sz w:val="21"/>
          <w:szCs w:val="21"/>
        </w:rPr>
        <w:t>3</w:t>
      </w:r>
      <w:r>
        <w:rPr>
          <w:rFonts w:ascii="宋体" w:hAnsi="宋体" w:cs="宋体" w:eastAsia="宋体" w:hint="default"/>
          <w:b/>
          <w:bCs/>
          <w:sz w:val="21"/>
          <w:szCs w:val="21"/>
        </w:rPr>
        <w:t>、委托他人进行现金资产管理情况</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委托理财情况" w:id="93"/>
      <w:bookmarkEnd w:id="93"/>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）委托理财情况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√适用 □ 不适用</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69"/>
        <w:gridCol w:w="1962"/>
        <w:gridCol w:w="1981"/>
        <w:gridCol w:w="1908"/>
        <w:gridCol w:w="1848"/>
      </w:tblGrid>
      <w:tr>
        <w:trPr>
          <w:trHeight w:val="397" w:hRule="exact"/>
        </w:trPr>
        <w:tc>
          <w:tcPr>
            <w:tcW w:w="1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7" w:hRule="exact"/>
        </w:trPr>
        <w:tc>
          <w:tcPr>
            <w:tcW w:w="1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募集资金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z w:val="18"/>
              </w:rPr>
              <w:t>26,078</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自有资金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46,078</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委托贷款情况" w:id="94"/>
      <w:bookmarkEnd w:id="94"/>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）委托贷款情况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7152"/>
        <w:jc w:val="left"/>
      </w:pPr>
      <w:r>
        <w:rPr/>
        <w:t>□ 适用 √ 不适用 公司报告期不存在委托贷款。</w:t>
      </w:r>
    </w:p>
    <w:p>
      <w:pPr>
        <w:spacing w:before="203"/>
        <w:ind w:left="154" w:right="1092" w:firstLine="0"/>
        <w:jc w:val="left"/>
        <w:rPr>
          <w:rFonts w:ascii="宋体" w:hAnsi="宋体" w:cs="宋体" w:eastAsia="宋体" w:hint="default"/>
          <w:sz w:val="21"/>
          <w:szCs w:val="21"/>
        </w:rPr>
      </w:pPr>
      <w:bookmarkStart w:name="4、其他重大合同" w:id="95"/>
      <w:bookmarkEnd w:id="95"/>
      <w:r>
        <w:rPr/>
      </w:r>
      <w:r>
        <w:rPr>
          <w:rFonts w:ascii="宋体" w:hAnsi="宋体" w:cs="宋体" w:eastAsia="宋体" w:hint="default"/>
          <w:b/>
          <w:bCs/>
          <w:sz w:val="21"/>
          <w:szCs w:val="21"/>
        </w:rPr>
        <w:t>4</w:t>
      </w:r>
      <w:r>
        <w:rPr>
          <w:rFonts w:ascii="宋体" w:hAnsi="宋体" w:cs="宋体" w:eastAsia="宋体" w:hint="default"/>
          <w:b/>
          <w:bCs/>
          <w:sz w:val="21"/>
          <w:szCs w:val="21"/>
        </w:rPr>
        <w:t>、其他重大合同</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line="240" w:lineRule="auto" w:before="3"/>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636"/>
        <w:gridCol w:w="640"/>
        <w:gridCol w:w="638"/>
        <w:gridCol w:w="640"/>
        <w:gridCol w:w="640"/>
        <w:gridCol w:w="639"/>
        <w:gridCol w:w="640"/>
        <w:gridCol w:w="491"/>
        <w:gridCol w:w="425"/>
        <w:gridCol w:w="425"/>
        <w:gridCol w:w="426"/>
        <w:gridCol w:w="426"/>
        <w:gridCol w:w="992"/>
        <w:gridCol w:w="568"/>
        <w:gridCol w:w="1351"/>
      </w:tblGrid>
      <w:tr>
        <w:trPr>
          <w:trHeight w:val="2274" w:hRule="exact"/>
        </w:trPr>
        <w:tc>
          <w:tcPr>
            <w:tcW w:w="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42" w:right="42"/>
              <w:jc w:val="both"/>
              <w:rPr>
                <w:rFonts w:ascii="宋体" w:hAnsi="宋体" w:cs="宋体" w:eastAsia="宋体" w:hint="default"/>
                <w:sz w:val="18"/>
                <w:szCs w:val="18"/>
              </w:rPr>
            </w:pPr>
            <w:r>
              <w:rPr>
                <w:rFonts w:ascii="宋体" w:hAnsi="宋体" w:cs="宋体" w:eastAsia="宋体" w:hint="default"/>
                <w:sz w:val="18"/>
                <w:szCs w:val="18"/>
              </w:rPr>
              <w:t>合同订 立公司 方名称</w:t>
            </w:r>
          </w:p>
        </w:tc>
        <w:tc>
          <w:tcPr>
            <w:tcW w:w="6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44" w:right="43"/>
              <w:jc w:val="both"/>
              <w:rPr>
                <w:rFonts w:ascii="宋体" w:hAnsi="宋体" w:cs="宋体" w:eastAsia="宋体" w:hint="default"/>
                <w:sz w:val="18"/>
                <w:szCs w:val="18"/>
              </w:rPr>
            </w:pPr>
            <w:r>
              <w:rPr>
                <w:rFonts w:ascii="宋体" w:hAnsi="宋体" w:cs="宋体" w:eastAsia="宋体" w:hint="default"/>
                <w:sz w:val="18"/>
                <w:szCs w:val="18"/>
              </w:rPr>
              <w:t>合同订 立对方 名称</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224" w:right="42" w:hanging="180"/>
              <w:jc w:val="left"/>
              <w:rPr>
                <w:rFonts w:ascii="宋体" w:hAnsi="宋体" w:cs="宋体" w:eastAsia="宋体" w:hint="default"/>
                <w:sz w:val="18"/>
                <w:szCs w:val="18"/>
              </w:rPr>
            </w:pPr>
            <w:r>
              <w:rPr>
                <w:rFonts w:ascii="宋体" w:hAnsi="宋体" w:cs="宋体" w:eastAsia="宋体" w:hint="default"/>
                <w:sz w:val="18"/>
                <w:szCs w:val="18"/>
              </w:rPr>
              <w:t>合同标 的</w:t>
            </w:r>
          </w:p>
        </w:tc>
        <w:tc>
          <w:tcPr>
            <w:tcW w:w="6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44" w:right="43"/>
              <w:jc w:val="left"/>
              <w:rPr>
                <w:rFonts w:ascii="宋体" w:hAnsi="宋体" w:cs="宋体" w:eastAsia="宋体" w:hint="default"/>
                <w:sz w:val="18"/>
                <w:szCs w:val="18"/>
              </w:rPr>
            </w:pPr>
            <w:r>
              <w:rPr>
                <w:rFonts w:ascii="宋体" w:hAnsi="宋体" w:cs="宋体" w:eastAsia="宋体" w:hint="default"/>
                <w:sz w:val="18"/>
                <w:szCs w:val="18"/>
              </w:rPr>
              <w:t>合同签 订日期</w:t>
            </w:r>
          </w:p>
        </w:tc>
        <w:tc>
          <w:tcPr>
            <w:tcW w:w="6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5" w:right="42"/>
              <w:jc w:val="both"/>
              <w:rPr>
                <w:rFonts w:ascii="宋体" w:hAnsi="宋体" w:cs="宋体" w:eastAsia="宋体" w:hint="default"/>
                <w:sz w:val="18"/>
                <w:szCs w:val="18"/>
              </w:rPr>
            </w:pPr>
            <w:r>
              <w:rPr>
                <w:rFonts w:ascii="宋体" w:hAnsi="宋体" w:cs="宋体" w:eastAsia="宋体" w:hint="default"/>
                <w:sz w:val="18"/>
                <w:szCs w:val="18"/>
              </w:rPr>
              <w:t>合同涉 及资产 的账面 价值</w:t>
            </w:r>
          </w:p>
          <w:p>
            <w:pPr>
              <w:pStyle w:val="TableParagraph"/>
              <w:spacing w:line="319" w:lineRule="auto" w:before="19"/>
              <w:ind w:left="23" w:right="20"/>
              <w:jc w:val="center"/>
              <w:rPr>
                <w:rFonts w:ascii="宋体" w:hAnsi="宋体" w:cs="宋体" w:eastAsia="宋体" w:hint="default"/>
                <w:sz w:val="18"/>
                <w:szCs w:val="18"/>
              </w:rPr>
            </w:pPr>
            <w:r>
              <w:rPr>
                <w:rFonts w:ascii="宋体" w:hAnsi="宋体" w:cs="宋体" w:eastAsia="宋体" w:hint="default"/>
                <w:sz w:val="18"/>
                <w:szCs w:val="18"/>
              </w:rPr>
              <w:t>（万 </w:t>
            </w:r>
            <w:r>
              <w:rPr>
                <w:rFonts w:ascii="宋体" w:hAnsi="宋体" w:cs="宋体" w:eastAsia="宋体" w:hint="default"/>
                <w:spacing w:val="-35"/>
                <w:sz w:val="18"/>
                <w:szCs w:val="18"/>
              </w:rPr>
              <w:t>元）（如</w:t>
            </w:r>
            <w:r>
              <w:rPr>
                <w:rFonts w:ascii="宋体" w:hAnsi="宋体" w:cs="宋体" w:eastAsia="宋体" w:hint="default"/>
                <w:sz w:val="18"/>
                <w:szCs w:val="18"/>
              </w:rPr>
              <w:t> 有）</w:t>
            </w:r>
          </w:p>
        </w:tc>
        <w:tc>
          <w:tcPr>
            <w:tcW w:w="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4" w:right="42"/>
              <w:jc w:val="both"/>
              <w:rPr>
                <w:rFonts w:ascii="宋体" w:hAnsi="宋体" w:cs="宋体" w:eastAsia="宋体" w:hint="default"/>
                <w:sz w:val="18"/>
                <w:szCs w:val="18"/>
              </w:rPr>
            </w:pPr>
            <w:r>
              <w:rPr>
                <w:rFonts w:ascii="宋体" w:hAnsi="宋体" w:cs="宋体" w:eastAsia="宋体" w:hint="default"/>
                <w:sz w:val="18"/>
                <w:szCs w:val="18"/>
              </w:rPr>
              <w:t>合同涉 及资产 的评估 价值</w:t>
            </w:r>
          </w:p>
          <w:p>
            <w:pPr>
              <w:pStyle w:val="TableParagraph"/>
              <w:spacing w:line="319" w:lineRule="auto" w:before="19"/>
              <w:ind w:left="22" w:right="21"/>
              <w:jc w:val="center"/>
              <w:rPr>
                <w:rFonts w:ascii="宋体" w:hAnsi="宋体" w:cs="宋体" w:eastAsia="宋体" w:hint="default"/>
                <w:sz w:val="18"/>
                <w:szCs w:val="18"/>
              </w:rPr>
            </w:pPr>
            <w:r>
              <w:rPr>
                <w:rFonts w:ascii="宋体" w:hAnsi="宋体" w:cs="宋体" w:eastAsia="宋体" w:hint="default"/>
                <w:sz w:val="18"/>
                <w:szCs w:val="18"/>
              </w:rPr>
              <w:t>（万 </w:t>
            </w:r>
            <w:r>
              <w:rPr>
                <w:rFonts w:ascii="宋体" w:hAnsi="宋体" w:cs="宋体" w:eastAsia="宋体" w:hint="default"/>
                <w:spacing w:val="-35"/>
                <w:sz w:val="18"/>
                <w:szCs w:val="18"/>
              </w:rPr>
              <w:t>元）（如</w:t>
            </w:r>
            <w:r>
              <w:rPr>
                <w:rFonts w:ascii="宋体" w:hAnsi="宋体" w:cs="宋体" w:eastAsia="宋体" w:hint="default"/>
                <w:sz w:val="18"/>
                <w:szCs w:val="18"/>
              </w:rPr>
              <w:t> 有）</w:t>
            </w:r>
          </w:p>
        </w:tc>
        <w:tc>
          <w:tcPr>
            <w:tcW w:w="6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45" w:right="42"/>
              <w:jc w:val="left"/>
              <w:rPr>
                <w:rFonts w:ascii="宋体" w:hAnsi="宋体" w:cs="宋体" w:eastAsia="宋体" w:hint="default"/>
                <w:sz w:val="18"/>
                <w:szCs w:val="18"/>
              </w:rPr>
            </w:pPr>
            <w:r>
              <w:rPr>
                <w:rFonts w:ascii="宋体" w:hAnsi="宋体" w:cs="宋体" w:eastAsia="宋体" w:hint="default"/>
                <w:sz w:val="18"/>
                <w:szCs w:val="18"/>
              </w:rPr>
              <w:t>评估机 构名称</w:t>
            </w:r>
          </w:p>
          <w:p>
            <w:pPr>
              <w:pStyle w:val="TableParagraph"/>
              <w:spacing w:line="319" w:lineRule="auto" w:before="19"/>
              <w:ind w:left="135" w:right="132"/>
              <w:jc w:val="left"/>
              <w:rPr>
                <w:rFonts w:ascii="宋体" w:hAnsi="宋体" w:cs="宋体" w:eastAsia="宋体" w:hint="default"/>
                <w:sz w:val="18"/>
                <w:szCs w:val="18"/>
              </w:rPr>
            </w:pPr>
            <w:r>
              <w:rPr>
                <w:rFonts w:ascii="宋体" w:hAnsi="宋体" w:cs="宋体" w:eastAsia="宋体" w:hint="default"/>
                <w:sz w:val="18"/>
                <w:szCs w:val="18"/>
              </w:rPr>
              <w:t>（如 有）</w:t>
            </w:r>
          </w:p>
        </w:tc>
        <w:tc>
          <w:tcPr>
            <w:tcW w:w="4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59" w:right="59"/>
              <w:jc w:val="both"/>
              <w:rPr>
                <w:rFonts w:ascii="宋体" w:hAnsi="宋体" w:cs="宋体" w:eastAsia="宋体" w:hint="default"/>
                <w:sz w:val="18"/>
                <w:szCs w:val="18"/>
              </w:rPr>
            </w:pPr>
            <w:r>
              <w:rPr>
                <w:rFonts w:ascii="宋体" w:hAnsi="宋体" w:cs="宋体" w:eastAsia="宋体" w:hint="default"/>
                <w:sz w:val="18"/>
                <w:szCs w:val="18"/>
              </w:rPr>
              <w:t>评估 基准 日</w:t>
            </w:r>
          </w:p>
          <w:p>
            <w:pPr>
              <w:pStyle w:val="TableParagraph"/>
              <w:spacing w:line="319" w:lineRule="auto" w:before="19"/>
              <w:ind w:left="59" w:right="59"/>
              <w:jc w:val="both"/>
              <w:rPr>
                <w:rFonts w:ascii="宋体" w:hAnsi="宋体" w:cs="宋体" w:eastAsia="宋体" w:hint="default"/>
                <w:sz w:val="18"/>
                <w:szCs w:val="18"/>
              </w:rPr>
            </w:pPr>
            <w:r>
              <w:rPr>
                <w:rFonts w:ascii="宋体" w:hAnsi="宋体" w:cs="宋体" w:eastAsia="宋体" w:hint="default"/>
                <w:sz w:val="18"/>
                <w:szCs w:val="18"/>
              </w:rPr>
              <w:t>（如 有）</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26" w:right="26"/>
              <w:jc w:val="left"/>
              <w:rPr>
                <w:rFonts w:ascii="宋体" w:hAnsi="宋体" w:cs="宋体" w:eastAsia="宋体" w:hint="default"/>
                <w:sz w:val="18"/>
                <w:szCs w:val="18"/>
              </w:rPr>
            </w:pPr>
            <w:r>
              <w:rPr>
                <w:rFonts w:ascii="宋体" w:hAnsi="宋体" w:cs="宋体" w:eastAsia="宋体" w:hint="default"/>
                <w:sz w:val="18"/>
                <w:szCs w:val="18"/>
              </w:rPr>
              <w:t>定价 原则</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6" w:right="26"/>
              <w:jc w:val="left"/>
              <w:rPr>
                <w:rFonts w:ascii="宋体" w:hAnsi="宋体" w:cs="宋体" w:eastAsia="宋体" w:hint="default"/>
                <w:sz w:val="18"/>
                <w:szCs w:val="18"/>
              </w:rPr>
            </w:pPr>
            <w:r>
              <w:rPr>
                <w:rFonts w:ascii="宋体" w:hAnsi="宋体" w:cs="宋体" w:eastAsia="宋体" w:hint="default"/>
                <w:sz w:val="18"/>
                <w:szCs w:val="18"/>
              </w:rPr>
              <w:t>交易 价格</w:t>
            </w:r>
          </w:p>
          <w:p>
            <w:pPr>
              <w:pStyle w:val="TableParagraph"/>
              <w:spacing w:line="319" w:lineRule="auto" w:before="19"/>
              <w:ind w:left="26" w:right="26"/>
              <w:jc w:val="left"/>
              <w:rPr>
                <w:rFonts w:ascii="宋体" w:hAnsi="宋体" w:cs="宋体" w:eastAsia="宋体" w:hint="default"/>
                <w:sz w:val="18"/>
                <w:szCs w:val="18"/>
              </w:rPr>
            </w:pPr>
            <w:r>
              <w:rPr>
                <w:rFonts w:ascii="宋体" w:hAnsi="宋体" w:cs="宋体" w:eastAsia="宋体" w:hint="default"/>
                <w:sz w:val="18"/>
                <w:szCs w:val="18"/>
              </w:rPr>
              <w:t>（万 元）</w:t>
            </w:r>
          </w:p>
        </w:tc>
        <w:tc>
          <w:tcPr>
            <w:tcW w:w="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7" w:right="26"/>
              <w:jc w:val="both"/>
              <w:rPr>
                <w:rFonts w:ascii="宋体" w:hAnsi="宋体" w:cs="宋体" w:eastAsia="宋体" w:hint="default"/>
                <w:sz w:val="18"/>
                <w:szCs w:val="18"/>
              </w:rPr>
            </w:pPr>
            <w:r>
              <w:rPr>
                <w:rFonts w:ascii="宋体" w:hAnsi="宋体" w:cs="宋体" w:eastAsia="宋体" w:hint="default"/>
                <w:sz w:val="18"/>
                <w:szCs w:val="18"/>
              </w:rPr>
              <w:t>是否 关联 交易</w:t>
            </w:r>
          </w:p>
        </w:tc>
        <w:tc>
          <w:tcPr>
            <w:tcW w:w="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27" w:right="26"/>
              <w:jc w:val="left"/>
              <w:rPr>
                <w:rFonts w:ascii="宋体" w:hAnsi="宋体" w:cs="宋体" w:eastAsia="宋体" w:hint="default"/>
                <w:sz w:val="18"/>
                <w:szCs w:val="18"/>
              </w:rPr>
            </w:pPr>
            <w:r>
              <w:rPr>
                <w:rFonts w:ascii="宋体" w:hAnsi="宋体" w:cs="宋体" w:eastAsia="宋体" w:hint="default"/>
                <w:sz w:val="18"/>
                <w:szCs w:val="18"/>
              </w:rPr>
              <w:t>关联 关系</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40" w:right="39"/>
              <w:jc w:val="center"/>
              <w:rPr>
                <w:rFonts w:ascii="宋体" w:hAnsi="宋体" w:cs="宋体" w:eastAsia="宋体" w:hint="default"/>
                <w:sz w:val="18"/>
                <w:szCs w:val="18"/>
              </w:rPr>
            </w:pPr>
            <w:r>
              <w:rPr>
                <w:rFonts w:ascii="宋体" w:hAnsi="宋体" w:cs="宋体" w:eastAsia="宋体" w:hint="default"/>
                <w:sz w:val="18"/>
                <w:szCs w:val="18"/>
              </w:rPr>
              <w:t>截至报告期 末的执行情 况</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98" w:right="97"/>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13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650" w:hRule="exact"/>
        </w:trPr>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63"/>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65"/>
              <w:jc w:val="both"/>
              <w:rPr>
                <w:rFonts w:ascii="宋体" w:hAnsi="宋体" w:cs="宋体" w:eastAsia="宋体" w:hint="default"/>
                <w:sz w:val="18"/>
                <w:szCs w:val="18"/>
              </w:rPr>
            </w:pPr>
            <w:r>
              <w:rPr>
                <w:rFonts w:ascii="宋体" w:hAnsi="宋体" w:cs="宋体" w:eastAsia="宋体" w:hint="default"/>
                <w:sz w:val="18"/>
                <w:szCs w:val="18"/>
              </w:rPr>
              <w:t>北京快 手科技 有限公 司</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0</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sz w:val="18"/>
              </w:rPr>
              <w:t>0</w:t>
            </w:r>
          </w:p>
        </w:tc>
        <w:tc>
          <w:tcPr>
            <w:tcW w:w="491"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56"/>
              <w:jc w:val="left"/>
              <w:rPr>
                <w:rFonts w:ascii="宋体" w:hAnsi="宋体" w:cs="宋体" w:eastAsia="宋体" w:hint="default"/>
                <w:sz w:val="18"/>
                <w:szCs w:val="18"/>
              </w:rPr>
            </w:pPr>
            <w:r>
              <w:rPr>
                <w:rFonts w:ascii="宋体" w:hAnsi="宋体" w:cs="宋体" w:eastAsia="宋体" w:hint="default"/>
                <w:sz w:val="18"/>
                <w:szCs w:val="18"/>
              </w:rPr>
              <w:t>项目正在推 进过程中。</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sz w:val="18"/>
              </w:rPr>
              <w:t>2018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06</w:t>
            </w:r>
          </w:p>
          <w:p>
            <w:pPr>
              <w:pStyle w:val="TableParagraph"/>
              <w:spacing w:line="319" w:lineRule="auto" w:before="76"/>
              <w:ind w:left="22" w:right="128"/>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06 </w:t>
            </w:r>
            <w:r>
              <w:rPr>
                <w:rFonts w:ascii="宋体" w:hAnsi="宋体" w:cs="宋体" w:eastAsia="宋体" w:hint="default"/>
                <w:sz w:val="18"/>
                <w:szCs w:val="18"/>
              </w:rPr>
              <w:t>日</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56"/>
              <w:jc w:val="both"/>
              <w:rPr>
                <w:rFonts w:ascii="宋体" w:hAnsi="宋体" w:cs="宋体" w:eastAsia="宋体" w:hint="default"/>
                <w:sz w:val="18"/>
                <w:szCs w:val="18"/>
              </w:rPr>
            </w:pPr>
            <w:r>
              <w:rPr>
                <w:rFonts w:ascii="宋体" w:hAnsi="宋体" w:cs="宋体" w:eastAsia="宋体" w:hint="default"/>
                <w:sz w:val="18"/>
                <w:szCs w:val="18"/>
              </w:rPr>
              <w:t>关于与北京快手 科技有限公司签 订战略合作协议 的公告（公告编 号：</w:t>
            </w:r>
            <w:r>
              <w:rPr>
                <w:rFonts w:ascii="宋体" w:hAnsi="宋体" w:cs="宋体" w:eastAsia="宋体" w:hint="default"/>
                <w:sz w:val="18"/>
                <w:szCs w:val="18"/>
              </w:rPr>
              <w:t>2018-055</w:t>
            </w:r>
            <w:r>
              <w:rPr>
                <w:rFonts w:ascii="宋体" w:hAnsi="宋体" w:cs="宋体" w:eastAsia="宋体" w:hint="default"/>
                <w:sz w:val="18"/>
                <w:szCs w:val="18"/>
              </w:rPr>
              <w:t>）</w:t>
            </w:r>
          </w:p>
        </w:tc>
      </w:tr>
      <w:tr>
        <w:trPr>
          <w:trHeight w:val="1650" w:hRule="exact"/>
        </w:trPr>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63"/>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65"/>
              <w:jc w:val="both"/>
              <w:rPr>
                <w:rFonts w:ascii="宋体" w:hAnsi="宋体" w:cs="宋体" w:eastAsia="宋体" w:hint="default"/>
                <w:sz w:val="18"/>
                <w:szCs w:val="18"/>
              </w:rPr>
            </w:pPr>
            <w:r>
              <w:rPr>
                <w:rFonts w:ascii="宋体" w:hAnsi="宋体" w:cs="宋体" w:eastAsia="宋体" w:hint="default"/>
                <w:sz w:val="18"/>
                <w:szCs w:val="18"/>
              </w:rPr>
              <w:t>号百控 股股份 有限公 司</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0</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sz w:val="18"/>
              </w:rPr>
              <w:t>0</w:t>
            </w:r>
          </w:p>
        </w:tc>
        <w:tc>
          <w:tcPr>
            <w:tcW w:w="491"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57"/>
              <w:jc w:val="both"/>
              <w:rPr>
                <w:rFonts w:ascii="宋体" w:hAnsi="宋体" w:cs="宋体" w:eastAsia="宋体" w:hint="default"/>
                <w:sz w:val="18"/>
                <w:szCs w:val="18"/>
              </w:rPr>
            </w:pPr>
            <w:r>
              <w:rPr>
                <w:rFonts w:ascii="宋体" w:hAnsi="宋体" w:cs="宋体" w:eastAsia="宋体" w:hint="default"/>
                <w:sz w:val="18"/>
                <w:szCs w:val="18"/>
              </w:rPr>
              <w:t>项目正常进 行中，已签 署相关合作 协议。</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sz w:val="18"/>
              </w:rPr>
              <w:t>2018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06</w:t>
            </w:r>
          </w:p>
          <w:p>
            <w:pPr>
              <w:pStyle w:val="TableParagraph"/>
              <w:spacing w:line="319" w:lineRule="auto" w:before="76"/>
              <w:ind w:left="22" w:right="128"/>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 </w:t>
            </w:r>
            <w:r>
              <w:rPr>
                <w:rFonts w:ascii="宋体" w:hAnsi="宋体" w:cs="宋体" w:eastAsia="宋体" w:hint="default"/>
                <w:sz w:val="18"/>
                <w:szCs w:val="18"/>
              </w:rPr>
              <w:t>日</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56"/>
              <w:jc w:val="both"/>
              <w:rPr>
                <w:rFonts w:ascii="宋体" w:hAnsi="宋体" w:cs="宋体" w:eastAsia="宋体" w:hint="default"/>
                <w:sz w:val="18"/>
                <w:szCs w:val="18"/>
              </w:rPr>
            </w:pPr>
            <w:r>
              <w:rPr>
                <w:rFonts w:ascii="宋体" w:hAnsi="宋体" w:cs="宋体" w:eastAsia="宋体" w:hint="default"/>
                <w:sz w:val="18"/>
                <w:szCs w:val="18"/>
              </w:rPr>
              <w:t>关于与号百控股 股份有限公司签 订战略合作协议 的公告（公告编 号：</w:t>
            </w:r>
            <w:r>
              <w:rPr>
                <w:rFonts w:ascii="宋体" w:hAnsi="宋体" w:cs="宋体" w:eastAsia="宋体" w:hint="default"/>
                <w:sz w:val="18"/>
                <w:szCs w:val="18"/>
              </w:rPr>
              <w:t>2018-061</w:t>
            </w:r>
            <w:r>
              <w:rPr>
                <w:rFonts w:ascii="宋体" w:hAnsi="宋体" w:cs="宋体" w:eastAsia="宋体" w:hint="default"/>
                <w:sz w:val="18"/>
                <w:szCs w:val="18"/>
              </w:rPr>
              <w:t>）</w:t>
            </w:r>
          </w:p>
        </w:tc>
      </w:tr>
      <w:tr>
        <w:trPr>
          <w:trHeight w:val="1026" w:hRule="exact"/>
        </w:trPr>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63"/>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65"/>
              <w:jc w:val="both"/>
              <w:rPr>
                <w:rFonts w:ascii="宋体" w:hAnsi="宋体" w:cs="宋体" w:eastAsia="宋体" w:hint="default"/>
                <w:sz w:val="18"/>
                <w:szCs w:val="18"/>
              </w:rPr>
            </w:pPr>
            <w:r>
              <w:rPr>
                <w:rFonts w:ascii="宋体" w:hAnsi="宋体" w:cs="宋体" w:eastAsia="宋体" w:hint="default"/>
                <w:sz w:val="18"/>
                <w:szCs w:val="18"/>
              </w:rPr>
              <w:t>培生教 育出版 亚洲有</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0</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1"/>
              <w:jc w:val="right"/>
              <w:rPr>
                <w:rFonts w:ascii="宋体" w:hAnsi="宋体" w:cs="宋体" w:eastAsia="宋体" w:hint="default"/>
                <w:sz w:val="18"/>
                <w:szCs w:val="18"/>
              </w:rPr>
            </w:pPr>
            <w:r>
              <w:rPr>
                <w:rFonts w:ascii="宋体"/>
                <w:sz w:val="18"/>
              </w:rPr>
              <w:t>0</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sz w:val="18"/>
              </w:rPr>
              <w:t>0</w:t>
            </w:r>
          </w:p>
        </w:tc>
        <w:tc>
          <w:tcPr>
            <w:tcW w:w="491"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57"/>
              <w:jc w:val="both"/>
              <w:rPr>
                <w:rFonts w:ascii="宋体" w:hAnsi="宋体" w:cs="宋体" w:eastAsia="宋体" w:hint="default"/>
                <w:sz w:val="18"/>
                <w:szCs w:val="18"/>
              </w:rPr>
            </w:pPr>
            <w:r>
              <w:rPr>
                <w:rFonts w:ascii="宋体" w:hAnsi="宋体" w:cs="宋体" w:eastAsia="宋体" w:hint="default"/>
                <w:sz w:val="18"/>
                <w:szCs w:val="18"/>
              </w:rPr>
              <w:t>项目正常进 行中，目前 正在沟通协</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sz w:val="18"/>
              </w:rPr>
              <w:t>2018</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24</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56"/>
              <w:jc w:val="both"/>
              <w:rPr>
                <w:rFonts w:ascii="宋体" w:hAnsi="宋体" w:cs="宋体" w:eastAsia="宋体" w:hint="default"/>
                <w:sz w:val="18"/>
                <w:szCs w:val="18"/>
              </w:rPr>
            </w:pPr>
            <w:r>
              <w:rPr>
                <w:rFonts w:ascii="宋体" w:hAnsi="宋体" w:cs="宋体" w:eastAsia="宋体" w:hint="default"/>
                <w:sz w:val="18"/>
                <w:szCs w:val="18"/>
              </w:rPr>
              <w:t>关于签订战略合 作框架协议的公 告（公告编号：</w:t>
            </w:r>
          </w:p>
        </w:tc>
      </w:tr>
    </w:tbl>
    <w:p>
      <w:pPr>
        <w:spacing w:after="0" w:line="316" w:lineRule="auto"/>
        <w:jc w:val="both"/>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636"/>
        <w:gridCol w:w="640"/>
        <w:gridCol w:w="638"/>
        <w:gridCol w:w="640"/>
        <w:gridCol w:w="640"/>
        <w:gridCol w:w="639"/>
        <w:gridCol w:w="640"/>
        <w:gridCol w:w="491"/>
        <w:gridCol w:w="425"/>
        <w:gridCol w:w="425"/>
        <w:gridCol w:w="426"/>
        <w:gridCol w:w="426"/>
        <w:gridCol w:w="992"/>
        <w:gridCol w:w="568"/>
        <w:gridCol w:w="1351"/>
      </w:tblGrid>
      <w:tr>
        <w:trPr>
          <w:trHeight w:val="362" w:hRule="exact"/>
        </w:trPr>
        <w:tc>
          <w:tcPr>
            <w:tcW w:w="636" w:type="dxa"/>
            <w:tcBorders>
              <w:top w:val="single" w:sz="4" w:space="0" w:color="000000"/>
              <w:left w:val="single" w:sz="4" w:space="0" w:color="000000"/>
              <w:bottom w:val="single" w:sz="4" w:space="0" w:color="000000"/>
              <w:right w:val="single" w:sz="4" w:space="0" w:color="000000"/>
            </w:tcBorders>
          </w:tcPr>
          <w:p>
            <w:pP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638" w:type="dxa"/>
            <w:tcBorders>
              <w:top w:val="single" w:sz="4" w:space="0" w:color="000000"/>
              <w:left w:val="single" w:sz="4" w:space="0" w:color="000000"/>
              <w:bottom w:val="single" w:sz="4" w:space="0" w:color="000000"/>
              <w:right w:val="single" w:sz="4" w:space="0" w:color="000000"/>
            </w:tcBorders>
          </w:tcPr>
          <w:p>
            <w:pPr/>
          </w:p>
        </w:tc>
        <w:tc>
          <w:tcPr>
            <w:tcW w:w="640" w:type="dxa"/>
            <w:tcBorders>
              <w:top w:val="single" w:sz="4" w:space="0" w:color="000000"/>
              <w:left w:val="single" w:sz="4" w:space="0" w:color="000000"/>
              <w:bottom w:val="single" w:sz="4" w:space="0" w:color="000000"/>
              <w:right w:val="single" w:sz="4" w:space="0" w:color="000000"/>
            </w:tcBorders>
          </w:tcPr>
          <w:p>
            <w:pPr/>
          </w:p>
        </w:tc>
        <w:tc>
          <w:tcPr>
            <w:tcW w:w="640" w:type="dxa"/>
            <w:tcBorders>
              <w:top w:val="single" w:sz="4" w:space="0" w:color="000000"/>
              <w:left w:val="single" w:sz="4" w:space="0" w:color="000000"/>
              <w:bottom w:val="single" w:sz="4" w:space="0" w:color="000000"/>
              <w:right w:val="single" w:sz="4" w:space="0" w:color="000000"/>
            </w:tcBorders>
          </w:tcPr>
          <w:p>
            <w:pPr/>
          </w:p>
        </w:tc>
        <w:tc>
          <w:tcPr>
            <w:tcW w:w="639" w:type="dxa"/>
            <w:tcBorders>
              <w:top w:val="single" w:sz="4" w:space="0" w:color="000000"/>
              <w:left w:val="single" w:sz="4" w:space="0" w:color="000000"/>
              <w:bottom w:val="single" w:sz="4" w:space="0" w:color="000000"/>
              <w:right w:val="single" w:sz="4" w:space="0" w:color="000000"/>
            </w:tcBorders>
          </w:tcPr>
          <w:p>
            <w:pPr/>
          </w:p>
        </w:tc>
        <w:tc>
          <w:tcPr>
            <w:tcW w:w="640"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调中。</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2018-080</w:t>
            </w:r>
            <w:r>
              <w:rPr>
                <w:rFonts w:ascii="宋体" w:hAnsi="宋体" w:cs="宋体" w:eastAsia="宋体" w:hint="default"/>
                <w:sz w:val="18"/>
                <w:szCs w:val="18"/>
              </w:rPr>
              <w:t>）</w:t>
            </w:r>
          </w:p>
        </w:tc>
      </w:tr>
    </w:tbl>
    <w:p>
      <w:pPr>
        <w:spacing w:line="240" w:lineRule="auto" w:before="2"/>
        <w:rPr>
          <w:rFonts w:ascii="宋体" w:hAnsi="宋体" w:cs="宋体" w:eastAsia="宋体" w:hint="default"/>
          <w:sz w:val="18"/>
          <w:szCs w:val="18"/>
        </w:rPr>
      </w:pPr>
    </w:p>
    <w:p>
      <w:pPr>
        <w:pStyle w:val="Heading2"/>
        <w:spacing w:line="240" w:lineRule="auto"/>
        <w:ind w:right="1092"/>
        <w:jc w:val="left"/>
        <w:rPr>
          <w:b w:val="0"/>
          <w:bCs w:val="0"/>
        </w:rPr>
      </w:pPr>
      <w:bookmarkStart w:name="十七、社会责任情况" w:id="96"/>
      <w:bookmarkEnd w:id="96"/>
      <w:r>
        <w:rPr>
          <w:b w:val="0"/>
          <w:bCs w:val="0"/>
        </w:rPr>
      </w:r>
      <w:r>
        <w:rPr/>
        <w:t>十七、社会责任情况</w:t>
      </w:r>
      <w:r>
        <w:rPr>
          <w:b w:val="0"/>
          <w:bCs w:val="0"/>
        </w:rPr>
      </w:r>
    </w:p>
    <w:p>
      <w:pPr>
        <w:spacing w:line="240" w:lineRule="auto" w:before="9"/>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履行社会责任情况" w:id="97"/>
      <w:bookmarkEnd w:id="97"/>
      <w:r>
        <w:rPr/>
      </w:r>
      <w:r>
        <w:rPr>
          <w:rFonts w:ascii="宋体" w:hAnsi="宋体" w:cs="宋体" w:eastAsia="宋体"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0" w:firstLine="480"/>
        <w:jc w:val="both"/>
      </w:pPr>
      <w:r>
        <w:rPr>
          <w:spacing w:val="-8"/>
        </w:rPr>
        <w:t>报告期内，公司积极履行企业社会责任，公司</w:t>
      </w:r>
      <w:r>
        <w:rPr>
          <w:spacing w:val="-55"/>
        </w:rPr>
        <w:t> </w:t>
      </w:r>
      <w:r>
        <w:rPr>
          <w:rFonts w:ascii="宋体" w:hAnsi="宋体" w:cs="宋体" w:eastAsia="宋体" w:hint="default"/>
        </w:rPr>
        <w:t>2018</w:t>
      </w:r>
      <w:r>
        <w:rPr>
          <w:rFonts w:ascii="宋体" w:hAnsi="宋体" w:cs="宋体" w:eastAsia="宋体" w:hint="default"/>
          <w:spacing w:val="-55"/>
        </w:rPr>
        <w:t> </w:t>
      </w:r>
      <w:r>
        <w:rPr/>
        <w:t>年度企业社会责任报告全文已与</w:t>
      </w:r>
      <w:r>
        <w:rPr>
          <w:spacing w:val="-55"/>
        </w:rPr>
        <w:t> </w:t>
      </w:r>
      <w:r>
        <w:rPr>
          <w:rFonts w:ascii="宋体" w:hAnsi="宋体" w:cs="宋体" w:eastAsia="宋体" w:hint="default"/>
        </w:rPr>
        <w:t>2018 </w:t>
      </w:r>
      <w:r>
        <w:rPr/>
        <w:t>年年度报告同日在巨潮资讯网（</w:t>
      </w:r>
      <w:hyperlink r:id="rId11">
        <w:r>
          <w:rPr>
            <w:rFonts w:ascii="宋体" w:hAnsi="宋体" w:cs="宋体" w:eastAsia="宋体" w:hint="default"/>
          </w:rPr>
          <w:t>www.cninfo.com.cn</w:t>
        </w:r>
      </w:hyperlink>
      <w:r>
        <w:rPr/>
        <w:t>）披露。</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履行精准扶贫社会责任情况" w:id="98"/>
      <w:bookmarkEnd w:id="98"/>
      <w:r>
        <w:rPr/>
      </w:r>
      <w:r>
        <w:rPr>
          <w:rFonts w:ascii="宋体" w:hAnsi="宋体" w:cs="宋体" w:eastAsia="宋体"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精准扶贫规划" w:id="99"/>
      <w:bookmarkEnd w:id="99"/>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）精准扶贫规划</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999" w:firstLine="480"/>
        <w:jc w:val="left"/>
      </w:pPr>
      <w:r>
        <w:rPr>
          <w:rFonts w:ascii="宋体" w:hAnsi="宋体" w:cs="宋体" w:eastAsia="宋体" w:hint="default"/>
        </w:rPr>
        <w:t>2018</w:t>
      </w:r>
      <w:r>
        <w:rPr>
          <w:rFonts w:ascii="宋体" w:hAnsi="宋体" w:cs="宋体" w:eastAsia="宋体" w:hint="default"/>
          <w:spacing w:val="-49"/>
        </w:rPr>
        <w:t> </w:t>
      </w:r>
      <w:r>
        <w:rPr>
          <w:spacing w:val="-10"/>
        </w:rPr>
        <w:t>年，教育部、国务院扶贫办印发了《深度贫困地区教育脱贫攻坚实施方案（</w:t>
      </w:r>
      <w:r>
        <w:rPr>
          <w:rFonts w:ascii="宋体" w:hAnsi="宋体" w:cs="宋体" w:eastAsia="宋体" w:hint="default"/>
          <w:spacing w:val="-10"/>
        </w:rPr>
        <w:t>2018-2020</w:t>
      </w:r>
      <w:r>
        <w:rPr>
          <w:rFonts w:ascii="宋体" w:hAnsi="宋体" w:cs="宋体" w:eastAsia="宋体" w:hint="default"/>
        </w:rPr>
        <w:t> </w:t>
      </w:r>
      <w:r>
        <w:rPr>
          <w:spacing w:val="-6"/>
        </w:rPr>
        <w:t>年）》。这是贯彻落实习近平总书记扶贫开发战略思想的重要举措，将聚焦深度贫困地区教育</w:t>
      </w:r>
      <w:r>
        <w:rPr>
          <w:spacing w:val="-112"/>
        </w:rPr>
        <w:t> </w:t>
      </w:r>
      <w:r>
        <w:rPr>
          <w:spacing w:val="-112"/>
        </w:rPr>
      </w:r>
      <w:r>
        <w:rPr/>
        <w:t>扶贫。公司贯彻落实习总书记重要讲话精神，按照相关工作要求和部署，将扶贫工作列入公 </w:t>
      </w:r>
      <w:r>
        <w:rPr>
          <w:spacing w:val="-3"/>
        </w:rPr>
        <w:t>司年度工作计划，加强对扶贫工作的领导，制定工作目标和任务，健全机制，落实具体责任，</w:t>
      </w:r>
      <w:r>
        <w:rPr>
          <w:spacing w:val="-81"/>
        </w:rPr>
        <w:t> </w:t>
      </w:r>
      <w:r>
        <w:rPr>
          <w:spacing w:val="-81"/>
        </w:rPr>
      </w:r>
      <w:r>
        <w:rPr/>
        <w:t>配足配齐专门工作人员，将具体任务分解到具体人，明确具体落实时限，确保按时按质按量 完成工作任务。</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年度精准扶贫概要" w:id="100"/>
      <w:bookmarkEnd w:id="100"/>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）年度精准扶贫概要</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6" w:firstLine="480"/>
        <w:jc w:val="both"/>
      </w:pPr>
      <w:r>
        <w:rPr/>
        <w:t>对于一个企业而言，慈善不仅仅是一种道义，更是成就伟大所必须的智慧。长久以来， 中文在线一直热心公益，践行企业社会责任。</w:t>
      </w:r>
    </w:p>
    <w:p>
      <w:pPr>
        <w:pStyle w:val="BodyText"/>
        <w:spacing w:line="357" w:lineRule="auto" w:before="136"/>
        <w:ind w:right="1139" w:firstLine="480"/>
        <w:jc w:val="both"/>
      </w:pPr>
      <w:r>
        <w:rPr>
          <w:spacing w:val="-7"/>
        </w:rPr>
        <w:t>中文在线在湖南省安乡县设立“湖南省安乡县第一中学中文在线弘慧奖项目”、“湖南省</w:t>
      </w:r>
      <w:r>
        <w:rPr/>
        <w:t> 安乡县北河口中学中文在线弘慧奖项目”。由中文在线员工组成的爱心行动大使深入湖南山</w:t>
      </w:r>
      <w:r>
        <w:rPr>
          <w:spacing w:val="-110"/>
        </w:rPr>
        <w:t> </w:t>
      </w:r>
      <w:r>
        <w:rPr>
          <w:spacing w:val="-110"/>
        </w:rPr>
      </w:r>
      <w:r>
        <w:rPr/>
        <w:t>区，在物质资助的同时，坚持践行长期陪伴和心灵关怀的公益理念，为孩子们的成长释疑解 惑。</w:t>
      </w:r>
    </w:p>
    <w:p>
      <w:pPr>
        <w:pStyle w:val="BodyText"/>
        <w:spacing w:line="357" w:lineRule="auto" w:before="134"/>
        <w:ind w:right="1130" w:firstLine="480"/>
        <w:jc w:val="both"/>
      </w:pPr>
      <w:r>
        <w:rPr/>
        <w:t>弘慧教育发展基金会是由中文在线董事张帆在 </w:t>
      </w:r>
      <w:r>
        <w:rPr>
          <w:rFonts w:ascii="宋体" w:hAnsi="宋体" w:cs="宋体" w:eastAsia="宋体" w:hint="default"/>
        </w:rPr>
        <w:t>2001 </w:t>
      </w:r>
      <w:r>
        <w:rPr/>
        <w:t>年发起，</w:t>
      </w:r>
      <w:r>
        <w:rPr>
          <w:rFonts w:ascii="宋体" w:hAnsi="宋体" w:cs="宋体" w:eastAsia="宋体" w:hint="default"/>
        </w:rPr>
        <w:t>2008</w:t>
      </w:r>
      <w:r>
        <w:rPr>
          <w:rFonts w:ascii="宋体" w:hAnsi="宋体" w:cs="宋体" w:eastAsia="宋体" w:hint="default"/>
          <w:spacing w:val="-83"/>
        </w:rPr>
        <w:t> </w:t>
      </w:r>
      <w:r>
        <w:rPr/>
        <w:t>年注册的非公募基金 </w:t>
      </w:r>
      <w:r>
        <w:rPr>
          <w:spacing w:val="-1"/>
        </w:rPr>
        <w:t>会。</w:t>
      </w:r>
      <w:r>
        <w:rPr>
          <w:rFonts w:ascii="宋体" w:hAnsi="宋体" w:cs="宋体" w:eastAsia="宋体" w:hint="default"/>
          <w:spacing w:val="-1"/>
        </w:rPr>
        <w:t>2015</w:t>
      </w:r>
      <w:r>
        <w:rPr>
          <w:rFonts w:ascii="宋体" w:hAnsi="宋体" w:cs="宋体" w:eastAsia="宋体" w:hint="default"/>
          <w:spacing w:val="-54"/>
        </w:rPr>
        <w:t> </w:t>
      </w:r>
      <w:r>
        <w:rPr>
          <w:spacing w:val="-7"/>
        </w:rPr>
        <w:t>年被评为民政部“全国先进社会组织”、全国</w:t>
      </w:r>
      <w:r>
        <w:rPr>
          <w:spacing w:val="-54"/>
        </w:rPr>
        <w:t> </w:t>
      </w:r>
      <w:r>
        <w:rPr>
          <w:rFonts w:ascii="宋体" w:hAnsi="宋体" w:cs="宋体" w:eastAsia="宋体" w:hint="default"/>
        </w:rPr>
        <w:t>5A</w:t>
      </w:r>
      <w:r>
        <w:rPr>
          <w:rFonts w:ascii="宋体" w:hAnsi="宋体" w:cs="宋体" w:eastAsia="宋体" w:hint="default"/>
          <w:spacing w:val="-54"/>
        </w:rPr>
        <w:t> </w:t>
      </w:r>
      <w:r>
        <w:rPr>
          <w:spacing w:val="-21"/>
        </w:rPr>
        <w:t>级基金会，“中基透明指数（</w:t>
      </w:r>
      <w:r>
        <w:rPr>
          <w:rFonts w:ascii="宋体" w:hAnsi="宋体" w:cs="宋体" w:eastAsia="宋体" w:hint="default"/>
          <w:spacing w:val="-21"/>
        </w:rPr>
        <w:t>FIT</w:t>
      </w:r>
      <w:r>
        <w:rPr>
          <w:spacing w:val="-21"/>
        </w:rPr>
        <w:t>）”</w:t>
      </w:r>
      <w:r>
        <w:rPr>
          <w:spacing w:val="-119"/>
        </w:rPr>
        <w:t> </w:t>
      </w:r>
      <w:r>
        <w:rPr/>
        <w:t>一直保持全国第一。累计长期陪伴近</w:t>
      </w:r>
      <w:r>
        <w:rPr>
          <w:spacing w:val="-69"/>
        </w:rPr>
        <w:t> </w:t>
      </w:r>
      <w:r>
        <w:rPr>
          <w:rFonts w:ascii="宋体" w:hAnsi="宋体" w:cs="宋体" w:eastAsia="宋体" w:hint="default"/>
        </w:rPr>
        <w:t>1400</w:t>
      </w:r>
      <w:r>
        <w:rPr>
          <w:rFonts w:ascii="宋体" w:hAnsi="宋体" w:cs="宋体" w:eastAsia="宋体" w:hint="default"/>
          <w:spacing w:val="-69"/>
        </w:rPr>
        <w:t> </w:t>
      </w:r>
      <w:r>
        <w:rPr>
          <w:spacing w:val="-3"/>
        </w:rPr>
        <w:t>名山区弘慧学子成长，直接资助、奖励的学生和老</w:t>
      </w:r>
    </w:p>
    <w:p>
      <w:pPr>
        <w:pStyle w:val="BodyText"/>
        <w:spacing w:line="240" w:lineRule="auto" w:before="36"/>
        <w:ind w:right="1092"/>
        <w:jc w:val="left"/>
      </w:pPr>
      <w:r>
        <w:rPr/>
        <w:t>师已经超过</w:t>
      </w:r>
      <w:r>
        <w:rPr>
          <w:spacing w:val="-53"/>
        </w:rPr>
        <w:t> </w:t>
      </w:r>
      <w:r>
        <w:rPr>
          <w:rFonts w:ascii="宋体" w:hAnsi="宋体" w:cs="宋体" w:eastAsia="宋体" w:hint="default"/>
        </w:rPr>
        <w:t>4000</w:t>
      </w:r>
      <w:r>
        <w:rPr>
          <w:rFonts w:ascii="宋体" w:hAnsi="宋体" w:cs="宋体" w:eastAsia="宋体" w:hint="default"/>
          <w:spacing w:val="-53"/>
        </w:rPr>
        <w:t> </w:t>
      </w:r>
      <w:r>
        <w:rPr>
          <w:spacing w:val="-3"/>
        </w:rPr>
        <w:t>人次；自主开发弘慧学子成长夏令营、弘慧美心课，合作推广科学课、梦想</w:t>
      </w:r>
    </w:p>
    <w:p>
      <w:pPr>
        <w:pStyle w:val="BodyText"/>
        <w:spacing w:line="432" w:lineRule="auto" w:before="155"/>
        <w:ind w:left="634" w:right="1116" w:hanging="480"/>
        <w:jc w:val="left"/>
      </w:pPr>
      <w:r>
        <w:rPr/>
        <w:t>课，受益群体超过</w:t>
      </w:r>
      <w:r>
        <w:rPr>
          <w:spacing w:val="-60"/>
        </w:rPr>
        <w:t> </w:t>
      </w:r>
      <w:r>
        <w:rPr>
          <w:rFonts w:ascii="宋体" w:hAnsi="宋体" w:cs="宋体" w:eastAsia="宋体" w:hint="default"/>
        </w:rPr>
        <w:t>10</w:t>
      </w:r>
      <w:r>
        <w:rPr>
          <w:rFonts w:ascii="宋体" w:hAnsi="宋体" w:cs="宋体" w:eastAsia="宋体" w:hint="default"/>
          <w:spacing w:val="-60"/>
        </w:rPr>
        <w:t> </w:t>
      </w:r>
      <w:r>
        <w:rPr/>
        <w:t>万人次。 中文在线积极行动，主动担起了推动乡村教育发展的责任。</w:t>
      </w:r>
      <w:r>
        <w:rPr>
          <w:rFonts w:ascii="宋体" w:hAnsi="宋体" w:cs="宋体" w:eastAsia="宋体" w:hint="default"/>
        </w:rPr>
        <w:t>2018</w:t>
      </w:r>
      <w:r>
        <w:rPr>
          <w:rFonts w:ascii="宋体" w:hAnsi="宋体" w:cs="宋体" w:eastAsia="宋体" w:hint="default"/>
          <w:spacing w:val="-68"/>
        </w:rPr>
        <w:t> </w:t>
      </w:r>
      <w:r>
        <w:rPr/>
        <w:t>年</w:t>
      </w:r>
      <w:r>
        <w:rPr>
          <w:spacing w:val="-68"/>
        </w:rPr>
        <w:t> </w:t>
      </w:r>
      <w:r>
        <w:rPr>
          <w:rFonts w:ascii="宋体" w:hAnsi="宋体" w:cs="宋体" w:eastAsia="宋体" w:hint="default"/>
        </w:rPr>
        <w:t>5</w:t>
      </w:r>
      <w:r>
        <w:rPr>
          <w:rFonts w:ascii="宋体" w:hAnsi="宋体" w:cs="宋体" w:eastAsia="宋体" w:hint="default"/>
          <w:spacing w:val="-68"/>
        </w:rPr>
        <w:t> </w:t>
      </w:r>
      <w:r>
        <w:rPr/>
        <w:t>月，中文在线联合</w:t>
      </w:r>
    </w:p>
    <w:p>
      <w:pPr>
        <w:spacing w:after="0" w:line="432"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29"/>
        <w:jc w:val="both"/>
      </w:pPr>
      <w:r>
        <w:rPr>
          <w:spacing w:val="-3"/>
        </w:rPr>
        <w:t>有关单位共同组织第六届乡村好校长论坛，以“互联网</w:t>
      </w:r>
      <w:r>
        <w:rPr>
          <w:rFonts w:ascii="宋体" w:hAnsi="宋体" w:cs="宋体" w:eastAsia="宋体" w:hint="default"/>
          <w:spacing w:val="-3"/>
        </w:rPr>
        <w:t>+</w:t>
      </w:r>
      <w:r>
        <w:rPr>
          <w:spacing w:val="-3"/>
        </w:rPr>
        <w:t>教育”视角对乡村教育的现状和发展</w:t>
      </w:r>
      <w:r>
        <w:rPr>
          <w:spacing w:val="-81"/>
        </w:rPr>
        <w:t> </w:t>
      </w:r>
      <w:r>
        <w:rPr>
          <w:spacing w:val="-81"/>
        </w:rPr>
      </w:r>
      <w:r>
        <w:rPr/>
        <w:t>前景进行深入探讨；</w:t>
      </w:r>
      <w:r>
        <w:rPr>
          <w:rFonts w:ascii="宋体" w:hAnsi="宋体" w:cs="宋体" w:eastAsia="宋体" w:hint="default"/>
        </w:rPr>
        <w:t>2018</w:t>
      </w:r>
      <w:r>
        <w:rPr>
          <w:rFonts w:ascii="宋体" w:hAnsi="宋体" w:cs="宋体" w:eastAsia="宋体" w:hint="default"/>
          <w:spacing w:val="-67"/>
        </w:rPr>
        <w:t> </w:t>
      </w:r>
      <w:r>
        <w:rPr/>
        <w:t>年</w:t>
      </w:r>
      <w:r>
        <w:rPr>
          <w:spacing w:val="-67"/>
        </w:rPr>
        <w:t> </w:t>
      </w:r>
      <w:r>
        <w:rPr>
          <w:rFonts w:ascii="宋体" w:hAnsi="宋体" w:cs="宋体" w:eastAsia="宋体" w:hint="default"/>
        </w:rPr>
        <w:t>8</w:t>
      </w:r>
      <w:r>
        <w:rPr>
          <w:rFonts w:ascii="宋体" w:hAnsi="宋体" w:cs="宋体" w:eastAsia="宋体" w:hint="default"/>
          <w:spacing w:val="-67"/>
        </w:rPr>
        <w:t> </w:t>
      </w:r>
      <w:r>
        <w:rPr/>
        <w:t>月，中文在线董事长兼总裁童之磊携相关同事共同参加了弘慧 基金会十周年活动，中文在线数字出版集团响应“百千万”计划，与安乡县结成爱心帮扶伙</w:t>
      </w:r>
      <w:r>
        <w:rPr>
          <w:spacing w:val="-109"/>
        </w:rPr>
        <w:t> </w:t>
      </w:r>
      <w:r>
        <w:rPr>
          <w:spacing w:val="-109"/>
        </w:rPr>
      </w:r>
      <w:r>
        <w:rPr/>
        <w:t>伴，长期持续支持该县域教育事业。</w:t>
      </w:r>
      <w:r>
        <w:rPr>
          <w:rFonts w:ascii="宋体" w:hAnsi="宋体" w:cs="宋体" w:eastAsia="宋体" w:hint="default"/>
        </w:rPr>
        <w:t>2018</w:t>
      </w:r>
      <w:r>
        <w:rPr>
          <w:rFonts w:ascii="宋体" w:hAnsi="宋体" w:cs="宋体" w:eastAsia="宋体" w:hint="default"/>
          <w:spacing w:val="-68"/>
        </w:rPr>
        <w:t> </w:t>
      </w:r>
      <w:r>
        <w:rPr/>
        <w:t>年</w:t>
      </w:r>
      <w:r>
        <w:rPr>
          <w:spacing w:val="-68"/>
        </w:rPr>
        <w:t> </w:t>
      </w:r>
      <w:r>
        <w:rPr>
          <w:rFonts w:ascii="宋体" w:hAnsi="宋体" w:cs="宋体" w:eastAsia="宋体" w:hint="default"/>
        </w:rPr>
        <w:t>8</w:t>
      </w:r>
      <w:r>
        <w:rPr>
          <w:rFonts w:ascii="宋体" w:hAnsi="宋体" w:cs="宋体" w:eastAsia="宋体" w:hint="default"/>
          <w:spacing w:val="-68"/>
        </w:rPr>
        <w:t> </w:t>
      </w:r>
      <w:r>
        <w:rPr/>
        <w:t>月，中文在线与弘慧共同组织弘慧挚友夏令营 </w:t>
      </w:r>
      <w:r>
        <w:rPr>
          <w:spacing w:val="-2"/>
        </w:rPr>
        <w:t>活动，通过长期关怀、暑期夏令营等丰富多彩的活动陪伴学生成长</w:t>
      </w:r>
      <w:r>
        <w:rPr>
          <w:rFonts w:ascii="宋体" w:hAnsi="宋体" w:cs="宋体" w:eastAsia="宋体" w:hint="default"/>
          <w:spacing w:val="-2"/>
        </w:rPr>
        <w:t>,</w:t>
      </w:r>
      <w:r>
        <w:rPr>
          <w:spacing w:val="-2"/>
        </w:rPr>
        <w:t>使得学生在弘慧的长期陪</w:t>
      </w:r>
      <w:r>
        <w:rPr/>
        <w:t> 伴下拥有一个健康的内心世界；</w:t>
      </w:r>
      <w:r>
        <w:rPr>
          <w:rFonts w:ascii="宋体" w:hAnsi="宋体" w:cs="宋体" w:eastAsia="宋体" w:hint="default"/>
        </w:rPr>
        <w:t>2018 </w:t>
      </w:r>
      <w:r>
        <w:rPr/>
        <w:t>年 </w:t>
      </w:r>
      <w:r>
        <w:rPr>
          <w:rFonts w:ascii="宋体" w:hAnsi="宋体" w:cs="宋体" w:eastAsia="宋体" w:hint="default"/>
        </w:rPr>
        <w:t>11</w:t>
      </w:r>
      <w:r>
        <w:rPr>
          <w:rFonts w:ascii="宋体" w:hAnsi="宋体" w:cs="宋体" w:eastAsia="宋体" w:hint="default"/>
          <w:spacing w:val="-83"/>
        </w:rPr>
        <w:t> </w:t>
      </w:r>
      <w:r>
        <w:rPr/>
        <w:t>月，中文在线组织员工深入湖南省安乡县走访调 查，组织弘慧助学座谈会，并发放奖学金。</w:t>
      </w:r>
    </w:p>
    <w:p>
      <w:pPr>
        <w:pStyle w:val="BodyText"/>
        <w:spacing w:line="357" w:lineRule="auto" w:before="134"/>
        <w:ind w:right="1092" w:firstLine="480"/>
        <w:jc w:val="left"/>
      </w:pPr>
      <w:r>
        <w:rPr/>
        <w:t>中文在线希望通过与弘慧基金会共同发起的教育精准扶贫活动，拉齐孩子们的起跑线， 给贫困地区的孩子们一个接受良好教育的机会，缩短城乡教育之间的巨大差异。</w:t>
      </w:r>
    </w:p>
    <w:p>
      <w:pPr>
        <w:spacing w:line="240" w:lineRule="auto" w:before="7"/>
        <w:rPr>
          <w:rFonts w:ascii="宋体" w:hAnsi="宋体" w:cs="宋体" w:eastAsia="宋体" w:hint="default"/>
          <w:sz w:val="21"/>
          <w:szCs w:val="21"/>
        </w:rPr>
      </w:pPr>
    </w:p>
    <w:p>
      <w:pPr>
        <w:spacing w:before="0"/>
        <w:ind w:left="154" w:right="0" w:firstLine="0"/>
        <w:jc w:val="both"/>
        <w:rPr>
          <w:rFonts w:ascii="宋体" w:hAnsi="宋体" w:cs="宋体" w:eastAsia="宋体" w:hint="default"/>
          <w:sz w:val="21"/>
          <w:szCs w:val="21"/>
        </w:rPr>
      </w:pPr>
      <w:bookmarkStart w:name="（3）精准扶贫成效" w:id="101"/>
      <w:bookmarkEnd w:id="101"/>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）精准扶贫成效</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7"/>
          <w:szCs w:val="27"/>
        </w:rPr>
      </w:pPr>
    </w:p>
    <w:p>
      <w:pPr>
        <w:spacing w:before="44"/>
        <w:ind w:left="0" w:right="1139" w:firstLine="0"/>
        <w:jc w:val="right"/>
        <w:rPr>
          <w:rFonts w:ascii="宋体" w:hAnsi="宋体" w:cs="宋体" w:eastAsia="宋体" w:hint="default"/>
          <w:sz w:val="18"/>
          <w:szCs w:val="18"/>
        </w:rPr>
      </w:pPr>
      <w:r>
        <w:rPr/>
        <w:pict>
          <v:shape style="position:absolute;margin-left:57.029999pt;margin-top:-353.668304pt;width:478.6pt;height:404.7pt;mso-position-horizontal-relative:page;mso-position-vertical-relative:paragraph;z-index:21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17"/>
                    <w:gridCol w:w="1337"/>
                    <w:gridCol w:w="4403"/>
                  </w:tblGrid>
                  <w:tr>
                    <w:trPr>
                      <w:trHeight w:val="403"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1"/>
                          <w:jc w:val="center"/>
                          <w:rPr>
                            <w:rFonts w:ascii="宋体" w:hAnsi="宋体" w:cs="宋体" w:eastAsia="宋体" w:hint="default"/>
                            <w:sz w:val="18"/>
                            <w:szCs w:val="18"/>
                          </w:rPr>
                        </w:pPr>
                        <w:r>
                          <w:rPr>
                            <w:rFonts w:ascii="宋体" w:hAnsi="宋体" w:cs="宋体" w:eastAsia="宋体" w:hint="default"/>
                            <w:sz w:val="18"/>
                            <w:szCs w:val="18"/>
                          </w:rPr>
                          <w:t>指标</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w:t>
                        </w:r>
                        <w:r>
                          <w:rPr>
                            <w:rFonts w:ascii="宋体" w:hAnsi="宋体" w:cs="宋体" w:eastAsia="宋体" w:hint="default"/>
                            <w:sz w:val="18"/>
                            <w:szCs w:val="18"/>
                          </w:rPr>
                          <w:t>开展情况</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产业发展脱贫</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转移就业脱贫</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易地搬迁脱贫</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教育扶贫</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911" w:val="left" w:leader="none"/>
                          </w:tabs>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其中：</w:t>
                          <w:tab/>
                        </w:r>
                        <w:r>
                          <w:rPr>
                            <w:rFonts w:ascii="宋体" w:hAnsi="宋体" w:cs="宋体" w:eastAsia="宋体" w:hint="default"/>
                            <w:sz w:val="18"/>
                            <w:szCs w:val="18"/>
                          </w:rPr>
                          <w:t>4.1</w:t>
                        </w:r>
                        <w:r>
                          <w:rPr>
                            <w:rFonts w:ascii="宋体" w:hAnsi="宋体" w:cs="宋体" w:eastAsia="宋体" w:hint="default"/>
                            <w:spacing w:val="-46"/>
                            <w:sz w:val="18"/>
                            <w:szCs w:val="18"/>
                          </w:rPr>
                          <w:t> </w:t>
                        </w:r>
                        <w:r>
                          <w:rPr>
                            <w:rFonts w:ascii="宋体" w:hAnsi="宋体" w:cs="宋体" w:eastAsia="宋体" w:hint="default"/>
                            <w:sz w:val="18"/>
                            <w:szCs w:val="18"/>
                          </w:rPr>
                          <w:t>资助贫困学生投入金额</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66.48</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4.2</w:t>
                        </w:r>
                        <w:r>
                          <w:rPr>
                            <w:rFonts w:ascii="宋体" w:hAnsi="宋体" w:cs="宋体" w:eastAsia="宋体" w:hint="default"/>
                            <w:spacing w:val="-46"/>
                            <w:sz w:val="18"/>
                            <w:szCs w:val="18"/>
                          </w:rPr>
                          <w:t> </w:t>
                        </w:r>
                        <w:r>
                          <w:rPr>
                            <w:rFonts w:ascii="宋体" w:hAnsi="宋体" w:cs="宋体" w:eastAsia="宋体" w:hint="default"/>
                            <w:sz w:val="18"/>
                            <w:szCs w:val="18"/>
                          </w:rPr>
                          <w:t>资助贫困学生人数</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人</w:t>
                        </w:r>
                      </w:p>
                    </w:tc>
                    <w:tc>
                      <w:tcPr>
                        <w:tcW w:w="4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217</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4.3</w:t>
                        </w:r>
                        <w:r>
                          <w:rPr>
                            <w:rFonts w:ascii="宋体" w:hAnsi="宋体" w:cs="宋体" w:eastAsia="宋体" w:hint="default"/>
                            <w:spacing w:val="-46"/>
                            <w:sz w:val="18"/>
                            <w:szCs w:val="18"/>
                          </w:rPr>
                          <w:t> </w:t>
                        </w:r>
                        <w:r>
                          <w:rPr>
                            <w:rFonts w:ascii="宋体" w:hAnsi="宋体" w:cs="宋体" w:eastAsia="宋体" w:hint="default"/>
                            <w:sz w:val="18"/>
                            <w:szCs w:val="18"/>
                          </w:rPr>
                          <w:t>改善贫困地区教育资源投入金额</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31.16</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健康扶贫</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z w:val="18"/>
                            <w:szCs w:val="18"/>
                          </w:rPr>
                          <w:t>生态保护扶贫</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z w:val="18"/>
                            <w:szCs w:val="18"/>
                          </w:rPr>
                          <w:t>兜底保障</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8.</w:t>
                        </w:r>
                        <w:r>
                          <w:rPr>
                            <w:rFonts w:ascii="宋体" w:hAnsi="宋体" w:cs="宋体" w:eastAsia="宋体" w:hint="default"/>
                            <w:sz w:val="18"/>
                            <w:szCs w:val="18"/>
                          </w:rPr>
                          <w:t>社会扶贫</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9.</w:t>
                        </w:r>
                        <w:r>
                          <w:rPr>
                            <w:rFonts w:ascii="宋体" w:hAnsi="宋体" w:cs="宋体" w:eastAsia="宋体" w:hint="default"/>
                            <w:sz w:val="18"/>
                            <w:szCs w:val="18"/>
                          </w:rPr>
                          <w:t>其他项目</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1" w:hRule="exact"/>
                    </w:trPr>
                    <w:tc>
                      <w:tcPr>
                        <w:tcW w:w="38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w:t>
                        </w:r>
                      </w:p>
                    </w:tc>
                    <w:tc>
                      <w:tcPr>
                        <w:tcW w:w="4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1652" w:hRule="exact"/>
                    </w:trPr>
                    <w:tc>
                      <w:tcPr>
                        <w:tcW w:w="9557" w:type="dxa"/>
                        <w:gridSpan w:val="3"/>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11" w:right="23"/>
                          <w:jc w:val="left"/>
                          <w:rPr>
                            <w:rFonts w:ascii="宋体" w:hAnsi="宋体" w:cs="宋体" w:eastAsia="宋体" w:hint="default"/>
                            <w:sz w:val="18"/>
                            <w:szCs w:val="18"/>
                          </w:rPr>
                        </w:pPr>
                        <w:r>
                          <w:rPr>
                            <w:rFonts w:ascii="宋体" w:hAnsi="宋体" w:cs="宋体" w:eastAsia="宋体" w:hint="default"/>
                            <w:sz w:val="18"/>
                            <w:szCs w:val="18"/>
                          </w:rPr>
                          <w:t>荣获</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年度北京市非公有制企业履行社会责任综合评价活动百家上榜单位，北京市非公企业履行社会责任综合评价活 </w:t>
                        </w:r>
                        <w:r>
                          <w:rPr>
                            <w:rFonts w:ascii="宋体" w:hAnsi="宋体" w:cs="宋体" w:eastAsia="宋体" w:hint="default"/>
                            <w:spacing w:val="-1"/>
                            <w:sz w:val="18"/>
                            <w:szCs w:val="18"/>
                          </w:rPr>
                          <w:t>动由中共北京市委社会工作委员会联合首都经济贸易大学共同开展，旨在追求自身发展的同时，自觉把社会责任和商业道</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3"/>
                            <w:sz w:val="18"/>
                            <w:szCs w:val="18"/>
                          </w:rPr>
                          <w:t>德植入核心价值观之中，以回报股东、回报员工、回报社会为己任，依法经营，诚实守信，维护国家利益，参与公益环保</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1"/>
                            <w:sz w:val="18"/>
                            <w:szCs w:val="18"/>
                          </w:rPr>
                          <w:t>在追求企业经济效益和股东利益最大化的同时，用实际行动对广大利益相关者、国家、社会、环境履行应尽责任、做出积</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极贡献。</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4）后续精准扶贫计划" w:id="102"/>
      <w:bookmarkEnd w:id="102"/>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）后续精准扶贫计划</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1" w:firstLine="480"/>
        <w:jc w:val="both"/>
      </w:pPr>
      <w:r>
        <w:rPr>
          <w:rFonts w:ascii="宋体" w:hAnsi="宋体" w:cs="宋体" w:eastAsia="宋体" w:hint="default"/>
        </w:rPr>
        <w:t>2019</w:t>
      </w:r>
      <w:r>
        <w:rPr>
          <w:rFonts w:ascii="宋体" w:hAnsi="宋体" w:cs="宋体" w:eastAsia="宋体" w:hint="default"/>
          <w:spacing w:val="-81"/>
        </w:rPr>
        <w:t> </w:t>
      </w:r>
      <w:r>
        <w:rPr/>
        <w:t>年，公司将继续加强和扶持对象的联系，及时组织参加夏令营等活动，深入实地了 解学生的实际情况，了解学生的具体需求，根据公司情况，组织力所能及的帮扶活动，履行 社会责任，帮助学生解决实际困难，确保扶贫工作有效开展。</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3、环境保护相关的情况" w:id="103"/>
      <w:bookmarkEnd w:id="103"/>
      <w:r>
        <w:rPr/>
      </w:r>
      <w:r>
        <w:rPr>
          <w:rFonts w:ascii="宋体" w:hAnsi="宋体" w:cs="宋体" w:eastAsia="宋体" w:hint="default"/>
          <w:b/>
          <w:bCs/>
          <w:sz w:val="21"/>
          <w:szCs w:val="21"/>
        </w:rPr>
        <w:t>3</w:t>
      </w:r>
      <w:r>
        <w:rPr>
          <w:rFonts w:ascii="宋体" w:hAnsi="宋体" w:cs="宋体" w:eastAsia="宋体" w:hint="default"/>
          <w:b/>
          <w:bCs/>
          <w:sz w:val="21"/>
          <w:szCs w:val="21"/>
        </w:rPr>
        <w:t>、环境保护相关的情况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25" w:lineRule="auto" w:before="133"/>
        <w:ind w:left="154" w:right="4272" w:firstLine="480"/>
        <w:jc w:val="left"/>
        <w:rPr>
          <w:rFonts w:ascii="宋体" w:hAnsi="宋体" w:cs="宋体" w:eastAsia="宋体" w:hint="default"/>
          <w:sz w:val="24"/>
          <w:szCs w:val="24"/>
        </w:rPr>
      </w:pPr>
      <w:r>
        <w:rPr>
          <w:rFonts w:ascii="宋体" w:hAnsi="宋体" w:cs="宋体" w:eastAsia="宋体" w:hint="default"/>
          <w:sz w:val="24"/>
          <w:szCs w:val="24"/>
        </w:rPr>
        <w:t>公司及子公司不属于环境保护部门公布的重点排污单位。 </w:t>
      </w:r>
      <w:bookmarkStart w:name="十八、其他重大事项的说明" w:id="104"/>
      <w:bookmarkEnd w:id="104"/>
      <w:r>
        <w:rPr>
          <w:rFonts w:ascii="宋体" w:hAnsi="宋体" w:cs="宋体" w:eastAsia="宋体" w:hint="default"/>
          <w:sz w:val="24"/>
          <w:szCs w:val="24"/>
        </w:rPr>
      </w:r>
      <w:r>
        <w:rPr>
          <w:rFonts w:ascii="宋体" w:hAnsi="宋体" w:cs="宋体" w:eastAsia="宋体" w:hint="default"/>
          <w:b/>
          <w:bCs/>
          <w:sz w:val="24"/>
          <w:szCs w:val="24"/>
        </w:rPr>
        <w:t>十八、其他重大事项的说明</w:t>
      </w:r>
      <w:r>
        <w:rPr>
          <w:rFonts w:ascii="宋体" w:hAnsi="宋体" w:cs="宋体" w:eastAsia="宋体" w:hint="default"/>
          <w:sz w:val="24"/>
          <w:szCs w:val="24"/>
        </w:rPr>
      </w:r>
    </w:p>
    <w:p>
      <w:pPr>
        <w:pStyle w:val="BodyText"/>
        <w:spacing w:line="434" w:lineRule="auto" w:before="92"/>
        <w:ind w:left="634" w:right="5472"/>
        <w:jc w:val="left"/>
      </w:pPr>
      <w:r>
        <w:rPr/>
        <w:t>□ 适用 √ 不适用 公司报告期不存在需要说明的其他重大事项。</w:t>
      </w:r>
    </w:p>
    <w:p>
      <w:pPr>
        <w:pStyle w:val="Heading2"/>
        <w:spacing w:line="240" w:lineRule="auto" w:before="180"/>
        <w:ind w:right="1092"/>
        <w:jc w:val="left"/>
        <w:rPr>
          <w:b w:val="0"/>
          <w:bCs w:val="0"/>
        </w:rPr>
      </w:pPr>
      <w:bookmarkStart w:name="十九、公司子公司重大事项" w:id="105"/>
      <w:bookmarkEnd w:id="105"/>
      <w:r>
        <w:rPr>
          <w:b w:val="0"/>
          <w:bCs w:val="0"/>
        </w:rPr>
      </w:r>
      <w:r>
        <w:rPr/>
        <w:t>十九、公司子公司重大事项</w:t>
      </w:r>
      <w:r>
        <w:rPr>
          <w:b w:val="0"/>
          <w:bCs w:val="0"/>
        </w:rPr>
      </w:r>
    </w:p>
    <w:p>
      <w:pPr>
        <w:spacing w:line="240" w:lineRule="auto" w:before="12"/>
        <w:rPr>
          <w:rFonts w:ascii="宋体" w:hAnsi="宋体" w:cs="宋体" w:eastAsia="宋体" w:hint="default"/>
          <w:b/>
          <w:bCs/>
          <w:sz w:val="28"/>
          <w:szCs w:val="28"/>
        </w:rPr>
      </w:pPr>
    </w:p>
    <w:p>
      <w:pPr>
        <w:pStyle w:val="BodyText"/>
        <w:spacing w:line="240" w:lineRule="auto"/>
        <w:ind w:left="634" w:right="1092"/>
        <w:jc w:val="left"/>
      </w:pPr>
      <w:r>
        <w:rPr/>
        <w:t>√ 适用 □ 不适用</w:t>
      </w:r>
    </w:p>
    <w:p>
      <w:pPr>
        <w:spacing w:line="240" w:lineRule="auto" w:before="4"/>
        <w:rPr>
          <w:rFonts w:ascii="宋体" w:hAnsi="宋体" w:cs="宋体" w:eastAsia="宋体" w:hint="default"/>
          <w:sz w:val="19"/>
          <w:szCs w:val="19"/>
        </w:rPr>
      </w:pPr>
    </w:p>
    <w:p>
      <w:pPr>
        <w:pStyle w:val="BodyText"/>
        <w:spacing w:line="240" w:lineRule="auto"/>
        <w:ind w:left="634" w:right="1092"/>
        <w:jc w:val="left"/>
      </w:pPr>
      <w:r>
        <w:rPr>
          <w:spacing w:val="13"/>
        </w:rPr>
        <w:t>受市场环境影响，晨之科 </w:t>
      </w:r>
      <w:r>
        <w:rPr>
          <w:rFonts w:ascii="宋体" w:hAnsi="宋体" w:cs="宋体" w:eastAsia="宋体" w:hint="default"/>
        </w:rPr>
        <w:t>2018</w:t>
      </w:r>
      <w:r>
        <w:rPr>
          <w:rFonts w:ascii="宋体" w:hAnsi="宋体" w:cs="宋体" w:eastAsia="宋体" w:hint="default"/>
          <w:spacing w:val="35"/>
        </w:rPr>
        <w:t> </w:t>
      </w:r>
      <w:r>
        <w:rPr>
          <w:spacing w:val="14"/>
        </w:rPr>
        <w:t>年度扣除非经常性损益后归属于母公司的净利润为</w:t>
      </w:r>
    </w:p>
    <w:p>
      <w:pPr>
        <w:pStyle w:val="BodyText"/>
        <w:spacing w:line="240" w:lineRule="auto" w:before="155"/>
        <w:ind w:right="1092"/>
        <w:jc w:val="left"/>
      </w:pPr>
      <w:r>
        <w:rPr>
          <w:rFonts w:ascii="宋体" w:hAnsi="宋体" w:cs="宋体" w:eastAsia="宋体" w:hint="default"/>
        </w:rPr>
        <w:t>-8,903.93</w:t>
      </w:r>
      <w:r>
        <w:rPr>
          <w:rFonts w:ascii="宋体" w:hAnsi="宋体" w:cs="宋体" w:eastAsia="宋体" w:hint="default"/>
          <w:spacing w:val="-60"/>
        </w:rPr>
        <w:t> </w:t>
      </w:r>
      <w:r>
        <w:rPr/>
        <w:t>万元，出现亏损。</w:t>
      </w:r>
    </w:p>
    <w:p>
      <w:pPr>
        <w:spacing w:after="0" w:line="240" w:lineRule="auto"/>
        <w:jc w:val="left"/>
        <w:sectPr>
          <w:pgSz w:w="11910" w:h="16840"/>
          <w:pgMar w:header="877" w:footer="979" w:top="1100" w:bottom="1160" w:left="980" w:right="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pStyle w:val="Heading1"/>
        <w:spacing w:line="240" w:lineRule="auto"/>
        <w:ind w:left="120" w:right="120"/>
        <w:jc w:val="center"/>
        <w:rPr>
          <w:b w:val="0"/>
          <w:bCs w:val="0"/>
        </w:rPr>
      </w:pPr>
      <w:bookmarkStart w:name="第六节 股份变动及股东情况" w:id="106"/>
      <w:bookmarkEnd w:id="106"/>
      <w:r>
        <w:rPr>
          <w:b w:val="0"/>
          <w:bCs w:val="0"/>
        </w:rPr>
      </w:r>
      <w:bookmarkStart w:name="_bookmark4" w:id="107"/>
      <w:bookmarkEnd w:id="107"/>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ind w:left="140" w:right="5438"/>
        <w:jc w:val="left"/>
        <w:rPr>
          <w:b w:val="0"/>
          <w:bCs w:val="0"/>
        </w:rPr>
      </w:pPr>
      <w:bookmarkStart w:name="一、股份变动情况" w:id="108"/>
      <w:bookmarkEnd w:id="108"/>
      <w:r>
        <w:rPr>
          <w:b w:val="0"/>
          <w:bCs w:val="0"/>
        </w:rPr>
      </w:r>
      <w:r>
        <w:rPr/>
        <w:t>一、股份变动情况</w:t>
      </w:r>
      <w:r>
        <w:rPr>
          <w:b w:val="0"/>
          <w:bCs w:val="0"/>
        </w:rPr>
      </w:r>
    </w:p>
    <w:p>
      <w:pPr>
        <w:spacing w:line="240" w:lineRule="auto" w:before="8"/>
        <w:rPr>
          <w:rFonts w:ascii="宋体" w:hAnsi="宋体" w:cs="宋体" w:eastAsia="宋体" w:hint="default"/>
          <w:b/>
          <w:bCs/>
          <w:sz w:val="24"/>
          <w:szCs w:val="24"/>
        </w:rPr>
      </w:pPr>
    </w:p>
    <w:p>
      <w:pPr>
        <w:spacing w:before="0"/>
        <w:ind w:left="140" w:right="5438" w:firstLine="0"/>
        <w:jc w:val="left"/>
        <w:rPr>
          <w:rFonts w:ascii="宋体" w:hAnsi="宋体" w:cs="宋体" w:eastAsia="宋体" w:hint="default"/>
          <w:sz w:val="21"/>
          <w:szCs w:val="21"/>
        </w:rPr>
      </w:pPr>
      <w:bookmarkStart w:name="1、股份变动情况" w:id="109"/>
      <w:bookmarkEnd w:id="109"/>
      <w:r>
        <w:rPr/>
      </w:r>
      <w:r>
        <w:rPr>
          <w:rFonts w:ascii="宋体" w:hAnsi="宋体" w:cs="宋体" w:eastAsia="宋体" w:hint="default"/>
          <w:b/>
          <w:bCs/>
          <w:sz w:val="21"/>
          <w:szCs w:val="21"/>
        </w:rPr>
        <w:t>1</w:t>
      </w:r>
      <w:r>
        <w:rPr>
          <w:rFonts w:ascii="宋体" w:hAnsi="宋体" w:cs="宋体" w:eastAsia="宋体" w:hint="default"/>
          <w:b/>
          <w:bCs/>
          <w:sz w:val="21"/>
          <w:szCs w:val="21"/>
        </w:rPr>
        <w:t>、股份变动情况</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36"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3238"/>
        <w:gridCol w:w="1217"/>
        <w:gridCol w:w="1205"/>
        <w:gridCol w:w="1206"/>
        <w:gridCol w:w="1202"/>
        <w:gridCol w:w="1202"/>
        <w:gridCol w:w="1202"/>
        <w:gridCol w:w="1205"/>
        <w:gridCol w:w="1163"/>
        <w:gridCol w:w="1163"/>
      </w:tblGrid>
      <w:tr>
        <w:trPr>
          <w:trHeight w:val="205" w:hRule="exact"/>
        </w:trPr>
        <w:tc>
          <w:tcPr>
            <w:tcW w:w="3238" w:type="dxa"/>
            <w:tcBorders>
              <w:top w:val="single" w:sz="4" w:space="0" w:color="000000"/>
              <w:left w:val="single" w:sz="4" w:space="0" w:color="000000"/>
              <w:bottom w:val="nil" w:sz="6" w:space="0" w:color="auto"/>
              <w:right w:val="single" w:sz="4" w:space="0" w:color="000000"/>
            </w:tcBorders>
            <w:shd w:val="clear" w:color="auto" w:fill="D2D2D2"/>
          </w:tcPr>
          <w:p>
            <w:pPr/>
          </w:p>
        </w:tc>
        <w:tc>
          <w:tcPr>
            <w:tcW w:w="242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761"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6017"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本次变动增减（＋，－）</w:t>
            </w:r>
          </w:p>
        </w:tc>
        <w:tc>
          <w:tcPr>
            <w:tcW w:w="23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70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97" w:hRule="exact"/>
        </w:trPr>
        <w:tc>
          <w:tcPr>
            <w:tcW w:w="3238" w:type="dxa"/>
            <w:vMerge w:val="restart"/>
            <w:tcBorders>
              <w:top w:val="nil" w:sz="6" w:space="0" w:color="auto"/>
              <w:left w:val="single" w:sz="4" w:space="0" w:color="000000"/>
              <w:right w:val="single" w:sz="4" w:space="0" w:color="000000"/>
            </w:tcBorders>
            <w:shd w:val="clear" w:color="auto" w:fill="D2D2D2"/>
          </w:tcPr>
          <w:p>
            <w:pPr/>
          </w:p>
        </w:tc>
        <w:tc>
          <w:tcPr>
            <w:tcW w:w="2422" w:type="dxa"/>
            <w:gridSpan w:val="2"/>
            <w:vMerge/>
            <w:tcBorders>
              <w:left w:val="single" w:sz="4" w:space="0" w:color="000000"/>
              <w:bottom w:val="single" w:sz="4" w:space="0" w:color="000000"/>
              <w:right w:val="single" w:sz="4" w:space="0" w:color="000000"/>
            </w:tcBorders>
            <w:shd w:val="clear" w:color="auto" w:fill="D2D2D2"/>
          </w:tcPr>
          <w:p>
            <w:pPr/>
          </w:p>
        </w:tc>
        <w:tc>
          <w:tcPr>
            <w:tcW w:w="6017" w:type="dxa"/>
            <w:gridSpan w:val="5"/>
            <w:vMerge/>
            <w:tcBorders>
              <w:left w:val="single" w:sz="4" w:space="0" w:color="000000"/>
              <w:bottom w:val="single" w:sz="4" w:space="0" w:color="000000"/>
              <w:right w:val="single" w:sz="4" w:space="0" w:color="000000"/>
            </w:tcBorders>
            <w:shd w:val="clear" w:color="auto" w:fill="D2D2D2"/>
          </w:tcPr>
          <w:p>
            <w:pPr/>
          </w:p>
        </w:tc>
        <w:tc>
          <w:tcPr>
            <w:tcW w:w="2326"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3238" w:type="dxa"/>
            <w:vMerge/>
            <w:tcBorders>
              <w:left w:val="single" w:sz="4" w:space="0" w:color="000000"/>
              <w:bottom w:val="nil" w:sz="6" w:space="0" w:color="auto"/>
              <w:right w:val="single" w:sz="4" w:space="0" w:color="000000"/>
            </w:tcBorders>
            <w:shd w:val="clear" w:color="auto" w:fill="D2D2D2"/>
          </w:tcPr>
          <w:p>
            <w:pPr/>
          </w:p>
        </w:tc>
        <w:tc>
          <w:tcPr>
            <w:tcW w:w="12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12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2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37"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2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2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45"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2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11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3238"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7" w:type="dxa"/>
            <w:vMerge/>
            <w:tcBorders>
              <w:left w:val="single" w:sz="4" w:space="0" w:color="000000"/>
              <w:bottom w:val="single" w:sz="4" w:space="0" w:color="000000"/>
              <w:right w:val="single" w:sz="4" w:space="0" w:color="000000"/>
            </w:tcBorders>
            <w:shd w:val="clear" w:color="auto" w:fill="D2D2D2"/>
          </w:tcPr>
          <w:p>
            <w:pPr/>
          </w:p>
        </w:tc>
        <w:tc>
          <w:tcPr>
            <w:tcW w:w="1205" w:type="dxa"/>
            <w:vMerge/>
            <w:tcBorders>
              <w:left w:val="single" w:sz="4" w:space="0" w:color="000000"/>
              <w:bottom w:val="single" w:sz="4" w:space="0" w:color="000000"/>
              <w:right w:val="single" w:sz="4" w:space="0" w:color="000000"/>
            </w:tcBorders>
            <w:shd w:val="clear" w:color="auto" w:fill="D2D2D2"/>
          </w:tcPr>
          <w:p>
            <w:pPr/>
          </w:p>
        </w:tc>
        <w:tc>
          <w:tcPr>
            <w:tcW w:w="1206"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c>
          <w:tcPr>
            <w:tcW w:w="1205" w:type="dxa"/>
            <w:vMerge/>
            <w:tcBorders>
              <w:left w:val="single" w:sz="4" w:space="0" w:color="000000"/>
              <w:bottom w:val="single" w:sz="4" w:space="0" w:color="000000"/>
              <w:right w:val="single" w:sz="4" w:space="0" w:color="000000"/>
            </w:tcBorders>
            <w:shd w:val="clear" w:color="auto" w:fill="D2D2D2"/>
          </w:tcPr>
          <w:p>
            <w:pPr/>
          </w:p>
        </w:tc>
        <w:tc>
          <w:tcPr>
            <w:tcW w:w="1163" w:type="dxa"/>
            <w:vMerge/>
            <w:tcBorders>
              <w:left w:val="single" w:sz="4" w:space="0" w:color="000000"/>
              <w:bottom w:val="single" w:sz="4" w:space="0" w:color="000000"/>
              <w:right w:val="single" w:sz="4" w:space="0" w:color="000000"/>
            </w:tcBorders>
            <w:shd w:val="clear" w:color="auto" w:fill="D2D2D2"/>
          </w:tcPr>
          <w:p>
            <w:pPr/>
          </w:p>
        </w:tc>
        <w:tc>
          <w:tcPr>
            <w:tcW w:w="116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260,501,947</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36.61%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64,020,004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-89,116,245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-25,096,241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235,405,706</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30.49%</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、国家持股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、国有法人持股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、其他内资持股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260,501,947</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36.61%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64,020,004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-89,116,245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-25,096,241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235,405,706</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30.49%</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128,100,392</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18.00%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9,809,452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-58,150,460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-48,341,008</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79,759,384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10.33%</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416"/>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132,401,555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18.61%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54,210,552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-30,965,785</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23,244,767</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155,646,322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20.16%</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、外资持股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416"/>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451,152,134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63.39%</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85,440,410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85,440,410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536,592,544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69.51%</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、人民币普通股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451,152,134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63.39%</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85,440,410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85,440,410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536,592,544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69.51%</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、境内上市的外资股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、境外上市的外资股</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2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bl>
    <w:p>
      <w:pPr>
        <w:spacing w:after="0" w:line="240" w:lineRule="auto"/>
        <w:jc w:val="right"/>
        <w:rPr>
          <w:rFonts w:ascii="宋体" w:hAnsi="宋体" w:cs="宋体" w:eastAsia="宋体" w:hint="default"/>
          <w:sz w:val="18"/>
          <w:szCs w:val="18"/>
        </w:rPr>
        <w:sectPr>
          <w:headerReference w:type="default" r:id="rId27"/>
          <w:footerReference w:type="default" r:id="rId28"/>
          <w:pgSz w:w="16840" w:h="11910" w:orient="landscape"/>
          <w:pgMar w:header="867" w:footer="979" w:top="1060" w:bottom="1160" w:left="1300" w:right="1300"/>
          <w:pgNumType w:start="83"/>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3261"/>
        <w:gridCol w:w="1206"/>
        <w:gridCol w:w="1205"/>
        <w:gridCol w:w="1206"/>
        <w:gridCol w:w="1202"/>
        <w:gridCol w:w="1202"/>
        <w:gridCol w:w="1202"/>
        <w:gridCol w:w="1205"/>
        <w:gridCol w:w="1163"/>
        <w:gridCol w:w="1163"/>
      </w:tblGrid>
      <w:tr>
        <w:trPr>
          <w:trHeight w:val="416" w:hRule="exact"/>
        </w:trPr>
        <w:tc>
          <w:tcPr>
            <w:tcW w:w="3261"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0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82" w:right="0"/>
              <w:jc w:val="left"/>
              <w:rPr>
                <w:rFonts w:ascii="宋体" w:hAnsi="宋体" w:cs="宋体" w:eastAsia="宋体" w:hint="default"/>
                <w:sz w:val="18"/>
                <w:szCs w:val="18"/>
              </w:rPr>
            </w:pPr>
            <w:r>
              <w:rPr>
                <w:rFonts w:ascii="宋体"/>
                <w:sz w:val="18"/>
              </w:rPr>
              <w:t>711,654,081</w:t>
            </w:r>
          </w:p>
        </w:tc>
        <w:tc>
          <w:tcPr>
            <w:tcW w:w="120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541" w:right="0"/>
              <w:jc w:val="left"/>
              <w:rPr>
                <w:rFonts w:ascii="宋体" w:hAnsi="宋体" w:cs="宋体" w:eastAsia="宋体" w:hint="default"/>
                <w:sz w:val="18"/>
                <w:szCs w:val="18"/>
              </w:rPr>
            </w:pPr>
            <w:r>
              <w:rPr>
                <w:rFonts w:ascii="宋体"/>
                <w:sz w:val="18"/>
              </w:rPr>
              <w:t>100.00%</w:t>
            </w:r>
          </w:p>
        </w:tc>
        <w:tc>
          <w:tcPr>
            <w:tcW w:w="120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72" w:right="0"/>
              <w:jc w:val="left"/>
              <w:rPr>
                <w:rFonts w:ascii="宋体" w:hAnsi="宋体" w:cs="宋体" w:eastAsia="宋体" w:hint="default"/>
                <w:sz w:val="18"/>
                <w:szCs w:val="18"/>
              </w:rPr>
            </w:pPr>
            <w:r>
              <w:rPr>
                <w:rFonts w:ascii="宋体"/>
                <w:sz w:val="18"/>
              </w:rPr>
              <w:t>64,020,004</w:t>
            </w:r>
          </w:p>
        </w:tc>
        <w:tc>
          <w:tcPr>
            <w:tcW w:w="120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0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120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68" w:right="0"/>
              <w:jc w:val="left"/>
              <w:rPr>
                <w:rFonts w:ascii="宋体" w:hAnsi="宋体" w:cs="宋体" w:eastAsia="宋体" w:hint="default"/>
                <w:sz w:val="18"/>
                <w:szCs w:val="18"/>
              </w:rPr>
            </w:pPr>
            <w:r>
              <w:rPr>
                <w:rFonts w:ascii="宋体"/>
                <w:sz w:val="18"/>
              </w:rPr>
              <w:t>-3,675,835</w:t>
            </w:r>
          </w:p>
        </w:tc>
        <w:tc>
          <w:tcPr>
            <w:tcW w:w="120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71" w:right="0"/>
              <w:jc w:val="left"/>
              <w:rPr>
                <w:rFonts w:ascii="宋体" w:hAnsi="宋体" w:cs="宋体" w:eastAsia="宋体" w:hint="default"/>
                <w:sz w:val="18"/>
                <w:szCs w:val="18"/>
              </w:rPr>
            </w:pPr>
            <w:r>
              <w:rPr>
                <w:rFonts w:ascii="宋体"/>
                <w:sz w:val="18"/>
              </w:rPr>
              <w:t>60,344,169</w:t>
            </w:r>
          </w:p>
        </w:tc>
        <w:tc>
          <w:tcPr>
            <w:tcW w:w="1163"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40" w:right="0"/>
              <w:jc w:val="left"/>
              <w:rPr>
                <w:rFonts w:ascii="宋体" w:hAnsi="宋体" w:cs="宋体" w:eastAsia="宋体" w:hint="default"/>
                <w:sz w:val="18"/>
                <w:szCs w:val="18"/>
              </w:rPr>
            </w:pPr>
            <w:r>
              <w:rPr>
                <w:rFonts w:ascii="宋体"/>
                <w:sz w:val="18"/>
              </w:rPr>
              <w:t>771,998,250</w:t>
            </w:r>
          </w:p>
        </w:tc>
        <w:tc>
          <w:tcPr>
            <w:tcW w:w="1163"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500" w:right="0"/>
              <w:jc w:val="left"/>
              <w:rPr>
                <w:rFonts w:ascii="宋体" w:hAnsi="宋体" w:cs="宋体" w:eastAsia="宋体" w:hint="default"/>
                <w:sz w:val="18"/>
                <w:szCs w:val="18"/>
              </w:rPr>
            </w:pPr>
            <w:r>
              <w:rPr>
                <w:rFonts w:ascii="宋体"/>
                <w:sz w:val="18"/>
              </w:rPr>
              <w:t>100.00%</w:t>
            </w:r>
          </w:p>
        </w:tc>
      </w:tr>
    </w:tbl>
    <w:p>
      <w:pPr>
        <w:spacing w:line="240" w:lineRule="auto" w:before="11"/>
        <w:rPr>
          <w:rFonts w:ascii="宋体" w:hAnsi="宋体" w:cs="宋体" w:eastAsia="宋体" w:hint="default"/>
          <w:sz w:val="8"/>
          <w:szCs w:val="8"/>
        </w:rPr>
      </w:pPr>
    </w:p>
    <w:p>
      <w:pPr>
        <w:pStyle w:val="BodyText"/>
        <w:spacing w:line="240" w:lineRule="auto" w:before="26"/>
        <w:ind w:left="620" w:right="5438"/>
        <w:jc w:val="left"/>
      </w:pPr>
      <w:r>
        <w:rPr/>
        <w:t>股份变动的原因</w:t>
      </w:r>
    </w:p>
    <w:p>
      <w:pPr>
        <w:spacing w:line="240" w:lineRule="auto" w:before="6"/>
        <w:rPr>
          <w:rFonts w:ascii="宋体" w:hAnsi="宋体" w:cs="宋体" w:eastAsia="宋体" w:hint="default"/>
          <w:sz w:val="19"/>
          <w:szCs w:val="19"/>
        </w:rPr>
      </w:pPr>
    </w:p>
    <w:p>
      <w:pPr>
        <w:pStyle w:val="BodyText"/>
        <w:spacing w:line="432" w:lineRule="auto"/>
        <w:ind w:left="620" w:right="0"/>
        <w:jc w:val="left"/>
        <w:rPr>
          <w:rFonts w:ascii="宋体" w:hAnsi="宋体" w:cs="宋体" w:eastAsia="宋体" w:hint="default"/>
        </w:rPr>
      </w:pPr>
      <w:r>
        <w:rPr/>
        <w:t>√ 适用 □ 不适用 </w:t>
      </w:r>
      <w:r>
        <w:rPr>
          <w:rFonts w:ascii="宋体" w:hAnsi="宋体" w:cs="宋体" w:eastAsia="宋体" w:hint="default"/>
        </w:rPr>
        <w:t>1</w:t>
      </w:r>
      <w:r>
        <w:rPr/>
        <w:t>、根据中国证监会《关于核准中文在线数字出版集团股份有限公司向朱明等发行股份购买资产的批复》（证监许可【</w:t>
      </w:r>
      <w:r>
        <w:rPr>
          <w:rFonts w:ascii="宋体" w:hAnsi="宋体" w:cs="宋体" w:eastAsia="宋体" w:hint="default"/>
        </w:rPr>
        <w:t>2018</w:t>
      </w:r>
      <w:r>
        <w:rPr/>
        <w:t>】</w:t>
      </w:r>
      <w:r>
        <w:rPr>
          <w:rFonts w:ascii="宋体" w:hAnsi="宋体" w:cs="宋体" w:eastAsia="宋体" w:hint="default"/>
        </w:rPr>
        <w:t>220</w:t>
      </w:r>
    </w:p>
    <w:p>
      <w:pPr>
        <w:pStyle w:val="BodyText"/>
        <w:spacing w:line="276" w:lineRule="exact"/>
        <w:ind w:left="140" w:right="0"/>
        <w:jc w:val="left"/>
      </w:pPr>
      <w:r>
        <w:rPr/>
        <w:t>号</w:t>
      </w:r>
      <w:r>
        <w:rPr>
          <w:spacing w:val="-120"/>
        </w:rPr>
        <w:t>）</w:t>
      </w:r>
      <w:r>
        <w:rPr>
          <w:spacing w:val="-28"/>
        </w:rPr>
        <w:t>，</w:t>
      </w:r>
      <w:r>
        <w:rPr/>
        <w:t>公司于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月完成了本次发行股份及支付现金购买资产暨关联交易事项</w:t>
      </w:r>
      <w:r>
        <w:rPr>
          <w:spacing w:val="-28"/>
        </w:rPr>
        <w:t>，</w:t>
      </w:r>
      <w:r>
        <w:rPr/>
        <w:t>本次新增股份数量为</w:t>
      </w:r>
      <w:r>
        <w:rPr>
          <w:spacing w:val="-60"/>
        </w:rPr>
        <w:t> </w:t>
      </w:r>
      <w:r>
        <w:rPr>
          <w:rFonts w:ascii="宋体" w:hAnsi="宋体" w:cs="宋体" w:eastAsia="宋体" w:hint="default"/>
        </w:rPr>
        <w:t>64,020,004</w:t>
      </w:r>
      <w:r>
        <w:rPr>
          <w:rFonts w:ascii="宋体" w:hAnsi="宋体" w:cs="宋体" w:eastAsia="宋体" w:hint="default"/>
          <w:spacing w:val="-60"/>
        </w:rPr>
        <w:t> </w:t>
      </w:r>
      <w:r>
        <w:rPr/>
        <w:t>股</w:t>
      </w:r>
      <w:r>
        <w:rPr>
          <w:spacing w:val="-28"/>
        </w:rPr>
        <w:t>，</w:t>
      </w:r>
      <w:r>
        <w:rPr/>
        <w:t>上市日期为</w:t>
      </w:r>
    </w:p>
    <w:p>
      <w:pPr>
        <w:pStyle w:val="BodyText"/>
        <w:spacing w:line="240" w:lineRule="auto" w:before="155"/>
        <w:ind w:left="140" w:right="5438"/>
        <w:jc w:val="left"/>
      </w:pP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29</w:t>
      </w:r>
      <w:r>
        <w:rPr>
          <w:rFonts w:ascii="宋体" w:hAnsi="宋体" w:cs="宋体" w:eastAsia="宋体" w:hint="default"/>
          <w:spacing w:val="-60"/>
        </w:rPr>
        <w:t> </w:t>
      </w:r>
      <w:r>
        <w:rPr/>
        <w:t>日；</w:t>
      </w:r>
    </w:p>
    <w:p>
      <w:pPr>
        <w:spacing w:line="240" w:lineRule="auto" w:before="5"/>
        <w:rPr>
          <w:rFonts w:ascii="宋体" w:hAnsi="宋体" w:cs="宋体" w:eastAsia="宋体" w:hint="default"/>
          <w:sz w:val="19"/>
          <w:szCs w:val="19"/>
        </w:rPr>
      </w:pPr>
    </w:p>
    <w:p>
      <w:pPr>
        <w:pStyle w:val="BodyText"/>
        <w:spacing w:line="240" w:lineRule="auto"/>
        <w:ind w:left="620" w:right="0"/>
        <w:jc w:val="left"/>
      </w:pPr>
      <w:r>
        <w:rPr>
          <w:rFonts w:ascii="宋体" w:hAnsi="宋体" w:cs="宋体" w:eastAsia="宋体" w:hint="default"/>
        </w:rPr>
        <w:t>2</w:t>
      </w:r>
      <w:r>
        <w:rPr/>
        <w:t>、公司于</w:t>
      </w:r>
      <w:r>
        <w:rPr>
          <w:spacing w:val="-54"/>
        </w:rPr>
        <w:t> </w:t>
      </w:r>
      <w:r>
        <w:rPr>
          <w:rFonts w:ascii="宋体" w:hAnsi="宋体" w:cs="宋体" w:eastAsia="宋体" w:hint="default"/>
        </w:rPr>
        <w:t>2018</w:t>
      </w:r>
      <w:r>
        <w:rPr>
          <w:rFonts w:ascii="宋体" w:hAnsi="宋体" w:cs="宋体" w:eastAsia="宋体" w:hint="default"/>
          <w:spacing w:val="-54"/>
        </w:rPr>
        <w:t> </w:t>
      </w:r>
      <w:r>
        <w:rPr/>
        <w:t>年</w:t>
      </w:r>
      <w:r>
        <w:rPr>
          <w:spacing w:val="-54"/>
        </w:rPr>
        <w:t> </w:t>
      </w:r>
      <w:r>
        <w:rPr>
          <w:rFonts w:ascii="宋体" w:hAnsi="宋体" w:cs="宋体" w:eastAsia="宋体" w:hint="default"/>
        </w:rPr>
        <w:t>4</w:t>
      </w:r>
      <w:r>
        <w:rPr>
          <w:rFonts w:ascii="宋体" w:hAnsi="宋体" w:cs="宋体" w:eastAsia="宋体" w:hint="default"/>
          <w:spacing w:val="-53"/>
        </w:rPr>
        <w:t> </w:t>
      </w:r>
      <w:r>
        <w:rPr/>
        <w:t>月</w:t>
      </w:r>
      <w:r>
        <w:rPr>
          <w:spacing w:val="-54"/>
        </w:rPr>
        <w:t> </w:t>
      </w:r>
      <w:r>
        <w:rPr>
          <w:rFonts w:ascii="宋体" w:hAnsi="宋体" w:cs="宋体" w:eastAsia="宋体" w:hint="default"/>
        </w:rPr>
        <w:t>9</w:t>
      </w:r>
      <w:r>
        <w:rPr>
          <w:rFonts w:ascii="宋体" w:hAnsi="宋体" w:cs="宋体" w:eastAsia="宋体" w:hint="default"/>
          <w:spacing w:val="-54"/>
        </w:rPr>
        <w:t> </w:t>
      </w:r>
      <w:r>
        <w:rPr/>
        <w:t>日披露了《首次公开发行前已发行股份上市流通提示性公告</w:t>
      </w:r>
      <w:r>
        <w:rPr>
          <w:spacing w:val="-120"/>
        </w:rPr>
        <w:t>》</w:t>
      </w:r>
      <w:r>
        <w:rPr/>
        <w:t>（公告编号：</w:t>
      </w:r>
      <w:r>
        <w:rPr>
          <w:rFonts w:ascii="宋体" w:hAnsi="宋体" w:cs="宋体" w:eastAsia="宋体" w:hint="default"/>
        </w:rPr>
        <w:t>2018-026</w:t>
      </w:r>
      <w:r>
        <w:rPr>
          <w:spacing w:val="-120"/>
        </w:rPr>
        <w:t>）</w:t>
      </w:r>
      <w:r>
        <w:rPr/>
        <w:t>，本次解除限售数</w:t>
      </w:r>
    </w:p>
    <w:p>
      <w:pPr>
        <w:pStyle w:val="BodyText"/>
        <w:spacing w:line="240" w:lineRule="auto" w:before="154"/>
        <w:ind w:left="140" w:right="0"/>
        <w:jc w:val="left"/>
        <w:rPr>
          <w:rFonts w:ascii="宋体" w:hAnsi="宋体" w:cs="宋体" w:eastAsia="宋体" w:hint="default"/>
        </w:rPr>
      </w:pPr>
      <w:r>
        <w:rPr/>
        <w:t>量为</w:t>
      </w:r>
      <w:r>
        <w:rPr>
          <w:spacing w:val="-68"/>
        </w:rPr>
        <w:t> </w:t>
      </w:r>
      <w:r>
        <w:rPr>
          <w:rFonts w:ascii="宋体" w:hAnsi="宋体" w:cs="宋体" w:eastAsia="宋体" w:hint="default"/>
        </w:rPr>
        <w:t>84,282,174</w:t>
      </w:r>
      <w:r>
        <w:rPr>
          <w:rFonts w:ascii="宋体" w:hAnsi="宋体" w:cs="宋体" w:eastAsia="宋体" w:hint="default"/>
          <w:spacing w:val="-68"/>
        </w:rPr>
        <w:t> </w:t>
      </w:r>
      <w:r>
        <w:rPr>
          <w:spacing w:val="-4"/>
        </w:rPr>
        <w:t>股，占公司总股本的</w:t>
      </w:r>
      <w:r>
        <w:rPr>
          <w:spacing w:val="-68"/>
        </w:rPr>
        <w:t> </w:t>
      </w:r>
      <w:r>
        <w:rPr>
          <w:rFonts w:ascii="宋体" w:hAnsi="宋体" w:cs="宋体" w:eastAsia="宋体" w:hint="default"/>
        </w:rPr>
        <w:t>10.87%</w:t>
      </w:r>
      <w:r>
        <w:rPr/>
        <w:t>；本次实际可上市流通的数量为</w:t>
      </w:r>
      <w:r>
        <w:rPr>
          <w:spacing w:val="-68"/>
        </w:rPr>
        <w:t> </w:t>
      </w:r>
      <w:r>
        <w:rPr>
          <w:rFonts w:ascii="宋体" w:hAnsi="宋体" w:cs="宋体" w:eastAsia="宋体" w:hint="default"/>
        </w:rPr>
        <w:t>84,282,174</w:t>
      </w:r>
      <w:r>
        <w:rPr>
          <w:rFonts w:ascii="宋体" w:hAnsi="宋体" w:cs="宋体" w:eastAsia="宋体" w:hint="default"/>
          <w:spacing w:val="-68"/>
        </w:rPr>
        <w:t> </w:t>
      </w:r>
      <w:r>
        <w:rPr/>
        <w:t>股。本次解除限售股份可上市流通日为</w:t>
      </w:r>
      <w:r>
        <w:rPr>
          <w:spacing w:val="-68"/>
        </w:rPr>
        <w:t> </w:t>
      </w:r>
      <w:r>
        <w:rPr>
          <w:rFonts w:ascii="宋体" w:hAnsi="宋体" w:cs="宋体" w:eastAsia="宋体" w:hint="default"/>
        </w:rPr>
        <w:t>2018</w:t>
      </w:r>
    </w:p>
    <w:p>
      <w:pPr>
        <w:pStyle w:val="BodyText"/>
        <w:spacing w:line="240" w:lineRule="auto" w:before="155"/>
        <w:ind w:left="140" w:right="5438"/>
        <w:jc w:val="left"/>
      </w:pP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16</w:t>
      </w:r>
      <w:r>
        <w:rPr>
          <w:rFonts w:ascii="宋体" w:hAnsi="宋体" w:cs="宋体" w:eastAsia="宋体" w:hint="default"/>
          <w:spacing w:val="-60"/>
        </w:rPr>
        <w:t> </w:t>
      </w:r>
      <w:r>
        <w:rPr/>
        <w:t>日；</w:t>
      </w:r>
    </w:p>
    <w:p>
      <w:pPr>
        <w:spacing w:line="240" w:lineRule="auto" w:before="4"/>
        <w:rPr>
          <w:rFonts w:ascii="宋体" w:hAnsi="宋体" w:cs="宋体" w:eastAsia="宋体" w:hint="default"/>
          <w:sz w:val="19"/>
          <w:szCs w:val="19"/>
        </w:rPr>
      </w:pPr>
    </w:p>
    <w:p>
      <w:pPr>
        <w:pStyle w:val="BodyText"/>
        <w:spacing w:line="240" w:lineRule="auto"/>
        <w:ind w:left="620" w:right="0"/>
        <w:jc w:val="left"/>
      </w:pPr>
      <w:r>
        <w:rPr>
          <w:rFonts w:ascii="宋体" w:hAnsi="宋体" w:cs="宋体" w:eastAsia="宋体" w:hint="default"/>
        </w:rPr>
        <w:t>3</w:t>
      </w:r>
      <w:r>
        <w:rPr/>
        <w:t>、公司于</w:t>
      </w:r>
      <w:r>
        <w:rPr>
          <w:spacing w:val="-54"/>
        </w:rPr>
        <w:t> </w:t>
      </w:r>
      <w:r>
        <w:rPr>
          <w:rFonts w:ascii="宋体" w:hAnsi="宋体" w:cs="宋体" w:eastAsia="宋体" w:hint="default"/>
        </w:rPr>
        <w:t>2018</w:t>
      </w:r>
      <w:r>
        <w:rPr>
          <w:rFonts w:ascii="宋体" w:hAnsi="宋体" w:cs="宋体" w:eastAsia="宋体" w:hint="default"/>
          <w:spacing w:val="-54"/>
        </w:rPr>
        <w:t> </w:t>
      </w:r>
      <w:r>
        <w:rPr/>
        <w:t>年</w:t>
      </w:r>
      <w:r>
        <w:rPr>
          <w:spacing w:val="-54"/>
        </w:rPr>
        <w:t> </w:t>
      </w:r>
      <w:r>
        <w:rPr>
          <w:rFonts w:ascii="宋体" w:hAnsi="宋体" w:cs="宋体" w:eastAsia="宋体" w:hint="default"/>
        </w:rPr>
        <w:t>5</w:t>
      </w:r>
      <w:r>
        <w:rPr>
          <w:rFonts w:ascii="宋体" w:hAnsi="宋体" w:cs="宋体" w:eastAsia="宋体" w:hint="default"/>
          <w:spacing w:val="-53"/>
        </w:rPr>
        <w:t> </w:t>
      </w:r>
      <w:r>
        <w:rPr/>
        <w:t>月</w:t>
      </w:r>
      <w:r>
        <w:rPr>
          <w:spacing w:val="-54"/>
        </w:rPr>
        <w:t> </w:t>
      </w:r>
      <w:r>
        <w:rPr>
          <w:rFonts w:ascii="宋体" w:hAnsi="宋体" w:cs="宋体" w:eastAsia="宋体" w:hint="default"/>
        </w:rPr>
        <w:t>9</w:t>
      </w:r>
      <w:r>
        <w:rPr>
          <w:rFonts w:ascii="宋体" w:hAnsi="宋体" w:cs="宋体" w:eastAsia="宋体" w:hint="default"/>
          <w:spacing w:val="-54"/>
        </w:rPr>
        <w:t> </w:t>
      </w:r>
      <w:r>
        <w:rPr/>
        <w:t>日披露了《关于第三期股票期权与限制性股票激励计划首次授予的限制性股票第二个解锁期解锁股份上</w:t>
      </w:r>
    </w:p>
    <w:p>
      <w:pPr>
        <w:pStyle w:val="BodyText"/>
        <w:spacing w:line="240" w:lineRule="auto" w:before="154"/>
        <w:ind w:left="140" w:right="0"/>
        <w:jc w:val="left"/>
      </w:pPr>
      <w:r>
        <w:rPr>
          <w:spacing w:val="8"/>
        </w:rPr>
        <w:t>市流通</w:t>
      </w:r>
      <w:r>
        <w:rPr>
          <w:spacing w:val="6"/>
        </w:rPr>
        <w:t>的</w:t>
      </w:r>
      <w:r>
        <w:rPr>
          <w:spacing w:val="8"/>
        </w:rPr>
        <w:t>提示性</w:t>
      </w:r>
      <w:r>
        <w:rPr>
          <w:spacing w:val="6"/>
        </w:rPr>
        <w:t>公</w:t>
      </w:r>
      <w:r>
        <w:rPr>
          <w:spacing w:val="8"/>
        </w:rPr>
        <w:t>告</w:t>
      </w:r>
      <w:r>
        <w:rPr>
          <w:spacing w:val="-112"/>
        </w:rPr>
        <w:t>》</w:t>
      </w:r>
      <w:r>
        <w:rPr>
          <w:spacing w:val="8"/>
        </w:rPr>
        <w:t>（公</w:t>
      </w:r>
      <w:r>
        <w:rPr>
          <w:spacing w:val="6"/>
        </w:rPr>
        <w:t>告</w:t>
      </w:r>
      <w:r>
        <w:rPr>
          <w:spacing w:val="8"/>
        </w:rPr>
        <w:t>编号</w:t>
      </w:r>
      <w:r>
        <w:rPr>
          <w:spacing w:val="12"/>
        </w:rPr>
        <w:t>：</w:t>
      </w:r>
      <w:r>
        <w:rPr>
          <w:rFonts w:ascii="宋体" w:hAnsi="宋体" w:cs="宋体" w:eastAsia="宋体" w:hint="default"/>
        </w:rPr>
        <w:t>201</w:t>
      </w:r>
      <w:r>
        <w:rPr>
          <w:rFonts w:ascii="宋体" w:hAnsi="宋体" w:cs="宋体" w:eastAsia="宋体" w:hint="default"/>
          <w:spacing w:val="-2"/>
        </w:rPr>
        <w:t>8</w:t>
      </w:r>
      <w:r>
        <w:rPr>
          <w:rFonts w:ascii="宋体" w:hAnsi="宋体" w:cs="宋体" w:eastAsia="宋体" w:hint="default"/>
        </w:rPr>
        <w:t>-04</w:t>
      </w:r>
      <w:r>
        <w:rPr>
          <w:rFonts w:ascii="宋体" w:hAnsi="宋体" w:cs="宋体" w:eastAsia="宋体" w:hint="default"/>
          <w:spacing w:val="8"/>
        </w:rPr>
        <w:t>8</w:t>
      </w:r>
      <w:r>
        <w:rPr>
          <w:spacing w:val="-112"/>
        </w:rPr>
        <w:t>）</w:t>
      </w:r>
      <w:r>
        <w:rPr>
          <w:spacing w:val="8"/>
        </w:rPr>
        <w:t>，</w:t>
      </w:r>
      <w:r>
        <w:rPr>
          <w:spacing w:val="6"/>
        </w:rPr>
        <w:t>本</w:t>
      </w:r>
      <w:r>
        <w:rPr>
          <w:spacing w:val="8"/>
        </w:rPr>
        <w:t>次解锁</w:t>
      </w:r>
      <w:r>
        <w:rPr>
          <w:spacing w:val="6"/>
        </w:rPr>
        <w:t>的</w:t>
      </w:r>
      <w:r>
        <w:rPr>
          <w:spacing w:val="8"/>
        </w:rPr>
        <w:t>限制性</w:t>
      </w:r>
      <w:r>
        <w:rPr>
          <w:spacing w:val="6"/>
        </w:rPr>
        <w:t>股</w:t>
      </w:r>
      <w:r>
        <w:rPr>
          <w:spacing w:val="8"/>
        </w:rPr>
        <w:t>票数量</w:t>
      </w:r>
      <w:r>
        <w:rPr/>
        <w:t>为</w:t>
      </w:r>
      <w:r>
        <w:rPr>
          <w:spacing w:val="10"/>
        </w:rPr>
        <w:t> </w:t>
      </w:r>
      <w:r>
        <w:rPr>
          <w:rFonts w:ascii="宋体" w:hAnsi="宋体" w:cs="宋体" w:eastAsia="宋体" w:hint="default"/>
        </w:rPr>
        <w:t>1,793,528</w:t>
      </w:r>
      <w:r>
        <w:rPr>
          <w:rFonts w:ascii="宋体" w:hAnsi="宋体" w:cs="宋体" w:eastAsia="宋体" w:hint="default"/>
          <w:spacing w:val="8"/>
        </w:rPr>
        <w:t> </w:t>
      </w:r>
      <w:r>
        <w:rPr>
          <w:spacing w:val="8"/>
        </w:rPr>
        <w:t>股，本</w:t>
      </w:r>
      <w:r>
        <w:rPr>
          <w:spacing w:val="6"/>
        </w:rPr>
        <w:t>次</w:t>
      </w:r>
      <w:r>
        <w:rPr>
          <w:spacing w:val="8"/>
        </w:rPr>
        <w:t>实际可</w:t>
      </w:r>
      <w:r>
        <w:rPr>
          <w:spacing w:val="6"/>
        </w:rPr>
        <w:t>上</w:t>
      </w:r>
      <w:r>
        <w:rPr>
          <w:spacing w:val="8"/>
        </w:rPr>
        <w:t>市流通</w:t>
      </w:r>
      <w:r>
        <w:rPr>
          <w:spacing w:val="6"/>
        </w:rPr>
        <w:t>的</w:t>
      </w:r>
      <w:r>
        <w:rPr>
          <w:spacing w:val="8"/>
        </w:rPr>
        <w:t>股份数</w:t>
      </w:r>
      <w:r>
        <w:rPr>
          <w:spacing w:val="6"/>
        </w:rPr>
        <w:t>量</w:t>
      </w:r>
      <w:r>
        <w:rPr/>
        <w:t>为</w:t>
      </w:r>
    </w:p>
    <w:p>
      <w:pPr>
        <w:pStyle w:val="BodyText"/>
        <w:spacing w:line="240" w:lineRule="auto" w:before="155"/>
        <w:ind w:left="140" w:right="5438"/>
        <w:jc w:val="left"/>
      </w:pPr>
      <w:r>
        <w:rPr>
          <w:rFonts w:ascii="宋体" w:hAnsi="宋体" w:cs="宋体" w:eastAsia="宋体" w:hint="default"/>
        </w:rPr>
        <w:t>1,634,199</w:t>
      </w:r>
      <w:r>
        <w:rPr>
          <w:rFonts w:ascii="宋体" w:hAnsi="宋体" w:cs="宋体" w:eastAsia="宋体" w:hint="default"/>
          <w:spacing w:val="-60"/>
        </w:rPr>
        <w:t> </w:t>
      </w:r>
      <w:r>
        <w:rPr/>
        <w:t>股。本次解除限售股份可上市流通日为</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11</w:t>
      </w:r>
      <w:r>
        <w:rPr>
          <w:rFonts w:ascii="宋体" w:hAnsi="宋体" w:cs="宋体" w:eastAsia="宋体" w:hint="default"/>
          <w:spacing w:val="-60"/>
        </w:rPr>
        <w:t> </w:t>
      </w:r>
      <w:r>
        <w:rPr/>
        <w:t>日；</w:t>
      </w:r>
    </w:p>
    <w:p>
      <w:pPr>
        <w:spacing w:line="240" w:lineRule="auto" w:before="4"/>
        <w:rPr>
          <w:rFonts w:ascii="宋体" w:hAnsi="宋体" w:cs="宋体" w:eastAsia="宋体" w:hint="default"/>
          <w:sz w:val="19"/>
          <w:szCs w:val="19"/>
        </w:rPr>
      </w:pPr>
    </w:p>
    <w:p>
      <w:pPr>
        <w:pStyle w:val="BodyText"/>
        <w:spacing w:line="240" w:lineRule="auto"/>
        <w:ind w:left="620" w:right="0"/>
        <w:jc w:val="left"/>
      </w:pPr>
      <w:r>
        <w:rPr>
          <w:rFonts w:ascii="宋体" w:hAnsi="宋体" w:cs="宋体" w:eastAsia="宋体" w:hint="default"/>
        </w:rPr>
        <w:t>4</w:t>
      </w:r>
      <w:r>
        <w:rPr>
          <w:spacing w:val="-17"/>
        </w:rPr>
        <w:t>、</w:t>
      </w:r>
      <w:r>
        <w:rPr/>
        <w:t>公司于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25</w:t>
      </w:r>
      <w:r>
        <w:rPr>
          <w:rFonts w:ascii="宋体" w:hAnsi="宋体" w:cs="宋体" w:eastAsia="宋体" w:hint="default"/>
          <w:spacing w:val="-60"/>
        </w:rPr>
        <w:t> </w:t>
      </w:r>
      <w:r>
        <w:rPr/>
        <w:t>日披露</w:t>
      </w:r>
      <w:r>
        <w:rPr>
          <w:spacing w:val="-17"/>
        </w:rPr>
        <w:t>了</w:t>
      </w:r>
      <w:r>
        <w:rPr/>
        <w:t>《关于已授予但尚未解锁的限制性股票回购注销完成的公告</w:t>
      </w:r>
      <w:r>
        <w:rPr>
          <w:spacing w:val="-137"/>
        </w:rPr>
        <w:t>》</w:t>
      </w:r>
      <w:r>
        <w:rPr/>
        <w:t>（公告编号</w:t>
      </w:r>
      <w:r>
        <w:rPr>
          <w:spacing w:val="-17"/>
        </w:rPr>
        <w:t>：</w:t>
      </w:r>
      <w:r>
        <w:rPr>
          <w:rFonts w:ascii="宋体" w:hAnsi="宋体" w:cs="宋体" w:eastAsia="宋体" w:hint="default"/>
        </w:rPr>
        <w:t>2018-089</w:t>
      </w:r>
      <w:r>
        <w:rPr>
          <w:spacing w:val="-120"/>
        </w:rPr>
        <w:t>）</w:t>
      </w:r>
      <w:r>
        <w:rPr>
          <w:spacing w:val="-17"/>
        </w:rPr>
        <w:t>，</w:t>
      </w:r>
      <w:r>
        <w:rPr/>
        <w:t>公司第</w:t>
      </w:r>
    </w:p>
    <w:p>
      <w:pPr>
        <w:pStyle w:val="BodyText"/>
        <w:spacing w:line="434" w:lineRule="auto" w:before="155"/>
        <w:ind w:left="620" w:right="4958" w:hanging="480"/>
        <w:jc w:val="left"/>
      </w:pPr>
      <w:r>
        <w:rPr/>
        <w:t>三期股票期权与限制性股票激励计划本次回购注销的限制性股票数量为</w:t>
      </w:r>
      <w:r>
        <w:rPr>
          <w:spacing w:val="-60"/>
        </w:rPr>
        <w:t> </w:t>
      </w:r>
      <w:r>
        <w:rPr>
          <w:rFonts w:ascii="宋体" w:hAnsi="宋体" w:cs="宋体" w:eastAsia="宋体" w:hint="default"/>
        </w:rPr>
        <w:t>3,675,835</w:t>
      </w:r>
      <w:r>
        <w:rPr>
          <w:rFonts w:ascii="宋体" w:hAnsi="宋体" w:cs="宋体" w:eastAsia="宋体" w:hint="default"/>
          <w:spacing w:val="-60"/>
        </w:rPr>
        <w:t> </w:t>
      </w:r>
      <w:r>
        <w:rPr/>
        <w:t>股。 股份变动的批准情况</w:t>
      </w:r>
    </w:p>
    <w:p>
      <w:pPr>
        <w:pStyle w:val="BodyText"/>
        <w:spacing w:line="240" w:lineRule="auto" w:before="59"/>
        <w:ind w:left="620" w:right="5438"/>
        <w:jc w:val="left"/>
      </w:pPr>
      <w:r>
        <w:rPr/>
        <w:t>√ 适用 □ 不适用</w:t>
      </w:r>
    </w:p>
    <w:p>
      <w:pPr>
        <w:spacing w:line="240" w:lineRule="auto" w:before="4"/>
        <w:rPr>
          <w:rFonts w:ascii="宋体" w:hAnsi="宋体" w:cs="宋体" w:eastAsia="宋体" w:hint="default"/>
          <w:sz w:val="19"/>
          <w:szCs w:val="19"/>
        </w:rPr>
      </w:pPr>
    </w:p>
    <w:p>
      <w:pPr>
        <w:pStyle w:val="BodyText"/>
        <w:spacing w:line="357" w:lineRule="auto"/>
        <w:ind w:left="140" w:right="121" w:firstLine="480"/>
        <w:jc w:val="left"/>
      </w:pPr>
      <w:r>
        <w:rPr/>
        <w:t>公司于</w:t>
      </w:r>
      <w:r>
        <w:rPr>
          <w:spacing w:val="-54"/>
        </w:rPr>
        <w:t> </w:t>
      </w:r>
      <w:r>
        <w:rPr>
          <w:rFonts w:ascii="宋体" w:hAnsi="宋体" w:cs="宋体" w:eastAsia="宋体" w:hint="default"/>
        </w:rPr>
        <w:t>2018</w:t>
      </w:r>
      <w:r>
        <w:rPr>
          <w:rFonts w:ascii="宋体" w:hAnsi="宋体" w:cs="宋体" w:eastAsia="宋体" w:hint="default"/>
          <w:spacing w:val="-54"/>
        </w:rPr>
        <w:t> </w:t>
      </w:r>
      <w:r>
        <w:rPr/>
        <w:t>年</w:t>
      </w:r>
      <w:r>
        <w:rPr>
          <w:spacing w:val="-54"/>
        </w:rPr>
        <w:t> </w:t>
      </w:r>
      <w:r>
        <w:rPr>
          <w:rFonts w:ascii="宋体" w:hAnsi="宋体" w:cs="宋体" w:eastAsia="宋体" w:hint="default"/>
        </w:rPr>
        <w:t>2</w:t>
      </w:r>
      <w:r>
        <w:rPr>
          <w:rFonts w:ascii="宋体" w:hAnsi="宋体" w:cs="宋体" w:eastAsia="宋体" w:hint="default"/>
          <w:spacing w:val="-54"/>
        </w:rPr>
        <w:t> </w:t>
      </w:r>
      <w:r>
        <w:rPr/>
        <w:t>月</w:t>
      </w:r>
      <w:r>
        <w:rPr>
          <w:spacing w:val="-54"/>
        </w:rPr>
        <w:t> </w:t>
      </w:r>
      <w:r>
        <w:rPr>
          <w:rFonts w:ascii="宋体" w:hAnsi="宋体" w:cs="宋体" w:eastAsia="宋体" w:hint="default"/>
        </w:rPr>
        <w:t>1</w:t>
      </w:r>
      <w:r>
        <w:rPr>
          <w:rFonts w:ascii="宋体" w:hAnsi="宋体" w:cs="宋体" w:eastAsia="宋体" w:hint="default"/>
          <w:spacing w:val="-53"/>
        </w:rPr>
        <w:t> </w:t>
      </w:r>
      <w:r>
        <w:rPr/>
        <w:t>日收到中国证监会《关于核准中文在线数字出版集团股份有限公司向朱明等发行股份购买资产的批复</w:t>
      </w:r>
      <w:r>
        <w:rPr>
          <w:spacing w:val="-120"/>
        </w:rPr>
        <w:t>》</w:t>
      </w:r>
      <w:r>
        <w:rPr/>
        <w:t>（证</w:t>
      </w:r>
      <w:r>
        <w:rPr/>
        <w:t> 监许可【</w:t>
      </w:r>
      <w:r>
        <w:rPr>
          <w:rFonts w:ascii="宋体" w:hAnsi="宋体" w:cs="宋体" w:eastAsia="宋体" w:hint="default"/>
        </w:rPr>
        <w:t>2018</w:t>
      </w:r>
      <w:r>
        <w:rPr/>
        <w:t>】</w:t>
      </w:r>
      <w:r>
        <w:rPr>
          <w:rFonts w:ascii="宋体" w:hAnsi="宋体" w:cs="宋体" w:eastAsia="宋体" w:hint="default"/>
        </w:rPr>
        <w:t>220</w:t>
      </w:r>
      <w:r>
        <w:rPr>
          <w:rFonts w:ascii="宋体" w:hAnsi="宋体" w:cs="宋体" w:eastAsia="宋体" w:hint="default"/>
          <w:spacing w:val="-60"/>
        </w:rPr>
        <w:t> </w:t>
      </w:r>
      <w:r>
        <w:rPr/>
        <w:t>号</w:t>
      </w:r>
      <w:r>
        <w:rPr>
          <w:spacing w:val="-120"/>
        </w:rPr>
        <w:t>）</w:t>
      </w:r>
      <w:r>
        <w:rPr/>
        <w:t>，核准公司向朱明等发行</w:t>
      </w:r>
      <w:r>
        <w:rPr>
          <w:spacing w:val="-60"/>
        </w:rPr>
        <w:t> </w:t>
      </w:r>
      <w:r>
        <w:rPr>
          <w:rFonts w:ascii="宋体" w:hAnsi="宋体" w:cs="宋体" w:eastAsia="宋体" w:hint="default"/>
        </w:rPr>
        <w:t>64,020,004</w:t>
      </w:r>
      <w:r>
        <w:rPr>
          <w:rFonts w:ascii="宋体" w:hAnsi="宋体" w:cs="宋体" w:eastAsia="宋体" w:hint="default"/>
          <w:spacing w:val="-60"/>
        </w:rPr>
        <w:t> </w:t>
      </w:r>
      <w:r>
        <w:rPr/>
        <w:t>股股份购买相关资产。</w:t>
      </w:r>
    </w:p>
    <w:p>
      <w:pPr>
        <w:spacing w:after="0" w:line="357" w:lineRule="auto"/>
        <w:jc w:val="left"/>
        <w:sectPr>
          <w:pgSz w:w="16840" w:h="11910" w:orient="landscape"/>
          <w:pgMar w:header="867" w:footer="979" w:top="1060" w:bottom="1160" w:left="1300" w:right="130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50"/>
        <w:ind w:left="620" w:right="0"/>
        <w:jc w:val="left"/>
      </w:pPr>
      <w:r>
        <w:rPr/>
        <w:t>股份变动的过户情况</w:t>
      </w:r>
    </w:p>
    <w:p>
      <w:pPr>
        <w:spacing w:line="240" w:lineRule="auto" w:before="5"/>
        <w:rPr>
          <w:rFonts w:ascii="宋体" w:hAnsi="宋体" w:cs="宋体" w:eastAsia="宋体" w:hint="default"/>
          <w:sz w:val="19"/>
          <w:szCs w:val="19"/>
        </w:rPr>
      </w:pPr>
    </w:p>
    <w:p>
      <w:pPr>
        <w:pStyle w:val="BodyText"/>
        <w:spacing w:line="434" w:lineRule="auto"/>
        <w:ind w:left="620" w:right="101"/>
        <w:jc w:val="left"/>
      </w:pPr>
      <w:r>
        <w:rPr/>
        <w:t>√ 适用 □ 不适用 </w:t>
      </w:r>
      <w:r>
        <w:rPr>
          <w:spacing w:val="-3"/>
        </w:rPr>
        <w:t>根据中国证监会《关于核准中文在线数字出版集团股份有限公司向朱明等发行股份购买资产的批复》（证监许可【</w:t>
      </w:r>
      <w:r>
        <w:rPr>
          <w:rFonts w:ascii="宋体" w:hAnsi="宋体" w:cs="宋体" w:eastAsia="宋体" w:hint="default"/>
          <w:spacing w:val="-3"/>
        </w:rPr>
        <w:t>2018</w:t>
      </w:r>
      <w:r>
        <w:rPr>
          <w:spacing w:val="-3"/>
        </w:rPr>
        <w:t>】</w:t>
      </w:r>
      <w:r>
        <w:rPr>
          <w:rFonts w:ascii="宋体" w:hAnsi="宋体" w:cs="宋体" w:eastAsia="宋体" w:hint="default"/>
          <w:spacing w:val="-3"/>
        </w:rPr>
        <w:t>220</w:t>
      </w:r>
      <w:r>
        <w:rPr>
          <w:rFonts w:ascii="宋体" w:hAnsi="宋体" w:cs="宋体" w:eastAsia="宋体" w:hint="default"/>
          <w:spacing w:val="-29"/>
        </w:rPr>
        <w:t> </w:t>
      </w:r>
      <w:r>
        <w:rPr>
          <w:spacing w:val="-40"/>
        </w:rPr>
        <w:t>号），</w:t>
      </w:r>
    </w:p>
    <w:p>
      <w:pPr>
        <w:pStyle w:val="BodyText"/>
        <w:spacing w:line="274" w:lineRule="exact"/>
        <w:ind w:left="140" w:right="0"/>
        <w:jc w:val="left"/>
      </w:pPr>
      <w:r>
        <w:rPr/>
        <w:t>公司于</w:t>
      </w:r>
      <w:r>
        <w:rPr>
          <w:spacing w:val="-65"/>
        </w:rPr>
        <w:t> </w:t>
      </w:r>
      <w:r>
        <w:rPr>
          <w:rFonts w:ascii="宋体" w:hAnsi="宋体" w:cs="宋体" w:eastAsia="宋体" w:hint="default"/>
        </w:rPr>
        <w:t>2018</w:t>
      </w:r>
      <w:r>
        <w:rPr>
          <w:rFonts w:ascii="宋体" w:hAnsi="宋体" w:cs="宋体" w:eastAsia="宋体" w:hint="default"/>
          <w:spacing w:val="-65"/>
        </w:rPr>
        <w:t> </w:t>
      </w:r>
      <w:r>
        <w:rPr/>
        <w:t>年</w:t>
      </w:r>
      <w:r>
        <w:rPr>
          <w:spacing w:val="-65"/>
        </w:rPr>
        <w:t> </w:t>
      </w:r>
      <w:r>
        <w:rPr>
          <w:rFonts w:ascii="宋体" w:hAnsi="宋体" w:cs="宋体" w:eastAsia="宋体" w:hint="default"/>
        </w:rPr>
        <w:t>3</w:t>
      </w:r>
      <w:r>
        <w:rPr>
          <w:rFonts w:ascii="宋体" w:hAnsi="宋体" w:cs="宋体" w:eastAsia="宋体" w:hint="default"/>
          <w:spacing w:val="-65"/>
        </w:rPr>
        <w:t> </w:t>
      </w:r>
      <w:r>
        <w:rPr/>
        <w:t>月完成了本次发行股份及支付现金购买资产暨关联交易事项，本次新增股份数量为</w:t>
      </w:r>
      <w:r>
        <w:rPr>
          <w:spacing w:val="-65"/>
        </w:rPr>
        <w:t> </w:t>
      </w:r>
      <w:r>
        <w:rPr>
          <w:rFonts w:ascii="宋体" w:hAnsi="宋体" w:cs="宋体" w:eastAsia="宋体" w:hint="default"/>
        </w:rPr>
        <w:t>64,020,004</w:t>
      </w:r>
      <w:r>
        <w:rPr>
          <w:rFonts w:ascii="宋体" w:hAnsi="宋体" w:cs="宋体" w:eastAsia="宋体" w:hint="default"/>
          <w:spacing w:val="-65"/>
        </w:rPr>
        <w:t> </w:t>
      </w:r>
      <w:r>
        <w:rPr>
          <w:spacing w:val="-7"/>
        </w:rPr>
        <w:t>股，公司已于</w:t>
      </w:r>
      <w:r>
        <w:rPr>
          <w:spacing w:val="-65"/>
        </w:rPr>
        <w:t> </w:t>
      </w:r>
      <w:r>
        <w:rPr>
          <w:rFonts w:ascii="宋体" w:hAnsi="宋体" w:cs="宋体" w:eastAsia="宋体" w:hint="default"/>
        </w:rPr>
        <w:t>2018</w:t>
      </w:r>
      <w:r>
        <w:rPr>
          <w:rFonts w:ascii="宋体" w:hAnsi="宋体" w:cs="宋体" w:eastAsia="宋体" w:hint="default"/>
          <w:spacing w:val="-65"/>
        </w:rPr>
        <w:t> </w:t>
      </w:r>
      <w:r>
        <w:rPr/>
        <w:t>年</w:t>
      </w:r>
    </w:p>
    <w:p>
      <w:pPr>
        <w:pStyle w:val="BodyText"/>
        <w:spacing w:line="240" w:lineRule="auto" w:before="154"/>
        <w:ind w:left="140" w:right="0"/>
        <w:jc w:val="left"/>
      </w:pPr>
      <w:r>
        <w:rPr>
          <w:rFonts w:ascii="宋体" w:hAnsi="宋体" w:cs="宋体" w:eastAsia="宋体" w:hint="default"/>
        </w:rPr>
        <w:t>3</w:t>
      </w:r>
      <w:r>
        <w:rPr>
          <w:rFonts w:ascii="宋体" w:hAnsi="宋体" w:cs="宋体" w:eastAsia="宋体" w:hint="default"/>
          <w:spacing w:val="-63"/>
        </w:rPr>
        <w:t> </w:t>
      </w:r>
      <w:r>
        <w:rPr/>
        <w:t>月</w:t>
      </w:r>
      <w:r>
        <w:rPr>
          <w:spacing w:val="-63"/>
        </w:rPr>
        <w:t> </w:t>
      </w:r>
      <w:r>
        <w:rPr>
          <w:rFonts w:ascii="宋体" w:hAnsi="宋体" w:cs="宋体" w:eastAsia="宋体" w:hint="default"/>
        </w:rPr>
        <w:t>12</w:t>
      </w:r>
      <w:r>
        <w:rPr>
          <w:rFonts w:ascii="宋体" w:hAnsi="宋体" w:cs="宋体" w:eastAsia="宋体" w:hint="default"/>
          <w:spacing w:val="-63"/>
        </w:rPr>
        <w:t> </w:t>
      </w:r>
      <w:r>
        <w:rPr/>
        <w:t>日就本次发行股份购买资产新增股份向中国证券登记结算有限责任公司深圳分公司提交相关登记材料，并于</w:t>
      </w:r>
      <w:r>
        <w:rPr>
          <w:spacing w:val="-63"/>
        </w:rPr>
        <w:t> </w:t>
      </w:r>
      <w:r>
        <w:rPr>
          <w:rFonts w:ascii="宋体" w:hAnsi="宋体" w:cs="宋体" w:eastAsia="宋体" w:hint="default"/>
        </w:rPr>
        <w:t>2018</w:t>
      </w:r>
      <w:r>
        <w:rPr>
          <w:rFonts w:ascii="宋体" w:hAnsi="宋体" w:cs="宋体" w:eastAsia="宋体" w:hint="default"/>
          <w:spacing w:val="-63"/>
        </w:rPr>
        <w:t> </w:t>
      </w:r>
      <w:r>
        <w:rPr/>
        <w:t>年</w:t>
      </w:r>
      <w:r>
        <w:rPr>
          <w:spacing w:val="-63"/>
        </w:rPr>
        <w:t> </w:t>
      </w:r>
      <w:r>
        <w:rPr>
          <w:rFonts w:ascii="宋体" w:hAnsi="宋体" w:cs="宋体" w:eastAsia="宋体" w:hint="default"/>
        </w:rPr>
        <w:t>3</w:t>
      </w:r>
      <w:r>
        <w:rPr>
          <w:rFonts w:ascii="宋体" w:hAnsi="宋体" w:cs="宋体" w:eastAsia="宋体" w:hint="default"/>
          <w:spacing w:val="-63"/>
        </w:rPr>
        <w:t> </w:t>
      </w:r>
      <w:r>
        <w:rPr/>
        <w:t>月</w:t>
      </w:r>
      <w:r>
        <w:rPr>
          <w:spacing w:val="-63"/>
        </w:rPr>
        <w:t> </w:t>
      </w:r>
      <w:r>
        <w:rPr>
          <w:rFonts w:ascii="宋体" w:hAnsi="宋体" w:cs="宋体" w:eastAsia="宋体" w:hint="default"/>
        </w:rPr>
        <w:t>15</w:t>
      </w:r>
      <w:r>
        <w:rPr>
          <w:rFonts w:ascii="宋体" w:hAnsi="宋体" w:cs="宋体" w:eastAsia="宋体" w:hint="default"/>
          <w:spacing w:val="-63"/>
        </w:rPr>
        <w:t> </w:t>
      </w:r>
      <w:r>
        <w:rPr/>
        <w:t>日</w:t>
      </w:r>
    </w:p>
    <w:p>
      <w:pPr>
        <w:pStyle w:val="BodyText"/>
        <w:spacing w:line="240" w:lineRule="auto" w:before="154"/>
        <w:ind w:left="140" w:right="0"/>
        <w:jc w:val="left"/>
        <w:rPr>
          <w:rFonts w:ascii="宋体" w:hAnsi="宋体" w:cs="宋体" w:eastAsia="宋体" w:hint="default"/>
        </w:rPr>
      </w:pPr>
      <w:r>
        <w:rPr/>
        <w:t>收到中国证券登记结算有限责任公司深圳分公司出具的《股份登记申请受理确认书》等相关资料，本次新增股份上市日期为</w:t>
      </w:r>
      <w:r>
        <w:rPr>
          <w:spacing w:val="-68"/>
        </w:rPr>
        <w:t> </w:t>
      </w:r>
      <w:r>
        <w:rPr>
          <w:rFonts w:ascii="宋体" w:hAnsi="宋体" w:cs="宋体" w:eastAsia="宋体" w:hint="default"/>
        </w:rPr>
        <w:t>2018</w:t>
      </w:r>
      <w:r>
        <w:rPr>
          <w:rFonts w:ascii="宋体" w:hAnsi="宋体" w:cs="宋体" w:eastAsia="宋体" w:hint="default"/>
          <w:spacing w:val="-68"/>
        </w:rPr>
        <w:t> </w:t>
      </w:r>
      <w:r>
        <w:rPr/>
        <w:t>年</w:t>
      </w:r>
      <w:r>
        <w:rPr>
          <w:spacing w:val="-68"/>
        </w:rPr>
        <w:t> </w:t>
      </w:r>
      <w:r>
        <w:rPr>
          <w:rFonts w:ascii="宋体" w:hAnsi="宋体" w:cs="宋体" w:eastAsia="宋体" w:hint="default"/>
        </w:rPr>
        <w:t>3</w:t>
      </w:r>
    </w:p>
    <w:p>
      <w:pPr>
        <w:pStyle w:val="BodyText"/>
        <w:spacing w:line="240" w:lineRule="auto" w:before="155"/>
        <w:ind w:left="140" w:right="0"/>
        <w:jc w:val="left"/>
      </w:pPr>
      <w:r>
        <w:rPr/>
        <w:t>月</w:t>
      </w:r>
      <w:r>
        <w:rPr>
          <w:spacing w:val="-60"/>
        </w:rPr>
        <w:t> </w:t>
      </w:r>
      <w:r>
        <w:rPr>
          <w:rFonts w:ascii="宋体" w:hAnsi="宋体" w:cs="宋体" w:eastAsia="宋体" w:hint="default"/>
        </w:rPr>
        <w:t>29</w:t>
      </w:r>
      <w:r>
        <w:rPr>
          <w:rFonts w:ascii="宋体" w:hAnsi="宋体" w:cs="宋体" w:eastAsia="宋体" w:hint="default"/>
          <w:spacing w:val="-60"/>
        </w:rPr>
        <w:t> </w:t>
      </w:r>
      <w:r>
        <w:rPr/>
        <w:t>日。</w:t>
      </w:r>
    </w:p>
    <w:p>
      <w:pPr>
        <w:spacing w:line="240" w:lineRule="auto" w:before="5"/>
        <w:rPr>
          <w:rFonts w:ascii="宋体" w:hAnsi="宋体" w:cs="宋体" w:eastAsia="宋体" w:hint="default"/>
          <w:sz w:val="19"/>
          <w:szCs w:val="19"/>
        </w:rPr>
      </w:pPr>
    </w:p>
    <w:p>
      <w:pPr>
        <w:pStyle w:val="BodyText"/>
        <w:spacing w:line="240" w:lineRule="auto"/>
        <w:ind w:left="620" w:right="0"/>
        <w:jc w:val="left"/>
      </w:pPr>
      <w:r>
        <w:rPr/>
        <w:t>股份回购的实施进展情况</w:t>
      </w:r>
    </w:p>
    <w:p>
      <w:pPr>
        <w:spacing w:line="240" w:lineRule="auto" w:before="5"/>
        <w:rPr>
          <w:rFonts w:ascii="宋体" w:hAnsi="宋体" w:cs="宋体" w:eastAsia="宋体" w:hint="default"/>
          <w:sz w:val="19"/>
          <w:szCs w:val="19"/>
        </w:rPr>
      </w:pPr>
    </w:p>
    <w:p>
      <w:pPr>
        <w:pStyle w:val="BodyText"/>
        <w:spacing w:line="434" w:lineRule="auto"/>
        <w:ind w:left="620" w:right="8658"/>
        <w:jc w:val="left"/>
      </w:pPr>
      <w:r>
        <w:rPr/>
        <w:t>□ 适用 √ 不适用 采用集中竞价方式减持回购股份的实施进展情况</w:t>
      </w:r>
    </w:p>
    <w:p>
      <w:pPr>
        <w:pStyle w:val="BodyText"/>
        <w:spacing w:line="434" w:lineRule="auto" w:before="59"/>
        <w:ind w:left="620" w:right="1218"/>
        <w:jc w:val="left"/>
      </w:pPr>
      <w:r>
        <w:rPr/>
        <w:t>□ 适用 √ 不适用 股份变动对最近一年和最近一期基本每股收益和稀释每股收益、归属于公司普通股股东的每股净资产等财务指标的影响</w:t>
      </w:r>
    </w:p>
    <w:p>
      <w:pPr>
        <w:pStyle w:val="BodyText"/>
        <w:spacing w:line="434" w:lineRule="auto" w:before="60"/>
        <w:ind w:left="620" w:right="8418"/>
        <w:jc w:val="left"/>
      </w:pPr>
      <w:r>
        <w:rPr/>
        <w:t>□ 适用 √ 不适用 公司认为必要或证券监管机构要求披露的其他内容</w:t>
      </w:r>
    </w:p>
    <w:p>
      <w:pPr>
        <w:pStyle w:val="BodyText"/>
        <w:spacing w:line="240" w:lineRule="auto" w:before="59"/>
        <w:ind w:left="620" w:right="0"/>
        <w:jc w:val="left"/>
      </w:pPr>
      <w:r>
        <w:rPr/>
        <w:t>□ 适用 √ 不适用</w:t>
      </w:r>
    </w:p>
    <w:p>
      <w:pPr>
        <w:spacing w:line="240" w:lineRule="auto" w:before="6"/>
        <w:rPr>
          <w:rFonts w:ascii="宋体" w:hAnsi="宋体" w:cs="宋体" w:eastAsia="宋体" w:hint="default"/>
          <w:sz w:val="30"/>
          <w:szCs w:val="30"/>
        </w:rPr>
      </w:pPr>
    </w:p>
    <w:p>
      <w:pPr>
        <w:spacing w:before="0"/>
        <w:ind w:left="140" w:right="0" w:firstLine="0"/>
        <w:jc w:val="left"/>
        <w:rPr>
          <w:rFonts w:ascii="宋体" w:hAnsi="宋体" w:cs="宋体" w:eastAsia="宋体" w:hint="default"/>
          <w:sz w:val="21"/>
          <w:szCs w:val="21"/>
        </w:rPr>
      </w:pPr>
      <w:bookmarkStart w:name="2、限售股份变动情况" w:id="110"/>
      <w:bookmarkEnd w:id="110"/>
      <w:r>
        <w:rPr/>
      </w:r>
      <w:r>
        <w:rPr>
          <w:rFonts w:ascii="宋体" w:hAnsi="宋体" w:cs="宋体" w:eastAsia="宋体" w:hint="default"/>
          <w:b/>
          <w:bCs/>
          <w:sz w:val="21"/>
          <w:szCs w:val="21"/>
        </w:rPr>
        <w:t>2</w:t>
      </w:r>
      <w:r>
        <w:rPr>
          <w:rFonts w:ascii="宋体" w:hAnsi="宋体" w:cs="宋体" w:eastAsia="宋体" w:hint="default"/>
          <w:b/>
          <w:bCs/>
          <w:sz w:val="21"/>
          <w:szCs w:val="21"/>
        </w:rPr>
        <w:t>、限售股份变动情况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20" w:right="0"/>
        <w:jc w:val="left"/>
      </w:pPr>
      <w:r>
        <w:rPr/>
        <w:t>√ 适用 □ 不适用</w:t>
      </w:r>
    </w:p>
    <w:p>
      <w:pPr>
        <w:spacing w:after="0" w:line="240" w:lineRule="auto"/>
        <w:jc w:val="left"/>
        <w:sectPr>
          <w:pgSz w:w="16840" w:h="11910" w:orient="landscape"/>
          <w:pgMar w:header="867" w:footer="979" w:top="1060" w:bottom="1160" w:left="1300" w:right="1200"/>
        </w:sectPr>
      </w:pPr>
    </w:p>
    <w:p>
      <w:pPr>
        <w:spacing w:line="240" w:lineRule="auto" w:before="12"/>
        <w:rPr>
          <w:rFonts w:ascii="宋体" w:hAnsi="宋体" w:cs="宋体" w:eastAsia="宋体" w:hint="default"/>
          <w:sz w:val="2"/>
          <w:szCs w:val="2"/>
        </w:rPr>
      </w:pPr>
      <w:r>
        <w:rPr/>
        <w:pict>
          <v:group style="position:absolute;margin-left:239.240005pt;margin-top:407.910004pt;width:53.9pt;height:27.95pt;mso-position-horizontal-relative:page;mso-position-vertical-relative:page;z-index:-1153624" coordorigin="4785,8158" coordsize="1078,559">
            <v:group style="position:absolute;left:4796;top:8170;width:2;height:392" coordorigin="4796,8170" coordsize="2,392">
              <v:shape style="position:absolute;left:4796;top:8170;width:2;height:392" coordorigin="4796,8170" coordsize="0,392" path="m4796,8170l4796,8561e" filled="false" stroked="true" strokeweight="1.140pt" strokecolor="#ffffff">
                <v:path arrowok="t"/>
              </v:shape>
            </v:group>
            <v:group style="position:absolute;left:4785;top:8561;width:1078;height:156" coordorigin="4785,8561" coordsize="1078,156">
              <v:shape style="position:absolute;left:4785;top:8561;width:1078;height:156" coordorigin="4785,8561" coordsize="1078,156" path="m4785,8717l5862,8717,5862,8561,4785,8561,4785,8717xe" filled="true" fillcolor="#ffffff" stroked="false">
                <v:path arrowok="t"/>
                <v:fill type="solid"/>
              </v:shape>
            </v:group>
            <v:group style="position:absolute;left:4808;top:8170;width:1032;height:392" coordorigin="4808,8170" coordsize="1032,392">
              <v:shape style="position:absolute;left:4808;top:8170;width:1032;height:392" coordorigin="4808,8170" coordsize="1032,392" path="m4808,8561l5840,8561,5840,8170,4808,8170,4808,8561xe" filled="true" fillcolor="#ffffff" stroked="false">
                <v:path arrowok="t"/>
                <v:fill type="solid"/>
              </v:shape>
            </v:group>
            <w10:wrap type="none"/>
          </v:group>
        </w:pict>
      </w: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before="20"/>
        <w:ind w:left="0" w:right="136"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3368"/>
        <w:gridCol w:w="1087"/>
        <w:gridCol w:w="1210"/>
        <w:gridCol w:w="1208"/>
        <w:gridCol w:w="1089"/>
        <w:gridCol w:w="1423"/>
        <w:gridCol w:w="4630"/>
      </w:tblGrid>
      <w:tr>
        <w:trPr>
          <w:trHeight w:val="714"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0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48" w:right="86"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1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19" w:right="59"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2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18" w:right="59" w:hanging="360"/>
              <w:jc w:val="left"/>
              <w:rPr>
                <w:rFonts w:ascii="宋体" w:hAnsi="宋体" w:cs="宋体" w:eastAsia="宋体" w:hint="default"/>
                <w:sz w:val="18"/>
                <w:szCs w:val="18"/>
              </w:rPr>
            </w:pPr>
            <w:r>
              <w:rPr>
                <w:rFonts w:ascii="宋体" w:hAnsi="宋体" w:cs="宋体" w:eastAsia="宋体" w:hint="default"/>
                <w:sz w:val="18"/>
                <w:szCs w:val="18"/>
              </w:rPr>
              <w:t>本期增加限售 股数</w:t>
            </w:r>
          </w:p>
        </w:tc>
        <w:tc>
          <w:tcPr>
            <w:tcW w:w="1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49" w:right="88" w:hanging="361"/>
              <w:jc w:val="left"/>
              <w:rPr>
                <w:rFonts w:ascii="宋体" w:hAnsi="宋体" w:cs="宋体" w:eastAsia="宋体" w:hint="default"/>
                <w:sz w:val="18"/>
                <w:szCs w:val="18"/>
              </w:rPr>
            </w:pPr>
            <w:r>
              <w:rPr>
                <w:rFonts w:ascii="宋体" w:hAnsi="宋体" w:cs="宋体" w:eastAsia="宋体" w:hint="default"/>
                <w:sz w:val="18"/>
                <w:szCs w:val="18"/>
              </w:rPr>
              <w:t>期末限售股 数</w:t>
            </w:r>
          </w:p>
        </w:tc>
        <w:tc>
          <w:tcPr>
            <w:tcW w:w="1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4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1026"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111,379,416</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11,137,941</w:t>
            </w:r>
          </w:p>
        </w:tc>
        <w:tc>
          <w:tcPr>
            <w:tcW w:w="1208"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2"/>
              <w:jc w:val="right"/>
              <w:rPr>
                <w:rFonts w:ascii="宋体" w:hAnsi="宋体" w:cs="宋体" w:eastAsia="宋体" w:hint="default"/>
                <w:sz w:val="18"/>
                <w:szCs w:val="18"/>
              </w:rPr>
            </w:pPr>
            <w:r>
              <w:rPr>
                <w:rFonts w:ascii="宋体"/>
                <w:sz w:val="18"/>
              </w:rPr>
              <w:t>100,241,475</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首发前限售股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z w:val="18"/>
                <w:szCs w:val="18"/>
              </w:rPr>
              <w:t>22</w:t>
            </w:r>
            <w:r>
              <w:rPr>
                <w:rFonts w:ascii="宋体" w:hAnsi="宋体" w:cs="宋体" w:eastAsia="宋体" w:hint="default"/>
                <w:spacing w:val="-43"/>
                <w:sz w:val="18"/>
                <w:szCs w:val="18"/>
              </w:rPr>
              <w:t> </w:t>
            </w:r>
            <w:r>
              <w:rPr>
                <w:rFonts w:ascii="宋体" w:hAnsi="宋体" w:cs="宋体" w:eastAsia="宋体" w:hint="default"/>
                <w:spacing w:val="-4"/>
                <w:sz w:val="18"/>
                <w:szCs w:val="18"/>
              </w:rPr>
              <w:t>日限售期届满，在限售期届满之日起两年内</w:t>
            </w:r>
            <w:r>
              <w:rPr>
                <w:rFonts w:ascii="宋体" w:hAnsi="宋体" w:cs="宋体" w:eastAsia="宋体" w:hint="default"/>
                <w:sz w:val="18"/>
                <w:szCs w:val="18"/>
              </w:rPr>
              <w:t> 减持直接持有的中文在线股份数量合计不超过其持有的中 文在线股份的</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z w:val="18"/>
                <w:szCs w:val="18"/>
              </w:rPr>
              <w:t>。</w:t>
            </w:r>
          </w:p>
        </w:tc>
      </w:tr>
      <w:tr>
        <w:trPr>
          <w:trHeight w:val="71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北京启迪华创投资咨询有限公司</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77,812,774</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33,041,965</w:t>
            </w:r>
          </w:p>
        </w:tc>
        <w:tc>
          <w:tcPr>
            <w:tcW w:w="1208"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44,770,809</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首发前限售股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z w:val="18"/>
                <w:szCs w:val="18"/>
              </w:rPr>
              <w:t>22</w:t>
            </w:r>
            <w:r>
              <w:rPr>
                <w:rFonts w:ascii="宋体" w:hAnsi="宋体" w:cs="宋体" w:eastAsia="宋体" w:hint="default"/>
                <w:spacing w:val="-43"/>
                <w:sz w:val="18"/>
                <w:szCs w:val="18"/>
              </w:rPr>
              <w:t> </w:t>
            </w:r>
            <w:r>
              <w:rPr>
                <w:rFonts w:ascii="宋体" w:hAnsi="宋体" w:cs="宋体" w:eastAsia="宋体" w:hint="default"/>
                <w:spacing w:val="-4"/>
                <w:sz w:val="18"/>
                <w:szCs w:val="18"/>
              </w:rPr>
              <w:t>日限售期届满，在限售期届满后，根据首发</w:t>
            </w:r>
            <w:r>
              <w:rPr>
                <w:rFonts w:ascii="宋体" w:hAnsi="宋体" w:cs="宋体" w:eastAsia="宋体" w:hint="default"/>
                <w:sz w:val="18"/>
                <w:szCs w:val="18"/>
              </w:rPr>
              <w:t> 前限售承诺，分三年按照一定比例解除限售。</w:t>
            </w:r>
          </w:p>
        </w:tc>
      </w:tr>
      <w:tr>
        <w:trPr>
          <w:trHeight w:val="71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建水文睿企业管理有限公司</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41,965,205</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16,786,082</w:t>
            </w:r>
          </w:p>
        </w:tc>
        <w:tc>
          <w:tcPr>
            <w:tcW w:w="1208"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25,179,123</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首发前限售股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z w:val="18"/>
                <w:szCs w:val="18"/>
              </w:rPr>
              <w:t>22</w:t>
            </w:r>
            <w:r>
              <w:rPr>
                <w:rFonts w:ascii="宋体" w:hAnsi="宋体" w:cs="宋体" w:eastAsia="宋体" w:hint="default"/>
                <w:spacing w:val="-43"/>
                <w:sz w:val="18"/>
                <w:szCs w:val="18"/>
              </w:rPr>
              <w:t> </w:t>
            </w:r>
            <w:r>
              <w:rPr>
                <w:rFonts w:ascii="宋体" w:hAnsi="宋体" w:cs="宋体" w:eastAsia="宋体" w:hint="default"/>
                <w:spacing w:val="-4"/>
                <w:sz w:val="18"/>
                <w:szCs w:val="18"/>
              </w:rPr>
              <w:t>日限售期届满，在限售期届满后，根据首发</w:t>
            </w:r>
            <w:r>
              <w:rPr>
                <w:rFonts w:ascii="宋体" w:hAnsi="宋体" w:cs="宋体" w:eastAsia="宋体" w:hint="default"/>
                <w:sz w:val="18"/>
                <w:szCs w:val="18"/>
              </w:rPr>
              <w:t> 前限售承诺，分三年按照一定比例解除限售。</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王秋虎</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14,993,773</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14,993,773</w:t>
            </w:r>
          </w:p>
        </w:tc>
        <w:tc>
          <w:tcPr>
            <w:tcW w:w="1208"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首发前限售股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71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3"/>
              <w:jc w:val="left"/>
              <w:rPr>
                <w:rFonts w:ascii="宋体" w:hAnsi="宋体" w:cs="宋体" w:eastAsia="宋体" w:hint="default"/>
                <w:sz w:val="18"/>
                <w:szCs w:val="18"/>
              </w:rPr>
            </w:pPr>
            <w:r>
              <w:rPr>
                <w:rFonts w:ascii="宋体" w:hAnsi="宋体" w:cs="宋体" w:eastAsia="宋体" w:hint="default"/>
                <w:sz w:val="18"/>
                <w:szCs w:val="18"/>
              </w:rPr>
              <w:t>浙江华睿海越现代服务业创业投资有限公 司</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8,322,413</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8,322,413</w:t>
            </w:r>
          </w:p>
        </w:tc>
        <w:tc>
          <w:tcPr>
            <w:tcW w:w="1208"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首发前限售股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朱明</w:t>
            </w:r>
          </w:p>
        </w:tc>
        <w:tc>
          <w:tcPr>
            <w:tcW w:w="108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50,509,831</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50,509,831</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上海海通数媒创业投资管理中心</w:t>
            </w:r>
          </w:p>
        </w:tc>
        <w:tc>
          <w:tcPr>
            <w:tcW w:w="108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3,843,868</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3,843,868</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71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深圳朗泽稳健一号产学研投资合伙企业</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08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2,835,576</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2,835,576</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71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3"/>
              <w:jc w:val="left"/>
              <w:rPr>
                <w:rFonts w:ascii="宋体" w:hAnsi="宋体" w:cs="宋体" w:eastAsia="宋体" w:hint="default"/>
                <w:sz w:val="18"/>
                <w:szCs w:val="18"/>
              </w:rPr>
            </w:pPr>
            <w:r>
              <w:rPr>
                <w:rFonts w:ascii="宋体" w:hAnsi="宋体" w:cs="宋体" w:eastAsia="宋体" w:hint="default"/>
                <w:sz w:val="18"/>
                <w:szCs w:val="18"/>
              </w:rPr>
              <w:t>上海贝琛网森创业投资合伙企业（有限合 伙）</w:t>
            </w:r>
          </w:p>
        </w:tc>
        <w:tc>
          <w:tcPr>
            <w:tcW w:w="108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2,682,260</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2,682,260</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71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93"/>
              <w:jc w:val="left"/>
              <w:rPr>
                <w:rFonts w:ascii="宋体" w:hAnsi="宋体" w:cs="宋体" w:eastAsia="宋体" w:hint="default"/>
                <w:sz w:val="18"/>
                <w:szCs w:val="18"/>
              </w:rPr>
            </w:pPr>
            <w:r>
              <w:rPr>
                <w:rFonts w:ascii="宋体" w:hAnsi="宋体" w:cs="宋体" w:eastAsia="宋体" w:hint="default"/>
                <w:sz w:val="18"/>
                <w:szCs w:val="18"/>
              </w:rPr>
              <w:t>山南优美缔投资咨询管理有限公司－上海 优美缔股权投资基金合伙企业（有限合伙</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25" w:right="0"/>
              <w:jc w:val="left"/>
              <w:rPr>
                <w:rFonts w:ascii="宋体" w:hAnsi="宋体" w:cs="宋体" w:eastAsia="宋体" w:hint="default"/>
                <w:sz w:val="18"/>
                <w:szCs w:val="18"/>
              </w:rPr>
            </w:pPr>
            <w:r>
              <w:rPr>
                <w:rFonts w:ascii="宋体" w:hAnsi="宋体" w:cs="宋体" w:eastAsia="宋体" w:hint="default"/>
                <w:sz w:val="18"/>
                <w:szCs w:val="18"/>
              </w:rPr>
              <w:t>）</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1,672,716</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1,672,716</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王小川</w:t>
            </w:r>
          </w:p>
        </w:tc>
        <w:tc>
          <w:tcPr>
            <w:tcW w:w="108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1,060,232</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1,060,232</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孙宝娟</w:t>
            </w:r>
          </w:p>
        </w:tc>
        <w:tc>
          <w:tcPr>
            <w:tcW w:w="108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967,773</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967,773</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上海国鸿智臻投资合伙企业（有限合伙）</w:t>
            </w:r>
          </w:p>
        </w:tc>
        <w:tc>
          <w:tcPr>
            <w:tcW w:w="1087"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447,748</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447,748</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谢广才</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595,980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595,980</w:t>
            </w:r>
          </w:p>
        </w:tc>
        <w:tc>
          <w:tcPr>
            <w:tcW w:w="1208"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该部分股票目前已由公司回购注销</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3368"/>
        <w:gridCol w:w="1087"/>
        <w:gridCol w:w="1210"/>
        <w:gridCol w:w="1208"/>
        <w:gridCol w:w="1089"/>
        <w:gridCol w:w="1423"/>
        <w:gridCol w:w="4630"/>
      </w:tblGrid>
      <w:tr>
        <w:trPr>
          <w:trHeight w:val="416" w:hRule="exact"/>
        </w:trPr>
        <w:tc>
          <w:tcPr>
            <w:tcW w:w="336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张帆</w:t>
            </w:r>
          </w:p>
        </w:tc>
        <w:tc>
          <w:tcPr>
            <w:tcW w:w="108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297,990</w:t>
            </w:r>
          </w:p>
        </w:tc>
        <w:tc>
          <w:tcPr>
            <w:tcW w:w="121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297,990</w:t>
            </w:r>
          </w:p>
        </w:tc>
        <w:tc>
          <w:tcPr>
            <w:tcW w:w="1208" w:type="dxa"/>
            <w:tcBorders>
              <w:top w:val="single" w:sz="15" w:space="0" w:color="000000"/>
              <w:left w:val="single" w:sz="4" w:space="0" w:color="000000"/>
              <w:bottom w:val="single" w:sz="4" w:space="0" w:color="000000"/>
              <w:right w:val="single" w:sz="4" w:space="0" w:color="000000"/>
            </w:tcBorders>
          </w:tcPr>
          <w:p>
            <w:pPr/>
          </w:p>
        </w:tc>
        <w:tc>
          <w:tcPr>
            <w:tcW w:w="1089" w:type="dxa"/>
            <w:tcBorders>
              <w:top w:val="single" w:sz="15" w:space="0" w:color="000000"/>
              <w:left w:val="single" w:sz="4" w:space="0" w:color="000000"/>
              <w:bottom w:val="single" w:sz="4" w:space="0" w:color="000000"/>
              <w:right w:val="single" w:sz="4" w:space="0" w:color="000000"/>
            </w:tcBorders>
          </w:tcPr>
          <w:p>
            <w:pPr/>
          </w:p>
        </w:tc>
        <w:tc>
          <w:tcPr>
            <w:tcW w:w="1423"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463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297,991</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297,991</w:t>
            </w:r>
          </w:p>
        </w:tc>
        <w:tc>
          <w:tcPr>
            <w:tcW w:w="1208"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其他激励对象（共</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6"/>
                <w:sz w:val="18"/>
                <w:szCs w:val="18"/>
              </w:rPr>
              <w:t> </w:t>
            </w:r>
            <w:r>
              <w:rPr>
                <w:rFonts w:ascii="宋体" w:hAnsi="宋体" w:cs="宋体" w:eastAsia="宋体" w:hint="default"/>
                <w:sz w:val="18"/>
                <w:szCs w:val="18"/>
              </w:rPr>
              <w:t>人）</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4,277,402</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4,277,402</w:t>
            </w:r>
          </w:p>
        </w:tc>
        <w:tc>
          <w:tcPr>
            <w:tcW w:w="1208"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714"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谢广才</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148,994</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297,992</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446,986</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董监高每年转让的股份不得超过其所持本公司股份总数的 </w:t>
            </w:r>
            <w:r>
              <w:rPr>
                <w:rFonts w:ascii="宋体" w:hAnsi="宋体" w:cs="宋体" w:eastAsia="宋体" w:hint="default"/>
                <w:sz w:val="18"/>
                <w:szCs w:val="18"/>
              </w:rPr>
              <w:t>25%</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张帆</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74,499</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148,994</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223,493</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74,498</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148,994</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223,492</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其他已离职高管锁定股</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261,012</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39,312</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300,324</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4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260,501,947</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89,751,537</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64,655,296</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235,405,706</w:t>
            </w:r>
          </w:p>
        </w:tc>
        <w:tc>
          <w:tcPr>
            <w:tcW w:w="1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4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r>
    </w:tbl>
    <w:p>
      <w:pPr>
        <w:spacing w:line="240" w:lineRule="auto" w:before="2"/>
        <w:rPr>
          <w:rFonts w:ascii="宋体" w:hAnsi="宋体" w:cs="宋体" w:eastAsia="宋体" w:hint="default"/>
          <w:sz w:val="18"/>
          <w:szCs w:val="18"/>
        </w:rPr>
      </w:pPr>
    </w:p>
    <w:p>
      <w:pPr>
        <w:pStyle w:val="Heading2"/>
        <w:spacing w:line="240" w:lineRule="auto"/>
        <w:ind w:left="140" w:right="0"/>
        <w:jc w:val="left"/>
        <w:rPr>
          <w:b w:val="0"/>
          <w:bCs w:val="0"/>
        </w:rPr>
      </w:pPr>
      <w:bookmarkStart w:name="二、证券发行与上市情况" w:id="111"/>
      <w:bookmarkEnd w:id="111"/>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spacing w:before="0"/>
        <w:ind w:left="140" w:right="0" w:firstLine="0"/>
        <w:jc w:val="left"/>
        <w:rPr>
          <w:rFonts w:ascii="宋体" w:hAnsi="宋体" w:cs="宋体" w:eastAsia="宋体" w:hint="default"/>
          <w:sz w:val="21"/>
          <w:szCs w:val="21"/>
        </w:rPr>
      </w:pPr>
      <w:bookmarkStart w:name="1、报告期内证券发行（不含优先股）情况" w:id="112"/>
      <w:bookmarkEnd w:id="112"/>
      <w:r>
        <w:rPr/>
      </w:r>
      <w:r>
        <w:rPr>
          <w:rFonts w:ascii="宋体" w:hAnsi="宋体" w:cs="宋体" w:eastAsia="宋体" w:hint="default"/>
          <w:b/>
          <w:bCs/>
          <w:sz w:val="21"/>
          <w:szCs w:val="21"/>
        </w:rPr>
        <w:t>1</w:t>
      </w:r>
      <w:r>
        <w:rPr>
          <w:rFonts w:ascii="宋体" w:hAnsi="宋体" w:cs="宋体" w:eastAsia="宋体" w:hint="default"/>
          <w:b/>
          <w:bCs/>
          <w:sz w:val="21"/>
          <w:szCs w:val="21"/>
        </w:rPr>
        <w:t>、报告期内证券发行（不含优先股）情况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20" w:right="0"/>
        <w:jc w:val="left"/>
      </w:pPr>
      <w:r>
        <w:rPr/>
        <w:t>√ 适用 □ 不适用</w:t>
      </w:r>
    </w:p>
    <w:p>
      <w:pPr>
        <w:spacing w:line="240" w:lineRule="auto" w:before="4"/>
        <w:rPr>
          <w:rFonts w:ascii="宋体" w:hAnsi="宋体" w:cs="宋体" w:eastAsia="宋体"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2069"/>
        <w:gridCol w:w="2293"/>
        <w:gridCol w:w="1499"/>
        <w:gridCol w:w="1898"/>
        <w:gridCol w:w="2419"/>
        <w:gridCol w:w="2076"/>
        <w:gridCol w:w="1761"/>
      </w:tblGrid>
      <w:tr>
        <w:trPr>
          <w:trHeight w:val="402" w:hRule="exact"/>
        </w:trPr>
        <w:tc>
          <w:tcPr>
            <w:tcW w:w="2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股票及其衍生证券名称</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80"/>
              <w:jc w:val="right"/>
              <w:rPr>
                <w:rFonts w:ascii="宋体" w:hAnsi="宋体" w:cs="宋体" w:eastAsia="宋体" w:hint="default"/>
                <w:sz w:val="18"/>
                <w:szCs w:val="18"/>
              </w:rPr>
            </w:pPr>
            <w:r>
              <w:rPr>
                <w:rFonts w:ascii="宋体" w:hAnsi="宋体" w:cs="宋体" w:eastAsia="宋体" w:hint="default"/>
                <w:sz w:val="18"/>
                <w:szCs w:val="18"/>
              </w:rPr>
              <w:t>发行日期</w:t>
            </w:r>
          </w:p>
        </w:tc>
        <w:tc>
          <w:tcPr>
            <w:tcW w:w="14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发行价</w:t>
            </w:r>
            <w:r>
              <w:rPr>
                <w:rFonts w:ascii="宋体" w:hAnsi="宋体" w:cs="宋体" w:eastAsia="宋体" w:hint="default"/>
                <w:spacing w:val="-87"/>
                <w:sz w:val="18"/>
                <w:szCs w:val="18"/>
              </w:rPr>
              <w:t>格</w:t>
            </w:r>
            <w:r>
              <w:rPr>
                <w:rFonts w:ascii="宋体" w:hAnsi="宋体" w:cs="宋体" w:eastAsia="宋体" w:hint="default"/>
                <w:sz w:val="18"/>
                <w:szCs w:val="18"/>
              </w:rPr>
              <w:t>（或</w:t>
            </w:r>
            <w:r>
              <w:rPr>
                <w:rFonts w:ascii="宋体" w:hAnsi="宋体" w:cs="宋体" w:eastAsia="宋体" w:hint="default"/>
                <w:spacing w:val="-2"/>
                <w:sz w:val="18"/>
                <w:szCs w:val="18"/>
              </w:rPr>
              <w:t>利</w:t>
            </w:r>
            <w:r>
              <w:rPr>
                <w:rFonts w:ascii="宋体" w:hAnsi="宋体" w:cs="宋体" w:eastAsia="宋体" w:hint="default"/>
                <w:sz w:val="18"/>
                <w:szCs w:val="18"/>
              </w:rPr>
              <w:t>率</w:t>
            </w:r>
          </w:p>
        </w:tc>
        <w:tc>
          <w:tcPr>
            <w:tcW w:w="1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583" w:val="left" w:leader="none"/>
              </w:tabs>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tab/>
              <w:t>发行数量</w:t>
            </w:r>
          </w:p>
        </w:tc>
        <w:tc>
          <w:tcPr>
            <w:tcW w:w="2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43" w:right="0"/>
              <w:jc w:val="left"/>
              <w:rPr>
                <w:rFonts w:ascii="宋体" w:hAnsi="宋体" w:cs="宋体" w:eastAsia="宋体" w:hint="default"/>
                <w:sz w:val="18"/>
                <w:szCs w:val="18"/>
              </w:rPr>
            </w:pPr>
            <w:r>
              <w:rPr>
                <w:rFonts w:ascii="宋体" w:hAnsi="宋体" w:cs="宋体" w:eastAsia="宋体" w:hint="default"/>
                <w:sz w:val="18"/>
                <w:szCs w:val="18"/>
              </w:rPr>
              <w:t>上市日期</w:t>
            </w:r>
          </w:p>
        </w:tc>
        <w:tc>
          <w:tcPr>
            <w:tcW w:w="2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3" w:right="0"/>
              <w:jc w:val="left"/>
              <w:rPr>
                <w:rFonts w:ascii="宋体" w:hAnsi="宋体" w:cs="宋体" w:eastAsia="宋体" w:hint="default"/>
                <w:sz w:val="18"/>
                <w:szCs w:val="18"/>
              </w:rPr>
            </w:pPr>
            <w:r>
              <w:rPr>
                <w:rFonts w:ascii="宋体" w:hAnsi="宋体" w:cs="宋体" w:eastAsia="宋体" w:hint="default"/>
                <w:sz w:val="18"/>
                <w:szCs w:val="18"/>
              </w:rPr>
              <w:t>获准上市交易数量</w:t>
            </w:r>
          </w:p>
        </w:tc>
        <w:tc>
          <w:tcPr>
            <w:tcW w:w="1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5" w:right="0"/>
              <w:jc w:val="left"/>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02" w:hRule="exact"/>
        </w:trPr>
        <w:tc>
          <w:tcPr>
            <w:tcW w:w="14015"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402"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300364</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74"/>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4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15.98</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w:t>
            </w:r>
          </w:p>
        </w:tc>
        <w:tc>
          <w:tcPr>
            <w:tcW w:w="1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39" w:right="0"/>
              <w:jc w:val="left"/>
              <w:rPr>
                <w:rFonts w:ascii="宋体" w:hAnsi="宋体" w:cs="宋体" w:eastAsia="宋体" w:hint="default"/>
                <w:sz w:val="18"/>
                <w:szCs w:val="18"/>
              </w:rPr>
            </w:pPr>
            <w:r>
              <w:rPr>
                <w:rFonts w:ascii="宋体" w:hAnsi="宋体" w:cs="宋体" w:eastAsia="宋体" w:hint="default"/>
                <w:sz w:val="18"/>
                <w:szCs w:val="18"/>
              </w:rPr>
              <w:t>64,020,004</w:t>
            </w:r>
            <w:r>
              <w:rPr>
                <w:rFonts w:ascii="宋体" w:hAnsi="宋体" w:cs="宋体" w:eastAsia="宋体" w:hint="default"/>
                <w:spacing w:val="-46"/>
                <w:sz w:val="18"/>
                <w:szCs w:val="18"/>
              </w:rPr>
              <w:t> </w:t>
            </w:r>
            <w:r>
              <w:rPr>
                <w:rFonts w:ascii="宋体" w:hAnsi="宋体" w:cs="宋体" w:eastAsia="宋体" w:hint="default"/>
                <w:sz w:val="18"/>
                <w:szCs w:val="18"/>
              </w:rPr>
              <w:t>股</w:t>
            </w:r>
          </w:p>
        </w:tc>
        <w:tc>
          <w:tcPr>
            <w:tcW w:w="2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1"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19" w:right="0"/>
              <w:jc w:val="left"/>
              <w:rPr>
                <w:rFonts w:ascii="宋体" w:hAnsi="宋体" w:cs="宋体" w:eastAsia="宋体" w:hint="default"/>
                <w:sz w:val="18"/>
                <w:szCs w:val="18"/>
              </w:rPr>
            </w:pPr>
            <w:r>
              <w:rPr>
                <w:rFonts w:ascii="宋体" w:hAnsi="宋体" w:cs="宋体" w:eastAsia="宋体" w:hint="default"/>
                <w:sz w:val="18"/>
                <w:szCs w:val="18"/>
              </w:rPr>
              <w:t>64,020,004</w:t>
            </w:r>
            <w:r>
              <w:rPr>
                <w:rFonts w:ascii="宋体" w:hAnsi="宋体" w:cs="宋体" w:eastAsia="宋体" w:hint="default"/>
                <w:spacing w:val="-46"/>
                <w:sz w:val="18"/>
                <w:szCs w:val="18"/>
              </w:rPr>
              <w:t> </w:t>
            </w:r>
            <w:r>
              <w:rPr>
                <w:rFonts w:ascii="宋体" w:hAnsi="宋体" w:cs="宋体" w:eastAsia="宋体" w:hint="default"/>
                <w:sz w:val="18"/>
                <w:szCs w:val="18"/>
              </w:rPr>
              <w:t>股</w:t>
            </w:r>
          </w:p>
        </w:tc>
        <w:tc>
          <w:tcPr>
            <w:tcW w:w="1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bl>
    <w:p>
      <w:pPr>
        <w:spacing w:line="240" w:lineRule="auto" w:before="11"/>
        <w:rPr>
          <w:rFonts w:ascii="宋体" w:hAnsi="宋体" w:cs="宋体" w:eastAsia="宋体" w:hint="default"/>
          <w:sz w:val="8"/>
          <w:szCs w:val="8"/>
        </w:rPr>
      </w:pPr>
    </w:p>
    <w:p>
      <w:pPr>
        <w:pStyle w:val="BodyText"/>
        <w:spacing w:line="434" w:lineRule="auto" w:before="26"/>
        <w:ind w:left="620" w:right="101"/>
        <w:jc w:val="left"/>
      </w:pPr>
      <w:r>
        <w:rPr/>
        <w:t>报告期内证券发行（不含优先股）情况的说明 </w:t>
      </w:r>
      <w:r>
        <w:rPr>
          <w:spacing w:val="-3"/>
        </w:rPr>
        <w:t>根据中国证监会《关于核准中文在线数字出版集团股份有限公司向朱明等发行股份购买资产的批复》（证监许可【</w:t>
      </w:r>
      <w:r>
        <w:rPr>
          <w:rFonts w:ascii="宋体" w:hAnsi="宋体" w:cs="宋体" w:eastAsia="宋体" w:hint="default"/>
          <w:spacing w:val="-3"/>
        </w:rPr>
        <w:t>2018</w:t>
      </w:r>
      <w:r>
        <w:rPr>
          <w:spacing w:val="-3"/>
        </w:rPr>
        <w:t>】</w:t>
      </w:r>
      <w:r>
        <w:rPr>
          <w:rFonts w:ascii="宋体" w:hAnsi="宋体" w:cs="宋体" w:eastAsia="宋体" w:hint="default"/>
          <w:spacing w:val="-3"/>
        </w:rPr>
        <w:t>220</w:t>
      </w:r>
      <w:r>
        <w:rPr>
          <w:rFonts w:ascii="宋体" w:hAnsi="宋体" w:cs="宋体" w:eastAsia="宋体" w:hint="default"/>
          <w:spacing w:val="-29"/>
        </w:rPr>
        <w:t> </w:t>
      </w:r>
      <w:r>
        <w:rPr>
          <w:spacing w:val="-40"/>
        </w:rPr>
        <w:t>号），</w:t>
      </w:r>
    </w:p>
    <w:p>
      <w:pPr>
        <w:pStyle w:val="BodyText"/>
        <w:spacing w:line="274" w:lineRule="exact"/>
        <w:ind w:left="140" w:right="0"/>
        <w:jc w:val="left"/>
        <w:rPr>
          <w:rFonts w:ascii="宋体" w:hAnsi="宋体" w:cs="宋体" w:eastAsia="宋体" w:hint="default"/>
        </w:rPr>
      </w:pPr>
      <w:r>
        <w:rPr/>
        <w:t>公司于</w:t>
      </w:r>
      <w:r>
        <w:rPr>
          <w:spacing w:val="-64"/>
        </w:rPr>
        <w:t> </w:t>
      </w:r>
      <w:r>
        <w:rPr>
          <w:rFonts w:ascii="宋体" w:hAnsi="宋体" w:cs="宋体" w:eastAsia="宋体" w:hint="default"/>
        </w:rPr>
        <w:t>2018</w:t>
      </w:r>
      <w:r>
        <w:rPr>
          <w:rFonts w:ascii="宋体" w:hAnsi="宋体" w:cs="宋体" w:eastAsia="宋体" w:hint="default"/>
          <w:spacing w:val="-64"/>
        </w:rPr>
        <w:t> </w:t>
      </w:r>
      <w:r>
        <w:rPr/>
        <w:t>年</w:t>
      </w:r>
      <w:r>
        <w:rPr>
          <w:spacing w:val="-64"/>
        </w:rPr>
        <w:t> </w:t>
      </w:r>
      <w:r>
        <w:rPr>
          <w:rFonts w:ascii="宋体" w:hAnsi="宋体" w:cs="宋体" w:eastAsia="宋体" w:hint="default"/>
        </w:rPr>
        <w:t>3</w:t>
      </w:r>
      <w:r>
        <w:rPr>
          <w:rFonts w:ascii="宋体" w:hAnsi="宋体" w:cs="宋体" w:eastAsia="宋体" w:hint="default"/>
          <w:spacing w:val="-64"/>
        </w:rPr>
        <w:t> </w:t>
      </w:r>
      <w:r>
        <w:rPr/>
        <w:t>月完成了本次发行股份及支付现金购买资产暨关联交易事项，本次新增股份数量为</w:t>
      </w:r>
      <w:r>
        <w:rPr>
          <w:spacing w:val="-64"/>
        </w:rPr>
        <w:t> </w:t>
      </w:r>
      <w:r>
        <w:rPr>
          <w:rFonts w:ascii="宋体" w:hAnsi="宋体" w:cs="宋体" w:eastAsia="宋体" w:hint="default"/>
        </w:rPr>
        <w:t>64,020,004</w:t>
      </w:r>
      <w:r>
        <w:rPr>
          <w:rFonts w:ascii="宋体" w:hAnsi="宋体" w:cs="宋体" w:eastAsia="宋体" w:hint="default"/>
          <w:spacing w:val="-64"/>
        </w:rPr>
        <w:t> </w:t>
      </w:r>
      <w:r>
        <w:rPr/>
        <w:t>股，上市日期为</w:t>
      </w:r>
      <w:r>
        <w:rPr>
          <w:spacing w:val="-64"/>
        </w:rPr>
        <w:t> </w:t>
      </w:r>
      <w:r>
        <w:rPr>
          <w:rFonts w:ascii="宋体" w:hAnsi="宋体" w:cs="宋体" w:eastAsia="宋体" w:hint="default"/>
        </w:rPr>
        <w:t>2018</w:t>
      </w:r>
    </w:p>
    <w:p>
      <w:pPr>
        <w:pStyle w:val="BodyText"/>
        <w:spacing w:line="240" w:lineRule="auto" w:before="155"/>
        <w:ind w:left="140" w:right="0"/>
        <w:jc w:val="left"/>
      </w:pP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29</w:t>
      </w:r>
      <w:r>
        <w:rPr>
          <w:rFonts w:ascii="宋体" w:hAnsi="宋体" w:cs="宋体" w:eastAsia="宋体" w:hint="default"/>
          <w:spacing w:val="-60"/>
        </w:rPr>
        <w:t> </w:t>
      </w:r>
      <w:r>
        <w:rPr/>
        <w:t>日。</w:t>
      </w:r>
    </w:p>
    <w:p>
      <w:pPr>
        <w:spacing w:after="0" w:line="240" w:lineRule="auto"/>
        <w:jc w:val="left"/>
        <w:sectPr>
          <w:pgSz w:w="16840" w:h="11910" w:orient="landscape"/>
          <w:pgMar w:header="867" w:footer="979" w:top="1060" w:bottom="1160" w:left="1300" w:right="120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before="0"/>
        <w:ind w:left="140" w:right="5438" w:firstLine="0"/>
        <w:jc w:val="left"/>
        <w:rPr>
          <w:rFonts w:ascii="宋体" w:hAnsi="宋体" w:cs="宋体" w:eastAsia="宋体" w:hint="default"/>
          <w:sz w:val="21"/>
          <w:szCs w:val="21"/>
        </w:rPr>
      </w:pPr>
      <w:bookmarkStart w:name="2、公司股份总数及股东结构的变动、公司资产和负债结构的变动情况说明" w:id="113"/>
      <w:bookmarkEnd w:id="113"/>
      <w:r>
        <w:rPr/>
      </w:r>
      <w:r>
        <w:rPr>
          <w:rFonts w:ascii="宋体" w:hAnsi="宋体" w:cs="宋体" w:eastAsia="宋体" w:hint="default"/>
          <w:b/>
          <w:bCs/>
          <w:sz w:val="21"/>
          <w:szCs w:val="21"/>
        </w:rPr>
        <w:t>2</w:t>
      </w:r>
      <w:r>
        <w:rPr>
          <w:rFonts w:ascii="宋体" w:hAnsi="宋体" w:cs="宋体" w:eastAsia="宋体" w:hint="default"/>
          <w:b/>
          <w:bCs/>
          <w:sz w:val="21"/>
          <w:szCs w:val="21"/>
        </w:rPr>
        <w:t>、公司股份总数及股东结构的变动、公司资产和负债结构的变动情况说明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20" w:right="5438"/>
        <w:jc w:val="left"/>
      </w:pPr>
      <w:r>
        <w:rPr/>
        <w:t>□ 适用 √ 不适用</w:t>
      </w:r>
    </w:p>
    <w:p>
      <w:pPr>
        <w:spacing w:line="240" w:lineRule="auto" w:before="5"/>
        <w:rPr>
          <w:rFonts w:ascii="宋体" w:hAnsi="宋体" w:cs="宋体" w:eastAsia="宋体" w:hint="default"/>
          <w:sz w:val="30"/>
          <w:szCs w:val="30"/>
        </w:rPr>
      </w:pPr>
    </w:p>
    <w:p>
      <w:pPr>
        <w:spacing w:before="0"/>
        <w:ind w:left="140" w:right="5438" w:firstLine="0"/>
        <w:jc w:val="left"/>
        <w:rPr>
          <w:rFonts w:ascii="宋体" w:hAnsi="宋体" w:cs="宋体" w:eastAsia="宋体" w:hint="default"/>
          <w:sz w:val="21"/>
          <w:szCs w:val="21"/>
        </w:rPr>
      </w:pPr>
      <w:bookmarkStart w:name="3、现存的内部职工股情况" w:id="114"/>
      <w:bookmarkEnd w:id="114"/>
      <w:r>
        <w:rPr/>
      </w:r>
      <w:r>
        <w:rPr>
          <w:rFonts w:ascii="宋体" w:hAnsi="宋体" w:cs="宋体" w:eastAsia="宋体" w:hint="default"/>
          <w:b/>
          <w:bCs/>
          <w:sz w:val="21"/>
          <w:szCs w:val="21"/>
        </w:rPr>
        <w:t>3</w:t>
      </w:r>
      <w:r>
        <w:rPr>
          <w:rFonts w:ascii="宋体" w:hAnsi="宋体" w:cs="宋体" w:eastAsia="宋体" w:hint="default"/>
          <w:b/>
          <w:bCs/>
          <w:sz w:val="21"/>
          <w:szCs w:val="21"/>
        </w:rPr>
        <w:t>、现存的内部职工股情况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3"/>
        <w:ind w:left="140" w:right="10718" w:firstLine="480"/>
        <w:jc w:val="left"/>
        <w:rPr>
          <w:rFonts w:ascii="宋体" w:hAnsi="宋体" w:cs="宋体" w:eastAsia="宋体" w:hint="default"/>
          <w:sz w:val="21"/>
          <w:szCs w:val="21"/>
        </w:rPr>
      </w:pPr>
      <w:r>
        <w:rPr>
          <w:rFonts w:ascii="宋体" w:hAnsi="宋体" w:cs="宋体" w:eastAsia="宋体" w:hint="default"/>
          <w:sz w:val="24"/>
          <w:szCs w:val="24"/>
        </w:rPr>
        <w:t>□ 适用 √ 不适用 </w:t>
      </w:r>
      <w:bookmarkStart w:name="三、股东和实际控制人情况" w:id="115"/>
      <w:bookmarkEnd w:id="115"/>
      <w:r>
        <w:rPr>
          <w:rFonts w:ascii="宋体" w:hAnsi="宋体" w:cs="宋体" w:eastAsia="宋体" w:hint="default"/>
          <w:sz w:val="24"/>
          <w:szCs w:val="24"/>
        </w:rPr>
      </w:r>
      <w:r>
        <w:rPr>
          <w:rFonts w:ascii="宋体" w:hAnsi="宋体" w:cs="宋体" w:eastAsia="宋体" w:hint="default"/>
          <w:b/>
          <w:bCs/>
          <w:w w:val="95"/>
          <w:sz w:val="24"/>
          <w:szCs w:val="24"/>
        </w:rPr>
        <w:t>三、股东和实际控制人情况</w:t>
      </w:r>
      <w:r>
        <w:rPr>
          <w:rFonts w:ascii="宋体" w:hAnsi="宋体" w:cs="宋体" w:eastAsia="宋体" w:hint="default"/>
          <w:b/>
          <w:bCs/>
          <w:spacing w:val="18"/>
          <w:w w:val="95"/>
          <w:sz w:val="24"/>
          <w:szCs w:val="24"/>
        </w:rPr>
        <w:t> </w:t>
      </w:r>
      <w:bookmarkStart w:name="1、公司股东数量及持股情况" w:id="116"/>
      <w:bookmarkEnd w:id="116"/>
      <w:r>
        <w:rPr>
          <w:rFonts w:ascii="宋体" w:hAnsi="宋体" w:cs="宋体" w:eastAsia="宋体" w:hint="default"/>
          <w:b/>
          <w:bCs/>
          <w:spacing w:val="18"/>
          <w:w w:val="95"/>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、公司股东数量及持股情况</w:t>
      </w:r>
      <w:r>
        <w:rPr>
          <w:rFonts w:ascii="宋体" w:hAnsi="宋体" w:cs="宋体" w:eastAsia="宋体" w:hint="default"/>
          <w:sz w:val="21"/>
          <w:szCs w:val="21"/>
        </w:rPr>
      </w:r>
    </w:p>
    <w:p>
      <w:pPr>
        <w:spacing w:before="131"/>
        <w:ind w:left="0" w:right="136" w:firstLine="0"/>
        <w:jc w:val="right"/>
        <w:rPr>
          <w:rFonts w:ascii="宋体" w:hAnsi="宋体" w:cs="宋体" w:eastAsia="宋体" w:hint="default"/>
          <w:sz w:val="18"/>
          <w:szCs w:val="18"/>
        </w:rPr>
      </w:pPr>
      <w:r>
        <w:rPr/>
        <w:pict>
          <v:group style="position:absolute;margin-left:518.919983pt;margin-top:46.911728pt;width:76.3pt;height:20.8pt;mso-position-horizontal-relative:page;mso-position-vertical-relative:paragraph;z-index:-1153576" coordorigin="10378,938" coordsize="1526,416">
            <v:group style="position:absolute;left:10390;top:950;width:2;height:393" coordorigin="10390,950" coordsize="2,393">
              <v:shape style="position:absolute;left:10390;top:950;width:2;height:393" coordorigin="10390,950" coordsize="0,393" path="m10390,950l10390,1342e" filled="false" stroked="true" strokeweight="1.140pt" strokecolor="#ffffff">
                <v:path arrowok="t"/>
              </v:shape>
            </v:group>
            <v:group style="position:absolute;left:10401;top:950;width:1503;height:393" coordorigin="10401,950" coordsize="1503,393">
              <v:shape style="position:absolute;left:10401;top:950;width:1503;height:393" coordorigin="10401,950" coordsize="1503,393" path="m10401,1342l11904,1342,11904,950,10401,950,10401,1342xe" filled="true" fillcolor="#ffffff" stroked="false">
                <v:path arrowok="t"/>
                <v:fill type="solid"/>
              </v:shape>
            </v:group>
            <w10:wrap type="none"/>
          </v:group>
        </w:pict>
      </w: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1953"/>
        <w:gridCol w:w="197"/>
        <w:gridCol w:w="970"/>
        <w:gridCol w:w="1099"/>
        <w:gridCol w:w="1043"/>
        <w:gridCol w:w="112"/>
        <w:gridCol w:w="1152"/>
        <w:gridCol w:w="500"/>
        <w:gridCol w:w="656"/>
        <w:gridCol w:w="1152"/>
        <w:gridCol w:w="117"/>
        <w:gridCol w:w="1426"/>
        <w:gridCol w:w="155"/>
        <w:gridCol w:w="1507"/>
        <w:gridCol w:w="418"/>
        <w:gridCol w:w="1559"/>
      </w:tblGrid>
      <w:tr>
        <w:trPr>
          <w:trHeight w:val="161" w:hRule="exact"/>
        </w:trPr>
        <w:tc>
          <w:tcPr>
            <w:tcW w:w="1953" w:type="dxa"/>
            <w:vMerge w:val="restart"/>
            <w:tcBorders>
              <w:top w:val="single" w:sz="4" w:space="0" w:color="000000"/>
              <w:left w:val="single" w:sz="4" w:space="0" w:color="000000"/>
              <w:right w:val="single" w:sz="4" w:space="0" w:color="000000"/>
            </w:tcBorders>
            <w:shd w:val="clear" w:color="auto" w:fill="D2D2D2"/>
          </w:tcPr>
          <w:p>
            <w:pPr/>
          </w:p>
        </w:tc>
        <w:tc>
          <w:tcPr>
            <w:tcW w:w="1166" w:type="dxa"/>
            <w:gridSpan w:val="2"/>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586" w:right="0"/>
              <w:jc w:val="left"/>
              <w:rPr>
                <w:rFonts w:ascii="宋体" w:hAnsi="宋体" w:cs="宋体" w:eastAsia="宋体" w:hint="default"/>
                <w:sz w:val="18"/>
                <w:szCs w:val="18"/>
              </w:rPr>
            </w:pPr>
            <w:r>
              <w:rPr>
                <w:rFonts w:ascii="宋体"/>
                <w:sz w:val="18"/>
              </w:rPr>
              <w:t>45,634</w:t>
            </w:r>
          </w:p>
        </w:tc>
        <w:tc>
          <w:tcPr>
            <w:tcW w:w="2142" w:type="dxa"/>
            <w:gridSpan w:val="2"/>
            <w:vMerge w:val="restart"/>
            <w:tcBorders>
              <w:top w:val="single" w:sz="4" w:space="0" w:color="000000"/>
              <w:left w:val="single" w:sz="4" w:space="0" w:color="000000"/>
              <w:right w:val="single" w:sz="4" w:space="0" w:color="000000"/>
            </w:tcBorders>
            <w:shd w:val="clear" w:color="auto" w:fill="D2D2D2"/>
          </w:tcPr>
          <w:p>
            <w:pPr/>
          </w:p>
        </w:tc>
        <w:tc>
          <w:tcPr>
            <w:tcW w:w="1764" w:type="dxa"/>
            <w:gridSpan w:val="3"/>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7"/>
              <w:jc w:val="right"/>
              <w:rPr>
                <w:rFonts w:ascii="宋体" w:hAnsi="宋体" w:cs="宋体" w:eastAsia="宋体" w:hint="default"/>
                <w:sz w:val="18"/>
                <w:szCs w:val="18"/>
              </w:rPr>
            </w:pPr>
            <w:r>
              <w:rPr>
                <w:rFonts w:ascii="宋体"/>
                <w:sz w:val="18"/>
              </w:rPr>
              <w:t>43,108</w:t>
            </w:r>
          </w:p>
        </w:tc>
        <w:tc>
          <w:tcPr>
            <w:tcW w:w="1925"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1426" w:type="dxa"/>
            <w:tcBorders>
              <w:top w:val="single" w:sz="4" w:space="0" w:color="000000"/>
              <w:left w:val="single" w:sz="4" w:space="0" w:color="000000"/>
              <w:bottom w:val="nil" w:sz="6" w:space="0" w:color="auto"/>
              <w:right w:val="nil" w:sz="6" w:space="0" w:color="auto"/>
            </w:tcBorders>
          </w:tcPr>
          <w:p>
            <w:pPr/>
          </w:p>
        </w:tc>
        <w:tc>
          <w:tcPr>
            <w:tcW w:w="155" w:type="dxa"/>
            <w:tcBorders>
              <w:top w:val="single" w:sz="4" w:space="0" w:color="000000"/>
              <w:left w:val="nil" w:sz="6" w:space="0" w:color="auto"/>
              <w:bottom w:val="nil" w:sz="6" w:space="0" w:color="auto"/>
              <w:right w:val="single" w:sz="13" w:space="0" w:color="D2D2D2"/>
            </w:tcBorders>
          </w:tcPr>
          <w:p>
            <w:pPr/>
          </w:p>
        </w:tc>
        <w:tc>
          <w:tcPr>
            <w:tcW w:w="19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11"/>
              <w:jc w:val="left"/>
              <w:rPr>
                <w:rFonts w:ascii="宋体" w:hAnsi="宋体" w:cs="宋体" w:eastAsia="宋体" w:hint="default"/>
                <w:sz w:val="18"/>
                <w:szCs w:val="18"/>
              </w:rPr>
            </w:pPr>
            <w:r>
              <w:rPr>
                <w:rFonts w:ascii="宋体" w:hAnsi="宋体" w:cs="宋体" w:eastAsia="宋体" w:hint="default"/>
                <w:sz w:val="18"/>
                <w:szCs w:val="18"/>
              </w:rPr>
              <w:t>年度报告披露日前上一 月末表决权恢复的优先 </w:t>
            </w:r>
            <w:r>
              <w:rPr>
                <w:rFonts w:ascii="宋体" w:hAnsi="宋体" w:cs="宋体" w:eastAsia="宋体" w:hint="default"/>
                <w:spacing w:val="-9"/>
                <w:sz w:val="18"/>
                <w:szCs w:val="18"/>
              </w:rPr>
              <w:t>股股东总数（如有）（参</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z w:val="18"/>
                <w:szCs w:val="18"/>
              </w:rPr>
              <w:t>）</w:t>
            </w:r>
          </w:p>
        </w:tc>
        <w:tc>
          <w:tcPr>
            <w:tcW w:w="1559" w:type="dxa"/>
            <w:vMerge w:val="restart"/>
            <w:tcBorders>
              <w:top w:val="single" w:sz="4" w:space="0" w:color="000000"/>
              <w:left w:val="single" w:sz="13"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0</w:t>
            </w:r>
          </w:p>
        </w:tc>
      </w:tr>
      <w:tr>
        <w:trPr>
          <w:trHeight w:val="156" w:hRule="exact"/>
        </w:trPr>
        <w:tc>
          <w:tcPr>
            <w:tcW w:w="1953" w:type="dxa"/>
            <w:vMerge/>
            <w:tcBorders>
              <w:left w:val="single" w:sz="4" w:space="0" w:color="000000"/>
              <w:bottom w:val="nil" w:sz="6" w:space="0" w:color="auto"/>
              <w:right w:val="single" w:sz="4" w:space="0" w:color="000000"/>
            </w:tcBorders>
            <w:shd w:val="clear" w:color="auto" w:fill="D2D2D2"/>
          </w:tcPr>
          <w:p>
            <w:pPr/>
          </w:p>
        </w:tc>
        <w:tc>
          <w:tcPr>
            <w:tcW w:w="1166" w:type="dxa"/>
            <w:gridSpan w:val="2"/>
            <w:vMerge/>
            <w:tcBorders>
              <w:left w:val="single" w:sz="9" w:space="0" w:color="D2D2D2"/>
              <w:right w:val="single" w:sz="9" w:space="0" w:color="D2D2D2"/>
            </w:tcBorders>
          </w:tcPr>
          <w:p>
            <w:pPr/>
          </w:p>
        </w:tc>
        <w:tc>
          <w:tcPr>
            <w:tcW w:w="2142" w:type="dxa"/>
            <w:gridSpan w:val="2"/>
            <w:vMerge/>
            <w:tcBorders>
              <w:left w:val="single" w:sz="4" w:space="0" w:color="000000"/>
              <w:bottom w:val="nil" w:sz="6" w:space="0" w:color="auto"/>
              <w:right w:val="single" w:sz="4" w:space="0" w:color="000000"/>
            </w:tcBorders>
            <w:shd w:val="clear" w:color="auto" w:fill="D2D2D2"/>
          </w:tcPr>
          <w:p>
            <w:pPr/>
          </w:p>
        </w:tc>
        <w:tc>
          <w:tcPr>
            <w:tcW w:w="1764" w:type="dxa"/>
            <w:gridSpan w:val="3"/>
            <w:vMerge/>
            <w:tcBorders>
              <w:left w:val="single" w:sz="9" w:space="0" w:color="D2D2D2"/>
              <w:right w:val="single" w:sz="9" w:space="0" w:color="D2D2D2"/>
            </w:tcBorders>
          </w:tcPr>
          <w:p>
            <w:pPr/>
          </w:p>
        </w:tc>
        <w:tc>
          <w:tcPr>
            <w:tcW w:w="1925" w:type="dxa"/>
            <w:gridSpan w:val="3"/>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1" w:right="101"/>
              <w:jc w:val="left"/>
              <w:rPr>
                <w:rFonts w:ascii="宋体" w:hAnsi="宋体" w:cs="宋体" w:eastAsia="宋体" w:hint="default"/>
                <w:sz w:val="18"/>
                <w:szCs w:val="18"/>
              </w:rPr>
            </w:pPr>
            <w:r>
              <w:rPr>
                <w:rFonts w:ascii="宋体" w:hAnsi="宋体" w:cs="宋体" w:eastAsia="宋体" w:hint="default"/>
                <w:sz w:val="18"/>
                <w:szCs w:val="18"/>
              </w:rPr>
              <w:t>报告期末表决权恢复的 优先股股东总数（如有</w:t>
            </w:r>
          </w:p>
          <w:p>
            <w:pPr>
              <w:pStyle w:val="TableParagraph"/>
              <w:spacing w:line="240" w:lineRule="auto" w:before="20"/>
              <w:ind w:left="11"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z w:val="18"/>
                <w:szCs w:val="18"/>
              </w:rPr>
              <w:t>）</w:t>
            </w:r>
          </w:p>
        </w:tc>
        <w:tc>
          <w:tcPr>
            <w:tcW w:w="1426" w:type="dxa"/>
            <w:tcBorders>
              <w:top w:val="nil" w:sz="6" w:space="0" w:color="auto"/>
              <w:left w:val="single" w:sz="13" w:space="0" w:color="D2D2D2"/>
              <w:bottom w:val="nil" w:sz="6" w:space="0" w:color="auto"/>
              <w:right w:val="nil" w:sz="6" w:space="0" w:color="auto"/>
            </w:tcBorders>
          </w:tcPr>
          <w:p>
            <w:pPr/>
          </w:p>
        </w:tc>
        <w:tc>
          <w:tcPr>
            <w:tcW w:w="155" w:type="dxa"/>
            <w:tcBorders>
              <w:top w:val="nil" w:sz="6" w:space="0" w:color="auto"/>
              <w:left w:val="nil" w:sz="6" w:space="0" w:color="auto"/>
              <w:bottom w:val="nil" w:sz="6" w:space="0" w:color="auto"/>
              <w:right w:val="single" w:sz="13" w:space="0" w:color="D2D2D2"/>
            </w:tcBorders>
          </w:tcPr>
          <w:p>
            <w:pPr/>
          </w:p>
        </w:tc>
        <w:tc>
          <w:tcPr>
            <w:tcW w:w="1925" w:type="dxa"/>
            <w:gridSpan w:val="2"/>
            <w:vMerge/>
            <w:tcBorders>
              <w:left w:val="single" w:sz="4" w:space="0" w:color="000000"/>
              <w:right w:val="single" w:sz="4" w:space="0" w:color="000000"/>
            </w:tcBorders>
            <w:shd w:val="clear" w:color="auto" w:fill="D2D2D2"/>
          </w:tcPr>
          <w:p>
            <w:pPr/>
          </w:p>
        </w:tc>
        <w:tc>
          <w:tcPr>
            <w:tcW w:w="1559" w:type="dxa"/>
            <w:vMerge/>
            <w:tcBorders>
              <w:left w:val="single" w:sz="13" w:space="0" w:color="D2D2D2"/>
              <w:right w:val="single" w:sz="4" w:space="0" w:color="000000"/>
            </w:tcBorders>
          </w:tcPr>
          <w:p>
            <w:pPr/>
          </w:p>
        </w:tc>
      </w:tr>
      <w:tr>
        <w:trPr>
          <w:trHeight w:val="704" w:hRule="exact"/>
        </w:trPr>
        <w:tc>
          <w:tcPr>
            <w:tcW w:w="19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118"/>
              <w:jc w:val="left"/>
              <w:rPr>
                <w:rFonts w:ascii="宋体" w:hAnsi="宋体" w:cs="宋体" w:eastAsia="宋体" w:hint="default"/>
                <w:sz w:val="18"/>
                <w:szCs w:val="18"/>
              </w:rPr>
            </w:pPr>
            <w:r>
              <w:rPr>
                <w:rFonts w:ascii="宋体" w:hAnsi="宋体" w:cs="宋体" w:eastAsia="宋体" w:hint="default"/>
                <w:sz w:val="18"/>
                <w:szCs w:val="18"/>
              </w:rPr>
              <w:t>报告期末普通股股东总 数</w:t>
            </w:r>
          </w:p>
        </w:tc>
        <w:tc>
          <w:tcPr>
            <w:tcW w:w="1166" w:type="dxa"/>
            <w:gridSpan w:val="2"/>
            <w:vMerge/>
            <w:tcBorders>
              <w:left w:val="single" w:sz="9" w:space="0" w:color="D2D2D2"/>
              <w:right w:val="single" w:sz="9" w:space="0" w:color="D2D2D2"/>
            </w:tcBorders>
          </w:tcPr>
          <w:p>
            <w:pPr/>
          </w:p>
        </w:tc>
        <w:tc>
          <w:tcPr>
            <w:tcW w:w="2142"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127"/>
              <w:jc w:val="left"/>
              <w:rPr>
                <w:rFonts w:ascii="宋体" w:hAnsi="宋体" w:cs="宋体" w:eastAsia="宋体" w:hint="default"/>
                <w:sz w:val="18"/>
                <w:szCs w:val="18"/>
              </w:rPr>
            </w:pPr>
            <w:r>
              <w:rPr>
                <w:rFonts w:ascii="宋体" w:hAnsi="宋体" w:cs="宋体" w:eastAsia="宋体" w:hint="default"/>
                <w:sz w:val="18"/>
                <w:szCs w:val="18"/>
              </w:rPr>
              <w:t>年度报告披露日前上一月 末普通股股东总数</w:t>
            </w:r>
          </w:p>
        </w:tc>
        <w:tc>
          <w:tcPr>
            <w:tcW w:w="1764" w:type="dxa"/>
            <w:gridSpan w:val="3"/>
            <w:vMerge/>
            <w:tcBorders>
              <w:left w:val="single" w:sz="9" w:space="0" w:color="D2D2D2"/>
              <w:right w:val="single" w:sz="9" w:space="0" w:color="D2D2D2"/>
            </w:tcBorders>
          </w:tcPr>
          <w:p>
            <w:pPr/>
          </w:p>
        </w:tc>
        <w:tc>
          <w:tcPr>
            <w:tcW w:w="1925" w:type="dxa"/>
            <w:gridSpan w:val="3"/>
            <w:vMerge/>
            <w:tcBorders>
              <w:left w:val="single" w:sz="4" w:space="0" w:color="000000"/>
              <w:right w:val="single" w:sz="4" w:space="0" w:color="000000"/>
            </w:tcBorders>
            <w:shd w:val="clear" w:color="auto" w:fill="D2D2D2"/>
          </w:tcPr>
          <w:p>
            <w:pPr/>
          </w:p>
        </w:tc>
        <w:tc>
          <w:tcPr>
            <w:tcW w:w="1426" w:type="dxa"/>
            <w:vMerge w:val="restart"/>
            <w:tcBorders>
              <w:top w:val="nil" w:sz="6" w:space="0" w:color="auto"/>
              <w:left w:val="single" w:sz="13" w:space="0" w:color="D2D2D2"/>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25" w:right="0"/>
              <w:jc w:val="left"/>
              <w:rPr>
                <w:rFonts w:ascii="宋体" w:hAnsi="宋体" w:cs="宋体" w:eastAsia="宋体" w:hint="default"/>
                <w:sz w:val="18"/>
                <w:szCs w:val="18"/>
              </w:rPr>
            </w:pPr>
            <w:r>
              <w:rPr>
                <w:rFonts w:ascii="宋体" w:hAnsi="宋体" w:cs="宋体" w:eastAsia="宋体" w:hint="default"/>
                <w:sz w:val="18"/>
                <w:szCs w:val="18"/>
              </w:rPr>
              <w:t>）</w:t>
            </w:r>
          </w:p>
        </w:tc>
        <w:tc>
          <w:tcPr>
            <w:tcW w:w="155" w:type="dxa"/>
            <w:tcBorders>
              <w:top w:val="nil" w:sz="6" w:space="0" w:color="auto"/>
              <w:left w:val="nil" w:sz="6" w:space="0" w:color="auto"/>
              <w:bottom w:val="nil" w:sz="6" w:space="0" w:color="auto"/>
              <w:right w:val="single" w:sz="13" w:space="0" w:color="D2D2D2"/>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0</w:t>
            </w:r>
          </w:p>
        </w:tc>
        <w:tc>
          <w:tcPr>
            <w:tcW w:w="1925" w:type="dxa"/>
            <w:gridSpan w:val="2"/>
            <w:vMerge/>
            <w:tcBorders>
              <w:left w:val="single" w:sz="4" w:space="0" w:color="000000"/>
              <w:right w:val="single" w:sz="4" w:space="0" w:color="000000"/>
            </w:tcBorders>
            <w:shd w:val="clear" w:color="auto" w:fill="D2D2D2"/>
          </w:tcPr>
          <w:p>
            <w:pPr/>
          </w:p>
        </w:tc>
        <w:tc>
          <w:tcPr>
            <w:tcW w:w="1559" w:type="dxa"/>
            <w:vMerge/>
            <w:tcBorders>
              <w:left w:val="single" w:sz="13" w:space="0" w:color="D2D2D2"/>
              <w:right w:val="single" w:sz="4" w:space="0" w:color="000000"/>
            </w:tcBorders>
          </w:tcPr>
          <w:p>
            <w:pPr/>
          </w:p>
        </w:tc>
      </w:tr>
      <w:tr>
        <w:trPr>
          <w:trHeight w:val="156" w:hRule="exact"/>
        </w:trPr>
        <w:tc>
          <w:tcPr>
            <w:tcW w:w="1953" w:type="dxa"/>
            <w:vMerge w:val="restart"/>
            <w:tcBorders>
              <w:top w:val="nil" w:sz="6" w:space="0" w:color="auto"/>
              <w:left w:val="single" w:sz="4" w:space="0" w:color="000000"/>
              <w:right w:val="single" w:sz="4" w:space="0" w:color="000000"/>
            </w:tcBorders>
            <w:shd w:val="clear" w:color="auto" w:fill="D2D2D2"/>
          </w:tcPr>
          <w:p>
            <w:pPr/>
          </w:p>
        </w:tc>
        <w:tc>
          <w:tcPr>
            <w:tcW w:w="1166" w:type="dxa"/>
            <w:gridSpan w:val="2"/>
            <w:vMerge/>
            <w:tcBorders>
              <w:left w:val="single" w:sz="9" w:space="0" w:color="D2D2D2"/>
              <w:right w:val="single" w:sz="9" w:space="0" w:color="D2D2D2"/>
            </w:tcBorders>
          </w:tcPr>
          <w:p>
            <w:pPr/>
          </w:p>
        </w:tc>
        <w:tc>
          <w:tcPr>
            <w:tcW w:w="2142" w:type="dxa"/>
            <w:gridSpan w:val="2"/>
            <w:vMerge w:val="restart"/>
            <w:tcBorders>
              <w:top w:val="nil" w:sz="6" w:space="0" w:color="auto"/>
              <w:left w:val="single" w:sz="4" w:space="0" w:color="000000"/>
              <w:right w:val="single" w:sz="4" w:space="0" w:color="000000"/>
            </w:tcBorders>
            <w:shd w:val="clear" w:color="auto" w:fill="D2D2D2"/>
          </w:tcPr>
          <w:p>
            <w:pPr/>
          </w:p>
        </w:tc>
        <w:tc>
          <w:tcPr>
            <w:tcW w:w="1764" w:type="dxa"/>
            <w:gridSpan w:val="3"/>
            <w:vMerge/>
            <w:tcBorders>
              <w:left w:val="single" w:sz="9" w:space="0" w:color="D2D2D2"/>
              <w:right w:val="single" w:sz="9" w:space="0" w:color="D2D2D2"/>
            </w:tcBorders>
          </w:tcPr>
          <w:p>
            <w:pPr/>
          </w:p>
        </w:tc>
        <w:tc>
          <w:tcPr>
            <w:tcW w:w="1925" w:type="dxa"/>
            <w:gridSpan w:val="3"/>
            <w:vMerge/>
            <w:tcBorders>
              <w:left w:val="single" w:sz="4" w:space="0" w:color="000000"/>
              <w:bottom w:val="nil" w:sz="6" w:space="0" w:color="auto"/>
              <w:right w:val="single" w:sz="4" w:space="0" w:color="000000"/>
            </w:tcBorders>
            <w:shd w:val="clear" w:color="auto" w:fill="D2D2D2"/>
          </w:tcPr>
          <w:p>
            <w:pPr/>
          </w:p>
        </w:tc>
        <w:tc>
          <w:tcPr>
            <w:tcW w:w="1426" w:type="dxa"/>
            <w:vMerge/>
            <w:tcBorders>
              <w:left w:val="single" w:sz="13" w:space="0" w:color="D2D2D2"/>
              <w:bottom w:val="nil" w:sz="6" w:space="0" w:color="auto"/>
              <w:right w:val="nil" w:sz="6" w:space="0" w:color="auto"/>
            </w:tcBorders>
          </w:tcPr>
          <w:p>
            <w:pPr/>
          </w:p>
        </w:tc>
        <w:tc>
          <w:tcPr>
            <w:tcW w:w="155" w:type="dxa"/>
            <w:tcBorders>
              <w:top w:val="nil" w:sz="6" w:space="0" w:color="auto"/>
              <w:left w:val="nil" w:sz="6" w:space="0" w:color="auto"/>
              <w:bottom w:val="nil" w:sz="6" w:space="0" w:color="auto"/>
              <w:right w:val="single" w:sz="13" w:space="0" w:color="D2D2D2"/>
            </w:tcBorders>
          </w:tcPr>
          <w:p>
            <w:pPr/>
          </w:p>
        </w:tc>
        <w:tc>
          <w:tcPr>
            <w:tcW w:w="1925" w:type="dxa"/>
            <w:gridSpan w:val="2"/>
            <w:vMerge/>
            <w:tcBorders>
              <w:left w:val="single" w:sz="4" w:space="0" w:color="000000"/>
              <w:right w:val="single" w:sz="4" w:space="0" w:color="000000"/>
            </w:tcBorders>
            <w:shd w:val="clear" w:color="auto" w:fill="D2D2D2"/>
          </w:tcPr>
          <w:p>
            <w:pPr/>
          </w:p>
        </w:tc>
        <w:tc>
          <w:tcPr>
            <w:tcW w:w="1559" w:type="dxa"/>
            <w:vMerge/>
            <w:tcBorders>
              <w:left w:val="single" w:sz="13" w:space="0" w:color="D2D2D2"/>
              <w:right w:val="single" w:sz="4" w:space="0" w:color="000000"/>
            </w:tcBorders>
          </w:tcPr>
          <w:p>
            <w:pPr/>
          </w:p>
        </w:tc>
      </w:tr>
      <w:tr>
        <w:trPr>
          <w:trHeight w:val="166" w:hRule="exact"/>
        </w:trPr>
        <w:tc>
          <w:tcPr>
            <w:tcW w:w="1953" w:type="dxa"/>
            <w:vMerge/>
            <w:tcBorders>
              <w:left w:val="single" w:sz="4" w:space="0" w:color="000000"/>
              <w:bottom w:val="single" w:sz="4" w:space="0" w:color="000000"/>
              <w:right w:val="single" w:sz="4" w:space="0" w:color="000000"/>
            </w:tcBorders>
            <w:shd w:val="clear" w:color="auto" w:fill="D2D2D2"/>
          </w:tcPr>
          <w:p>
            <w:pPr/>
          </w:p>
        </w:tc>
        <w:tc>
          <w:tcPr>
            <w:tcW w:w="1166" w:type="dxa"/>
            <w:gridSpan w:val="2"/>
            <w:vMerge/>
            <w:tcBorders>
              <w:left w:val="single" w:sz="9" w:space="0" w:color="D2D2D2"/>
              <w:bottom w:val="single" w:sz="4" w:space="0" w:color="000000"/>
              <w:right w:val="single" w:sz="9" w:space="0" w:color="D2D2D2"/>
            </w:tcBorders>
          </w:tcPr>
          <w:p>
            <w:pPr/>
          </w:p>
        </w:tc>
        <w:tc>
          <w:tcPr>
            <w:tcW w:w="2142" w:type="dxa"/>
            <w:gridSpan w:val="2"/>
            <w:vMerge/>
            <w:tcBorders>
              <w:left w:val="single" w:sz="4" w:space="0" w:color="000000"/>
              <w:bottom w:val="single" w:sz="4" w:space="0" w:color="000000"/>
              <w:right w:val="single" w:sz="4" w:space="0" w:color="000000"/>
            </w:tcBorders>
            <w:shd w:val="clear" w:color="auto" w:fill="D2D2D2"/>
          </w:tcPr>
          <w:p>
            <w:pPr/>
          </w:p>
        </w:tc>
        <w:tc>
          <w:tcPr>
            <w:tcW w:w="1764" w:type="dxa"/>
            <w:gridSpan w:val="3"/>
            <w:vMerge/>
            <w:tcBorders>
              <w:left w:val="single" w:sz="9" w:space="0" w:color="D2D2D2"/>
              <w:bottom w:val="single" w:sz="4" w:space="0" w:color="000000"/>
              <w:right w:val="single" w:sz="9" w:space="0" w:color="D2D2D2"/>
            </w:tcBorders>
          </w:tcPr>
          <w:p>
            <w:pPr/>
          </w:p>
        </w:tc>
        <w:tc>
          <w:tcPr>
            <w:tcW w:w="1925"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1426" w:type="dxa"/>
            <w:tcBorders>
              <w:top w:val="nil" w:sz="6" w:space="0" w:color="auto"/>
              <w:left w:val="single" w:sz="4" w:space="0" w:color="000000"/>
              <w:bottom w:val="single" w:sz="4" w:space="0" w:color="000000"/>
              <w:right w:val="nil" w:sz="6" w:space="0" w:color="auto"/>
            </w:tcBorders>
          </w:tcPr>
          <w:p>
            <w:pPr/>
          </w:p>
        </w:tc>
        <w:tc>
          <w:tcPr>
            <w:tcW w:w="155" w:type="dxa"/>
            <w:tcBorders>
              <w:top w:val="nil" w:sz="6" w:space="0" w:color="auto"/>
              <w:left w:val="nil" w:sz="6" w:space="0" w:color="auto"/>
              <w:bottom w:val="single" w:sz="4" w:space="0" w:color="000000"/>
              <w:right w:val="single" w:sz="13" w:space="0" w:color="D2D2D2"/>
            </w:tcBorders>
          </w:tcPr>
          <w:p>
            <w:pPr/>
          </w:p>
        </w:tc>
        <w:tc>
          <w:tcPr>
            <w:tcW w:w="1925" w:type="dxa"/>
            <w:gridSpan w:val="2"/>
            <w:vMerge/>
            <w:tcBorders>
              <w:left w:val="single" w:sz="4" w:space="0" w:color="000000"/>
              <w:bottom w:val="single" w:sz="4" w:space="0" w:color="000000"/>
              <w:right w:val="single" w:sz="4" w:space="0" w:color="000000"/>
            </w:tcBorders>
            <w:shd w:val="clear" w:color="auto" w:fill="D2D2D2"/>
          </w:tcPr>
          <w:p>
            <w:pPr/>
          </w:p>
        </w:tc>
        <w:tc>
          <w:tcPr>
            <w:tcW w:w="1559" w:type="dxa"/>
            <w:vMerge/>
            <w:tcBorders>
              <w:left w:val="single" w:sz="13" w:space="0" w:color="D2D2D2"/>
              <w:bottom w:val="single" w:sz="4" w:space="0" w:color="000000"/>
              <w:right w:val="single" w:sz="4" w:space="0" w:color="000000"/>
            </w:tcBorders>
          </w:tcPr>
          <w:p>
            <w:pPr/>
          </w:p>
        </w:tc>
      </w:tr>
      <w:tr>
        <w:trPr>
          <w:trHeight w:val="392" w:hRule="exact"/>
        </w:trPr>
        <w:tc>
          <w:tcPr>
            <w:tcW w:w="14015" w:type="dxa"/>
            <w:gridSpan w:val="1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名股东持股情况</w:t>
            </w:r>
          </w:p>
        </w:tc>
      </w:tr>
      <w:tr>
        <w:trPr>
          <w:trHeight w:val="210" w:hRule="exact"/>
        </w:trPr>
        <w:tc>
          <w:tcPr>
            <w:tcW w:w="2150"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206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54"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0"/>
              <w:ind w:left="389" w:right="30" w:hanging="360"/>
              <w:jc w:val="left"/>
              <w:rPr>
                <w:rFonts w:ascii="宋体" w:hAnsi="宋体" w:cs="宋体" w:eastAsia="宋体" w:hint="default"/>
                <w:sz w:val="18"/>
                <w:szCs w:val="18"/>
              </w:rPr>
            </w:pPr>
            <w:r>
              <w:rPr>
                <w:rFonts w:ascii="宋体" w:hAnsi="宋体" w:cs="宋体" w:eastAsia="宋体" w:hint="default"/>
                <w:sz w:val="18"/>
                <w:szCs w:val="18"/>
              </w:rPr>
              <w:t>报告期末持股 数量</w:t>
            </w:r>
          </w:p>
        </w:tc>
        <w:tc>
          <w:tcPr>
            <w:tcW w:w="115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0"/>
              <w:ind w:left="213" w:right="30" w:hanging="180"/>
              <w:jc w:val="left"/>
              <w:rPr>
                <w:rFonts w:ascii="宋体" w:hAnsi="宋体" w:cs="宋体" w:eastAsia="宋体" w:hint="default"/>
                <w:sz w:val="18"/>
                <w:szCs w:val="18"/>
              </w:rPr>
            </w:pPr>
            <w:r>
              <w:rPr>
                <w:rFonts w:ascii="宋体" w:hAnsi="宋体" w:cs="宋体" w:eastAsia="宋体" w:hint="default"/>
                <w:sz w:val="18"/>
                <w:szCs w:val="18"/>
              </w:rPr>
              <w:t>报告期内增减 变动情况</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0"/>
              <w:ind w:left="29" w:right="30"/>
              <w:jc w:val="left"/>
              <w:rPr>
                <w:rFonts w:ascii="宋体" w:hAnsi="宋体" w:cs="宋体" w:eastAsia="宋体" w:hint="default"/>
                <w:sz w:val="18"/>
                <w:szCs w:val="18"/>
              </w:rPr>
            </w:pPr>
            <w:r>
              <w:rPr>
                <w:rFonts w:ascii="宋体" w:hAnsi="宋体" w:cs="宋体" w:eastAsia="宋体" w:hint="default"/>
                <w:sz w:val="18"/>
                <w:szCs w:val="18"/>
              </w:rPr>
              <w:t>持有有限售条 件的股份数量</w:t>
            </w:r>
          </w:p>
        </w:tc>
        <w:tc>
          <w:tcPr>
            <w:tcW w:w="15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0"/>
              <w:ind w:left="406" w:right="44" w:hanging="360"/>
              <w:jc w:val="left"/>
              <w:rPr>
                <w:rFonts w:ascii="宋体" w:hAnsi="宋体" w:cs="宋体" w:eastAsia="宋体" w:hint="default"/>
                <w:sz w:val="18"/>
                <w:szCs w:val="18"/>
              </w:rPr>
            </w:pPr>
            <w:r>
              <w:rPr>
                <w:rFonts w:ascii="宋体" w:hAnsi="宋体" w:cs="宋体" w:eastAsia="宋体" w:hint="default"/>
                <w:sz w:val="18"/>
                <w:szCs w:val="18"/>
              </w:rPr>
              <w:t>持有无限售条件的 股份数量</w:t>
            </w:r>
          </w:p>
        </w:tc>
        <w:tc>
          <w:tcPr>
            <w:tcW w:w="3639"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184"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92" w:hRule="exact"/>
        </w:trPr>
        <w:tc>
          <w:tcPr>
            <w:tcW w:w="2150"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70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2069"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68"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154"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2"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152" w:type="dxa"/>
            <w:vMerge/>
            <w:tcBorders>
              <w:left w:val="single" w:sz="4" w:space="0" w:color="000000"/>
              <w:right w:val="single" w:sz="4" w:space="0" w:color="000000"/>
            </w:tcBorders>
            <w:shd w:val="clear" w:color="auto" w:fill="D2D2D2"/>
          </w:tcPr>
          <w:p>
            <w:pPr/>
          </w:p>
        </w:tc>
        <w:tc>
          <w:tcPr>
            <w:tcW w:w="1156" w:type="dxa"/>
            <w:gridSpan w:val="2"/>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1543" w:type="dxa"/>
            <w:gridSpan w:val="2"/>
            <w:vMerge/>
            <w:tcBorders>
              <w:left w:val="single" w:sz="4" w:space="0" w:color="000000"/>
              <w:right w:val="single" w:sz="4" w:space="0" w:color="000000"/>
            </w:tcBorders>
            <w:shd w:val="clear" w:color="auto" w:fill="D2D2D2"/>
          </w:tcPr>
          <w:p>
            <w:pPr/>
          </w:p>
        </w:tc>
        <w:tc>
          <w:tcPr>
            <w:tcW w:w="3639" w:type="dxa"/>
            <w:gridSpan w:val="4"/>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150" w:type="dxa"/>
            <w:gridSpan w:val="2"/>
            <w:vMerge/>
            <w:tcBorders>
              <w:left w:val="single" w:sz="4" w:space="0" w:color="000000"/>
              <w:bottom w:val="nil" w:sz="6" w:space="0" w:color="auto"/>
              <w:right w:val="single" w:sz="4" w:space="0" w:color="000000"/>
            </w:tcBorders>
            <w:shd w:val="clear" w:color="auto" w:fill="D2D2D2"/>
          </w:tcPr>
          <w:p>
            <w:pPr/>
          </w:p>
        </w:tc>
        <w:tc>
          <w:tcPr>
            <w:tcW w:w="2069" w:type="dxa"/>
            <w:gridSpan w:val="2"/>
            <w:vMerge/>
            <w:tcBorders>
              <w:left w:val="single" w:sz="4" w:space="0" w:color="000000"/>
              <w:bottom w:val="nil" w:sz="6" w:space="0" w:color="auto"/>
              <w:right w:val="single" w:sz="4" w:space="0" w:color="000000"/>
            </w:tcBorders>
            <w:shd w:val="clear" w:color="auto" w:fill="D2D2D2"/>
          </w:tcPr>
          <w:p>
            <w:pPr/>
          </w:p>
        </w:tc>
        <w:tc>
          <w:tcPr>
            <w:tcW w:w="1154" w:type="dxa"/>
            <w:gridSpan w:val="2"/>
            <w:vMerge/>
            <w:tcBorders>
              <w:left w:val="single" w:sz="4" w:space="0" w:color="000000"/>
              <w:bottom w:val="nil" w:sz="6" w:space="0" w:color="auto"/>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1156" w:type="dxa"/>
            <w:gridSpan w:val="2"/>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1543" w:type="dxa"/>
            <w:gridSpan w:val="2"/>
            <w:vMerge/>
            <w:tcBorders>
              <w:left w:val="single" w:sz="4" w:space="0" w:color="000000"/>
              <w:right w:val="single" w:sz="4" w:space="0" w:color="000000"/>
            </w:tcBorders>
            <w:shd w:val="clear" w:color="auto" w:fill="D2D2D2"/>
          </w:tcPr>
          <w:p>
            <w:pPr/>
          </w:p>
        </w:tc>
        <w:tc>
          <w:tcPr>
            <w:tcW w:w="166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66"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97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84" w:hRule="exact"/>
        </w:trPr>
        <w:tc>
          <w:tcPr>
            <w:tcW w:w="2150"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206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54"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1156" w:type="dxa"/>
            <w:gridSpan w:val="2"/>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1543" w:type="dxa"/>
            <w:gridSpan w:val="2"/>
            <w:vMerge/>
            <w:tcBorders>
              <w:left w:val="single" w:sz="4" w:space="0" w:color="000000"/>
              <w:bottom w:val="single" w:sz="4" w:space="0" w:color="000000"/>
              <w:right w:val="single" w:sz="4" w:space="0" w:color="000000"/>
            </w:tcBorders>
            <w:shd w:val="clear" w:color="auto" w:fill="D2D2D2"/>
          </w:tcPr>
          <w:p>
            <w:pPr/>
          </w:p>
        </w:tc>
        <w:tc>
          <w:tcPr>
            <w:tcW w:w="1662" w:type="dxa"/>
            <w:gridSpan w:val="2"/>
            <w:vMerge/>
            <w:tcBorders>
              <w:left w:val="single" w:sz="4" w:space="0" w:color="000000"/>
              <w:bottom w:val="single" w:sz="4" w:space="0" w:color="000000"/>
              <w:right w:val="single" w:sz="4" w:space="0" w:color="000000"/>
            </w:tcBorders>
            <w:shd w:val="clear" w:color="auto" w:fill="D2D2D2"/>
          </w:tcPr>
          <w:p>
            <w:pPr/>
          </w:p>
        </w:tc>
        <w:tc>
          <w:tcPr>
            <w:tcW w:w="1977" w:type="dxa"/>
            <w:gridSpan w:val="2"/>
            <w:vMerge/>
            <w:tcBorders>
              <w:left w:val="single" w:sz="4" w:space="0" w:color="000000"/>
              <w:bottom w:val="single" w:sz="4" w:space="0" w:color="000000"/>
              <w:right w:val="single" w:sz="4" w:space="0" w:color="000000"/>
            </w:tcBorders>
            <w:shd w:val="clear" w:color="auto" w:fill="D2D2D2"/>
          </w:tcPr>
          <w:p>
            <w:pPr/>
          </w:p>
        </w:tc>
      </w:tr>
      <w:tr>
        <w:trPr>
          <w:trHeight w:val="425" w:hRule="exact"/>
        </w:trPr>
        <w:tc>
          <w:tcPr>
            <w:tcW w:w="215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4"/>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206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4"/>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581" w:right="0"/>
              <w:jc w:val="left"/>
              <w:rPr>
                <w:rFonts w:ascii="宋体" w:hAnsi="宋体" w:cs="宋体" w:eastAsia="宋体" w:hint="default"/>
                <w:sz w:val="18"/>
                <w:szCs w:val="18"/>
              </w:rPr>
            </w:pPr>
            <w:r>
              <w:rPr>
                <w:rFonts w:ascii="宋体"/>
                <w:sz w:val="18"/>
              </w:rPr>
              <w:t>14.43%</w:t>
            </w:r>
          </w:p>
        </w:tc>
        <w:tc>
          <w:tcPr>
            <w:tcW w:w="1152" w:type="dxa"/>
            <w:tcBorders>
              <w:top w:val="single" w:sz="18" w:space="0" w:color="D2D2D2"/>
              <w:left w:val="single" w:sz="4" w:space="0" w:color="000000"/>
              <w:bottom w:val="single" w:sz="4" w:space="0" w:color="000000"/>
              <w:right w:val="single" w:sz="4" w:space="0" w:color="000000"/>
            </w:tcBorders>
          </w:tcPr>
          <w:p>
            <w:pPr>
              <w:pStyle w:val="TableParagraph"/>
              <w:spacing w:line="240" w:lineRule="auto" w:before="56"/>
              <w:ind w:right="23"/>
              <w:jc w:val="right"/>
              <w:rPr>
                <w:rFonts w:ascii="宋体" w:hAnsi="宋体" w:cs="宋体" w:eastAsia="宋体" w:hint="default"/>
                <w:sz w:val="18"/>
                <w:szCs w:val="18"/>
              </w:rPr>
            </w:pPr>
            <w:r>
              <w:rPr>
                <w:rFonts w:ascii="宋体"/>
                <w:sz w:val="18"/>
              </w:rPr>
              <w:t>111,379,416</w:t>
            </w:r>
          </w:p>
        </w:tc>
        <w:tc>
          <w:tcPr>
            <w:tcW w:w="1156" w:type="dxa"/>
            <w:gridSpan w:val="2"/>
            <w:tcBorders>
              <w:top w:val="single" w:sz="18" w:space="0" w:color="D2D2D2"/>
              <w:left w:val="single" w:sz="4" w:space="0" w:color="000000"/>
              <w:bottom w:val="single" w:sz="4" w:space="0" w:color="000000"/>
              <w:right w:val="single" w:sz="4" w:space="0" w:color="000000"/>
            </w:tcBorders>
          </w:tcPr>
          <w:p>
            <w:pPr/>
          </w:p>
        </w:tc>
        <w:tc>
          <w:tcPr>
            <w:tcW w:w="1152" w:type="dxa"/>
            <w:tcBorders>
              <w:top w:val="single" w:sz="18" w:space="0" w:color="D2D2D2"/>
              <w:left w:val="single" w:sz="4" w:space="0" w:color="000000"/>
              <w:bottom w:val="single" w:sz="4" w:space="0" w:color="000000"/>
              <w:right w:val="single" w:sz="4" w:space="0" w:color="000000"/>
            </w:tcBorders>
          </w:tcPr>
          <w:p>
            <w:pPr>
              <w:pStyle w:val="TableParagraph"/>
              <w:spacing w:line="240" w:lineRule="auto" w:before="56"/>
              <w:ind w:right="23"/>
              <w:jc w:val="right"/>
              <w:rPr>
                <w:rFonts w:ascii="宋体" w:hAnsi="宋体" w:cs="宋体" w:eastAsia="宋体" w:hint="default"/>
                <w:sz w:val="18"/>
                <w:szCs w:val="18"/>
              </w:rPr>
            </w:pPr>
            <w:r>
              <w:rPr>
                <w:rFonts w:ascii="宋体"/>
                <w:sz w:val="18"/>
              </w:rPr>
              <w:t>100,241,475</w:t>
            </w:r>
          </w:p>
        </w:tc>
        <w:tc>
          <w:tcPr>
            <w:tcW w:w="1543" w:type="dxa"/>
            <w:gridSpan w:val="2"/>
            <w:tcBorders>
              <w:top w:val="single" w:sz="18" w:space="0" w:color="D2D2D2"/>
              <w:left w:val="single" w:sz="4" w:space="0" w:color="000000"/>
              <w:bottom w:val="single" w:sz="4" w:space="0" w:color="000000"/>
              <w:right w:val="single" w:sz="4" w:space="0" w:color="000000"/>
            </w:tcBorders>
          </w:tcPr>
          <w:p>
            <w:pPr>
              <w:pStyle w:val="TableParagraph"/>
              <w:spacing w:line="240" w:lineRule="auto" w:before="56"/>
              <w:ind w:left="610" w:right="0"/>
              <w:jc w:val="left"/>
              <w:rPr>
                <w:rFonts w:ascii="宋体" w:hAnsi="宋体" w:cs="宋体" w:eastAsia="宋体" w:hint="default"/>
                <w:sz w:val="18"/>
                <w:szCs w:val="18"/>
              </w:rPr>
            </w:pPr>
            <w:r>
              <w:rPr>
                <w:rFonts w:ascii="宋体"/>
                <w:sz w:val="18"/>
              </w:rPr>
              <w:t>11,137,941</w:t>
            </w:r>
          </w:p>
        </w:tc>
        <w:tc>
          <w:tcPr>
            <w:tcW w:w="16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44" w:right="0"/>
              <w:jc w:val="left"/>
              <w:rPr>
                <w:rFonts w:ascii="宋体" w:hAnsi="宋体" w:cs="宋体" w:eastAsia="宋体" w:hint="default"/>
                <w:sz w:val="18"/>
                <w:szCs w:val="18"/>
              </w:rPr>
            </w:pPr>
            <w:r>
              <w:rPr>
                <w:rFonts w:ascii="宋体"/>
                <w:sz w:val="18"/>
              </w:rPr>
              <w:t>45,766,961</w:t>
            </w:r>
          </w:p>
        </w:tc>
      </w:tr>
      <w:tr>
        <w:trPr>
          <w:trHeight w:val="714" w:hRule="exact"/>
        </w:trPr>
        <w:tc>
          <w:tcPr>
            <w:tcW w:w="215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35"/>
              <w:jc w:val="left"/>
              <w:rPr>
                <w:rFonts w:ascii="宋体" w:hAnsi="宋体" w:cs="宋体" w:eastAsia="宋体" w:hint="default"/>
                <w:sz w:val="18"/>
                <w:szCs w:val="18"/>
              </w:rPr>
            </w:pPr>
            <w:r>
              <w:rPr>
                <w:rFonts w:ascii="宋体" w:hAnsi="宋体" w:cs="宋体" w:eastAsia="宋体" w:hint="default"/>
                <w:sz w:val="18"/>
                <w:szCs w:val="18"/>
              </w:rPr>
              <w:t>北京启迪华创投资咨询有 限公司</w:t>
            </w:r>
          </w:p>
        </w:tc>
        <w:tc>
          <w:tcPr>
            <w:tcW w:w="206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81" w:right="0"/>
              <w:jc w:val="left"/>
              <w:rPr>
                <w:rFonts w:ascii="宋体" w:hAnsi="宋体" w:cs="宋体" w:eastAsia="宋体" w:hint="default"/>
                <w:sz w:val="18"/>
                <w:szCs w:val="18"/>
              </w:rPr>
            </w:pPr>
            <w:r>
              <w:rPr>
                <w:rFonts w:ascii="宋体"/>
                <w:sz w:val="18"/>
              </w:rPr>
              <w:t>10.43%</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80,490,900</w:t>
            </w:r>
          </w:p>
        </w:tc>
        <w:tc>
          <w:tcPr>
            <w:tcW w:w="1156" w:type="dxa"/>
            <w:gridSpan w:val="2"/>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44,770,809</w:t>
            </w:r>
          </w:p>
        </w:tc>
        <w:tc>
          <w:tcPr>
            <w:tcW w:w="15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10" w:right="0"/>
              <w:jc w:val="left"/>
              <w:rPr>
                <w:rFonts w:ascii="宋体" w:hAnsi="宋体" w:cs="宋体" w:eastAsia="宋体" w:hint="default"/>
                <w:sz w:val="18"/>
                <w:szCs w:val="18"/>
              </w:rPr>
            </w:pPr>
            <w:r>
              <w:rPr>
                <w:rFonts w:ascii="宋体"/>
                <w:sz w:val="18"/>
              </w:rPr>
              <w:t>35,720,091</w:t>
            </w:r>
          </w:p>
        </w:tc>
        <w:tc>
          <w:tcPr>
            <w:tcW w:w="1662" w:type="dxa"/>
            <w:gridSpan w:val="2"/>
            <w:tcBorders>
              <w:top w:val="single" w:sz="4" w:space="0" w:color="000000"/>
              <w:left w:val="single" w:sz="4" w:space="0" w:color="000000"/>
              <w:bottom w:val="single" w:sz="4" w:space="0" w:color="000000"/>
              <w:right w:val="single" w:sz="4" w:space="0" w:color="000000"/>
            </w:tcBorders>
          </w:tcPr>
          <w:p>
            <w:pPr/>
          </w:p>
        </w:tc>
        <w:tc>
          <w:tcPr>
            <w:tcW w:w="1977" w:type="dxa"/>
            <w:gridSpan w:val="2"/>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5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朱明</w:t>
            </w:r>
          </w:p>
        </w:tc>
        <w:tc>
          <w:tcPr>
            <w:tcW w:w="206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71" w:right="0"/>
              <w:jc w:val="left"/>
              <w:rPr>
                <w:rFonts w:ascii="宋体" w:hAnsi="宋体" w:cs="宋体" w:eastAsia="宋体" w:hint="default"/>
                <w:sz w:val="18"/>
                <w:szCs w:val="18"/>
              </w:rPr>
            </w:pPr>
            <w:r>
              <w:rPr>
                <w:rFonts w:ascii="宋体"/>
                <w:sz w:val="18"/>
              </w:rPr>
              <w:t>6.54%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50,509,831</w:t>
            </w:r>
          </w:p>
        </w:tc>
        <w:tc>
          <w:tcPr>
            <w:tcW w:w="11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3" w:right="0"/>
              <w:jc w:val="left"/>
              <w:rPr>
                <w:rFonts w:ascii="宋体" w:hAnsi="宋体" w:cs="宋体" w:eastAsia="宋体" w:hint="default"/>
                <w:sz w:val="18"/>
                <w:szCs w:val="18"/>
              </w:rPr>
            </w:pPr>
            <w:r>
              <w:rPr>
                <w:rFonts w:ascii="宋体"/>
                <w:sz w:val="18"/>
              </w:rPr>
              <w:t>50,509,831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50,509,831</w:t>
            </w:r>
          </w:p>
        </w:tc>
        <w:tc>
          <w:tcPr>
            <w:tcW w:w="1543" w:type="dxa"/>
            <w:gridSpan w:val="2"/>
            <w:tcBorders>
              <w:top w:val="single" w:sz="4" w:space="0" w:color="000000"/>
              <w:left w:val="single" w:sz="4" w:space="0" w:color="000000"/>
              <w:bottom w:val="single" w:sz="4" w:space="0" w:color="000000"/>
              <w:right w:val="single" w:sz="4" w:space="0" w:color="000000"/>
            </w:tcBorders>
          </w:tcPr>
          <w:p>
            <w:pPr/>
          </w:p>
        </w:tc>
        <w:tc>
          <w:tcPr>
            <w:tcW w:w="16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34" w:right="0"/>
              <w:jc w:val="left"/>
              <w:rPr>
                <w:rFonts w:ascii="宋体" w:hAnsi="宋体" w:cs="宋体" w:eastAsia="宋体" w:hint="default"/>
                <w:sz w:val="18"/>
                <w:szCs w:val="18"/>
              </w:rPr>
            </w:pPr>
            <w:r>
              <w:rPr>
                <w:rFonts w:ascii="宋体"/>
                <w:sz w:val="18"/>
              </w:rPr>
              <w:t>8,135,169</w:t>
            </w:r>
          </w:p>
        </w:tc>
      </w:tr>
      <w:tr>
        <w:trPr>
          <w:trHeight w:val="714" w:hRule="exact"/>
        </w:trPr>
        <w:tc>
          <w:tcPr>
            <w:tcW w:w="215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35"/>
              <w:jc w:val="left"/>
              <w:rPr>
                <w:rFonts w:ascii="宋体" w:hAnsi="宋体" w:cs="宋体" w:eastAsia="宋体" w:hint="default"/>
                <w:sz w:val="18"/>
                <w:szCs w:val="18"/>
              </w:rPr>
            </w:pPr>
            <w:r>
              <w:rPr>
                <w:rFonts w:ascii="宋体" w:hAnsi="宋体" w:cs="宋体" w:eastAsia="宋体" w:hint="default"/>
                <w:sz w:val="18"/>
                <w:szCs w:val="18"/>
              </w:rPr>
              <w:t>建水文睿企业管理有限公 司</w:t>
            </w:r>
          </w:p>
        </w:tc>
        <w:tc>
          <w:tcPr>
            <w:tcW w:w="206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71" w:right="0"/>
              <w:jc w:val="left"/>
              <w:rPr>
                <w:rFonts w:ascii="宋体" w:hAnsi="宋体" w:cs="宋体" w:eastAsia="宋体" w:hint="default"/>
                <w:sz w:val="18"/>
                <w:szCs w:val="18"/>
              </w:rPr>
            </w:pPr>
            <w:r>
              <w:rPr>
                <w:rFonts w:ascii="宋体"/>
                <w:sz w:val="18"/>
              </w:rPr>
              <w:t>5.44%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41,965,205</w:t>
            </w:r>
          </w:p>
        </w:tc>
        <w:tc>
          <w:tcPr>
            <w:tcW w:w="1156" w:type="dxa"/>
            <w:gridSpan w:val="2"/>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25,179,123</w:t>
            </w:r>
          </w:p>
        </w:tc>
        <w:tc>
          <w:tcPr>
            <w:tcW w:w="15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10" w:right="0"/>
              <w:jc w:val="left"/>
              <w:rPr>
                <w:rFonts w:ascii="宋体" w:hAnsi="宋体" w:cs="宋体" w:eastAsia="宋体" w:hint="default"/>
                <w:sz w:val="18"/>
                <w:szCs w:val="18"/>
              </w:rPr>
            </w:pPr>
            <w:r>
              <w:rPr>
                <w:rFonts w:ascii="宋体"/>
                <w:sz w:val="18"/>
              </w:rPr>
              <w:t>16,786,082</w:t>
            </w:r>
          </w:p>
        </w:tc>
        <w:tc>
          <w:tcPr>
            <w:tcW w:w="1662" w:type="dxa"/>
            <w:gridSpan w:val="2"/>
            <w:tcBorders>
              <w:top w:val="single" w:sz="4" w:space="0" w:color="000000"/>
              <w:left w:val="single" w:sz="4" w:space="0" w:color="000000"/>
              <w:bottom w:val="single" w:sz="4" w:space="0" w:color="000000"/>
              <w:right w:val="single" w:sz="4" w:space="0" w:color="000000"/>
            </w:tcBorders>
          </w:tcPr>
          <w:p>
            <w:pPr/>
          </w:p>
        </w:tc>
        <w:tc>
          <w:tcPr>
            <w:tcW w:w="1977" w:type="dxa"/>
            <w:gridSpan w:val="2"/>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5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全国社保基金五零四组合</w:t>
            </w:r>
          </w:p>
        </w:tc>
        <w:tc>
          <w:tcPr>
            <w:tcW w:w="206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71" w:right="0"/>
              <w:jc w:val="left"/>
              <w:rPr>
                <w:rFonts w:ascii="宋体" w:hAnsi="宋体" w:cs="宋体" w:eastAsia="宋体" w:hint="default"/>
                <w:sz w:val="18"/>
                <w:szCs w:val="18"/>
              </w:rPr>
            </w:pPr>
            <w:r>
              <w:rPr>
                <w:rFonts w:ascii="宋体"/>
                <w:sz w:val="18"/>
              </w:rPr>
              <w:t>2.71%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20,892,757</w:t>
            </w:r>
          </w:p>
        </w:tc>
        <w:tc>
          <w:tcPr>
            <w:tcW w:w="1156" w:type="dxa"/>
            <w:gridSpan w:val="2"/>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5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10" w:right="0"/>
              <w:jc w:val="left"/>
              <w:rPr>
                <w:rFonts w:ascii="宋体" w:hAnsi="宋体" w:cs="宋体" w:eastAsia="宋体" w:hint="default"/>
                <w:sz w:val="18"/>
                <w:szCs w:val="18"/>
              </w:rPr>
            </w:pPr>
            <w:r>
              <w:rPr>
                <w:rFonts w:ascii="宋体"/>
                <w:sz w:val="18"/>
              </w:rPr>
              <w:t>20,892,757</w:t>
            </w:r>
          </w:p>
        </w:tc>
        <w:tc>
          <w:tcPr>
            <w:tcW w:w="1662" w:type="dxa"/>
            <w:gridSpan w:val="2"/>
            <w:tcBorders>
              <w:top w:val="single" w:sz="4" w:space="0" w:color="000000"/>
              <w:left w:val="single" w:sz="4" w:space="0" w:color="000000"/>
              <w:bottom w:val="single" w:sz="4" w:space="0" w:color="000000"/>
              <w:right w:val="single" w:sz="4" w:space="0" w:color="000000"/>
            </w:tcBorders>
          </w:tcPr>
          <w:p>
            <w:pPr/>
          </w:p>
        </w:tc>
        <w:tc>
          <w:tcPr>
            <w:tcW w:w="1977"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2150"/>
        <w:gridCol w:w="2069"/>
        <w:gridCol w:w="1154"/>
        <w:gridCol w:w="1152"/>
        <w:gridCol w:w="1156"/>
        <w:gridCol w:w="1152"/>
        <w:gridCol w:w="1543"/>
        <w:gridCol w:w="1662"/>
        <w:gridCol w:w="1977"/>
      </w:tblGrid>
      <w:tr>
        <w:trPr>
          <w:trHeight w:val="416" w:hRule="exact"/>
        </w:trPr>
        <w:tc>
          <w:tcPr>
            <w:tcW w:w="215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诸暨华越投资有限公司</w:t>
            </w:r>
          </w:p>
        </w:tc>
        <w:tc>
          <w:tcPr>
            <w:tcW w:w="2069"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1.97%</w:t>
            </w:r>
          </w:p>
        </w:tc>
        <w:tc>
          <w:tcPr>
            <w:tcW w:w="115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15,223,857</w:t>
            </w:r>
          </w:p>
        </w:tc>
        <w:tc>
          <w:tcPr>
            <w:tcW w:w="115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15,223,857</w:t>
            </w:r>
          </w:p>
        </w:tc>
        <w:tc>
          <w:tcPr>
            <w:tcW w:w="1152" w:type="dxa"/>
            <w:tcBorders>
              <w:top w:val="single" w:sz="15" w:space="0" w:color="000000"/>
              <w:left w:val="single" w:sz="4" w:space="0" w:color="000000"/>
              <w:bottom w:val="single" w:sz="4" w:space="0" w:color="000000"/>
              <w:right w:val="single" w:sz="4" w:space="0" w:color="000000"/>
            </w:tcBorders>
          </w:tcPr>
          <w:p>
            <w:pPr/>
          </w:p>
        </w:tc>
        <w:tc>
          <w:tcPr>
            <w:tcW w:w="1543"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15,223,857</w:t>
            </w:r>
          </w:p>
        </w:tc>
        <w:tc>
          <w:tcPr>
            <w:tcW w:w="1662" w:type="dxa"/>
            <w:tcBorders>
              <w:top w:val="single" w:sz="15" w:space="0" w:color="000000"/>
              <w:left w:val="single" w:sz="4" w:space="0" w:color="000000"/>
              <w:bottom w:val="single" w:sz="4" w:space="0" w:color="000000"/>
              <w:right w:val="single" w:sz="4" w:space="0" w:color="000000"/>
            </w:tcBorders>
          </w:tcPr>
          <w:p>
            <w:pPr/>
          </w:p>
        </w:tc>
        <w:tc>
          <w:tcPr>
            <w:tcW w:w="1977"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35"/>
              <w:jc w:val="left"/>
              <w:rPr>
                <w:rFonts w:ascii="宋体" w:hAnsi="宋体" w:cs="宋体" w:eastAsia="宋体" w:hint="default"/>
                <w:sz w:val="18"/>
                <w:szCs w:val="18"/>
              </w:rPr>
            </w:pPr>
            <w:r>
              <w:rPr>
                <w:rFonts w:ascii="宋体" w:hAnsi="宋体" w:cs="宋体" w:eastAsia="宋体" w:hint="default"/>
                <w:sz w:val="18"/>
                <w:szCs w:val="18"/>
              </w:rPr>
              <w:t>北京掌中达信息科技有限 责任公司</w:t>
            </w:r>
          </w:p>
        </w:tc>
        <w:tc>
          <w:tcPr>
            <w:tcW w:w="20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1.44%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11,079,630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7,887,950</w:t>
            </w:r>
          </w:p>
        </w:tc>
        <w:tc>
          <w:tcPr>
            <w:tcW w:w="1152" w:type="dxa"/>
            <w:tcBorders>
              <w:top w:val="single" w:sz="4" w:space="0" w:color="000000"/>
              <w:left w:val="single" w:sz="4" w:space="0" w:color="000000"/>
              <w:bottom w:val="single" w:sz="4" w:space="0" w:color="000000"/>
              <w:right w:val="single" w:sz="4" w:space="0" w:color="000000"/>
            </w:tcBorders>
          </w:tcPr>
          <w:p>
            <w:pP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11,079,630</w:t>
            </w:r>
          </w:p>
        </w:tc>
        <w:tc>
          <w:tcPr>
            <w:tcW w:w="1662" w:type="dxa"/>
            <w:tcBorders>
              <w:top w:val="single" w:sz="4" w:space="0" w:color="000000"/>
              <w:left w:val="single" w:sz="4" w:space="0" w:color="000000"/>
              <w:bottom w:val="single" w:sz="4" w:space="0" w:color="000000"/>
              <w:right w:val="single" w:sz="4" w:space="0" w:color="000000"/>
            </w:tcBorders>
          </w:tcPr>
          <w:p>
            <w:pPr/>
          </w:p>
        </w:tc>
        <w:tc>
          <w:tcPr>
            <w:tcW w:w="19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胡松挺</w:t>
            </w:r>
          </w:p>
        </w:tc>
        <w:tc>
          <w:tcPr>
            <w:tcW w:w="20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0.92%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7,108,203</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-1,227,196</w:t>
            </w:r>
          </w:p>
        </w:tc>
        <w:tc>
          <w:tcPr>
            <w:tcW w:w="1152" w:type="dxa"/>
            <w:tcBorders>
              <w:top w:val="single" w:sz="4" w:space="0" w:color="000000"/>
              <w:left w:val="single" w:sz="4" w:space="0" w:color="000000"/>
              <w:bottom w:val="single" w:sz="4" w:space="0" w:color="000000"/>
              <w:right w:val="single" w:sz="4" w:space="0" w:color="000000"/>
            </w:tcBorders>
          </w:tcPr>
          <w:p>
            <w:pP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7,108,203</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质押</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5,753,200</w:t>
            </w:r>
          </w:p>
        </w:tc>
      </w:tr>
      <w:tr>
        <w:trPr>
          <w:trHeight w:val="1026"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东海基金－上海银行－盈 科</w:t>
            </w:r>
            <w:r>
              <w:rPr>
                <w:rFonts w:ascii="宋体" w:hAnsi="宋体" w:cs="宋体" w:eastAsia="宋体" w:hint="default"/>
                <w:spacing w:val="-63"/>
                <w:sz w:val="18"/>
                <w:szCs w:val="18"/>
              </w:rPr>
              <w:t> </w:t>
            </w:r>
            <w:r>
              <w:rPr>
                <w:rFonts w:ascii="宋体" w:hAnsi="宋体" w:cs="宋体" w:eastAsia="宋体" w:hint="default"/>
                <w:sz w:val="18"/>
                <w:szCs w:val="18"/>
              </w:rPr>
              <w:t>2</w:t>
            </w:r>
            <w:r>
              <w:rPr>
                <w:rFonts w:ascii="宋体" w:hAnsi="宋体" w:cs="宋体" w:eastAsia="宋体" w:hint="default"/>
                <w:spacing w:val="-63"/>
                <w:sz w:val="18"/>
                <w:szCs w:val="18"/>
              </w:rPr>
              <w:t> </w:t>
            </w:r>
            <w:r>
              <w:rPr>
                <w:rFonts w:ascii="宋体" w:hAnsi="宋体" w:cs="宋体" w:eastAsia="宋体" w:hint="default"/>
                <w:sz w:val="18"/>
                <w:szCs w:val="18"/>
              </w:rPr>
              <w:t>号－鑫龙</w:t>
            </w:r>
            <w:r>
              <w:rPr>
                <w:rFonts w:ascii="宋体" w:hAnsi="宋体" w:cs="宋体" w:eastAsia="宋体" w:hint="default"/>
                <w:spacing w:val="-63"/>
                <w:sz w:val="18"/>
                <w:szCs w:val="18"/>
              </w:rPr>
              <w:t> </w:t>
            </w:r>
            <w:r>
              <w:rPr>
                <w:rFonts w:ascii="宋体" w:hAnsi="宋体" w:cs="宋体" w:eastAsia="宋体" w:hint="default"/>
                <w:sz w:val="18"/>
                <w:szCs w:val="18"/>
              </w:rPr>
              <w:t>185</w:t>
            </w:r>
            <w:r>
              <w:rPr>
                <w:rFonts w:ascii="宋体" w:hAnsi="宋体" w:cs="宋体" w:eastAsia="宋体" w:hint="default"/>
                <w:spacing w:val="-62"/>
                <w:sz w:val="18"/>
                <w:szCs w:val="18"/>
              </w:rPr>
              <w:t> </w:t>
            </w:r>
            <w:r>
              <w:rPr>
                <w:rFonts w:ascii="宋体" w:hAnsi="宋体" w:cs="宋体" w:eastAsia="宋体" w:hint="default"/>
                <w:sz w:val="18"/>
                <w:szCs w:val="18"/>
              </w:rPr>
              <w:t>号资产管 理计划</w:t>
            </w:r>
          </w:p>
        </w:tc>
        <w:tc>
          <w:tcPr>
            <w:tcW w:w="20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0.88%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3"/>
              <w:jc w:val="right"/>
              <w:rPr>
                <w:rFonts w:ascii="宋体" w:hAnsi="宋体" w:cs="宋体" w:eastAsia="宋体" w:hint="default"/>
                <w:sz w:val="18"/>
                <w:szCs w:val="18"/>
              </w:rPr>
            </w:pPr>
            <w:r>
              <w:rPr>
                <w:rFonts w:ascii="宋体"/>
                <w:sz w:val="18"/>
              </w:rPr>
              <w:t>6,820,225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-6,800,000</w:t>
            </w:r>
          </w:p>
        </w:tc>
        <w:tc>
          <w:tcPr>
            <w:tcW w:w="1152" w:type="dxa"/>
            <w:tcBorders>
              <w:top w:val="single" w:sz="4" w:space="0" w:color="000000"/>
              <w:left w:val="single" w:sz="4" w:space="0" w:color="000000"/>
              <w:bottom w:val="single" w:sz="4" w:space="0" w:color="000000"/>
              <w:right w:val="single" w:sz="4" w:space="0" w:color="000000"/>
            </w:tcBorders>
          </w:tcPr>
          <w:p>
            <w:pP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6,820,225</w:t>
            </w:r>
          </w:p>
        </w:tc>
        <w:tc>
          <w:tcPr>
            <w:tcW w:w="1662" w:type="dxa"/>
            <w:tcBorders>
              <w:top w:val="single" w:sz="4" w:space="0" w:color="000000"/>
              <w:left w:val="single" w:sz="4" w:space="0" w:color="000000"/>
              <w:bottom w:val="single" w:sz="4" w:space="0" w:color="000000"/>
              <w:right w:val="single" w:sz="4" w:space="0" w:color="000000"/>
            </w:tcBorders>
          </w:tcPr>
          <w:p>
            <w:pPr/>
          </w:p>
        </w:tc>
        <w:tc>
          <w:tcPr>
            <w:tcW w:w="19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陈耀杰</w:t>
            </w:r>
          </w:p>
        </w:tc>
        <w:tc>
          <w:tcPr>
            <w:tcW w:w="20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0.78%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5,993,968</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-1,237,159</w:t>
            </w:r>
          </w:p>
        </w:tc>
        <w:tc>
          <w:tcPr>
            <w:tcW w:w="1152" w:type="dxa"/>
            <w:tcBorders>
              <w:top w:val="single" w:sz="4" w:space="0" w:color="000000"/>
              <w:left w:val="single" w:sz="4" w:space="0" w:color="000000"/>
              <w:bottom w:val="single" w:sz="4" w:space="0" w:color="000000"/>
              <w:right w:val="single" w:sz="4" w:space="0" w:color="000000"/>
            </w:tcBorders>
          </w:tcPr>
          <w:p>
            <w:pP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5,993,968</w:t>
            </w:r>
          </w:p>
        </w:tc>
        <w:tc>
          <w:tcPr>
            <w:tcW w:w="1662" w:type="dxa"/>
            <w:tcBorders>
              <w:top w:val="single" w:sz="4" w:space="0" w:color="000000"/>
              <w:left w:val="single" w:sz="4" w:space="0" w:color="000000"/>
              <w:bottom w:val="single" w:sz="4" w:space="0" w:color="000000"/>
              <w:right w:val="single" w:sz="4" w:space="0" w:color="000000"/>
            </w:tcBorders>
          </w:tcPr>
          <w:p>
            <w:pPr/>
          </w:p>
        </w:tc>
        <w:tc>
          <w:tcPr>
            <w:tcW w:w="19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34"/>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战略投资者或一般法人因配售新股成为前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名股东 的情况（如有）</w:t>
            </w:r>
          </w:p>
        </w:tc>
        <w:tc>
          <w:tcPr>
            <w:tcW w:w="9796" w:type="dxa"/>
            <w:gridSpan w:val="7"/>
            <w:tcBorders>
              <w:top w:val="single" w:sz="4" w:space="0" w:color="000000"/>
              <w:left w:val="single" w:sz="10"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5"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9796" w:type="dxa"/>
            <w:gridSpan w:val="7"/>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15" w:right="0"/>
              <w:jc w:val="left"/>
              <w:rPr>
                <w:rFonts w:ascii="宋体" w:hAnsi="宋体" w:cs="宋体" w:eastAsia="宋体" w:hint="default"/>
                <w:sz w:val="18"/>
                <w:szCs w:val="18"/>
              </w:rPr>
            </w:pPr>
            <w:r>
              <w:rPr>
                <w:rFonts w:ascii="宋体" w:hAnsi="宋体" w:cs="宋体" w:eastAsia="宋体" w:hint="default"/>
                <w:sz w:val="18"/>
                <w:szCs w:val="18"/>
              </w:rPr>
              <w:t>童之磊为建水文睿企业管理有限公司的控股股东，双方存在关联关系；童之磊与朱明为一致行动人，双方存在关联关系。</w:t>
            </w:r>
          </w:p>
        </w:tc>
      </w:tr>
      <w:tr>
        <w:trPr>
          <w:trHeight w:val="402" w:hRule="exact"/>
        </w:trPr>
        <w:tc>
          <w:tcPr>
            <w:tcW w:w="1401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名无限售条件股东持股情况</w:t>
            </w:r>
          </w:p>
        </w:tc>
      </w:tr>
      <w:tr>
        <w:trPr>
          <w:trHeight w:val="206" w:hRule="exact"/>
        </w:trPr>
        <w:tc>
          <w:tcPr>
            <w:tcW w:w="4218"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158"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363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1" w:hRule="exact"/>
        </w:trPr>
        <w:tc>
          <w:tcPr>
            <w:tcW w:w="4218"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6158"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723"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3639"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4218" w:type="dxa"/>
            <w:gridSpan w:val="2"/>
            <w:vMerge/>
            <w:tcBorders>
              <w:left w:val="single" w:sz="4" w:space="0" w:color="000000"/>
              <w:bottom w:val="nil" w:sz="6" w:space="0" w:color="auto"/>
              <w:right w:val="single" w:sz="4" w:space="0" w:color="000000"/>
            </w:tcBorders>
            <w:shd w:val="clear" w:color="auto" w:fill="D2D2D2"/>
          </w:tcPr>
          <w:p>
            <w:pPr/>
          </w:p>
        </w:tc>
        <w:tc>
          <w:tcPr>
            <w:tcW w:w="6158" w:type="dxa"/>
            <w:gridSpan w:val="5"/>
            <w:vMerge/>
            <w:tcBorders>
              <w:left w:val="single" w:sz="4" w:space="0" w:color="000000"/>
              <w:bottom w:val="nil" w:sz="6" w:space="0" w:color="auto"/>
              <w:right w:val="single" w:sz="4" w:space="0" w:color="000000"/>
            </w:tcBorders>
            <w:shd w:val="clear" w:color="auto" w:fill="D2D2D2"/>
          </w:tcPr>
          <w:p>
            <w:pPr/>
          </w:p>
        </w:tc>
        <w:tc>
          <w:tcPr>
            <w:tcW w:w="1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66"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9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4218"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158"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662" w:type="dxa"/>
            <w:vMerge/>
            <w:tcBorders>
              <w:left w:val="single" w:sz="4" w:space="0" w:color="000000"/>
              <w:bottom w:val="single" w:sz="4" w:space="0" w:color="000000"/>
              <w:right w:val="single" w:sz="4" w:space="0" w:color="000000"/>
            </w:tcBorders>
            <w:shd w:val="clear" w:color="auto" w:fill="D2D2D2"/>
          </w:tcPr>
          <w:p>
            <w:pPr/>
          </w:p>
        </w:tc>
        <w:tc>
          <w:tcPr>
            <w:tcW w:w="197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北京启迪华创投资咨询有限公司</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35,720,091</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35,720,091</w:t>
            </w: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全国社保基金五零四组合</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20,892,757</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20,892,757</w:t>
            </w: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建水文睿企业管理有限公司</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16,786,082</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16,786,082</w:t>
            </w: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诸暨华越投资有限公司</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15,223,857</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15,223,857</w:t>
            </w: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11,137,941</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11,137,941</w:t>
            </w: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北京掌中达信息科技有限责任公司</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11,079,630</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11,079,630</w:t>
            </w: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胡松挺</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7,108,203</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7,108,203</w:t>
            </w:r>
          </w:p>
        </w:tc>
      </w:tr>
      <w:tr>
        <w:trPr>
          <w:trHeight w:val="714"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44"/>
              <w:jc w:val="left"/>
              <w:rPr>
                <w:rFonts w:ascii="宋体" w:hAnsi="宋体" w:cs="宋体" w:eastAsia="宋体" w:hint="default"/>
                <w:sz w:val="18"/>
                <w:szCs w:val="18"/>
              </w:rPr>
            </w:pPr>
            <w:r>
              <w:rPr>
                <w:rFonts w:ascii="宋体" w:hAnsi="宋体" w:cs="宋体" w:eastAsia="宋体" w:hint="default"/>
                <w:sz w:val="18"/>
                <w:szCs w:val="18"/>
              </w:rPr>
              <w:t>东海基金－上海银行－盈科</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号－鑫龙</w:t>
            </w:r>
            <w:r>
              <w:rPr>
                <w:rFonts w:ascii="宋体" w:hAnsi="宋体" w:cs="宋体" w:eastAsia="宋体" w:hint="default"/>
                <w:spacing w:val="-46"/>
                <w:sz w:val="18"/>
                <w:szCs w:val="18"/>
              </w:rPr>
              <w:t> </w:t>
            </w:r>
            <w:r>
              <w:rPr>
                <w:rFonts w:ascii="宋体" w:hAnsi="宋体" w:cs="宋体" w:eastAsia="宋体" w:hint="default"/>
                <w:sz w:val="18"/>
                <w:szCs w:val="18"/>
              </w:rPr>
              <w:t>185</w:t>
            </w:r>
            <w:r>
              <w:rPr>
                <w:rFonts w:ascii="宋体" w:hAnsi="宋体" w:cs="宋体" w:eastAsia="宋体" w:hint="default"/>
                <w:spacing w:val="-45"/>
                <w:sz w:val="18"/>
                <w:szCs w:val="18"/>
              </w:rPr>
              <w:t> </w:t>
            </w:r>
            <w:r>
              <w:rPr>
                <w:rFonts w:ascii="宋体" w:hAnsi="宋体" w:cs="宋体" w:eastAsia="宋体" w:hint="default"/>
                <w:sz w:val="18"/>
                <w:szCs w:val="18"/>
              </w:rPr>
              <w:t>号资产管 理计划</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6,820,225</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6,820,225</w:t>
            </w:r>
          </w:p>
        </w:tc>
      </w:tr>
      <w:tr>
        <w:trPr>
          <w:trHeight w:val="402" w:hRule="exact"/>
        </w:trPr>
        <w:tc>
          <w:tcPr>
            <w:tcW w:w="421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陈耀杰</w:t>
            </w:r>
          </w:p>
        </w:tc>
        <w:tc>
          <w:tcPr>
            <w:tcW w:w="61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5,993,968</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5,993,968</w:t>
            </w:r>
          </w:p>
        </w:tc>
      </w:tr>
    </w:tbl>
    <w:p>
      <w:pPr>
        <w:spacing w:after="0" w:line="240" w:lineRule="auto"/>
        <w:jc w:val="righ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4218"/>
        <w:gridCol w:w="6158"/>
        <w:gridCol w:w="1662"/>
        <w:gridCol w:w="1977"/>
      </w:tblGrid>
      <w:tr>
        <w:trPr>
          <w:trHeight w:val="416" w:hRule="exact"/>
        </w:trPr>
        <w:tc>
          <w:tcPr>
            <w:tcW w:w="4218"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北京启迪创业孵化器有限公司</w:t>
            </w:r>
          </w:p>
        </w:tc>
        <w:tc>
          <w:tcPr>
            <w:tcW w:w="615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3,776,625</w:t>
            </w:r>
          </w:p>
        </w:tc>
        <w:tc>
          <w:tcPr>
            <w:tcW w:w="166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134" w:right="0"/>
              <w:jc w:val="left"/>
              <w:rPr>
                <w:rFonts w:ascii="宋体" w:hAnsi="宋体" w:cs="宋体" w:eastAsia="宋体" w:hint="default"/>
                <w:sz w:val="18"/>
                <w:szCs w:val="18"/>
              </w:rPr>
            </w:pPr>
            <w:r>
              <w:rPr>
                <w:rFonts w:ascii="宋体"/>
                <w:sz w:val="18"/>
              </w:rPr>
              <w:t>3,776,625</w:t>
            </w:r>
          </w:p>
        </w:tc>
      </w:tr>
      <w:tr>
        <w:trPr>
          <w:trHeight w:val="1026" w:hRule="exact"/>
        </w:trPr>
        <w:tc>
          <w:tcPr>
            <w:tcW w:w="42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名无限售</w:t>
            </w:r>
          </w:p>
          <w:p>
            <w:pPr>
              <w:pStyle w:val="TableParagraph"/>
              <w:spacing w:line="319" w:lineRule="auto" w:before="76"/>
              <w:ind w:left="22" w:right="133"/>
              <w:jc w:val="left"/>
              <w:rPr>
                <w:rFonts w:ascii="宋体" w:hAnsi="宋体" w:cs="宋体" w:eastAsia="宋体" w:hint="default"/>
                <w:sz w:val="18"/>
                <w:szCs w:val="18"/>
              </w:rPr>
            </w:pPr>
            <w:r>
              <w:rPr>
                <w:rFonts w:ascii="宋体" w:hAnsi="宋体" w:cs="宋体" w:eastAsia="宋体" w:hint="default"/>
                <w:sz w:val="18"/>
                <w:szCs w:val="18"/>
              </w:rPr>
              <w:t>流通股股东和前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名股东之间关联关系或一致行动 的说明</w:t>
            </w:r>
          </w:p>
        </w:tc>
        <w:tc>
          <w:tcPr>
            <w:tcW w:w="979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童之磊为建水文睿企业管理有限公司的控股股东，双方存在关联关系。</w:t>
            </w:r>
          </w:p>
        </w:tc>
      </w:tr>
      <w:tr>
        <w:trPr>
          <w:trHeight w:val="714" w:hRule="exact"/>
        </w:trPr>
        <w:tc>
          <w:tcPr>
            <w:tcW w:w="42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参与融资融券业务股东情况说明（如有）</w:t>
            </w:r>
          </w:p>
        </w:tc>
        <w:tc>
          <w:tcPr>
            <w:tcW w:w="979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公司股东建水文睿企业管理有限公司通过普通证券账户持有</w:t>
            </w:r>
            <w:r>
              <w:rPr>
                <w:rFonts w:ascii="宋体" w:hAnsi="宋体" w:cs="宋体" w:eastAsia="宋体" w:hint="default"/>
                <w:spacing w:val="-46"/>
                <w:sz w:val="18"/>
                <w:szCs w:val="18"/>
              </w:rPr>
              <w:t> </w:t>
            </w:r>
            <w:r>
              <w:rPr>
                <w:rFonts w:ascii="宋体" w:hAnsi="宋体" w:cs="宋体" w:eastAsia="宋体" w:hint="default"/>
                <w:sz w:val="18"/>
                <w:szCs w:val="18"/>
              </w:rPr>
              <w:t>0</w:t>
            </w:r>
            <w:r>
              <w:rPr>
                <w:rFonts w:ascii="宋体" w:hAnsi="宋体" w:cs="宋体" w:eastAsia="宋体" w:hint="default"/>
                <w:spacing w:val="-46"/>
                <w:sz w:val="18"/>
                <w:szCs w:val="18"/>
              </w:rPr>
              <w:t> </w:t>
            </w:r>
            <w:r>
              <w:rPr>
                <w:rFonts w:ascii="宋体" w:hAnsi="宋体" w:cs="宋体" w:eastAsia="宋体" w:hint="default"/>
                <w:sz w:val="18"/>
                <w:szCs w:val="18"/>
              </w:rPr>
              <w:t>股，通过光大证券股份有限公司客户信用交易担保证券账户持</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46"/>
                <w:sz w:val="18"/>
                <w:szCs w:val="18"/>
              </w:rPr>
              <w:t> </w:t>
            </w:r>
            <w:r>
              <w:rPr>
                <w:rFonts w:ascii="宋体" w:hAnsi="宋体" w:cs="宋体" w:eastAsia="宋体" w:hint="default"/>
                <w:sz w:val="18"/>
                <w:szCs w:val="18"/>
              </w:rPr>
              <w:t>16,786,082</w:t>
            </w:r>
            <w:r>
              <w:rPr>
                <w:rFonts w:ascii="宋体" w:hAnsi="宋体" w:cs="宋体" w:eastAsia="宋体" w:hint="default"/>
                <w:spacing w:val="-45"/>
                <w:sz w:val="18"/>
                <w:szCs w:val="18"/>
              </w:rPr>
              <w:t> </w:t>
            </w:r>
            <w:r>
              <w:rPr>
                <w:rFonts w:ascii="宋体" w:hAnsi="宋体" w:cs="宋体" w:eastAsia="宋体" w:hint="default"/>
                <w:sz w:val="18"/>
                <w:szCs w:val="18"/>
              </w:rPr>
              <w:t>股。</w:t>
            </w:r>
          </w:p>
        </w:tc>
      </w:tr>
    </w:tbl>
    <w:p>
      <w:pPr>
        <w:spacing w:line="240" w:lineRule="auto" w:before="11"/>
        <w:rPr>
          <w:rFonts w:ascii="Times New Roman" w:hAnsi="Times New Roman" w:cs="Times New Roman" w:eastAsia="Times New Roman" w:hint="default"/>
          <w:sz w:val="9"/>
          <w:szCs w:val="9"/>
        </w:rPr>
      </w:pPr>
    </w:p>
    <w:p>
      <w:pPr>
        <w:pStyle w:val="BodyText"/>
        <w:spacing w:line="240" w:lineRule="auto" w:before="26"/>
        <w:ind w:left="620" w:right="0"/>
        <w:jc w:val="left"/>
      </w:pPr>
      <w:r>
        <w:rPr/>
        <w:t>公司前</w:t>
      </w:r>
      <w:r>
        <w:rPr>
          <w:spacing w:val="-60"/>
        </w:rPr>
        <w:t> </w:t>
      </w:r>
      <w:r>
        <w:rPr>
          <w:rFonts w:ascii="宋体" w:hAnsi="宋体" w:cs="宋体" w:eastAsia="宋体" w:hint="default"/>
        </w:rPr>
        <w:t>10</w:t>
      </w:r>
      <w:r>
        <w:rPr>
          <w:rFonts w:ascii="宋体" w:hAnsi="宋体" w:cs="宋体" w:eastAsia="宋体" w:hint="default"/>
          <w:spacing w:val="-60"/>
        </w:rPr>
        <w:t> </w:t>
      </w:r>
      <w:r>
        <w:rPr/>
        <w:t>名普通股股东、前</w:t>
      </w:r>
      <w:r>
        <w:rPr>
          <w:spacing w:val="-60"/>
        </w:rPr>
        <w:t> </w:t>
      </w:r>
      <w:r>
        <w:rPr>
          <w:rFonts w:ascii="宋体" w:hAnsi="宋体" w:cs="宋体" w:eastAsia="宋体" w:hint="default"/>
        </w:rPr>
        <w:t>10</w:t>
      </w:r>
      <w:r>
        <w:rPr>
          <w:rFonts w:ascii="宋体" w:hAnsi="宋体" w:cs="宋体" w:eastAsia="宋体" w:hint="default"/>
          <w:spacing w:val="-60"/>
        </w:rPr>
        <w:t> </w:t>
      </w:r>
      <w:r>
        <w:rPr/>
        <w:t>名无限售条件普通股股东在报告期内是否进行约定购回交易</w:t>
      </w:r>
    </w:p>
    <w:p>
      <w:pPr>
        <w:spacing w:line="240" w:lineRule="auto" w:before="6"/>
        <w:rPr>
          <w:rFonts w:ascii="宋体" w:hAnsi="宋体" w:cs="宋体" w:eastAsia="宋体" w:hint="default"/>
          <w:sz w:val="19"/>
          <w:szCs w:val="19"/>
        </w:rPr>
      </w:pPr>
    </w:p>
    <w:p>
      <w:pPr>
        <w:pStyle w:val="BodyText"/>
        <w:spacing w:line="240" w:lineRule="auto"/>
        <w:ind w:left="620" w:right="5438"/>
        <w:jc w:val="left"/>
      </w:pPr>
      <w:r>
        <w:rPr/>
        <w:t>□ 是 √ 否</w:t>
      </w:r>
    </w:p>
    <w:p>
      <w:pPr>
        <w:spacing w:line="240" w:lineRule="auto" w:before="5"/>
        <w:rPr>
          <w:rFonts w:ascii="宋体" w:hAnsi="宋体" w:cs="宋体" w:eastAsia="宋体" w:hint="default"/>
          <w:sz w:val="19"/>
          <w:szCs w:val="19"/>
        </w:rPr>
      </w:pPr>
    </w:p>
    <w:p>
      <w:pPr>
        <w:pStyle w:val="BodyText"/>
        <w:spacing w:line="240" w:lineRule="auto"/>
        <w:ind w:left="620" w:right="0"/>
        <w:jc w:val="left"/>
      </w:pPr>
      <w:r>
        <w:rPr/>
        <w:t>公司前</w:t>
      </w:r>
      <w:r>
        <w:rPr>
          <w:spacing w:val="-60"/>
        </w:rPr>
        <w:t> </w:t>
      </w:r>
      <w:r>
        <w:rPr>
          <w:rFonts w:ascii="宋体" w:hAnsi="宋体" w:cs="宋体" w:eastAsia="宋体" w:hint="default"/>
        </w:rPr>
        <w:t>10</w:t>
      </w:r>
      <w:r>
        <w:rPr>
          <w:rFonts w:ascii="宋体" w:hAnsi="宋体" w:cs="宋体" w:eastAsia="宋体" w:hint="default"/>
          <w:spacing w:val="-60"/>
        </w:rPr>
        <w:t> </w:t>
      </w:r>
      <w:r>
        <w:rPr/>
        <w:t>名普通股股东、前</w:t>
      </w:r>
      <w:r>
        <w:rPr>
          <w:spacing w:val="-60"/>
        </w:rPr>
        <w:t> </w:t>
      </w:r>
      <w:r>
        <w:rPr>
          <w:rFonts w:ascii="宋体" w:hAnsi="宋体" w:cs="宋体" w:eastAsia="宋体" w:hint="default"/>
        </w:rPr>
        <w:t>10</w:t>
      </w:r>
      <w:r>
        <w:rPr>
          <w:rFonts w:ascii="宋体" w:hAnsi="宋体" w:cs="宋体" w:eastAsia="宋体" w:hint="default"/>
          <w:spacing w:val="-60"/>
        </w:rPr>
        <w:t> </w:t>
      </w:r>
      <w:r>
        <w:rPr/>
        <w:t>名无限售条件普通股股东在报告期内未进行约定购回交易。</w:t>
      </w:r>
    </w:p>
    <w:p>
      <w:pPr>
        <w:spacing w:line="240" w:lineRule="auto" w:before="7"/>
        <w:rPr>
          <w:rFonts w:ascii="宋体" w:hAnsi="宋体" w:cs="宋体" w:eastAsia="宋体" w:hint="default"/>
          <w:sz w:val="30"/>
          <w:szCs w:val="30"/>
        </w:rPr>
      </w:pPr>
    </w:p>
    <w:p>
      <w:pPr>
        <w:spacing w:before="0"/>
        <w:ind w:left="140" w:right="5438" w:firstLine="0"/>
        <w:jc w:val="left"/>
        <w:rPr>
          <w:rFonts w:ascii="宋体" w:hAnsi="宋体" w:cs="宋体" w:eastAsia="宋体" w:hint="default"/>
          <w:sz w:val="21"/>
          <w:szCs w:val="21"/>
        </w:rPr>
      </w:pPr>
      <w:bookmarkStart w:name="2、公司控股股东情况" w:id="117"/>
      <w:bookmarkEnd w:id="117"/>
      <w:r>
        <w:rPr/>
      </w:r>
      <w:r>
        <w:rPr>
          <w:rFonts w:ascii="宋体" w:hAnsi="宋体" w:cs="宋体" w:eastAsia="宋体" w:hint="default"/>
          <w:b/>
          <w:bCs/>
          <w:sz w:val="21"/>
          <w:szCs w:val="21"/>
        </w:rPr>
        <w:t>2</w:t>
      </w:r>
      <w:r>
        <w:rPr>
          <w:rFonts w:ascii="宋体" w:hAnsi="宋体" w:cs="宋体" w:eastAsia="宋体" w:hint="default"/>
          <w:b/>
          <w:bCs/>
          <w:sz w:val="21"/>
          <w:szCs w:val="21"/>
        </w:rPr>
        <w:t>、公司控股股东情况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20" w:right="10718"/>
        <w:jc w:val="left"/>
      </w:pPr>
      <w:r>
        <w:rPr/>
        <w:t>控股股东性质：自然人控股 控股股东类型：自然人</w:t>
      </w:r>
    </w:p>
    <w:tbl>
      <w:tblPr>
        <w:tblW w:w="0" w:type="auto"/>
        <w:jc w:val="left"/>
        <w:tblInd w:w="107" w:type="dxa"/>
        <w:tblLayout w:type="fixed"/>
        <w:tblCellMar>
          <w:top w:w="0" w:type="dxa"/>
          <w:left w:w="0" w:type="dxa"/>
          <w:bottom w:w="0" w:type="dxa"/>
          <w:right w:w="0" w:type="dxa"/>
        </w:tblCellMar>
        <w:tblLook w:val="01E0"/>
      </w:tblPr>
      <w:tblGrid>
        <w:gridCol w:w="3005"/>
        <w:gridCol w:w="4976"/>
        <w:gridCol w:w="6034"/>
      </w:tblGrid>
      <w:tr>
        <w:trPr>
          <w:trHeight w:val="402" w:hRule="exact"/>
        </w:trPr>
        <w:tc>
          <w:tcPr>
            <w:tcW w:w="30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56" w:right="0"/>
              <w:jc w:val="left"/>
              <w:rPr>
                <w:rFonts w:ascii="宋体" w:hAnsi="宋体" w:cs="宋体" w:eastAsia="宋体" w:hint="default"/>
                <w:sz w:val="18"/>
                <w:szCs w:val="18"/>
              </w:rPr>
            </w:pPr>
            <w:r>
              <w:rPr>
                <w:rFonts w:ascii="宋体" w:hAnsi="宋体" w:cs="宋体" w:eastAsia="宋体" w:hint="default"/>
                <w:sz w:val="18"/>
                <w:szCs w:val="18"/>
              </w:rPr>
              <w:t>控股股东姓名</w:t>
            </w:r>
          </w:p>
        </w:tc>
        <w:tc>
          <w:tcPr>
            <w:tcW w:w="49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6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751"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0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4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6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86" w:hRule="exact"/>
        </w:trPr>
        <w:tc>
          <w:tcPr>
            <w:tcW w:w="30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1101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童之磊先生，</w:t>
            </w:r>
            <w:r>
              <w:rPr>
                <w:rFonts w:ascii="宋体" w:hAnsi="宋体" w:cs="宋体" w:eastAsia="宋体" w:hint="default"/>
                <w:sz w:val="18"/>
                <w:szCs w:val="18"/>
              </w:rPr>
              <w:t>1975</w:t>
            </w:r>
            <w:r>
              <w:rPr>
                <w:rFonts w:ascii="宋体" w:hAnsi="宋体" w:cs="宋体" w:eastAsia="宋体" w:hint="default"/>
                <w:spacing w:val="-46"/>
                <w:sz w:val="18"/>
                <w:szCs w:val="18"/>
              </w:rPr>
              <w:t> </w:t>
            </w:r>
            <w:r>
              <w:rPr>
                <w:rFonts w:ascii="宋体" w:hAnsi="宋体" w:cs="宋体" w:eastAsia="宋体" w:hint="default"/>
                <w:sz w:val="18"/>
                <w:szCs w:val="18"/>
              </w:rPr>
              <w:t>年出生，中国国籍，无境外永久居留权，硕士研究生，国际工商管理专业，经济师，高级数字出版编辑，</w:t>
            </w:r>
            <w:r>
              <w:rPr>
                <w:rFonts w:ascii="宋体" w:hAnsi="宋体" w:cs="宋体" w:eastAsia="宋体" w:hint="default"/>
                <w:sz w:val="18"/>
                <w:szCs w:val="18"/>
              </w:rPr>
              <w:t>1998</w:t>
            </w:r>
            <w:r>
              <w:rPr>
                <w:rFonts w:ascii="宋体" w:hAnsi="宋体" w:cs="宋体" w:eastAsia="宋体" w:hint="default"/>
                <w:spacing w:val="-46"/>
                <w:sz w:val="18"/>
                <w:szCs w:val="18"/>
              </w:rPr>
              <w:t> </w:t>
            </w:r>
            <w:r>
              <w:rPr>
                <w:rFonts w:ascii="宋体" w:hAnsi="宋体" w:cs="宋体" w:eastAsia="宋体" w:hint="default"/>
                <w:sz w:val="18"/>
                <w:szCs w:val="18"/>
              </w:rPr>
              <w:t>年获得清 华大学学士学位，</w:t>
            </w:r>
            <w:r>
              <w:rPr>
                <w:rFonts w:ascii="宋体" w:hAnsi="宋体" w:cs="宋体" w:eastAsia="宋体" w:hint="default"/>
                <w:sz w:val="18"/>
                <w:szCs w:val="18"/>
              </w:rPr>
              <w:t>2000</w:t>
            </w:r>
            <w:r>
              <w:rPr>
                <w:rFonts w:ascii="宋体" w:hAnsi="宋体" w:cs="宋体" w:eastAsia="宋体" w:hint="default"/>
                <w:spacing w:val="-46"/>
                <w:sz w:val="18"/>
                <w:szCs w:val="18"/>
              </w:rPr>
              <w:t> </w:t>
            </w:r>
            <w:r>
              <w:rPr>
                <w:rFonts w:ascii="宋体" w:hAnsi="宋体" w:cs="宋体" w:eastAsia="宋体" w:hint="default"/>
                <w:sz w:val="18"/>
                <w:szCs w:val="18"/>
              </w:rPr>
              <w:t>年获美国麻省理工学院（</w:t>
            </w:r>
            <w:r>
              <w:rPr>
                <w:rFonts w:ascii="宋体" w:hAnsi="宋体" w:cs="宋体" w:eastAsia="宋体" w:hint="default"/>
                <w:sz w:val="18"/>
                <w:szCs w:val="18"/>
              </w:rPr>
              <w:t>MIT</w:t>
            </w:r>
            <w:r>
              <w:rPr>
                <w:rFonts w:ascii="宋体" w:hAnsi="宋体" w:cs="宋体" w:eastAsia="宋体" w:hint="default"/>
                <w:sz w:val="18"/>
                <w:szCs w:val="18"/>
              </w:rPr>
              <w:t>）与清华大学联合培养的国际工商管理硕士（</w:t>
            </w:r>
            <w:r>
              <w:rPr>
                <w:rFonts w:ascii="宋体" w:hAnsi="宋体" w:cs="宋体" w:eastAsia="宋体" w:hint="default"/>
                <w:sz w:val="18"/>
                <w:szCs w:val="18"/>
              </w:rPr>
              <w:t>IMBA</w:t>
            </w:r>
            <w:r>
              <w:rPr>
                <w:rFonts w:ascii="宋体" w:hAnsi="宋体" w:cs="宋体" w:eastAsia="宋体" w:hint="default"/>
                <w:sz w:val="18"/>
                <w:szCs w:val="18"/>
              </w:rPr>
              <w:t>）学位。</w:t>
            </w:r>
            <w:r>
              <w:rPr>
                <w:rFonts w:ascii="宋体" w:hAnsi="宋体" w:cs="宋体" w:eastAsia="宋体" w:hint="default"/>
                <w:sz w:val="18"/>
                <w:szCs w:val="18"/>
              </w:rPr>
              <w:t>2000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月发起成立中文 </w:t>
            </w:r>
            <w:r>
              <w:rPr>
                <w:rFonts w:ascii="宋体" w:hAnsi="宋体" w:cs="宋体" w:eastAsia="宋体" w:hint="default"/>
                <w:spacing w:val="-1"/>
                <w:sz w:val="18"/>
                <w:szCs w:val="18"/>
              </w:rPr>
              <w:t>在线，现任中文在线数字出版集团股份有限公司董事长兼总经理，同时兼任建水文睿企业管理有限公司执行董事、北京中文在线文化传媒有</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1"/>
                <w:sz w:val="18"/>
                <w:szCs w:val="18"/>
              </w:rPr>
              <w:t>限公司执行董事兼总经理、北京中文在线教育科技有限公司执行董事兼总经理、上海中文在线文化发展有限公司执行董事、杭州中文在线信</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息科技有限公司董事长、中文在线（天津）文化发展有限公司执行董事、</w:t>
            </w:r>
            <w:r>
              <w:rPr>
                <w:rFonts w:ascii="宋体" w:hAnsi="宋体" w:cs="宋体" w:eastAsia="宋体" w:hint="default"/>
                <w:sz w:val="18"/>
                <w:szCs w:val="18"/>
              </w:rPr>
              <w:t>Crazy Maple Studio,</w:t>
            </w:r>
            <w:r>
              <w:rPr>
                <w:rFonts w:ascii="宋体" w:hAnsi="宋体" w:cs="宋体" w:eastAsia="宋体" w:hint="default"/>
                <w:spacing w:val="-30"/>
                <w:sz w:val="18"/>
                <w:szCs w:val="18"/>
              </w:rPr>
              <w:t> </w:t>
            </w:r>
            <w:r>
              <w:rPr>
                <w:rFonts w:ascii="宋体" w:hAnsi="宋体" w:cs="宋体" w:eastAsia="宋体" w:hint="default"/>
                <w:sz w:val="18"/>
                <w:szCs w:val="18"/>
              </w:rPr>
              <w:t>Inc.</w:t>
            </w:r>
            <w:r>
              <w:rPr>
                <w:rFonts w:ascii="宋体" w:hAnsi="宋体" w:cs="宋体" w:eastAsia="宋体" w:hint="default"/>
                <w:sz w:val="18"/>
                <w:szCs w:val="18"/>
              </w:rPr>
              <w:t>董事长，北京汤圆和它的小伙伴们网络 </w:t>
            </w:r>
            <w:r>
              <w:rPr>
                <w:rFonts w:ascii="宋体" w:hAnsi="宋体" w:cs="宋体" w:eastAsia="宋体" w:hint="default"/>
                <w:spacing w:val="-1"/>
                <w:sz w:val="18"/>
                <w:szCs w:val="18"/>
              </w:rPr>
              <w:t>科技有限公司执行董事，广州市四月天信息科技有限公司执行董事兼总经理，湖北中文在线数字出版有限公司执行董事，中文在线集团有限</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公司首任董事、</w:t>
            </w:r>
            <w:r>
              <w:rPr>
                <w:rFonts w:ascii="宋体" w:hAnsi="宋体" w:cs="宋体" w:eastAsia="宋体" w:hint="default"/>
                <w:sz w:val="18"/>
                <w:szCs w:val="18"/>
              </w:rPr>
              <w:t>ATA</w:t>
            </w:r>
            <w:r>
              <w:rPr>
                <w:rFonts w:ascii="宋体" w:hAnsi="宋体" w:cs="宋体" w:eastAsia="宋体" w:hint="default"/>
                <w:spacing w:val="-29"/>
                <w:sz w:val="18"/>
                <w:szCs w:val="18"/>
              </w:rPr>
              <w:t> </w:t>
            </w:r>
            <w:r>
              <w:rPr>
                <w:rFonts w:ascii="宋体" w:hAnsi="宋体" w:cs="宋体" w:eastAsia="宋体" w:hint="default"/>
                <w:sz w:val="18"/>
                <w:szCs w:val="18"/>
              </w:rPr>
              <w:t>Inc.</w:t>
            </w:r>
            <w:r>
              <w:rPr>
                <w:rFonts w:ascii="宋体" w:hAnsi="宋体" w:cs="宋体" w:eastAsia="宋体" w:hint="default"/>
                <w:sz w:val="18"/>
                <w:szCs w:val="18"/>
              </w:rPr>
              <w:t>董事、北京亚杰商汇咨询有限公司董事。北京市人大代表、东城区第十六届人大常委，全国青联常委、教育界别秘 书长，中国版权协会副理事长，中国音像与数字出版协会副理事长，中国编辑学会副会长。</w:t>
            </w:r>
          </w:p>
        </w:tc>
      </w:tr>
    </w:tbl>
    <w:p>
      <w:pPr>
        <w:spacing w:after="0" w:line="319" w:lineRule="auto"/>
        <w:jc w:val="lef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3005"/>
        <w:gridCol w:w="11010"/>
      </w:tblGrid>
      <w:tr>
        <w:trPr>
          <w:trHeight w:val="729" w:hRule="exact"/>
        </w:trPr>
        <w:tc>
          <w:tcPr>
            <w:tcW w:w="3005"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0"/>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 市公司的股权情况</w:t>
            </w:r>
          </w:p>
        </w:tc>
        <w:tc>
          <w:tcPr>
            <w:tcW w:w="1101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0"/>
        <w:rPr>
          <w:rFonts w:ascii="宋体" w:hAnsi="宋体" w:cs="宋体" w:eastAsia="宋体" w:hint="default"/>
          <w:sz w:val="8"/>
          <w:szCs w:val="8"/>
        </w:rPr>
      </w:pPr>
    </w:p>
    <w:p>
      <w:pPr>
        <w:pStyle w:val="BodyText"/>
        <w:spacing w:line="240" w:lineRule="auto" w:before="26"/>
        <w:ind w:left="620" w:right="5438"/>
        <w:jc w:val="left"/>
      </w:pPr>
      <w:r>
        <w:rPr/>
        <w:t>控股股东报告期内变更</w:t>
      </w:r>
    </w:p>
    <w:p>
      <w:pPr>
        <w:spacing w:line="240" w:lineRule="auto" w:before="6"/>
        <w:rPr>
          <w:rFonts w:ascii="宋体" w:hAnsi="宋体" w:cs="宋体" w:eastAsia="宋体" w:hint="default"/>
          <w:sz w:val="19"/>
          <w:szCs w:val="19"/>
        </w:rPr>
      </w:pPr>
    </w:p>
    <w:p>
      <w:pPr>
        <w:pStyle w:val="BodyText"/>
        <w:spacing w:line="434" w:lineRule="auto"/>
        <w:ind w:left="620" w:right="9998"/>
        <w:jc w:val="left"/>
      </w:pPr>
      <w:r>
        <w:rPr/>
        <w:t>□ 适用 √ 不适用 公司报告期控股股东未发生变更。</w:t>
      </w:r>
    </w:p>
    <w:p>
      <w:pPr>
        <w:spacing w:before="204"/>
        <w:ind w:left="140" w:right="5438" w:firstLine="0"/>
        <w:jc w:val="left"/>
        <w:rPr>
          <w:rFonts w:ascii="宋体" w:hAnsi="宋体" w:cs="宋体" w:eastAsia="宋体" w:hint="default"/>
          <w:sz w:val="21"/>
          <w:szCs w:val="21"/>
        </w:rPr>
      </w:pPr>
      <w:bookmarkStart w:name="3、公司实际控制人及其一致行动人" w:id="118"/>
      <w:bookmarkEnd w:id="118"/>
      <w:r>
        <w:rPr/>
      </w:r>
      <w:r>
        <w:rPr>
          <w:rFonts w:ascii="宋体" w:hAnsi="宋体" w:cs="宋体" w:eastAsia="宋体" w:hint="default"/>
          <w:b/>
          <w:bCs/>
          <w:sz w:val="21"/>
          <w:szCs w:val="21"/>
        </w:rPr>
        <w:t>3</w:t>
      </w:r>
      <w:r>
        <w:rPr>
          <w:rFonts w:ascii="宋体" w:hAnsi="宋体" w:cs="宋体" w:eastAsia="宋体" w:hint="default"/>
          <w:b/>
          <w:bCs/>
          <w:sz w:val="21"/>
          <w:szCs w:val="21"/>
        </w:rPr>
        <w:t>、公司实际控制人及其一致行动人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20" w:right="10478"/>
        <w:jc w:val="left"/>
      </w:pPr>
      <w:r>
        <w:rPr/>
        <w:t>实际控制人性质：境内自然人 实际控制人类型：自然人</w:t>
      </w:r>
    </w:p>
    <w:tbl>
      <w:tblPr>
        <w:tblW w:w="0" w:type="auto"/>
        <w:jc w:val="left"/>
        <w:tblInd w:w="107" w:type="dxa"/>
        <w:tblLayout w:type="fixed"/>
        <w:tblCellMar>
          <w:top w:w="0" w:type="dxa"/>
          <w:left w:w="0" w:type="dxa"/>
          <w:bottom w:w="0" w:type="dxa"/>
          <w:right w:w="0" w:type="dxa"/>
        </w:tblCellMar>
        <w:tblLook w:val="01E0"/>
      </w:tblPr>
      <w:tblGrid>
        <w:gridCol w:w="3503"/>
        <w:gridCol w:w="3503"/>
        <w:gridCol w:w="3504"/>
        <w:gridCol w:w="3504"/>
      </w:tblGrid>
      <w:tr>
        <w:trPr>
          <w:trHeight w:val="402" w:hRule="exact"/>
        </w:trPr>
        <w:tc>
          <w:tcPr>
            <w:tcW w:w="3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15"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3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26"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35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5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5"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5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5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105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同“公司控股股东情况”</w:t>
            </w:r>
          </w:p>
        </w:tc>
      </w:tr>
      <w:tr>
        <w:trPr>
          <w:trHeight w:val="402" w:hRule="exact"/>
        </w:trPr>
        <w:tc>
          <w:tcPr>
            <w:tcW w:w="3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年曾控股的境内外上市公司情况</w:t>
            </w:r>
          </w:p>
        </w:tc>
        <w:tc>
          <w:tcPr>
            <w:tcW w:w="105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2"/>
        <w:rPr>
          <w:rFonts w:ascii="宋体" w:hAnsi="宋体" w:cs="宋体" w:eastAsia="宋体" w:hint="default"/>
          <w:sz w:val="10"/>
          <w:szCs w:val="10"/>
        </w:rPr>
      </w:pPr>
    </w:p>
    <w:p>
      <w:pPr>
        <w:pStyle w:val="BodyText"/>
        <w:spacing w:line="240" w:lineRule="auto" w:before="26"/>
        <w:ind w:left="620" w:right="5438"/>
        <w:jc w:val="left"/>
      </w:pPr>
      <w:r>
        <w:rPr/>
        <w:t>实际控制人报告期内变更</w:t>
      </w:r>
    </w:p>
    <w:p>
      <w:pPr>
        <w:spacing w:line="240" w:lineRule="auto" w:before="7"/>
        <w:rPr>
          <w:rFonts w:ascii="宋体" w:hAnsi="宋体" w:cs="宋体" w:eastAsia="宋体" w:hint="default"/>
          <w:sz w:val="19"/>
          <w:szCs w:val="19"/>
        </w:rPr>
      </w:pPr>
    </w:p>
    <w:p>
      <w:pPr>
        <w:pStyle w:val="BodyText"/>
        <w:spacing w:line="434" w:lineRule="auto"/>
        <w:ind w:left="620" w:right="8318"/>
        <w:jc w:val="left"/>
      </w:pPr>
      <w:r>
        <w:rPr/>
        <w:t>□ 适用 √ 不适用 公司报告期实际控制人未发生变更。 公司与实际控制人之间的产权及控制关系的方框图</w:t>
      </w:r>
    </w:p>
    <w:p>
      <w:pPr>
        <w:spacing w:after="0" w:line="434" w:lineRule="auto"/>
        <w:jc w:val="left"/>
        <w:sectPr>
          <w:pgSz w:w="16840" w:h="11910" w:orient="landscape"/>
          <w:pgMar w:header="867" w:footer="979" w:top="1060" w:bottom="1160" w:left="1300" w:right="1300"/>
        </w:sectPr>
      </w:pPr>
    </w:p>
    <w:p>
      <w:pPr>
        <w:spacing w:line="240" w:lineRule="auto" w:before="12"/>
        <w:rPr>
          <w:rFonts w:ascii="宋体" w:hAnsi="宋体" w:cs="宋体" w:eastAsia="宋体" w:hint="default"/>
          <w:sz w:val="2"/>
          <w:szCs w:val="2"/>
        </w:rPr>
      </w:pPr>
    </w:p>
    <w:p>
      <w:pPr>
        <w:spacing w:line="3767" w:lineRule="exact"/>
        <w:ind w:left="102"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701.7pt;height:188.4pt;mso-position-horizontal-relative:char;mso-position-vertical-relative:line" coordorigin="0,0" coordsize="14034,3768">
            <v:group style="position:absolute;left:7;top:7;width:14020;height:2" coordorigin="7,7" coordsize="14020,2">
              <v:shape style="position:absolute;left:7;top:7;width:14020;height:2" coordorigin="7,7" coordsize="14020,0" path="m7,7l14027,7e" filled="false" stroked="true" strokeweight=".72pt" strokecolor="#000000">
                <v:path arrowok="t"/>
              </v:shape>
              <v:shape style="position:absolute;left:4249;top:33;width:5534;height:3735" type="#_x0000_t75" stroked="false">
                <v:imagedata r:id="rId29" o:title=""/>
              </v:shape>
            </v:group>
          </v:group>
        </w:pict>
      </w:r>
      <w:r>
        <w:rPr>
          <w:rFonts w:ascii="宋体" w:hAnsi="宋体" w:cs="宋体" w:eastAsia="宋体" w:hint="default"/>
          <w:position w:val="-74"/>
          <w:sz w:val="20"/>
          <w:szCs w:val="20"/>
        </w:rPr>
      </w:r>
    </w:p>
    <w:p>
      <w:pPr>
        <w:spacing w:line="240" w:lineRule="auto" w:before="13"/>
        <w:rPr>
          <w:rFonts w:ascii="宋体" w:hAnsi="宋体" w:cs="宋体" w:eastAsia="宋体" w:hint="default"/>
          <w:sz w:val="16"/>
          <w:szCs w:val="16"/>
        </w:rPr>
      </w:pPr>
    </w:p>
    <w:p>
      <w:pPr>
        <w:pStyle w:val="BodyText"/>
        <w:spacing w:line="240" w:lineRule="auto" w:before="26"/>
        <w:ind w:left="620" w:right="5438"/>
        <w:jc w:val="left"/>
      </w:pPr>
      <w:r>
        <w:rPr/>
        <w:t>实际控制人通过信托或其他资产管理方式控制公司</w:t>
      </w:r>
    </w:p>
    <w:p>
      <w:pPr>
        <w:spacing w:line="240" w:lineRule="auto" w:before="5"/>
        <w:rPr>
          <w:rFonts w:ascii="宋体" w:hAnsi="宋体" w:cs="宋体" w:eastAsia="宋体" w:hint="default"/>
          <w:sz w:val="19"/>
          <w:szCs w:val="19"/>
        </w:rPr>
      </w:pPr>
    </w:p>
    <w:p>
      <w:pPr>
        <w:pStyle w:val="BodyText"/>
        <w:spacing w:line="240" w:lineRule="auto"/>
        <w:ind w:left="620" w:right="5438"/>
        <w:jc w:val="left"/>
      </w:pPr>
      <w:r>
        <w:rPr/>
        <w:t>□ 适用 √ 不适用</w:t>
      </w:r>
    </w:p>
    <w:p>
      <w:pPr>
        <w:spacing w:line="240" w:lineRule="auto" w:before="5"/>
        <w:rPr>
          <w:rFonts w:ascii="宋体" w:hAnsi="宋体" w:cs="宋体" w:eastAsia="宋体" w:hint="default"/>
          <w:sz w:val="30"/>
          <w:szCs w:val="30"/>
        </w:rPr>
      </w:pPr>
    </w:p>
    <w:p>
      <w:pPr>
        <w:spacing w:before="0"/>
        <w:ind w:left="140" w:right="5438" w:firstLine="0"/>
        <w:jc w:val="left"/>
        <w:rPr>
          <w:rFonts w:ascii="宋体" w:hAnsi="宋体" w:cs="宋体" w:eastAsia="宋体" w:hint="default"/>
          <w:sz w:val="21"/>
          <w:szCs w:val="21"/>
        </w:rPr>
      </w:pPr>
      <w:bookmarkStart w:name="4、其他持股在10%以上的法人股东" w:id="119"/>
      <w:bookmarkEnd w:id="119"/>
      <w:r>
        <w:rPr/>
      </w:r>
      <w:r>
        <w:rPr>
          <w:rFonts w:ascii="宋体" w:hAnsi="宋体" w:cs="宋体" w:eastAsia="宋体" w:hint="default"/>
          <w:b/>
          <w:bCs/>
          <w:sz w:val="21"/>
          <w:szCs w:val="21"/>
        </w:rPr>
        <w:t>4</w:t>
      </w:r>
      <w:r>
        <w:rPr>
          <w:rFonts w:ascii="宋体" w:hAnsi="宋体" w:cs="宋体" w:eastAsia="宋体" w:hint="default"/>
          <w:b/>
          <w:bCs/>
          <w:sz w:val="21"/>
          <w:szCs w:val="21"/>
        </w:rPr>
        <w:t>、其他持股在</w:t>
      </w:r>
      <w:r>
        <w:rPr>
          <w:rFonts w:ascii="宋体" w:hAnsi="宋体" w:cs="宋体" w:eastAsia="宋体" w:hint="default"/>
          <w:b/>
          <w:bCs/>
          <w:spacing w:val="-56"/>
          <w:sz w:val="21"/>
          <w:szCs w:val="21"/>
        </w:rPr>
        <w:t> </w:t>
      </w:r>
      <w:r>
        <w:rPr>
          <w:rFonts w:ascii="宋体" w:hAnsi="宋体" w:cs="宋体" w:eastAsia="宋体" w:hint="default"/>
          <w:b/>
          <w:bCs/>
          <w:sz w:val="21"/>
          <w:szCs w:val="21"/>
        </w:rPr>
        <w:t>10%</w:t>
      </w:r>
      <w:r>
        <w:rPr>
          <w:rFonts w:ascii="宋体" w:hAnsi="宋体" w:cs="宋体" w:eastAsia="宋体" w:hint="default"/>
          <w:b/>
          <w:bCs/>
          <w:sz w:val="21"/>
          <w:szCs w:val="21"/>
        </w:rPr>
        <w:t>以上的法人股东</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20" w:right="5438"/>
        <w:jc w:val="left"/>
      </w:pPr>
      <w:r>
        <w:rPr/>
        <w:t>√ 适用 □ 不适用</w:t>
      </w:r>
    </w:p>
    <w:p>
      <w:pPr>
        <w:spacing w:line="240" w:lineRule="auto" w:before="3"/>
        <w:rPr>
          <w:rFonts w:ascii="宋体" w:hAnsi="宋体" w:cs="宋体" w:eastAsia="宋体"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3778"/>
        <w:gridCol w:w="2867"/>
        <w:gridCol w:w="2493"/>
        <w:gridCol w:w="1766"/>
        <w:gridCol w:w="3111"/>
      </w:tblGrid>
      <w:tr>
        <w:trPr>
          <w:trHeight w:val="401" w:hRule="exact"/>
        </w:trPr>
        <w:tc>
          <w:tcPr>
            <w:tcW w:w="3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法人股东名称</w:t>
            </w:r>
          </w:p>
        </w:tc>
        <w:tc>
          <w:tcPr>
            <w:tcW w:w="2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法定代表人</w:t>
            </w:r>
            <w:r>
              <w:rPr>
                <w:rFonts w:ascii="宋体" w:hAnsi="宋体" w:cs="宋体" w:eastAsia="宋体" w:hint="default"/>
                <w:sz w:val="18"/>
                <w:szCs w:val="18"/>
              </w:rPr>
              <w:t>/</w:t>
            </w:r>
            <w:r>
              <w:rPr>
                <w:rFonts w:ascii="宋体" w:hAnsi="宋体" w:cs="宋体" w:eastAsia="宋体" w:hint="default"/>
                <w:sz w:val="18"/>
                <w:szCs w:val="18"/>
              </w:rPr>
              <w:t>单位负责人</w:t>
            </w:r>
          </w:p>
        </w:tc>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1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3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主要经营业务或管理活动</w:t>
            </w:r>
          </w:p>
        </w:tc>
      </w:tr>
      <w:tr>
        <w:trPr>
          <w:trHeight w:val="404" w:hRule="exact"/>
        </w:trPr>
        <w:tc>
          <w:tcPr>
            <w:tcW w:w="3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北京启迪华创投资咨询有限公司</w:t>
            </w:r>
          </w:p>
        </w:tc>
        <w:tc>
          <w:tcPr>
            <w:tcW w:w="2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张金生</w:t>
            </w:r>
          </w:p>
        </w:tc>
        <w:tc>
          <w:tcPr>
            <w:tcW w:w="2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540" w:right="0"/>
              <w:jc w:val="left"/>
              <w:rPr>
                <w:rFonts w:ascii="宋体" w:hAnsi="宋体" w:cs="宋体" w:eastAsia="宋体" w:hint="default"/>
                <w:sz w:val="18"/>
                <w:szCs w:val="18"/>
              </w:rPr>
            </w:pPr>
            <w:r>
              <w:rPr>
                <w:rFonts w:ascii="宋体" w:hAnsi="宋体" w:cs="宋体" w:eastAsia="宋体" w:hint="default"/>
                <w:sz w:val="18"/>
                <w:szCs w:val="18"/>
              </w:rPr>
              <w:t>4,000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主要从事投资咨询、企业管理服务。</w:t>
            </w:r>
          </w:p>
        </w:tc>
      </w:tr>
    </w:tbl>
    <w:p>
      <w:pPr>
        <w:spacing w:line="240" w:lineRule="auto" w:before="2"/>
        <w:rPr>
          <w:rFonts w:ascii="宋体" w:hAnsi="宋体" w:cs="宋体" w:eastAsia="宋体" w:hint="default"/>
          <w:sz w:val="19"/>
          <w:szCs w:val="19"/>
        </w:rPr>
      </w:pPr>
    </w:p>
    <w:p>
      <w:pPr>
        <w:spacing w:before="35"/>
        <w:ind w:left="140" w:right="5438" w:firstLine="0"/>
        <w:jc w:val="left"/>
        <w:rPr>
          <w:rFonts w:ascii="宋体" w:hAnsi="宋体" w:cs="宋体" w:eastAsia="宋体" w:hint="default"/>
          <w:sz w:val="21"/>
          <w:szCs w:val="21"/>
        </w:rPr>
      </w:pPr>
      <w:bookmarkStart w:name="5、控股股东、实际控制人、重组方及其他承诺主体股份限制减持情况" w:id="120"/>
      <w:bookmarkEnd w:id="120"/>
      <w:r>
        <w:rPr/>
      </w:r>
      <w:r>
        <w:rPr>
          <w:rFonts w:ascii="宋体" w:hAnsi="宋体" w:cs="宋体" w:eastAsia="宋体" w:hint="default"/>
          <w:b/>
          <w:bCs/>
          <w:sz w:val="21"/>
          <w:szCs w:val="21"/>
        </w:rPr>
        <w:t>5</w:t>
      </w:r>
      <w:r>
        <w:rPr>
          <w:rFonts w:ascii="宋体" w:hAnsi="宋体" w:cs="宋体" w:eastAsia="宋体" w:hint="default"/>
          <w:b/>
          <w:bCs/>
          <w:sz w:val="21"/>
          <w:szCs w:val="21"/>
        </w:rPr>
        <w:t>、控股股东、实际控制人、重组方及其他承诺主体股份限制减持情况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20" w:right="5438"/>
        <w:jc w:val="left"/>
      </w:pPr>
      <w:r>
        <w:rPr/>
        <w:t>□ 适用 √ 不适用</w:t>
      </w:r>
    </w:p>
    <w:p>
      <w:pPr>
        <w:spacing w:after="0" w:line="240" w:lineRule="auto"/>
        <w:jc w:val="left"/>
        <w:sectPr>
          <w:pgSz w:w="16840" w:h="11910" w:orient="landscape"/>
          <w:pgMar w:header="867" w:footer="979" w:top="1060" w:bottom="1160" w:left="130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4"/>
        <w:ind w:left="3286" w:right="1092"/>
        <w:jc w:val="left"/>
        <w:rPr>
          <w:b w:val="0"/>
          <w:bCs w:val="0"/>
        </w:rPr>
      </w:pPr>
      <w:bookmarkStart w:name="第七节 优先股相关情况" w:id="121"/>
      <w:bookmarkEnd w:id="121"/>
      <w:r>
        <w:rPr>
          <w:b w:val="0"/>
          <w:bCs w:val="0"/>
        </w:rPr>
      </w:r>
      <w:bookmarkStart w:name="_bookmark5" w:id="122"/>
      <w:bookmarkEnd w:id="122"/>
      <w:r>
        <w:rPr>
          <w:b w:val="0"/>
          <w:bCs w:val="0"/>
        </w:rPr>
      </w:r>
      <w:r>
        <w:rPr/>
        <w:t>第七节</w:t>
      </w:r>
      <w:r>
        <w:rPr>
          <w:spacing w:val="-8"/>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2"/>
          <w:szCs w:val="22"/>
        </w:rPr>
      </w:pPr>
    </w:p>
    <w:p>
      <w:pPr>
        <w:pStyle w:val="BodyText"/>
        <w:spacing w:line="434" w:lineRule="auto" w:before="26"/>
        <w:ind w:left="634" w:right="7392"/>
        <w:jc w:val="left"/>
      </w:pPr>
      <w:r>
        <w:rPr/>
        <w:t>□ 适用 √ 不适用 报告期公司不存在优先股。</w:t>
      </w:r>
    </w:p>
    <w:p>
      <w:pPr>
        <w:spacing w:after="0" w:line="434" w:lineRule="auto"/>
        <w:jc w:val="left"/>
        <w:sectPr>
          <w:headerReference w:type="default" r:id="rId30"/>
          <w:footerReference w:type="default" r:id="rId31"/>
          <w:pgSz w:w="11910" w:h="16840"/>
          <w:pgMar w:header="877" w:footer="979" w:top="1100" w:bottom="1160" w:left="980" w:right="0"/>
          <w:pgNumType w:start="93"/>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4"/>
        <w:ind w:left="1680" w:right="1092"/>
        <w:jc w:val="left"/>
        <w:rPr>
          <w:b w:val="0"/>
          <w:bCs w:val="0"/>
        </w:rPr>
      </w:pPr>
      <w:bookmarkStart w:name="第八节 董事、监事、高级管理人员和员工情况" w:id="123"/>
      <w:bookmarkEnd w:id="123"/>
      <w:r>
        <w:rPr>
          <w:b w:val="0"/>
          <w:bCs w:val="0"/>
        </w:rPr>
      </w:r>
      <w:bookmarkStart w:name="_bookmark6" w:id="124"/>
      <w:bookmarkEnd w:id="124"/>
      <w:r>
        <w:rPr>
          <w:b w:val="0"/>
          <w:bCs w:val="0"/>
        </w:rPr>
      </w:r>
      <w:r>
        <w:rPr/>
        <w:t>第八节</w:t>
      </w:r>
      <w:r>
        <w:rPr>
          <w:spacing w:val="-16"/>
        </w:rPr>
        <w:t> </w:t>
      </w:r>
      <w:r>
        <w:rPr/>
        <w:t>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before="0"/>
        <w:ind w:right="1092"/>
        <w:jc w:val="left"/>
        <w:rPr>
          <w:b w:val="0"/>
          <w:bCs w:val="0"/>
        </w:rPr>
      </w:pPr>
      <w:bookmarkStart w:name="一、董事、监事和高级管理人员持股变动" w:id="125"/>
      <w:bookmarkEnd w:id="125"/>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4" w:firstLine="10"/>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董事长兼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2000</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sz w:val="18"/>
              </w:rPr>
              <w:t>111,379,</w:t>
            </w:r>
          </w:p>
          <w:p>
            <w:pPr>
              <w:pStyle w:val="TableParagraph"/>
              <w:spacing w:line="240" w:lineRule="auto" w:before="76"/>
              <w:ind w:left="494" w:right="0"/>
              <w:jc w:val="left"/>
              <w:rPr>
                <w:rFonts w:ascii="宋体" w:hAnsi="宋体" w:cs="宋体" w:eastAsia="宋体" w:hint="default"/>
                <w:sz w:val="18"/>
                <w:szCs w:val="18"/>
              </w:rPr>
            </w:pPr>
            <w:r>
              <w:rPr>
                <w:rFonts w:ascii="宋体"/>
                <w:sz w:val="18"/>
              </w:rPr>
              <w:t>416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sz w:val="18"/>
              </w:rPr>
              <w:t>111,379,</w:t>
            </w:r>
          </w:p>
          <w:p>
            <w:pPr>
              <w:pStyle w:val="TableParagraph"/>
              <w:spacing w:line="240" w:lineRule="auto" w:before="76"/>
              <w:ind w:left="494" w:right="0"/>
              <w:jc w:val="left"/>
              <w:rPr>
                <w:rFonts w:ascii="宋体" w:hAnsi="宋体" w:cs="宋体" w:eastAsia="宋体" w:hint="default"/>
                <w:sz w:val="18"/>
                <w:szCs w:val="18"/>
              </w:rPr>
            </w:pPr>
            <w:r>
              <w:rPr>
                <w:rFonts w:ascii="宋体"/>
                <w:sz w:val="18"/>
              </w:rPr>
              <w:t>416</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雷  霖</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张  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496,651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496,651</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59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王志雄</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60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任佳伟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sz w:val="18"/>
              </w:rPr>
              <w:t>35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陈芳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sz w:val="18"/>
              </w:rPr>
              <w:t>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07</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戴和忠</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2"/>
              <w:jc w:val="left"/>
              <w:rPr>
                <w:rFonts w:ascii="宋体" w:hAnsi="宋体" w:cs="宋体" w:eastAsia="宋体" w:hint="default"/>
                <w:sz w:val="18"/>
                <w:szCs w:val="18"/>
              </w:rPr>
            </w:pPr>
            <w:r>
              <w:rPr>
                <w:rFonts w:ascii="宋体" w:hAnsi="宋体" w:cs="宋体" w:eastAsia="宋体" w:hint="default"/>
                <w:sz w:val="18"/>
                <w:szCs w:val="18"/>
              </w:rPr>
              <w:t>执行总经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362" w:hRule="exact"/>
        </w:trPr>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谢广才</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42"/>
              <w:jc w:val="left"/>
              <w:rPr>
                <w:rFonts w:ascii="宋体" w:hAnsi="宋体" w:cs="宋体" w:eastAsia="宋体" w:hint="default"/>
                <w:sz w:val="18"/>
                <w:szCs w:val="18"/>
              </w:rPr>
            </w:pPr>
            <w:r>
              <w:rPr>
                <w:rFonts w:ascii="宋体" w:hAnsi="宋体" w:cs="宋体" w:eastAsia="宋体" w:hint="default"/>
                <w:sz w:val="18"/>
                <w:szCs w:val="18"/>
              </w:rPr>
              <w:t>常务副总 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sz w:val="18"/>
              </w:rPr>
              <w:t>41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22</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993,301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240,000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753,301</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2"/>
              <w:jc w:val="both"/>
              <w:rPr>
                <w:rFonts w:ascii="宋体" w:hAnsi="宋体" w:cs="宋体" w:eastAsia="宋体" w:hint="default"/>
                <w:sz w:val="18"/>
                <w:szCs w:val="18"/>
              </w:rPr>
            </w:pPr>
            <w:r>
              <w:rPr>
                <w:rFonts w:ascii="宋体" w:hAnsi="宋体" w:cs="宋体" w:eastAsia="宋体" w:hint="default"/>
                <w:sz w:val="18"/>
                <w:szCs w:val="18"/>
              </w:rPr>
              <w:t>副总经理 兼董事会 秘书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496,651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496,651</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贾庆丰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2"/>
              <w:jc w:val="both"/>
              <w:rPr>
                <w:rFonts w:ascii="宋体" w:hAnsi="宋体" w:cs="宋体" w:eastAsia="宋体" w:hint="default"/>
                <w:sz w:val="18"/>
                <w:szCs w:val="18"/>
              </w:rPr>
            </w:pPr>
            <w:r>
              <w:rPr>
                <w:rFonts w:ascii="宋体" w:hAnsi="宋体" w:cs="宋体" w:eastAsia="宋体" w:hint="default"/>
                <w:sz w:val="18"/>
                <w:szCs w:val="18"/>
              </w:rPr>
              <w:t>副总经理 兼财务总 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宋洁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24</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496,651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124,146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372,505</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鲁  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任免</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22</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425,250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425,250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金  晖</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496,651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496,651</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崔嵬</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250,120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62,500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187,620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115,034,</w:t>
            </w:r>
          </w:p>
          <w:p>
            <w:pPr>
              <w:pStyle w:val="TableParagraph"/>
              <w:spacing w:line="240" w:lineRule="auto" w:before="76"/>
              <w:ind w:left="494" w:right="0"/>
              <w:jc w:val="left"/>
              <w:rPr>
                <w:rFonts w:ascii="宋体" w:hAnsi="宋体" w:cs="宋体" w:eastAsia="宋体" w:hint="default"/>
                <w:sz w:val="18"/>
                <w:szCs w:val="18"/>
              </w:rPr>
            </w:pPr>
            <w:r>
              <w:rPr>
                <w:rFonts w:ascii="宋体"/>
                <w:sz w:val="18"/>
              </w:rPr>
              <w:t>691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426,646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114,608,</w:t>
            </w:r>
          </w:p>
          <w:p>
            <w:pPr>
              <w:pStyle w:val="TableParagraph"/>
              <w:spacing w:line="240" w:lineRule="auto" w:before="76"/>
              <w:ind w:left="494" w:right="0"/>
              <w:jc w:val="left"/>
              <w:rPr>
                <w:rFonts w:ascii="宋体" w:hAnsi="宋体" w:cs="宋体" w:eastAsia="宋体" w:hint="default"/>
                <w:sz w:val="18"/>
                <w:szCs w:val="18"/>
              </w:rPr>
            </w:pPr>
            <w:r>
              <w:rPr>
                <w:rFonts w:ascii="宋体"/>
                <w:sz w:val="18"/>
              </w:rPr>
              <w:t>045</w:t>
            </w:r>
          </w:p>
        </w:tc>
      </w:tr>
    </w:tbl>
    <w:p>
      <w:pPr>
        <w:spacing w:line="240" w:lineRule="auto" w:before="2"/>
        <w:rPr>
          <w:rFonts w:ascii="宋体" w:hAnsi="宋体" w:cs="宋体" w:eastAsia="宋体" w:hint="default"/>
          <w:b/>
          <w:bCs/>
          <w:sz w:val="18"/>
          <w:szCs w:val="18"/>
        </w:rPr>
      </w:pPr>
    </w:p>
    <w:p>
      <w:pPr>
        <w:pStyle w:val="Heading2"/>
        <w:spacing w:line="240" w:lineRule="auto"/>
        <w:ind w:right="1092"/>
        <w:jc w:val="left"/>
        <w:rPr>
          <w:b w:val="0"/>
          <w:bCs w:val="0"/>
        </w:rPr>
      </w:pPr>
      <w:bookmarkStart w:name="二、公司董事、监事、高级管理人员变动情况" w:id="126"/>
      <w:bookmarkEnd w:id="126"/>
      <w:r>
        <w:rPr>
          <w:b w:val="0"/>
          <w:bCs w:val="0"/>
        </w:rPr>
      </w:r>
      <w:r>
        <w:rPr/>
        <w:t>二、公司董事、监事、高级管理人员变动情况</w:t>
      </w:r>
      <w:r>
        <w:rPr>
          <w:b w:val="0"/>
          <w:bCs w:val="0"/>
        </w:rPr>
      </w:r>
    </w:p>
    <w:p>
      <w:pPr>
        <w:spacing w:line="240" w:lineRule="auto" w:before="11"/>
        <w:rPr>
          <w:rFonts w:ascii="宋体" w:hAnsi="宋体" w:cs="宋体" w:eastAsia="宋体" w:hint="default"/>
          <w:b/>
          <w:bCs/>
          <w:sz w:val="28"/>
          <w:szCs w:val="28"/>
        </w:rPr>
      </w:pPr>
    </w:p>
    <w:p>
      <w:pPr>
        <w:pStyle w:val="BodyText"/>
        <w:spacing w:line="240" w:lineRule="auto"/>
        <w:ind w:left="634" w:right="1092"/>
        <w:jc w:val="left"/>
      </w:pPr>
      <w:r>
        <w:rPr/>
        <w:t>√ 适用 □ 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spacing w:before="44"/>
        <w:ind w:left="0" w:right="1140" w:firstLine="0"/>
        <w:jc w:val="right"/>
        <w:rPr>
          <w:rFonts w:ascii="宋体" w:hAnsi="宋体" w:cs="宋体" w:eastAsia="宋体" w:hint="default"/>
          <w:sz w:val="18"/>
          <w:szCs w:val="18"/>
        </w:rPr>
      </w:pPr>
      <w:r>
        <w:rPr/>
        <w:pict>
          <v:shape style="position:absolute;margin-left:56.459999pt;margin-top:-56.678257pt;width:479.2pt;height:116.65pt;mso-position-horizontal-relative:page;mso-position-vertical-relative:paragraph;z-index:23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30"/>
                    <w:gridCol w:w="1330"/>
                    <w:gridCol w:w="884"/>
                    <w:gridCol w:w="1560"/>
                    <w:gridCol w:w="4464"/>
                  </w:tblGrid>
                  <w:tr>
                    <w:trPr>
                      <w:trHeight w:val="401"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0"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8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6"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4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宋洁</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6"/>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44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1"/>
                          <w:jc w:val="left"/>
                          <w:rPr>
                            <w:rFonts w:ascii="宋体" w:hAnsi="宋体" w:cs="宋体" w:eastAsia="宋体" w:hint="default"/>
                            <w:sz w:val="18"/>
                            <w:szCs w:val="18"/>
                          </w:rPr>
                        </w:pPr>
                        <w:r>
                          <w:rPr>
                            <w:rFonts w:ascii="宋体" w:hAnsi="宋体" w:cs="宋体" w:eastAsia="宋体" w:hint="default"/>
                            <w:sz w:val="18"/>
                            <w:szCs w:val="18"/>
                          </w:rPr>
                          <w:t>因个人原因辞去公司副总经理职务，辞职后将不在公司 担任职务。</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鲁丰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4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center"/>
                          <w:rPr>
                            <w:rFonts w:ascii="宋体" w:hAnsi="宋体" w:cs="宋体" w:eastAsia="宋体" w:hint="default"/>
                            <w:sz w:val="18"/>
                            <w:szCs w:val="18"/>
                          </w:rPr>
                        </w:pPr>
                        <w:r>
                          <w:rPr>
                            <w:rFonts w:ascii="宋体" w:hAnsi="宋体" w:cs="宋体" w:eastAsia="宋体" w:hint="default"/>
                            <w:sz w:val="18"/>
                            <w:szCs w:val="18"/>
                          </w:rPr>
                          <w:t>因公司组织结构调整，公司董事会解聘其副总经理职务</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金晖</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4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center"/>
                          <w:rPr>
                            <w:rFonts w:ascii="宋体" w:hAnsi="宋体" w:cs="宋体" w:eastAsia="宋体" w:hint="default"/>
                            <w:sz w:val="18"/>
                            <w:szCs w:val="18"/>
                          </w:rPr>
                        </w:pPr>
                        <w:r>
                          <w:rPr>
                            <w:rFonts w:ascii="宋体" w:hAnsi="宋体" w:cs="宋体" w:eastAsia="宋体" w:hint="default"/>
                            <w:sz w:val="18"/>
                            <w:szCs w:val="18"/>
                          </w:rPr>
                          <w:t>因公司组织结构调整，公司董事会解聘其副总经理职务</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崔嵬</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4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9"/>
                          <w:jc w:val="center"/>
                          <w:rPr>
                            <w:rFonts w:ascii="宋体" w:hAnsi="宋体" w:cs="宋体" w:eastAsia="宋体" w:hint="default"/>
                            <w:sz w:val="18"/>
                            <w:szCs w:val="18"/>
                          </w:rPr>
                        </w:pPr>
                        <w:r>
                          <w:rPr>
                            <w:rFonts w:ascii="宋体" w:hAnsi="宋体" w:cs="宋体" w:eastAsia="宋体" w:hint="default"/>
                            <w:sz w:val="18"/>
                            <w:szCs w:val="18"/>
                          </w:rPr>
                          <w:t>因公司组织结构调整，公司董事会解聘其副总经理职务</w:t>
                        </w:r>
                      </w:p>
                    </w:tc>
                  </w:tr>
                </w:tbl>
                <w:p>
                  <w:pPr/>
                </w:p>
              </w:txbxContent>
            </v:textbox>
            <w10:wrap type="none"/>
          </v:shape>
        </w:pict>
      </w:r>
      <w:r>
        <w:rPr>
          <w:rFonts w:ascii="宋体" w:hAnsi="宋体" w:cs="宋体" w:eastAsia="宋体" w:hint="default"/>
          <w:sz w:val="18"/>
          <w:szCs w:val="18"/>
        </w:rPr>
        <w:t>。</w:t>
      </w:r>
    </w:p>
    <w:p>
      <w:pPr>
        <w:spacing w:line="240" w:lineRule="auto" w:before="4"/>
        <w:rPr>
          <w:rFonts w:ascii="宋体" w:hAnsi="宋体" w:cs="宋体" w:eastAsia="宋体" w:hint="default"/>
          <w:sz w:val="9"/>
          <w:szCs w:val="9"/>
        </w:rPr>
      </w:pPr>
    </w:p>
    <w:p>
      <w:pPr>
        <w:spacing w:before="44"/>
        <w:ind w:left="0" w:right="1140"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4"/>
        <w:rPr>
          <w:rFonts w:ascii="宋体" w:hAnsi="宋体" w:cs="宋体" w:eastAsia="宋体" w:hint="default"/>
          <w:sz w:val="9"/>
          <w:szCs w:val="9"/>
        </w:rPr>
      </w:pPr>
    </w:p>
    <w:p>
      <w:pPr>
        <w:spacing w:before="44"/>
        <w:ind w:left="0" w:right="1140"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13"/>
        <w:rPr>
          <w:rFonts w:ascii="宋体" w:hAnsi="宋体" w:cs="宋体" w:eastAsia="宋体" w:hint="default"/>
          <w:sz w:val="26"/>
          <w:szCs w:val="26"/>
        </w:rPr>
      </w:pPr>
    </w:p>
    <w:p>
      <w:pPr>
        <w:pStyle w:val="Heading2"/>
        <w:spacing w:line="240" w:lineRule="auto"/>
        <w:ind w:right="1092"/>
        <w:jc w:val="left"/>
        <w:rPr>
          <w:b w:val="0"/>
          <w:bCs w:val="0"/>
        </w:rPr>
      </w:pPr>
      <w:bookmarkStart w:name="三、任职情况" w:id="127"/>
      <w:bookmarkEnd w:id="127"/>
      <w:r>
        <w:rPr>
          <w:b w:val="0"/>
          <w:bCs w:val="0"/>
        </w:rPr>
      </w:r>
      <w:r>
        <w:rPr/>
        <w:t>三、任职情况</w:t>
      </w:r>
      <w:r>
        <w:rPr>
          <w:b w:val="0"/>
          <w:bCs w:val="0"/>
        </w:rPr>
      </w:r>
    </w:p>
    <w:p>
      <w:pPr>
        <w:spacing w:line="240" w:lineRule="auto" w:before="10"/>
        <w:rPr>
          <w:rFonts w:ascii="宋体" w:hAnsi="宋体" w:cs="宋体" w:eastAsia="宋体" w:hint="default"/>
          <w:b/>
          <w:bCs/>
          <w:sz w:val="26"/>
          <w:szCs w:val="26"/>
        </w:rPr>
      </w:pPr>
    </w:p>
    <w:p>
      <w:pPr>
        <w:pStyle w:val="BodyText"/>
        <w:spacing w:line="240" w:lineRule="auto" w:before="26"/>
        <w:ind w:left="634" w:right="1092"/>
        <w:jc w:val="left"/>
      </w:pPr>
      <w:r>
        <w:rPr/>
        <w:t>公司现任董事、监事、高级管理人员专业背景、主要工作经历以及目前在公司的主要职</w:t>
      </w:r>
    </w:p>
    <w:p>
      <w:pPr>
        <w:pStyle w:val="BodyText"/>
        <w:spacing w:line="240" w:lineRule="auto" w:before="155"/>
        <w:ind w:right="1092"/>
        <w:jc w:val="left"/>
      </w:pPr>
      <w:r>
        <w:rPr/>
        <w:t>责</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left="634" w:right="1092"/>
        <w:jc w:val="left"/>
      </w:pPr>
      <w:r>
        <w:rPr/>
        <w:t>（一）董事会成员</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公司董事会由</w:t>
      </w:r>
      <w:r>
        <w:rPr>
          <w:spacing w:val="-60"/>
        </w:rPr>
        <w:t> </w:t>
      </w:r>
      <w:r>
        <w:rPr>
          <w:rFonts w:ascii="宋体" w:hAnsi="宋体" w:cs="宋体" w:eastAsia="宋体" w:hint="default"/>
        </w:rPr>
        <w:t>7</w:t>
      </w:r>
      <w:r>
        <w:rPr>
          <w:rFonts w:ascii="宋体" w:hAnsi="宋体" w:cs="宋体" w:eastAsia="宋体" w:hint="default"/>
          <w:spacing w:val="-60"/>
        </w:rPr>
        <w:t> </w:t>
      </w:r>
      <w:r>
        <w:rPr/>
        <w:t>名董事组成，其中独立董事</w:t>
      </w:r>
      <w:r>
        <w:rPr>
          <w:spacing w:val="-60"/>
        </w:rPr>
        <w:t> </w:t>
      </w:r>
      <w:r>
        <w:rPr>
          <w:rFonts w:ascii="宋体" w:hAnsi="宋体" w:cs="宋体" w:eastAsia="宋体" w:hint="default"/>
        </w:rPr>
        <w:t>3</w:t>
      </w:r>
      <w:r>
        <w:rPr>
          <w:rFonts w:ascii="宋体" w:hAnsi="宋体" w:cs="宋体" w:eastAsia="宋体" w:hint="default"/>
          <w:spacing w:val="-60"/>
        </w:rPr>
        <w:t> </w:t>
      </w:r>
      <w:r>
        <w:rPr/>
        <w:t>名，基本情况如下：</w:t>
      </w:r>
    </w:p>
    <w:p>
      <w:pPr>
        <w:spacing w:line="240" w:lineRule="auto" w:before="4"/>
        <w:rPr>
          <w:rFonts w:ascii="宋体" w:hAnsi="宋体" w:cs="宋体" w:eastAsia="宋体" w:hint="default"/>
          <w:sz w:val="16"/>
          <w:szCs w:val="16"/>
        </w:rPr>
      </w:pPr>
    </w:p>
    <w:tbl>
      <w:tblPr>
        <w:tblW w:w="0" w:type="auto"/>
        <w:jc w:val="left"/>
        <w:tblInd w:w="164" w:type="dxa"/>
        <w:tblLayout w:type="fixed"/>
        <w:tblCellMar>
          <w:top w:w="0" w:type="dxa"/>
          <w:left w:w="0" w:type="dxa"/>
          <w:bottom w:w="0" w:type="dxa"/>
          <w:right w:w="0" w:type="dxa"/>
        </w:tblCellMar>
        <w:tblLook w:val="01E0"/>
      </w:tblPr>
      <w:tblGrid>
        <w:gridCol w:w="3219"/>
        <w:gridCol w:w="3220"/>
        <w:gridCol w:w="3220"/>
      </w:tblGrid>
      <w:tr>
        <w:trPr>
          <w:trHeight w:val="347"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322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职位</w:t>
            </w:r>
          </w:p>
        </w:tc>
        <w:tc>
          <w:tcPr>
            <w:tcW w:w="322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任期</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童之磊</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雷霖</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周树华</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张帆</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8"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何庆源</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王志雄</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21</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薛健</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21</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rFonts w:ascii="宋体" w:hAnsi="宋体" w:cs="宋体" w:eastAsia="宋体" w:hint="default"/>
        </w:rPr>
        <w:t>1</w:t>
      </w:r>
      <w:r>
        <w:rPr/>
        <w:t>、童之磊</w:t>
      </w:r>
    </w:p>
    <w:p>
      <w:pPr>
        <w:spacing w:line="240" w:lineRule="auto" w:before="5"/>
        <w:rPr>
          <w:rFonts w:ascii="宋体" w:hAnsi="宋体" w:cs="宋体" w:eastAsia="宋体" w:hint="default"/>
          <w:sz w:val="19"/>
          <w:szCs w:val="19"/>
        </w:rPr>
      </w:pPr>
    </w:p>
    <w:p>
      <w:pPr>
        <w:pStyle w:val="BodyText"/>
        <w:spacing w:line="357" w:lineRule="auto"/>
        <w:ind w:right="993" w:firstLine="480"/>
        <w:jc w:val="left"/>
      </w:pPr>
      <w:r>
        <w:rPr/>
        <w:t>童之磊先生，</w:t>
      </w:r>
      <w:r>
        <w:rPr>
          <w:rFonts w:ascii="宋体" w:hAnsi="宋体" w:cs="宋体" w:eastAsia="宋体" w:hint="default"/>
        </w:rPr>
        <w:t>1975</w:t>
      </w:r>
      <w:r>
        <w:rPr>
          <w:rFonts w:ascii="宋体" w:hAnsi="宋体" w:cs="宋体" w:eastAsia="宋体" w:hint="default"/>
          <w:spacing w:val="-68"/>
        </w:rPr>
        <w:t> </w:t>
      </w:r>
      <w:r>
        <w:rPr/>
        <w:t>年出生，中国国籍，无境外永久居留权，硕士研究生，国际工商管理 </w:t>
      </w:r>
      <w:r>
        <w:rPr>
          <w:spacing w:val="-4"/>
        </w:rPr>
        <w:t>专业，经济师，高级数字出版编辑，</w:t>
      </w:r>
      <w:r>
        <w:rPr>
          <w:rFonts w:ascii="宋体" w:hAnsi="宋体" w:cs="宋体" w:eastAsia="宋体" w:hint="default"/>
          <w:spacing w:val="-4"/>
        </w:rPr>
        <w:t>1998</w:t>
      </w:r>
      <w:r>
        <w:rPr>
          <w:rFonts w:ascii="宋体" w:hAnsi="宋体" w:cs="宋体" w:eastAsia="宋体" w:hint="default"/>
          <w:spacing w:val="-61"/>
        </w:rPr>
        <w:t> </w:t>
      </w:r>
      <w:r>
        <w:rPr/>
        <w:t>年获得清华大学学士学位，</w:t>
      </w:r>
      <w:r>
        <w:rPr>
          <w:rFonts w:ascii="宋体" w:hAnsi="宋体" w:cs="宋体" w:eastAsia="宋体" w:hint="default"/>
        </w:rPr>
        <w:t>2000</w:t>
      </w:r>
      <w:r>
        <w:rPr>
          <w:rFonts w:ascii="宋体" w:hAnsi="宋体" w:cs="宋体" w:eastAsia="宋体" w:hint="default"/>
          <w:spacing w:val="-61"/>
        </w:rPr>
        <w:t> </w:t>
      </w:r>
      <w:r>
        <w:rPr/>
        <w:t>年获美国麻省理工 学院（</w:t>
      </w:r>
      <w:r>
        <w:rPr>
          <w:rFonts w:ascii="宋体" w:hAnsi="宋体" w:cs="宋体" w:eastAsia="宋体" w:hint="default"/>
        </w:rPr>
        <w:t>MIT</w:t>
      </w:r>
      <w:r>
        <w:rPr/>
        <w:t>）与清华大学联合培养的国际工商管理硕士（</w:t>
      </w:r>
      <w:r>
        <w:rPr>
          <w:rFonts w:ascii="宋体" w:hAnsi="宋体" w:cs="宋体" w:eastAsia="宋体" w:hint="default"/>
        </w:rPr>
        <w:t>IMBA</w:t>
      </w:r>
      <w:r>
        <w:rPr/>
        <w:t>）学位。</w:t>
      </w:r>
      <w:r>
        <w:rPr>
          <w:rFonts w:ascii="宋体" w:hAnsi="宋体" w:cs="宋体" w:eastAsia="宋体" w:hint="default"/>
        </w:rPr>
        <w:t>2000</w:t>
      </w:r>
      <w:r>
        <w:rPr>
          <w:rFonts w:ascii="宋体" w:hAnsi="宋体" w:cs="宋体" w:eastAsia="宋体" w:hint="default"/>
          <w:spacing w:val="-65"/>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月发起成立 中文在线，现任中文在线数字出版集团股份有限公司董事长兼总经理，同时兼任建水文睿企 业管理有限公司执行董事、北京中文在线文化传媒有限公司执行董事兼总经理、北京中文在 线教育科技有限公司执行董事兼总经理、上海中文在线文化发展有限公司执行董事、杭州中 </w:t>
      </w:r>
      <w:r>
        <w:rPr>
          <w:spacing w:val="-7"/>
        </w:rPr>
        <w:t>文在线信息科技有限公司董事长、中文在线（天津）文化发展有限公司执行董事、</w:t>
      </w:r>
      <w:r>
        <w:rPr>
          <w:rFonts w:ascii="宋体" w:hAnsi="宋体" w:cs="宋体" w:eastAsia="宋体" w:hint="default"/>
          <w:spacing w:val="-7"/>
        </w:rPr>
        <w:t>Crazy</w:t>
      </w:r>
      <w:r>
        <w:rPr>
          <w:rFonts w:ascii="宋体" w:hAnsi="宋体" w:cs="宋体" w:eastAsia="宋体" w:hint="default"/>
          <w:spacing w:val="-53"/>
        </w:rPr>
        <w:t> </w:t>
      </w:r>
      <w:r>
        <w:rPr>
          <w:rFonts w:ascii="宋体" w:hAnsi="宋体" w:cs="宋体" w:eastAsia="宋体" w:hint="default"/>
        </w:rPr>
        <w:t>Maple</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Studio, Inc.</w:t>
      </w:r>
      <w:r>
        <w:rPr/>
        <w:t>董事长，北京汤圆和它的小伙伴们网络科技有限公司执行董事，广州市四月天</w:t>
      </w:r>
      <w:r>
        <w:rPr>
          <w:spacing w:val="-115"/>
        </w:rPr>
        <w:t> </w:t>
      </w:r>
      <w:r>
        <w:rPr>
          <w:spacing w:val="-115"/>
        </w:rPr>
      </w:r>
      <w:r>
        <w:rPr/>
        <w:t>信息科技有限公司执行董事兼总经理，湖北中文在线数字出版有限公司执行董事，中文在线</w:t>
      </w:r>
      <w:r>
        <w:rPr/>
        <w:t> 集团有限公司首任董事、</w:t>
      </w:r>
      <w:r>
        <w:rPr>
          <w:rFonts w:ascii="宋体" w:hAnsi="宋体" w:cs="宋体" w:eastAsia="宋体" w:hint="default"/>
        </w:rPr>
        <w:t>ATA</w:t>
      </w:r>
      <w:r>
        <w:rPr>
          <w:rFonts w:ascii="宋体" w:hAnsi="宋体" w:cs="宋体" w:eastAsia="宋体" w:hint="default"/>
          <w:spacing w:val="-81"/>
        </w:rPr>
        <w:t> </w:t>
      </w:r>
      <w:r>
        <w:rPr>
          <w:rFonts w:ascii="宋体" w:hAnsi="宋体" w:cs="宋体" w:eastAsia="宋体" w:hint="default"/>
        </w:rPr>
        <w:t>Inc.</w:t>
      </w:r>
      <w:r>
        <w:rPr/>
        <w:t>董事、北京亚杰商汇咨询有限公司董事。北京市人大代表、 东城区第十六届人大常委，全国青联常委、教育界别秘书长，中国版权协会副理事长，中国 音像与数字出版协会副理事长，中国编辑学会副会长。</w:t>
      </w:r>
    </w:p>
    <w:p>
      <w:pPr>
        <w:pStyle w:val="BodyText"/>
        <w:spacing w:line="240" w:lineRule="auto" w:before="136"/>
        <w:ind w:left="634" w:right="1092"/>
        <w:jc w:val="left"/>
      </w:pPr>
      <w:r>
        <w:rPr>
          <w:rFonts w:ascii="宋体" w:hAnsi="宋体" w:cs="宋体" w:eastAsia="宋体" w:hint="default"/>
        </w:rPr>
        <w:t>2</w:t>
      </w:r>
      <w:r>
        <w:rPr/>
        <w:t>、雷霖</w:t>
      </w:r>
    </w:p>
    <w:p>
      <w:pPr>
        <w:spacing w:line="240" w:lineRule="auto" w:before="5"/>
        <w:rPr>
          <w:rFonts w:ascii="宋体" w:hAnsi="宋体" w:cs="宋体" w:eastAsia="宋体" w:hint="default"/>
          <w:sz w:val="19"/>
          <w:szCs w:val="19"/>
        </w:rPr>
      </w:pPr>
    </w:p>
    <w:p>
      <w:pPr>
        <w:pStyle w:val="BodyText"/>
        <w:spacing w:line="357" w:lineRule="auto"/>
        <w:ind w:right="1114" w:firstLine="480"/>
        <w:jc w:val="left"/>
      </w:pPr>
      <w:r>
        <w:rPr/>
        <w:t>雷霖先生，</w:t>
      </w:r>
      <w:r>
        <w:rPr>
          <w:rFonts w:ascii="宋体" w:hAnsi="宋体" w:cs="宋体" w:eastAsia="宋体" w:hint="default"/>
        </w:rPr>
        <w:t>1974</w:t>
      </w:r>
      <w:r>
        <w:rPr>
          <w:rFonts w:ascii="宋体" w:hAnsi="宋体" w:cs="宋体" w:eastAsia="宋体" w:hint="default"/>
          <w:spacing w:val="-82"/>
        </w:rPr>
        <w:t> </w:t>
      </w:r>
      <w:r>
        <w:rPr/>
        <w:t>年出生，中国国籍，无境外永久居留权，清华大学工学博士，清华大学 </w:t>
      </w:r>
      <w:r>
        <w:rPr>
          <w:spacing w:val="-3"/>
        </w:rPr>
        <w:t>经济管理学院博士后。</w:t>
      </w:r>
      <w:r>
        <w:rPr>
          <w:rFonts w:ascii="宋体" w:hAnsi="宋体" w:cs="宋体" w:eastAsia="宋体" w:hint="default"/>
          <w:spacing w:val="-3"/>
        </w:rPr>
        <w:t>2011</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spacing w:val="-3"/>
        </w:rPr>
        <w:t>月至今中文在线董事，</w:t>
      </w:r>
      <w:r>
        <w:rPr>
          <w:rFonts w:ascii="宋体" w:hAnsi="宋体" w:cs="宋体" w:eastAsia="宋体" w:hint="default"/>
          <w:spacing w:val="-3"/>
        </w:rPr>
        <w:t>2012</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月至</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月担任清华</w:t>
      </w:r>
    </w:p>
    <w:p>
      <w:pPr>
        <w:pStyle w:val="BodyText"/>
        <w:spacing w:line="240" w:lineRule="auto" w:before="36"/>
        <w:ind w:right="1092"/>
        <w:jc w:val="left"/>
        <w:rPr>
          <w:rFonts w:ascii="宋体" w:hAnsi="宋体" w:cs="宋体" w:eastAsia="宋体" w:hint="default"/>
        </w:rPr>
      </w:pPr>
      <w:r>
        <w:rPr/>
        <w:t>控股有限公司高级副总裁</w:t>
      </w:r>
      <w:r>
        <w:rPr>
          <w:spacing w:val="-120"/>
        </w:rPr>
        <w:t>，</w:t>
      </w:r>
      <w:r>
        <w:rPr>
          <w:rFonts w:ascii="宋体" w:hAnsi="宋体" w:cs="宋体" w:eastAsia="宋体" w:hint="default"/>
        </w:rPr>
        <w:t>2012</w:t>
      </w:r>
      <w:r>
        <w:rPr>
          <w:rFonts w:ascii="宋体" w:hAnsi="宋体" w:cs="宋体" w:eastAsia="宋体" w:hint="default"/>
          <w:spacing w:val="-64"/>
        </w:rPr>
        <w:t> </w:t>
      </w:r>
      <w:r>
        <w:rPr/>
        <w:t>年</w:t>
      </w:r>
      <w:r>
        <w:rPr>
          <w:spacing w:val="-63"/>
        </w:rPr>
        <w:t> </w:t>
      </w:r>
      <w:r>
        <w:rPr>
          <w:rFonts w:ascii="宋体" w:hAnsi="宋体" w:cs="宋体" w:eastAsia="宋体" w:hint="default"/>
        </w:rPr>
        <w:t>9</w:t>
      </w:r>
      <w:r>
        <w:rPr>
          <w:rFonts w:ascii="宋体" w:hAnsi="宋体" w:cs="宋体" w:eastAsia="宋体" w:hint="default"/>
          <w:spacing w:val="-64"/>
        </w:rPr>
        <w:t> </w:t>
      </w:r>
      <w:r>
        <w:rPr/>
        <w:t>月至</w:t>
      </w:r>
      <w:r>
        <w:rPr>
          <w:spacing w:val="-64"/>
        </w:rPr>
        <w:t> </w:t>
      </w:r>
      <w:r>
        <w:rPr>
          <w:rFonts w:ascii="宋体" w:hAnsi="宋体" w:cs="宋体" w:eastAsia="宋体" w:hint="default"/>
        </w:rPr>
        <w:t>2017</w:t>
      </w:r>
      <w:r>
        <w:rPr>
          <w:rFonts w:ascii="宋体" w:hAnsi="宋体" w:cs="宋体" w:eastAsia="宋体" w:hint="default"/>
          <w:spacing w:val="-64"/>
        </w:rPr>
        <w:t> </w:t>
      </w:r>
      <w:r>
        <w:rPr/>
        <w:t>年</w:t>
      </w:r>
      <w:r>
        <w:rPr>
          <w:spacing w:val="-64"/>
        </w:rPr>
        <w:t> </w:t>
      </w:r>
      <w:r>
        <w:rPr>
          <w:rFonts w:ascii="宋体" w:hAnsi="宋体" w:cs="宋体" w:eastAsia="宋体" w:hint="default"/>
        </w:rPr>
        <w:t>12</w:t>
      </w:r>
      <w:r>
        <w:rPr>
          <w:rFonts w:ascii="宋体" w:hAnsi="宋体" w:cs="宋体" w:eastAsia="宋体" w:hint="default"/>
          <w:spacing w:val="-64"/>
        </w:rPr>
        <w:t> </w:t>
      </w:r>
      <w:r>
        <w:rPr/>
        <w:t>月担任清控资产管理有限公司总裁</w:t>
      </w:r>
      <w:r>
        <w:rPr>
          <w:spacing w:val="-120"/>
        </w:rPr>
        <w:t>，</w:t>
      </w:r>
      <w:r>
        <w:rPr>
          <w:rFonts w:ascii="宋体" w:hAnsi="宋体" w:cs="宋体" w:eastAsia="宋体" w:hint="default"/>
        </w:rPr>
        <w:t>2016</w:t>
      </w:r>
    </w:p>
    <w:p>
      <w:pPr>
        <w:pStyle w:val="BodyText"/>
        <w:spacing w:line="357" w:lineRule="auto" w:before="154"/>
        <w:ind w:right="1119"/>
        <w:jc w:val="left"/>
      </w:pPr>
      <w:r>
        <w:rPr/>
        <w:t>年</w:t>
      </w:r>
      <w:r>
        <w:rPr>
          <w:spacing w:val="-63"/>
        </w:rPr>
        <w:t> </w:t>
      </w:r>
      <w:r>
        <w:rPr>
          <w:rFonts w:ascii="宋体" w:hAnsi="宋体" w:cs="宋体" w:eastAsia="宋体" w:hint="default"/>
        </w:rPr>
        <w:t>4</w:t>
      </w:r>
      <w:r>
        <w:rPr>
          <w:rFonts w:ascii="宋体" w:hAnsi="宋体" w:cs="宋体" w:eastAsia="宋体" w:hint="default"/>
          <w:spacing w:val="-63"/>
        </w:rPr>
        <w:t> </w:t>
      </w:r>
      <w:r>
        <w:rPr/>
        <w:t>月至</w:t>
      </w:r>
      <w:r>
        <w:rPr>
          <w:spacing w:val="-63"/>
        </w:rPr>
        <w:t> </w:t>
      </w:r>
      <w:r>
        <w:rPr>
          <w:rFonts w:ascii="宋体" w:hAnsi="宋体" w:cs="宋体" w:eastAsia="宋体" w:hint="default"/>
        </w:rPr>
        <w:t>2017</w:t>
      </w:r>
      <w:r>
        <w:rPr>
          <w:rFonts w:ascii="宋体" w:hAnsi="宋体" w:cs="宋体" w:eastAsia="宋体" w:hint="default"/>
          <w:spacing w:val="-63"/>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月担任诚志科融控股有限公司总裁，</w:t>
      </w:r>
      <w:r>
        <w:rPr>
          <w:rFonts w:ascii="宋体" w:hAnsi="宋体" w:cs="宋体" w:eastAsia="宋体" w:hint="default"/>
        </w:rPr>
        <w:t>2015</w:t>
      </w:r>
      <w:r>
        <w:rPr>
          <w:rFonts w:ascii="宋体" w:hAnsi="宋体" w:cs="宋体" w:eastAsia="宋体" w:hint="default"/>
          <w:spacing w:val="-63"/>
        </w:rPr>
        <w:t> </w:t>
      </w:r>
      <w:r>
        <w:rPr/>
        <w:t>年</w:t>
      </w:r>
      <w:r>
        <w:rPr>
          <w:spacing w:val="-63"/>
        </w:rPr>
        <w:t> </w:t>
      </w:r>
      <w:r>
        <w:rPr>
          <w:rFonts w:ascii="宋体" w:hAnsi="宋体" w:cs="宋体" w:eastAsia="宋体" w:hint="default"/>
        </w:rPr>
        <w:t>7</w:t>
      </w:r>
      <w:r>
        <w:rPr>
          <w:rFonts w:ascii="宋体" w:hAnsi="宋体" w:cs="宋体" w:eastAsia="宋体" w:hint="default"/>
          <w:spacing w:val="-63"/>
        </w:rPr>
        <w:t> </w:t>
      </w:r>
      <w:r>
        <w:rPr/>
        <w:t>月至今，担任清控银杏创 业投资管理（北京）有限公司创始合伙人。</w:t>
      </w:r>
    </w:p>
    <w:p>
      <w:pPr>
        <w:pStyle w:val="BodyText"/>
        <w:spacing w:line="240" w:lineRule="auto" w:before="136"/>
        <w:ind w:left="634" w:right="1092"/>
        <w:jc w:val="left"/>
      </w:pPr>
      <w:r>
        <w:rPr>
          <w:rFonts w:ascii="宋体" w:hAnsi="宋体" w:cs="宋体" w:eastAsia="宋体" w:hint="default"/>
        </w:rPr>
        <w:t>3</w:t>
      </w:r>
      <w:r>
        <w:rPr/>
        <w:t>、周树华</w:t>
      </w:r>
    </w:p>
    <w:p>
      <w:pPr>
        <w:spacing w:after="0" w:line="240"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092" w:firstLine="480"/>
        <w:jc w:val="left"/>
      </w:pPr>
      <w:r>
        <w:rPr/>
        <w:t>周树华先生，</w:t>
      </w:r>
      <w:r>
        <w:rPr>
          <w:rFonts w:ascii="宋体" w:hAnsi="宋体" w:cs="宋体" w:eastAsia="宋体" w:hint="default"/>
        </w:rPr>
        <w:t>1969</w:t>
      </w:r>
      <w:r>
        <w:rPr>
          <w:rFonts w:ascii="宋体" w:hAnsi="宋体" w:cs="宋体" w:eastAsia="宋体" w:hint="default"/>
          <w:spacing w:val="-60"/>
        </w:rPr>
        <w:t> </w:t>
      </w:r>
      <w:r>
        <w:rPr/>
        <w:t>年出生，中国国籍，无境外永久居留权，硕士研究生，管理学专业。 </w:t>
      </w:r>
      <w:r>
        <w:rPr>
          <w:rFonts w:ascii="宋体" w:hAnsi="宋体" w:cs="宋体" w:eastAsia="宋体" w:hint="default"/>
        </w:rPr>
        <w:t>2011</w:t>
      </w:r>
      <w:r>
        <w:rPr>
          <w:rFonts w:ascii="宋体" w:hAnsi="宋体" w:cs="宋体" w:eastAsia="宋体" w:hint="default"/>
          <w:spacing w:val="-64"/>
        </w:rPr>
        <w:t> </w:t>
      </w:r>
      <w:r>
        <w:rPr/>
        <w:t>年</w:t>
      </w:r>
      <w:r>
        <w:rPr>
          <w:spacing w:val="-64"/>
        </w:rPr>
        <w:t> </w:t>
      </w:r>
      <w:r>
        <w:rPr>
          <w:rFonts w:ascii="宋体" w:hAnsi="宋体" w:cs="宋体" w:eastAsia="宋体" w:hint="default"/>
        </w:rPr>
        <w:t>3</w:t>
      </w:r>
      <w:r>
        <w:rPr>
          <w:rFonts w:ascii="宋体" w:hAnsi="宋体" w:cs="宋体" w:eastAsia="宋体" w:hint="default"/>
          <w:spacing w:val="-64"/>
        </w:rPr>
        <w:t> </w:t>
      </w:r>
      <w:r>
        <w:rPr/>
        <w:t>月至今担任中文在线董事，自</w:t>
      </w:r>
      <w:r>
        <w:rPr>
          <w:spacing w:val="-64"/>
        </w:rPr>
        <w:t> </w:t>
      </w:r>
      <w:r>
        <w:rPr>
          <w:rFonts w:ascii="宋体" w:hAnsi="宋体" w:cs="宋体" w:eastAsia="宋体" w:hint="default"/>
        </w:rPr>
        <w:t>2010</w:t>
      </w:r>
      <w:r>
        <w:rPr>
          <w:rFonts w:ascii="宋体" w:hAnsi="宋体" w:cs="宋体" w:eastAsia="宋体" w:hint="default"/>
          <w:spacing w:val="-64"/>
        </w:rPr>
        <w:t> </w:t>
      </w:r>
      <w:r>
        <w:rPr/>
        <w:t>年</w:t>
      </w:r>
      <w:r>
        <w:rPr>
          <w:spacing w:val="-64"/>
        </w:rPr>
        <w:t> </w:t>
      </w:r>
      <w:r>
        <w:rPr>
          <w:rFonts w:ascii="宋体" w:hAnsi="宋体" w:cs="宋体" w:eastAsia="宋体" w:hint="default"/>
        </w:rPr>
        <w:t>12</w:t>
      </w:r>
      <w:r>
        <w:rPr>
          <w:rFonts w:ascii="宋体" w:hAnsi="宋体" w:cs="宋体" w:eastAsia="宋体" w:hint="default"/>
          <w:spacing w:val="-64"/>
        </w:rPr>
        <w:t> </w:t>
      </w:r>
      <w:r>
        <w:rPr/>
        <w:t>月至今任上海开物股权投资管理有限公司</w:t>
      </w:r>
    </w:p>
    <w:p>
      <w:pPr>
        <w:pStyle w:val="BodyText"/>
        <w:spacing w:line="240" w:lineRule="auto" w:before="36"/>
        <w:ind w:right="0"/>
        <w:jc w:val="both"/>
      </w:pPr>
      <w:r>
        <w:rPr>
          <w:spacing w:val="-5"/>
        </w:rPr>
        <w:t>执行董事兼总经理，自</w:t>
      </w:r>
      <w:r>
        <w:rPr>
          <w:spacing w:val="-68"/>
        </w:rPr>
        <w:t> </w:t>
      </w:r>
      <w:r>
        <w:rPr>
          <w:rFonts w:ascii="宋体" w:hAnsi="宋体" w:cs="宋体" w:eastAsia="宋体" w:hint="default"/>
        </w:rPr>
        <w:t>2011</w:t>
      </w:r>
      <w:r>
        <w:rPr>
          <w:rFonts w:ascii="宋体" w:hAnsi="宋体" w:cs="宋体" w:eastAsia="宋体" w:hint="default"/>
          <w:spacing w:val="-68"/>
        </w:rPr>
        <w:t> </w:t>
      </w:r>
      <w:r>
        <w:rPr/>
        <w:t>年</w:t>
      </w:r>
      <w:r>
        <w:rPr>
          <w:spacing w:val="-68"/>
        </w:rPr>
        <w:t> </w:t>
      </w:r>
      <w:r>
        <w:rPr>
          <w:rFonts w:ascii="宋体" w:hAnsi="宋体" w:cs="宋体" w:eastAsia="宋体" w:hint="default"/>
        </w:rPr>
        <w:t>4</w:t>
      </w:r>
      <w:r>
        <w:rPr>
          <w:rFonts w:ascii="宋体" w:hAnsi="宋体" w:cs="宋体" w:eastAsia="宋体" w:hint="default"/>
          <w:spacing w:val="-68"/>
        </w:rPr>
        <w:t> </w:t>
      </w:r>
      <w:r>
        <w:rPr/>
        <w:t>月至今任北京开物投资管理有限公司执行董事兼总经理，自</w:t>
      </w:r>
    </w:p>
    <w:p>
      <w:pPr>
        <w:pStyle w:val="BodyText"/>
        <w:spacing w:line="240" w:lineRule="auto" w:before="154"/>
        <w:ind w:right="0"/>
        <w:jc w:val="both"/>
      </w:pPr>
      <w:r>
        <w:rPr>
          <w:rFonts w:ascii="宋体" w:hAnsi="宋体" w:cs="宋体" w:eastAsia="宋体" w:hint="default"/>
        </w:rPr>
        <w:t>2012</w:t>
      </w:r>
      <w:r>
        <w:rPr>
          <w:rFonts w:ascii="宋体" w:hAnsi="宋体" w:cs="宋体" w:eastAsia="宋体" w:hint="default"/>
          <w:spacing w:val="-46"/>
        </w:rPr>
        <w:t> </w:t>
      </w:r>
      <w:r>
        <w:rPr/>
        <w:t>年</w:t>
      </w:r>
      <w:r>
        <w:rPr>
          <w:spacing w:val="-46"/>
        </w:rPr>
        <w:t> </w:t>
      </w:r>
      <w:r>
        <w:rPr>
          <w:rFonts w:ascii="宋体" w:hAnsi="宋体" w:cs="宋体" w:eastAsia="宋体" w:hint="default"/>
        </w:rPr>
        <w:t>2</w:t>
      </w:r>
      <w:r>
        <w:rPr>
          <w:rFonts w:ascii="宋体" w:hAnsi="宋体" w:cs="宋体" w:eastAsia="宋体" w:hint="default"/>
          <w:spacing w:val="-47"/>
        </w:rPr>
        <w:t> </w:t>
      </w:r>
      <w:r>
        <w:rPr/>
        <w:t>月至今任上海开物兴华创业投资管理有限公司执行董事兼总经理，自</w:t>
      </w:r>
      <w:r>
        <w:rPr>
          <w:spacing w:val="-46"/>
        </w:rPr>
        <w:t> </w:t>
      </w:r>
      <w:r>
        <w:rPr>
          <w:rFonts w:ascii="宋体" w:hAnsi="宋体" w:cs="宋体" w:eastAsia="宋体" w:hint="default"/>
        </w:rPr>
        <w:t>2013</w:t>
      </w:r>
      <w:r>
        <w:rPr>
          <w:rFonts w:ascii="宋体" w:hAnsi="宋体" w:cs="宋体" w:eastAsia="宋体" w:hint="default"/>
          <w:spacing w:val="-46"/>
        </w:rPr>
        <w:t> </w:t>
      </w:r>
      <w:r>
        <w:rPr/>
        <w:t>年</w:t>
      </w:r>
      <w:r>
        <w:rPr>
          <w:spacing w:val="-47"/>
        </w:rPr>
        <w:t> </w:t>
      </w:r>
      <w:r>
        <w:rPr>
          <w:rFonts w:ascii="宋体" w:hAnsi="宋体" w:cs="宋体" w:eastAsia="宋体" w:hint="default"/>
        </w:rPr>
        <w:t>2</w:t>
      </w:r>
      <w:r>
        <w:rPr>
          <w:rFonts w:ascii="宋体" w:hAnsi="宋体" w:cs="宋体" w:eastAsia="宋体" w:hint="default"/>
          <w:spacing w:val="-46"/>
        </w:rPr>
        <w:t> </w:t>
      </w:r>
      <w:r>
        <w:rPr/>
        <w:t>月</w:t>
      </w:r>
    </w:p>
    <w:p>
      <w:pPr>
        <w:pStyle w:val="BodyText"/>
        <w:spacing w:line="240" w:lineRule="auto" w:before="154"/>
        <w:ind w:right="0"/>
        <w:jc w:val="both"/>
        <w:rPr>
          <w:rFonts w:ascii="宋体" w:hAnsi="宋体" w:cs="宋体" w:eastAsia="宋体" w:hint="default"/>
        </w:rPr>
      </w:pPr>
      <w:r>
        <w:rPr/>
        <w:t>至今任上海开物兴晖创业投资合伙企业（有限合伙）执行事务合伙人委派代表，自</w:t>
      </w:r>
      <w:r>
        <w:rPr>
          <w:spacing w:val="-68"/>
        </w:rPr>
        <w:t> </w:t>
      </w:r>
      <w:r>
        <w:rPr>
          <w:rFonts w:ascii="宋体" w:hAnsi="宋体" w:cs="宋体" w:eastAsia="宋体" w:hint="default"/>
        </w:rPr>
        <w:t>2017</w:t>
      </w:r>
      <w:r>
        <w:rPr>
          <w:rFonts w:ascii="宋体" w:hAnsi="宋体" w:cs="宋体" w:eastAsia="宋体" w:hint="default"/>
          <w:spacing w:val="-68"/>
        </w:rPr>
        <w:t> </w:t>
      </w:r>
      <w:r>
        <w:rPr/>
        <w:t>年</w:t>
      </w:r>
      <w:r>
        <w:rPr>
          <w:spacing w:val="-68"/>
        </w:rPr>
        <w:t> </w:t>
      </w:r>
      <w:r>
        <w:rPr>
          <w:rFonts w:ascii="宋体" w:hAnsi="宋体" w:cs="宋体" w:eastAsia="宋体" w:hint="default"/>
        </w:rPr>
        <w:t>6</w:t>
      </w:r>
    </w:p>
    <w:p>
      <w:pPr>
        <w:pStyle w:val="BodyText"/>
        <w:spacing w:line="240" w:lineRule="auto" w:before="154"/>
        <w:ind w:right="0"/>
        <w:jc w:val="both"/>
      </w:pPr>
      <w:r>
        <w:rPr>
          <w:spacing w:val="-3"/>
        </w:rPr>
        <w:t>月至今任广西华清华和投资合伙企业（有限合伙）执行事务合伙人委派代表，自</w:t>
      </w:r>
      <w:r>
        <w:rPr>
          <w:spacing w:val="-54"/>
        </w:rPr>
        <w:t> </w:t>
      </w:r>
      <w:r>
        <w:rPr>
          <w:rFonts w:ascii="宋体" w:hAnsi="宋体" w:cs="宋体" w:eastAsia="宋体" w:hint="default"/>
        </w:rPr>
        <w:t>2017</w:t>
      </w:r>
      <w:r>
        <w:rPr>
          <w:rFonts w:ascii="宋体" w:hAnsi="宋体" w:cs="宋体" w:eastAsia="宋体" w:hint="default"/>
          <w:spacing w:val="-55"/>
        </w:rPr>
        <w:t> </w:t>
      </w:r>
      <w:r>
        <w:rPr/>
        <w:t>年</w:t>
      </w:r>
      <w:r>
        <w:rPr>
          <w:spacing w:val="-55"/>
        </w:rPr>
        <w:t> </w:t>
      </w:r>
      <w:r>
        <w:rPr>
          <w:rFonts w:ascii="宋体" w:hAnsi="宋体" w:cs="宋体" w:eastAsia="宋体" w:hint="default"/>
        </w:rPr>
        <w:t>3</w:t>
      </w:r>
      <w:r>
        <w:rPr>
          <w:rFonts w:ascii="宋体" w:hAnsi="宋体" w:cs="宋体" w:eastAsia="宋体" w:hint="default"/>
          <w:spacing w:val="-55"/>
        </w:rPr>
        <w:t> </w:t>
      </w:r>
      <w:r>
        <w:rPr/>
        <w:t>月</w:t>
      </w:r>
    </w:p>
    <w:p>
      <w:pPr>
        <w:pStyle w:val="BodyText"/>
        <w:spacing w:line="240" w:lineRule="auto" w:before="154"/>
        <w:ind w:right="0"/>
        <w:jc w:val="both"/>
      </w:pPr>
      <w:r>
        <w:rPr>
          <w:spacing w:val="-3"/>
        </w:rPr>
        <w:t>至今任广西钦州华清翰泉投资管理有限公司执行董事兼总经理。自</w:t>
      </w:r>
      <w:r>
        <w:rPr>
          <w:spacing w:val="-59"/>
        </w:rPr>
        <w:t> </w:t>
      </w:r>
      <w:r>
        <w:rPr>
          <w:rFonts w:ascii="宋体" w:hAnsi="宋体" w:cs="宋体" w:eastAsia="宋体" w:hint="default"/>
        </w:rPr>
        <w:t>2017</w:t>
      </w:r>
      <w:r>
        <w:rPr>
          <w:rFonts w:ascii="宋体" w:hAnsi="宋体" w:cs="宋体" w:eastAsia="宋体" w:hint="default"/>
          <w:spacing w:val="-59"/>
        </w:rPr>
        <w:t> </w:t>
      </w:r>
      <w:r>
        <w:rPr/>
        <w:t>年</w:t>
      </w:r>
      <w:r>
        <w:rPr>
          <w:spacing w:val="-59"/>
        </w:rPr>
        <w:t> </w:t>
      </w:r>
      <w:r>
        <w:rPr>
          <w:rFonts w:ascii="宋体" w:hAnsi="宋体" w:cs="宋体" w:eastAsia="宋体" w:hint="default"/>
        </w:rPr>
        <w:t>5</w:t>
      </w:r>
      <w:r>
        <w:rPr>
          <w:rFonts w:ascii="宋体" w:hAnsi="宋体" w:cs="宋体" w:eastAsia="宋体" w:hint="default"/>
          <w:spacing w:val="-59"/>
        </w:rPr>
        <w:t> </w:t>
      </w:r>
      <w:r>
        <w:rPr/>
        <w:t>月至今任上海望</w:t>
      </w:r>
    </w:p>
    <w:p>
      <w:pPr>
        <w:pStyle w:val="BodyText"/>
        <w:spacing w:line="434" w:lineRule="auto" w:before="155"/>
        <w:ind w:left="634" w:right="1512" w:hanging="480"/>
        <w:jc w:val="left"/>
      </w:pPr>
      <w:r>
        <w:rPr/>
        <w:t>润投资咨询有限公司总经理。自</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月任瞳心</w:t>
      </w:r>
      <w:r>
        <w:rPr>
          <w:rFonts w:ascii="宋体" w:hAnsi="宋体" w:cs="宋体" w:eastAsia="宋体" w:hint="default"/>
        </w:rPr>
        <w:t>(</w:t>
      </w:r>
      <w:r>
        <w:rPr/>
        <w:t>北京</w:t>
      </w:r>
      <w:r>
        <w:rPr>
          <w:rFonts w:ascii="宋体" w:hAnsi="宋体" w:cs="宋体" w:eastAsia="宋体" w:hint="default"/>
        </w:rPr>
        <w:t>)</w:t>
      </w:r>
      <w:r>
        <w:rPr/>
        <w:t>教育发展有限公司执行董事。 </w:t>
      </w:r>
      <w:r>
        <w:rPr>
          <w:rFonts w:ascii="宋体" w:hAnsi="宋体" w:cs="宋体" w:eastAsia="宋体" w:hint="default"/>
        </w:rPr>
        <w:t>4</w:t>
      </w:r>
      <w:r>
        <w:rPr/>
        <w:t>、张帆</w:t>
      </w:r>
    </w:p>
    <w:p>
      <w:pPr>
        <w:pStyle w:val="BodyText"/>
        <w:spacing w:line="357" w:lineRule="auto" w:before="59"/>
        <w:ind w:right="1114" w:firstLine="480"/>
        <w:jc w:val="left"/>
        <w:rPr>
          <w:rFonts w:ascii="宋体" w:hAnsi="宋体" w:cs="宋体" w:eastAsia="宋体" w:hint="default"/>
        </w:rPr>
      </w:pPr>
      <w:r>
        <w:rPr/>
        <w:t>张帆先生，</w:t>
      </w:r>
      <w:r>
        <w:rPr>
          <w:rFonts w:ascii="宋体" w:hAnsi="宋体" w:cs="宋体" w:eastAsia="宋体" w:hint="default"/>
        </w:rPr>
        <w:t>1969</w:t>
      </w:r>
      <w:r>
        <w:rPr>
          <w:rFonts w:ascii="宋体" w:hAnsi="宋体" w:cs="宋体" w:eastAsia="宋体" w:hint="default"/>
          <w:spacing w:val="-82"/>
        </w:rPr>
        <w:t> </w:t>
      </w:r>
      <w:r>
        <w:rPr/>
        <w:t>年出生，中国国籍，无境外永久居留权，硕士研究生，国际金融与财务 专业，高级经济师。张帆先生自 </w:t>
      </w:r>
      <w:r>
        <w:rPr>
          <w:rFonts w:ascii="宋体" w:hAnsi="宋体" w:cs="宋体" w:eastAsia="宋体" w:hint="default"/>
        </w:rPr>
        <w:t>2008 </w:t>
      </w:r>
      <w:r>
        <w:rPr/>
        <w:t>年 </w:t>
      </w:r>
      <w:r>
        <w:rPr>
          <w:rFonts w:ascii="宋体" w:hAnsi="宋体" w:cs="宋体" w:eastAsia="宋体" w:hint="default"/>
        </w:rPr>
        <w:t>8</w:t>
      </w:r>
      <w:r>
        <w:rPr>
          <w:rFonts w:ascii="宋体" w:hAnsi="宋体" w:cs="宋体" w:eastAsia="宋体" w:hint="default"/>
          <w:spacing w:val="-82"/>
        </w:rPr>
        <w:t> </w:t>
      </w:r>
      <w:r>
        <w:rPr/>
        <w:t>月至今任湖南弘慧教育发展基金会理事长。</w:t>
      </w:r>
      <w:r>
        <w:rPr>
          <w:rFonts w:ascii="宋体" w:hAnsi="宋体" w:cs="宋体" w:eastAsia="宋体" w:hint="default"/>
        </w:rPr>
        <w:t>2010</w:t>
      </w:r>
    </w:p>
    <w:p>
      <w:pPr>
        <w:pStyle w:val="BodyText"/>
        <w:spacing w:line="357" w:lineRule="auto" w:before="36"/>
        <w:ind w:right="1132"/>
        <w:jc w:val="both"/>
      </w:pPr>
      <w:r>
        <w:rPr/>
        <w:t>年 </w:t>
      </w:r>
      <w:r>
        <w:rPr>
          <w:rFonts w:ascii="宋体" w:hAnsi="宋体" w:cs="宋体" w:eastAsia="宋体" w:hint="default"/>
        </w:rPr>
        <w:t>10</w:t>
      </w:r>
      <w:r>
        <w:rPr>
          <w:rFonts w:ascii="宋体" w:hAnsi="宋体" w:cs="宋体" w:eastAsia="宋体" w:hint="default"/>
          <w:spacing w:val="-92"/>
        </w:rPr>
        <w:t> </w:t>
      </w:r>
      <w:r>
        <w:rPr>
          <w:spacing w:val="-3"/>
        </w:rPr>
        <w:t>月加入中文在线，现任中文在线董事，同时兼任重庆桑禾动物药业有限公司董事、丝路</w:t>
      </w:r>
      <w:r>
        <w:rPr/>
        <w:t> 视觉科技股份有限公司独立董事、北京华夏威科软件技术有限公司董事、佳信德润（北京） 科技有限公司董事、北京智慧流教育科技有限公司董事、北京寓乐世界教育科技有限公司监 事。</w:t>
      </w:r>
    </w:p>
    <w:p>
      <w:pPr>
        <w:pStyle w:val="BodyText"/>
        <w:spacing w:line="240" w:lineRule="auto" w:before="136"/>
        <w:ind w:left="634" w:right="1092"/>
        <w:jc w:val="left"/>
      </w:pPr>
      <w:r>
        <w:rPr>
          <w:rFonts w:ascii="宋体" w:hAnsi="宋体" w:cs="宋体" w:eastAsia="宋体" w:hint="default"/>
        </w:rPr>
        <w:t>5</w:t>
      </w:r>
      <w:r>
        <w:rPr/>
        <w:t>、何庆源</w:t>
      </w:r>
    </w:p>
    <w:p>
      <w:pPr>
        <w:spacing w:line="240" w:lineRule="auto" w:before="4"/>
        <w:rPr>
          <w:rFonts w:ascii="宋体" w:hAnsi="宋体" w:cs="宋体" w:eastAsia="宋体" w:hint="default"/>
          <w:sz w:val="19"/>
          <w:szCs w:val="19"/>
        </w:rPr>
      </w:pPr>
    </w:p>
    <w:p>
      <w:pPr>
        <w:pStyle w:val="BodyText"/>
        <w:spacing w:line="357" w:lineRule="auto"/>
        <w:ind w:right="1129" w:firstLine="480"/>
        <w:jc w:val="both"/>
      </w:pPr>
      <w:r>
        <w:rPr/>
        <w:t>何庆源先生，男，</w:t>
      </w:r>
      <w:r>
        <w:rPr>
          <w:rFonts w:ascii="宋体" w:hAnsi="宋体" w:cs="宋体" w:eastAsia="宋体" w:hint="default"/>
        </w:rPr>
        <w:t>1959</w:t>
      </w:r>
      <w:r>
        <w:rPr>
          <w:rFonts w:ascii="宋体" w:hAnsi="宋体" w:cs="宋体" w:eastAsia="宋体" w:hint="default"/>
          <w:spacing w:val="-81"/>
        </w:rPr>
        <w:t> </w:t>
      </w:r>
      <w:r>
        <w:rPr/>
        <w:t>年出生，加拿大国籍，硕士研究生，管理科学专业。何庆源先生 自</w:t>
      </w:r>
      <w:r>
        <w:rPr>
          <w:spacing w:val="-55"/>
        </w:rPr>
        <w:t> </w:t>
      </w:r>
      <w:r>
        <w:rPr>
          <w:rFonts w:ascii="宋体" w:hAnsi="宋体" w:cs="宋体" w:eastAsia="宋体" w:hint="default"/>
        </w:rPr>
        <w:t>2014</w:t>
      </w:r>
      <w:r>
        <w:rPr>
          <w:rFonts w:ascii="宋体" w:hAnsi="宋体" w:cs="宋体" w:eastAsia="宋体" w:hint="default"/>
          <w:spacing w:val="-55"/>
        </w:rPr>
        <w:t> </w:t>
      </w:r>
      <w:r>
        <w:rPr/>
        <w:t>年</w:t>
      </w:r>
      <w:r>
        <w:rPr>
          <w:spacing w:val="-55"/>
        </w:rPr>
        <w:t> </w:t>
      </w:r>
      <w:r>
        <w:rPr>
          <w:rFonts w:ascii="宋体" w:hAnsi="宋体" w:cs="宋体" w:eastAsia="宋体" w:hint="default"/>
        </w:rPr>
        <w:t>3</w:t>
      </w:r>
      <w:r>
        <w:rPr>
          <w:rFonts w:ascii="宋体" w:hAnsi="宋体" w:cs="宋体" w:eastAsia="宋体" w:hint="default"/>
          <w:spacing w:val="-55"/>
        </w:rPr>
        <w:t> </w:t>
      </w:r>
      <w:r>
        <w:rPr>
          <w:spacing w:val="-3"/>
        </w:rPr>
        <w:t>月加入中文在线，现任中文在线独立董事，同时任星展银行（香港）有限公司独</w:t>
      </w:r>
      <w:r>
        <w:rPr/>
        <w:t> 立董事，中国远洋海运集团有限公司外部董事、中国移动通讯集团有限公司外部董事、美国</w:t>
      </w:r>
      <w:r>
        <w:rPr>
          <w:spacing w:val="-109"/>
        </w:rPr>
        <w:t> </w:t>
      </w:r>
      <w:r>
        <w:rPr>
          <w:spacing w:val="-109"/>
        </w:rPr>
      </w:r>
      <w:r>
        <w:rPr>
          <w:rFonts w:ascii="宋体" w:hAnsi="宋体" w:cs="宋体" w:eastAsia="宋体" w:hint="default"/>
        </w:rPr>
        <w:t>Air</w:t>
      </w:r>
      <w:r>
        <w:rPr>
          <w:rFonts w:ascii="宋体" w:hAnsi="宋体" w:cs="宋体" w:eastAsia="宋体" w:hint="default"/>
          <w:spacing w:val="-45"/>
        </w:rPr>
        <w:t> </w:t>
      </w:r>
      <w:r>
        <w:rPr>
          <w:rFonts w:ascii="宋体" w:hAnsi="宋体" w:cs="宋体" w:eastAsia="宋体" w:hint="default"/>
        </w:rPr>
        <w:t>Products</w:t>
      </w:r>
      <w:r>
        <w:rPr>
          <w:rFonts w:ascii="宋体" w:hAnsi="宋体" w:cs="宋体" w:eastAsia="宋体" w:hint="default"/>
          <w:spacing w:val="-45"/>
        </w:rPr>
        <w:t> </w:t>
      </w:r>
      <w:r>
        <w:rPr>
          <w:rFonts w:ascii="宋体" w:hAnsi="宋体" w:cs="宋体" w:eastAsia="宋体" w:hint="default"/>
        </w:rPr>
        <w:t>and</w:t>
      </w:r>
      <w:r>
        <w:rPr>
          <w:rFonts w:ascii="宋体" w:hAnsi="宋体" w:cs="宋体" w:eastAsia="宋体" w:hint="default"/>
          <w:spacing w:val="-45"/>
        </w:rPr>
        <w:t> </w:t>
      </w:r>
      <w:r>
        <w:rPr>
          <w:rFonts w:ascii="宋体" w:hAnsi="宋体" w:cs="宋体" w:eastAsia="宋体" w:hint="default"/>
        </w:rPr>
        <w:t>Chemical</w:t>
      </w:r>
      <w:r>
        <w:rPr>
          <w:rFonts w:ascii="宋体" w:hAnsi="宋体" w:cs="宋体" w:eastAsia="宋体" w:hint="default"/>
          <w:spacing w:val="-45"/>
        </w:rPr>
        <w:t> </w:t>
      </w:r>
      <w:r>
        <w:rPr>
          <w:rFonts w:ascii="宋体" w:hAnsi="宋体" w:cs="宋体" w:eastAsia="宋体" w:hint="default"/>
        </w:rPr>
        <w:t>Inc</w:t>
      </w:r>
      <w:r>
        <w:rPr>
          <w:rFonts w:ascii="宋体" w:hAnsi="宋体" w:cs="宋体" w:eastAsia="宋体" w:hint="default"/>
          <w:spacing w:val="-1"/>
        </w:rPr>
        <w:t> </w:t>
      </w:r>
      <w:r>
        <w:rPr/>
        <w:t>独立董事、美国</w:t>
      </w:r>
      <w:r>
        <w:rPr>
          <w:spacing w:val="-61"/>
        </w:rPr>
        <w:t> </w:t>
      </w:r>
      <w:r>
        <w:rPr>
          <w:rFonts w:ascii="宋体" w:hAnsi="宋体" w:cs="宋体" w:eastAsia="宋体" w:hint="default"/>
        </w:rPr>
        <w:t>nVent</w:t>
      </w:r>
      <w:r>
        <w:rPr>
          <w:rFonts w:ascii="宋体" w:hAnsi="宋体" w:cs="宋体" w:eastAsia="宋体" w:hint="default"/>
          <w:spacing w:val="-45"/>
        </w:rPr>
        <w:t> </w:t>
      </w:r>
      <w:r>
        <w:rPr>
          <w:rFonts w:ascii="宋体" w:hAnsi="宋体" w:cs="宋体" w:eastAsia="宋体" w:hint="default"/>
        </w:rPr>
        <w:t>Electric</w:t>
      </w:r>
      <w:r>
        <w:rPr>
          <w:rFonts w:ascii="宋体" w:hAnsi="宋体" w:cs="宋体" w:eastAsia="宋体" w:hint="default"/>
          <w:spacing w:val="-45"/>
        </w:rPr>
        <w:t> </w:t>
      </w:r>
      <w:r>
        <w:rPr>
          <w:rFonts w:ascii="宋体" w:hAnsi="宋体" w:cs="宋体" w:eastAsia="宋体" w:hint="default"/>
        </w:rPr>
        <w:t>Plc</w:t>
      </w:r>
      <w:r>
        <w:rPr>
          <w:rFonts w:ascii="宋体" w:hAnsi="宋体" w:cs="宋体" w:eastAsia="宋体" w:hint="default"/>
          <w:spacing w:val="-61"/>
        </w:rPr>
        <w:t> </w:t>
      </w:r>
      <w:r>
        <w:rPr/>
        <w:t>独立董事、美国</w:t>
      </w:r>
      <w:r>
        <w:rPr>
          <w:spacing w:val="-61"/>
        </w:rPr>
        <w:t> </w:t>
      </w:r>
      <w:r>
        <w:rPr>
          <w:rFonts w:ascii="宋体" w:hAnsi="宋体" w:cs="宋体" w:eastAsia="宋体" w:hint="default"/>
        </w:rPr>
        <w:t>Qorvo Inc </w:t>
      </w:r>
      <w:r>
        <w:rPr/>
        <w:t>独立董事、</w:t>
      </w:r>
      <w:r>
        <w:rPr>
          <w:rFonts w:ascii="宋体" w:hAnsi="宋体" w:cs="宋体" w:eastAsia="宋体" w:hint="default"/>
        </w:rPr>
        <w:t>Kiina Investment (BVI) Ltd </w:t>
      </w:r>
      <w:r>
        <w:rPr/>
        <w:t>董事长、</w:t>
      </w:r>
      <w:r>
        <w:rPr>
          <w:rFonts w:ascii="宋体" w:hAnsi="宋体" w:cs="宋体" w:eastAsia="宋体" w:hint="default"/>
        </w:rPr>
        <w:t>Kiina Systems (Hong Kong) Ltd</w:t>
      </w:r>
      <w:r>
        <w:rPr>
          <w:rFonts w:ascii="宋体" w:hAnsi="宋体" w:cs="宋体" w:eastAsia="宋体" w:hint="default"/>
          <w:spacing w:val="-84"/>
        </w:rPr>
        <w:t> </w:t>
      </w:r>
      <w:r>
        <w:rPr/>
        <w:t>董 事长、</w:t>
      </w:r>
      <w:r>
        <w:rPr>
          <w:rFonts w:ascii="宋体" w:hAnsi="宋体" w:cs="宋体" w:eastAsia="宋体" w:hint="default"/>
        </w:rPr>
        <w:t>Kiina Properties (Canada) Ltd</w:t>
      </w:r>
      <w:r>
        <w:rPr>
          <w:rFonts w:ascii="宋体" w:hAnsi="宋体" w:cs="宋体" w:eastAsia="宋体" w:hint="default"/>
          <w:spacing w:val="-60"/>
        </w:rPr>
        <w:t> </w:t>
      </w:r>
      <w:r>
        <w:rPr/>
        <w:t>董事长、</w:t>
      </w:r>
      <w:r>
        <w:rPr>
          <w:rFonts w:ascii="宋体" w:hAnsi="宋体" w:cs="宋体" w:eastAsia="宋体" w:hint="default"/>
        </w:rPr>
        <w:t>Kiina Ventures (Canada) Inc</w:t>
      </w:r>
      <w:r>
        <w:rPr>
          <w:rFonts w:ascii="宋体" w:hAnsi="宋体" w:cs="宋体" w:eastAsia="宋体" w:hint="default"/>
          <w:spacing w:val="-60"/>
        </w:rPr>
        <w:t> </w:t>
      </w:r>
      <w:r>
        <w:rPr/>
        <w:t>董事长。</w:t>
      </w:r>
    </w:p>
    <w:p>
      <w:pPr>
        <w:pStyle w:val="BodyText"/>
        <w:spacing w:line="240" w:lineRule="auto" w:before="137"/>
        <w:ind w:left="634" w:right="1092"/>
        <w:jc w:val="left"/>
      </w:pPr>
      <w:r>
        <w:rPr>
          <w:rFonts w:ascii="宋体" w:hAnsi="宋体" w:cs="宋体" w:eastAsia="宋体" w:hint="default"/>
        </w:rPr>
        <w:t>6</w:t>
      </w:r>
      <w:r>
        <w:rPr/>
        <w:t>、王志雄</w:t>
      </w:r>
    </w:p>
    <w:p>
      <w:pPr>
        <w:spacing w:line="240" w:lineRule="auto" w:before="4"/>
        <w:rPr>
          <w:rFonts w:ascii="宋体" w:hAnsi="宋体" w:cs="宋体" w:eastAsia="宋体" w:hint="default"/>
          <w:sz w:val="19"/>
          <w:szCs w:val="19"/>
        </w:rPr>
      </w:pPr>
    </w:p>
    <w:p>
      <w:pPr>
        <w:pStyle w:val="BodyText"/>
        <w:spacing w:line="240" w:lineRule="auto"/>
        <w:ind w:left="634" w:right="1092"/>
        <w:jc w:val="left"/>
        <w:rPr>
          <w:rFonts w:ascii="宋体" w:hAnsi="宋体" w:cs="宋体" w:eastAsia="宋体" w:hint="default"/>
        </w:rPr>
      </w:pPr>
      <w:r>
        <w:rPr>
          <w:spacing w:val="-6"/>
        </w:rPr>
        <w:t>王志雄先生，</w:t>
      </w:r>
      <w:r>
        <w:rPr>
          <w:rFonts w:ascii="宋体" w:hAnsi="宋体" w:cs="宋体" w:eastAsia="宋体" w:hint="default"/>
          <w:spacing w:val="-6"/>
        </w:rPr>
        <w:t>1958 </w:t>
      </w:r>
      <w:r>
        <w:rPr>
          <w:spacing w:val="-10"/>
        </w:rPr>
        <w:t>年出生，中国国籍，无境外永久居留权，学士学位，法律专业。自</w:t>
      </w:r>
      <w:r>
        <w:rPr>
          <w:spacing w:val="-86"/>
        </w:rPr>
        <w:t> </w:t>
      </w:r>
      <w:r>
        <w:rPr>
          <w:rFonts w:ascii="宋体" w:hAnsi="宋体" w:cs="宋体" w:eastAsia="宋体" w:hint="default"/>
        </w:rPr>
        <w:t>2002</w:t>
      </w:r>
    </w:p>
    <w:p>
      <w:pPr>
        <w:pStyle w:val="BodyText"/>
        <w:spacing w:line="360" w:lineRule="auto" w:before="154"/>
        <w:ind w:right="1131"/>
        <w:jc w:val="both"/>
      </w:pPr>
      <w:r>
        <w:rPr/>
        <w:t>年</w:t>
      </w:r>
      <w:r>
        <w:rPr>
          <w:spacing w:val="-65"/>
        </w:rPr>
        <w:t> </w:t>
      </w:r>
      <w:r>
        <w:rPr>
          <w:rFonts w:ascii="宋体" w:hAnsi="宋体" w:cs="宋体" w:eastAsia="宋体" w:hint="default"/>
        </w:rPr>
        <w:t>3</w:t>
      </w:r>
      <w:r>
        <w:rPr>
          <w:rFonts w:ascii="宋体" w:hAnsi="宋体" w:cs="宋体" w:eastAsia="宋体" w:hint="default"/>
          <w:spacing w:val="-65"/>
        </w:rPr>
        <w:t> </w:t>
      </w:r>
      <w:r>
        <w:rPr/>
        <w:t>月至今担任北京市君合律师事务所合伙人职位，</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月加入中文在线，现任中文在 线独立董事。</w:t>
      </w:r>
    </w:p>
    <w:p>
      <w:pPr>
        <w:pStyle w:val="BodyText"/>
        <w:spacing w:line="240" w:lineRule="auto" w:before="133"/>
        <w:ind w:left="634" w:right="1092"/>
        <w:jc w:val="left"/>
      </w:pPr>
      <w:r>
        <w:rPr>
          <w:rFonts w:ascii="宋体" w:hAnsi="宋体" w:cs="宋体" w:eastAsia="宋体" w:hint="default"/>
        </w:rPr>
        <w:t>7</w:t>
      </w:r>
      <w:r>
        <w:rPr/>
        <w:t>、薛健</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薛健女士，</w:t>
      </w:r>
      <w:r>
        <w:rPr>
          <w:rFonts w:ascii="宋体" w:hAnsi="宋体" w:cs="宋体" w:eastAsia="宋体" w:hint="default"/>
        </w:rPr>
        <w:t>1976</w:t>
      </w:r>
      <w:r>
        <w:rPr>
          <w:rFonts w:ascii="宋体" w:hAnsi="宋体" w:cs="宋体" w:eastAsia="宋体" w:hint="default"/>
          <w:spacing w:val="-84"/>
        </w:rPr>
        <w:t> </w:t>
      </w:r>
      <w:r>
        <w:rPr/>
        <w:t>年出生，中国国籍，无境外永久居留权，博士研究生，会计专业，副教</w:t>
      </w:r>
    </w:p>
    <w:p>
      <w:pPr>
        <w:spacing w:after="0" w:line="240"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240" w:lineRule="auto" w:before="26"/>
        <w:ind w:right="1092"/>
        <w:jc w:val="left"/>
        <w:rPr>
          <w:rFonts w:ascii="宋体" w:hAnsi="宋体" w:cs="宋体" w:eastAsia="宋体" w:hint="default"/>
        </w:rPr>
      </w:pPr>
      <w:r>
        <w:rPr/>
        <w:t>授</w:t>
      </w:r>
      <w:r>
        <w:rPr>
          <w:spacing w:val="-107"/>
        </w:rPr>
        <w:t>。</w:t>
      </w:r>
      <w:r>
        <w:rPr>
          <w:rFonts w:ascii="宋体" w:hAnsi="宋体" w:cs="宋体" w:eastAsia="宋体" w:hint="default"/>
        </w:rPr>
        <w:t>2007</w:t>
      </w:r>
      <w:r>
        <w:rPr>
          <w:rFonts w:ascii="宋体" w:hAnsi="宋体" w:cs="宋体" w:eastAsia="宋体" w:hint="default"/>
          <w:spacing w:val="-60"/>
        </w:rPr>
        <w:t> </w:t>
      </w:r>
      <w:r>
        <w:rPr/>
        <w:t>年至今就职于清华大学经济管理学院</w:t>
      </w:r>
      <w:r>
        <w:rPr>
          <w:spacing w:val="-107"/>
        </w:rPr>
        <w:t>，</w:t>
      </w:r>
      <w:r>
        <w:rPr/>
        <w:t>曾任清华大学经管学院会计系副教授</w:t>
      </w:r>
      <w:r>
        <w:rPr>
          <w:spacing w:val="-107"/>
        </w:rPr>
        <w:t>，</w:t>
      </w:r>
      <w:r>
        <w:rPr/>
        <w:t>自</w:t>
      </w:r>
      <w:r>
        <w:rPr>
          <w:spacing w:val="-60"/>
        </w:rPr>
        <w:t> </w:t>
      </w:r>
      <w:r>
        <w:rPr>
          <w:rFonts w:ascii="宋体" w:hAnsi="宋体" w:cs="宋体" w:eastAsia="宋体" w:hint="default"/>
        </w:rPr>
        <w:t>2014</w:t>
      </w:r>
    </w:p>
    <w:p>
      <w:pPr>
        <w:pStyle w:val="BodyText"/>
        <w:spacing w:line="357" w:lineRule="auto" w:before="154"/>
        <w:ind w:right="994"/>
        <w:jc w:val="left"/>
      </w:pPr>
      <w:r>
        <w:rPr/>
        <w:t>年</w:t>
      </w:r>
      <w:r>
        <w:rPr>
          <w:spacing w:val="-41"/>
        </w:rPr>
        <w:t> </w:t>
      </w:r>
      <w:r>
        <w:rPr>
          <w:rFonts w:ascii="宋体" w:hAnsi="宋体" w:cs="宋体" w:eastAsia="宋体" w:hint="default"/>
        </w:rPr>
        <w:t>12</w:t>
      </w:r>
      <w:r>
        <w:rPr>
          <w:rFonts w:ascii="宋体" w:hAnsi="宋体" w:cs="宋体" w:eastAsia="宋体" w:hint="default"/>
          <w:spacing w:val="-41"/>
        </w:rPr>
        <w:t> </w:t>
      </w:r>
      <w:r>
        <w:rPr/>
        <w:t>月至今担任清华大学经管学院会计系长聘副教授。</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6</w:t>
      </w:r>
      <w:r>
        <w:rPr>
          <w:rFonts w:ascii="宋体" w:hAnsi="宋体" w:cs="宋体" w:eastAsia="宋体" w:hint="default"/>
          <w:spacing w:val="-40"/>
        </w:rPr>
        <w:t> </w:t>
      </w:r>
      <w:r>
        <w:rPr/>
        <w:t>月加入中文在线，担任中 </w:t>
      </w:r>
      <w:r>
        <w:rPr>
          <w:spacing w:val="-2"/>
        </w:rPr>
        <w:t>文在线独立董事，同时任北京德鑫泉物联网科技股份有限公司、北京三元食品股份有限公司、</w:t>
      </w:r>
      <w:r>
        <w:rPr/>
        <w:t> 中国中期投资股份有限公司、富士康工业互联网股份有限公司独立董事。</w:t>
      </w:r>
    </w:p>
    <w:p>
      <w:pPr>
        <w:pStyle w:val="BodyText"/>
        <w:spacing w:line="240" w:lineRule="auto" w:before="136"/>
        <w:ind w:left="634" w:right="1092"/>
        <w:jc w:val="left"/>
      </w:pPr>
      <w:r>
        <w:rPr/>
        <w:t>（二）监事会成员</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公司监事会由曹达、任佳伟和陈芳</w:t>
      </w:r>
      <w:r>
        <w:rPr>
          <w:spacing w:val="-60"/>
        </w:rPr>
        <w:t> </w:t>
      </w:r>
      <w:r>
        <w:rPr>
          <w:rFonts w:ascii="宋体" w:hAnsi="宋体" w:cs="宋体" w:eastAsia="宋体" w:hint="default"/>
        </w:rPr>
        <w:t>3</w:t>
      </w:r>
      <w:r>
        <w:rPr>
          <w:rFonts w:ascii="宋体" w:hAnsi="宋体" w:cs="宋体" w:eastAsia="宋体" w:hint="default"/>
          <w:spacing w:val="-60"/>
        </w:rPr>
        <w:t> </w:t>
      </w:r>
      <w:r>
        <w:rPr/>
        <w:t>名监事组成，基本情况如下：</w:t>
      </w:r>
    </w:p>
    <w:p>
      <w:pPr>
        <w:spacing w:line="240" w:lineRule="auto" w:before="3"/>
        <w:rPr>
          <w:rFonts w:ascii="宋体" w:hAnsi="宋体" w:cs="宋体" w:eastAsia="宋体" w:hint="default"/>
          <w:sz w:val="16"/>
          <w:szCs w:val="16"/>
        </w:rPr>
      </w:pPr>
    </w:p>
    <w:tbl>
      <w:tblPr>
        <w:tblW w:w="0" w:type="auto"/>
        <w:jc w:val="left"/>
        <w:tblInd w:w="164" w:type="dxa"/>
        <w:tblLayout w:type="fixed"/>
        <w:tblCellMar>
          <w:top w:w="0" w:type="dxa"/>
          <w:left w:w="0" w:type="dxa"/>
          <w:bottom w:w="0" w:type="dxa"/>
          <w:right w:w="0" w:type="dxa"/>
        </w:tblCellMar>
        <w:tblLook w:val="01E0"/>
      </w:tblPr>
      <w:tblGrid>
        <w:gridCol w:w="3219"/>
        <w:gridCol w:w="3220"/>
        <w:gridCol w:w="3220"/>
      </w:tblGrid>
      <w:tr>
        <w:trPr>
          <w:trHeight w:val="347"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322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职位</w:t>
            </w:r>
          </w:p>
        </w:tc>
        <w:tc>
          <w:tcPr>
            <w:tcW w:w="322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任期</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张金生</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21</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任佳伟</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8" w:hRule="exact"/>
        </w:trPr>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陈芳</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z w:val="18"/>
                <w:szCs w:val="18"/>
              </w:rPr>
              <w:t>年</w:t>
            </w:r>
            <w:r>
              <w:rPr>
                <w:rFonts w:ascii="宋体" w:hAnsi="宋体" w:cs="宋体" w:eastAsia="宋体" w:hint="default"/>
                <w:sz w:val="18"/>
                <w:szCs w:val="18"/>
              </w:rPr>
              <w:t>7</w:t>
            </w:r>
            <w:r>
              <w:rPr>
                <w:rFonts w:ascii="宋体" w:hAnsi="宋体" w:cs="宋体" w:eastAsia="宋体" w:hint="default"/>
                <w:sz w:val="18"/>
                <w:szCs w:val="18"/>
              </w:rPr>
              <w:t>月</w:t>
            </w:r>
            <w:r>
              <w:rPr>
                <w:rFonts w:ascii="宋体" w:hAnsi="宋体" w:cs="宋体" w:eastAsia="宋体" w:hint="default"/>
                <w:sz w:val="18"/>
                <w:szCs w:val="18"/>
              </w:rPr>
              <w:t>28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rFonts w:ascii="宋体" w:hAnsi="宋体" w:cs="宋体" w:eastAsia="宋体" w:hint="default"/>
        </w:rPr>
        <w:t>1</w:t>
      </w:r>
      <w:r>
        <w:rPr/>
        <w:t>、张金生</w:t>
      </w:r>
    </w:p>
    <w:p>
      <w:pPr>
        <w:spacing w:line="240" w:lineRule="auto" w:before="5"/>
        <w:rPr>
          <w:rFonts w:ascii="宋体" w:hAnsi="宋体" w:cs="宋体" w:eastAsia="宋体" w:hint="default"/>
          <w:sz w:val="19"/>
          <w:szCs w:val="19"/>
        </w:rPr>
      </w:pPr>
    </w:p>
    <w:p>
      <w:pPr>
        <w:pStyle w:val="BodyText"/>
        <w:spacing w:line="357" w:lineRule="auto"/>
        <w:ind w:right="1114" w:firstLine="480"/>
        <w:jc w:val="left"/>
      </w:pPr>
      <w:r>
        <w:rPr/>
        <w:t>张金生先生，</w:t>
      </w:r>
      <w:r>
        <w:rPr>
          <w:rFonts w:ascii="宋体" w:hAnsi="宋体" w:cs="宋体" w:eastAsia="宋体" w:hint="default"/>
        </w:rPr>
        <w:t>1975</w:t>
      </w:r>
      <w:r>
        <w:rPr>
          <w:rFonts w:ascii="宋体" w:hAnsi="宋体" w:cs="宋体" w:eastAsia="宋体" w:hint="default"/>
          <w:spacing w:val="-82"/>
        </w:rPr>
        <w:t> </w:t>
      </w:r>
      <w:r>
        <w:rPr/>
        <w:t>年出生，中国国籍，无境外永久居留权，硕士学位，检测技术与自动 化专业。自</w:t>
      </w:r>
      <w:r>
        <w:rPr>
          <w:spacing w:val="-55"/>
        </w:rPr>
        <w:t> </w:t>
      </w:r>
      <w:r>
        <w:rPr>
          <w:rFonts w:ascii="宋体" w:hAnsi="宋体" w:cs="宋体" w:eastAsia="宋体" w:hint="default"/>
        </w:rPr>
        <w:t>2012</w:t>
      </w:r>
      <w:r>
        <w:rPr>
          <w:rFonts w:ascii="宋体" w:hAnsi="宋体" w:cs="宋体" w:eastAsia="宋体" w:hint="default"/>
          <w:spacing w:val="-56"/>
        </w:rPr>
        <w:t> </w:t>
      </w:r>
      <w:r>
        <w:rPr/>
        <w:t>年</w:t>
      </w:r>
      <w:r>
        <w:rPr>
          <w:spacing w:val="-56"/>
        </w:rPr>
        <w:t> </w:t>
      </w:r>
      <w:r>
        <w:rPr>
          <w:rFonts w:ascii="宋体" w:hAnsi="宋体" w:cs="宋体" w:eastAsia="宋体" w:hint="default"/>
        </w:rPr>
        <w:t>01</w:t>
      </w:r>
      <w:r>
        <w:rPr>
          <w:rFonts w:ascii="宋体" w:hAnsi="宋体" w:cs="宋体" w:eastAsia="宋体" w:hint="default"/>
          <w:spacing w:val="-56"/>
        </w:rPr>
        <w:t> </w:t>
      </w:r>
      <w:r>
        <w:rPr/>
        <w:t>月至</w:t>
      </w:r>
      <w:r>
        <w:rPr>
          <w:spacing w:val="-56"/>
        </w:rPr>
        <w:t> </w:t>
      </w:r>
      <w:r>
        <w:rPr>
          <w:rFonts w:ascii="宋体" w:hAnsi="宋体" w:cs="宋体" w:eastAsia="宋体" w:hint="default"/>
        </w:rPr>
        <w:t>2013</w:t>
      </w:r>
      <w:r>
        <w:rPr>
          <w:rFonts w:ascii="宋体" w:hAnsi="宋体" w:cs="宋体" w:eastAsia="宋体" w:hint="default"/>
          <w:spacing w:val="-56"/>
        </w:rPr>
        <w:t> </w:t>
      </w:r>
      <w:r>
        <w:rPr/>
        <w:t>年</w:t>
      </w:r>
      <w:r>
        <w:rPr>
          <w:spacing w:val="-55"/>
        </w:rPr>
        <w:t> </w:t>
      </w:r>
      <w:r>
        <w:rPr>
          <w:rFonts w:ascii="宋体" w:hAnsi="宋体" w:cs="宋体" w:eastAsia="宋体" w:hint="default"/>
        </w:rPr>
        <w:t>12</w:t>
      </w:r>
      <w:r>
        <w:rPr>
          <w:rFonts w:ascii="宋体" w:hAnsi="宋体" w:cs="宋体" w:eastAsia="宋体" w:hint="default"/>
          <w:spacing w:val="-56"/>
        </w:rPr>
        <w:t> </w:t>
      </w:r>
      <w:r>
        <w:rPr/>
        <w:t>月担任启迪控股股份有限公司总裁高级助理职位兼任</w:t>
      </w:r>
    </w:p>
    <w:p>
      <w:pPr>
        <w:pStyle w:val="BodyText"/>
        <w:spacing w:line="357" w:lineRule="auto" w:before="36"/>
        <w:ind w:right="1130"/>
        <w:jc w:val="both"/>
      </w:pPr>
      <w:r>
        <w:rPr/>
        <w:t>启迪科创（北京）科技发展有限公司常务副总经理；自</w:t>
      </w:r>
      <w:r>
        <w:rPr>
          <w:spacing w:val="-50"/>
        </w:rPr>
        <w:t> </w:t>
      </w:r>
      <w:r>
        <w:rPr>
          <w:rFonts w:ascii="宋体" w:hAnsi="宋体" w:cs="宋体" w:eastAsia="宋体" w:hint="default"/>
        </w:rPr>
        <w:t>2014</w:t>
      </w:r>
      <w:r>
        <w:rPr>
          <w:rFonts w:ascii="宋体" w:hAnsi="宋体" w:cs="宋体" w:eastAsia="宋体" w:hint="default"/>
          <w:spacing w:val="-51"/>
        </w:rPr>
        <w:t> </w:t>
      </w:r>
      <w:r>
        <w:rPr/>
        <w:t>年</w:t>
      </w:r>
      <w:r>
        <w:rPr>
          <w:spacing w:val="-51"/>
        </w:rPr>
        <w:t> </w:t>
      </w:r>
      <w:r>
        <w:rPr>
          <w:rFonts w:ascii="宋体" w:hAnsi="宋体" w:cs="宋体" w:eastAsia="宋体" w:hint="default"/>
        </w:rPr>
        <w:t>01</w:t>
      </w:r>
      <w:r>
        <w:rPr>
          <w:rFonts w:ascii="宋体" w:hAnsi="宋体" w:cs="宋体" w:eastAsia="宋体" w:hint="default"/>
          <w:spacing w:val="-50"/>
        </w:rPr>
        <w:t> </w:t>
      </w:r>
      <w:r>
        <w:rPr/>
        <w:t>月至今担任启迪控股股份 有限公司副总裁职务兼任北京启迪创业孵化器有限公司董事长职位。</w:t>
      </w:r>
      <w:r>
        <w:rPr>
          <w:rFonts w:ascii="宋体" w:hAnsi="宋体" w:cs="宋体" w:eastAsia="宋体" w:hint="default"/>
        </w:rPr>
        <w:t>2017</w:t>
      </w:r>
      <w:r>
        <w:rPr>
          <w:rFonts w:ascii="宋体" w:hAnsi="宋体" w:cs="宋体" w:eastAsia="宋体" w:hint="default"/>
          <w:spacing w:val="-67"/>
        </w:rPr>
        <w:t> </w:t>
      </w:r>
      <w:r>
        <w:rPr/>
        <w:t>年</w:t>
      </w:r>
      <w:r>
        <w:rPr>
          <w:spacing w:val="-67"/>
        </w:rPr>
        <w:t> </w:t>
      </w:r>
      <w:r>
        <w:rPr>
          <w:rFonts w:ascii="宋体" w:hAnsi="宋体" w:cs="宋体" w:eastAsia="宋体" w:hint="default"/>
        </w:rPr>
        <w:t>6</w:t>
      </w:r>
      <w:r>
        <w:rPr>
          <w:rFonts w:ascii="宋体" w:hAnsi="宋体" w:cs="宋体" w:eastAsia="宋体" w:hint="default"/>
          <w:spacing w:val="-67"/>
        </w:rPr>
        <w:t> </w:t>
      </w:r>
      <w:r>
        <w:rPr/>
        <w:t>月加入中文在 线，现任中文在线监事会主席。</w:t>
      </w:r>
    </w:p>
    <w:p>
      <w:pPr>
        <w:pStyle w:val="BodyText"/>
        <w:spacing w:line="240" w:lineRule="auto" w:before="136"/>
        <w:ind w:left="634" w:right="1092"/>
        <w:jc w:val="left"/>
      </w:pPr>
      <w:r>
        <w:rPr>
          <w:rFonts w:ascii="宋体" w:hAnsi="宋体" w:cs="宋体" w:eastAsia="宋体" w:hint="default"/>
        </w:rPr>
        <w:t>2</w:t>
      </w:r>
      <w:r>
        <w:rPr/>
        <w:t>、任佳伟</w:t>
      </w:r>
    </w:p>
    <w:p>
      <w:pPr>
        <w:spacing w:line="240" w:lineRule="auto" w:before="4"/>
        <w:rPr>
          <w:rFonts w:ascii="宋体" w:hAnsi="宋体" w:cs="宋体" w:eastAsia="宋体" w:hint="default"/>
          <w:sz w:val="19"/>
          <w:szCs w:val="19"/>
        </w:rPr>
      </w:pPr>
    </w:p>
    <w:p>
      <w:pPr>
        <w:pStyle w:val="BodyText"/>
        <w:spacing w:line="240" w:lineRule="auto"/>
        <w:ind w:left="634" w:right="1092"/>
        <w:jc w:val="left"/>
        <w:rPr>
          <w:rFonts w:ascii="宋体" w:hAnsi="宋体" w:cs="宋体" w:eastAsia="宋体" w:hint="default"/>
        </w:rPr>
      </w:pPr>
      <w:r>
        <w:rPr/>
        <w:t>任佳伟先生，</w:t>
      </w:r>
      <w:r>
        <w:rPr>
          <w:rFonts w:ascii="宋体" w:hAnsi="宋体" w:cs="宋体" w:eastAsia="宋体" w:hint="default"/>
        </w:rPr>
        <w:t>1983 </w:t>
      </w:r>
      <w:r>
        <w:rPr/>
        <w:t>年出生，中国国籍，无境外永久居留权，本科，金融专业。自</w:t>
      </w:r>
      <w:r>
        <w:rPr>
          <w:spacing w:val="32"/>
        </w:rPr>
        <w:t> </w:t>
      </w:r>
      <w:r>
        <w:rPr>
          <w:rFonts w:ascii="宋体" w:hAnsi="宋体" w:cs="宋体" w:eastAsia="宋体" w:hint="default"/>
        </w:rPr>
        <w:t>2011</w:t>
      </w:r>
    </w:p>
    <w:p>
      <w:pPr>
        <w:pStyle w:val="BodyText"/>
        <w:spacing w:line="434" w:lineRule="auto" w:before="155"/>
        <w:ind w:left="634" w:right="2112" w:hanging="480"/>
        <w:jc w:val="left"/>
      </w:pPr>
      <w:r>
        <w:rPr/>
        <w:t>年</w:t>
      </w:r>
      <w:r>
        <w:rPr>
          <w:spacing w:val="-60"/>
        </w:rPr>
        <w:t> </w:t>
      </w:r>
      <w:r>
        <w:rPr>
          <w:rFonts w:ascii="宋体" w:hAnsi="宋体" w:cs="宋体" w:eastAsia="宋体" w:hint="default"/>
        </w:rPr>
        <w:t>3</w:t>
      </w:r>
      <w:r>
        <w:rPr>
          <w:rFonts w:ascii="宋体" w:hAnsi="宋体" w:cs="宋体" w:eastAsia="宋体" w:hint="default"/>
          <w:spacing w:val="-60"/>
        </w:rPr>
        <w:t> </w:t>
      </w:r>
      <w:r>
        <w:rPr/>
        <w:t>月加入公司，现任本公司监事，兼任北京北信源软件股份有限公司投资总监。 </w:t>
      </w:r>
      <w:r>
        <w:rPr>
          <w:rFonts w:ascii="宋体" w:hAnsi="宋体" w:cs="宋体" w:eastAsia="宋体" w:hint="default"/>
        </w:rPr>
        <w:t>3</w:t>
      </w:r>
      <w:r>
        <w:rPr/>
        <w:t>、陈芳</w:t>
      </w:r>
    </w:p>
    <w:p>
      <w:pPr>
        <w:pStyle w:val="BodyText"/>
        <w:spacing w:line="240" w:lineRule="auto" w:before="58"/>
        <w:ind w:left="634" w:right="1092"/>
        <w:jc w:val="left"/>
        <w:rPr>
          <w:rFonts w:ascii="宋体" w:hAnsi="宋体" w:cs="宋体" w:eastAsia="宋体" w:hint="default"/>
        </w:rPr>
      </w:pPr>
      <w:r>
        <w:rPr/>
        <w:t>陈芳女士，</w:t>
      </w:r>
      <w:r>
        <w:rPr>
          <w:rFonts w:ascii="宋体" w:hAnsi="宋体" w:cs="宋体" w:eastAsia="宋体" w:hint="default"/>
        </w:rPr>
        <w:t>1981</w:t>
      </w:r>
      <w:r>
        <w:rPr>
          <w:rFonts w:ascii="宋体" w:hAnsi="宋体" w:cs="宋体" w:eastAsia="宋体" w:hint="default"/>
          <w:spacing w:val="-59"/>
        </w:rPr>
        <w:t> </w:t>
      </w:r>
      <w:r>
        <w:rPr>
          <w:spacing w:val="-3"/>
        </w:rPr>
        <w:t>年出生，中国国籍，无境外永久居住权，香港大学硕士研究生。自</w:t>
      </w:r>
      <w:r>
        <w:rPr>
          <w:spacing w:val="-59"/>
        </w:rPr>
        <w:t> </w:t>
      </w:r>
      <w:r>
        <w:rPr>
          <w:rFonts w:ascii="宋体" w:hAnsi="宋体" w:cs="宋体" w:eastAsia="宋体" w:hint="default"/>
        </w:rPr>
        <w:t>2005</w:t>
      </w:r>
    </w:p>
    <w:p>
      <w:pPr>
        <w:pStyle w:val="BodyText"/>
        <w:spacing w:line="240" w:lineRule="auto" w:before="155"/>
        <w:ind w:right="1092"/>
        <w:jc w:val="left"/>
      </w:pPr>
      <w:r>
        <w:rPr/>
        <w:t>年</w:t>
      </w:r>
      <w:r>
        <w:rPr>
          <w:spacing w:val="-60"/>
        </w:rPr>
        <w:t> </w:t>
      </w:r>
      <w:r>
        <w:rPr>
          <w:rFonts w:ascii="宋体" w:hAnsi="宋体" w:cs="宋体" w:eastAsia="宋体" w:hint="default"/>
        </w:rPr>
        <w:t>3</w:t>
      </w:r>
      <w:r>
        <w:rPr>
          <w:rFonts w:ascii="宋体" w:hAnsi="宋体" w:cs="宋体" w:eastAsia="宋体" w:hint="default"/>
          <w:spacing w:val="-60"/>
        </w:rPr>
        <w:t> </w:t>
      </w:r>
      <w:r>
        <w:rPr/>
        <w:t>月加入公司，现任公司人力行政中心副总经理。</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（三）高级管理人员</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公司设总经理</w:t>
      </w:r>
      <w:r>
        <w:rPr>
          <w:spacing w:val="-55"/>
        </w:rPr>
        <w:t> </w:t>
      </w:r>
      <w:r>
        <w:rPr>
          <w:rFonts w:ascii="宋体" w:hAnsi="宋体" w:cs="宋体" w:eastAsia="宋体" w:hint="default"/>
        </w:rPr>
        <w:t>1</w:t>
      </w:r>
      <w:r>
        <w:rPr>
          <w:rFonts w:ascii="宋体" w:hAnsi="宋体" w:cs="宋体" w:eastAsia="宋体" w:hint="default"/>
          <w:spacing w:val="-56"/>
        </w:rPr>
        <w:t> </w:t>
      </w:r>
      <w:r>
        <w:rPr/>
        <w:t>名，执行总经理</w:t>
      </w:r>
      <w:r>
        <w:rPr>
          <w:spacing w:val="-55"/>
        </w:rPr>
        <w:t> </w:t>
      </w:r>
      <w:r>
        <w:rPr>
          <w:rFonts w:ascii="宋体" w:hAnsi="宋体" w:cs="宋体" w:eastAsia="宋体" w:hint="default"/>
        </w:rPr>
        <w:t>1</w:t>
      </w:r>
      <w:r>
        <w:rPr>
          <w:rFonts w:ascii="宋体" w:hAnsi="宋体" w:cs="宋体" w:eastAsia="宋体" w:hint="default"/>
          <w:spacing w:val="-56"/>
        </w:rPr>
        <w:t> </w:t>
      </w:r>
      <w:r>
        <w:rPr/>
        <w:t>名，常务副总经理</w:t>
      </w:r>
      <w:r>
        <w:rPr>
          <w:spacing w:val="-56"/>
        </w:rPr>
        <w:t> </w:t>
      </w:r>
      <w:r>
        <w:rPr>
          <w:rFonts w:ascii="宋体" w:hAnsi="宋体" w:cs="宋体" w:eastAsia="宋体" w:hint="default"/>
        </w:rPr>
        <w:t>1</w:t>
      </w:r>
      <w:r>
        <w:rPr>
          <w:rFonts w:ascii="宋体" w:hAnsi="宋体" w:cs="宋体" w:eastAsia="宋体" w:hint="default"/>
          <w:spacing w:val="-56"/>
        </w:rPr>
        <w:t> </w:t>
      </w:r>
      <w:r>
        <w:rPr/>
        <w:t>名，副总经理兼财务总监</w:t>
      </w:r>
      <w:r>
        <w:rPr>
          <w:spacing w:val="-55"/>
        </w:rPr>
        <w:t> </w:t>
      </w:r>
      <w:r>
        <w:rPr>
          <w:rFonts w:ascii="宋体" w:hAnsi="宋体" w:cs="宋体" w:eastAsia="宋体" w:hint="default"/>
        </w:rPr>
        <w:t>1</w:t>
      </w:r>
      <w:r>
        <w:rPr>
          <w:rFonts w:ascii="宋体" w:hAnsi="宋体" w:cs="宋体" w:eastAsia="宋体" w:hint="default"/>
          <w:spacing w:val="-56"/>
        </w:rPr>
        <w:t> </w:t>
      </w:r>
      <w:r>
        <w:rPr/>
        <w:t>名，</w:t>
      </w:r>
    </w:p>
    <w:p>
      <w:pPr>
        <w:pStyle w:val="BodyText"/>
        <w:spacing w:line="434" w:lineRule="auto" w:before="155"/>
        <w:ind w:left="634" w:right="3804" w:hanging="480"/>
        <w:jc w:val="left"/>
      </w:pPr>
      <w:r>
        <w:rPr/>
        <w:t>副总经理兼任董事会秘书</w:t>
      </w:r>
      <w:r>
        <w:rPr>
          <w:spacing w:val="-60"/>
        </w:rPr>
        <w:t> </w:t>
      </w:r>
      <w:r>
        <w:rPr>
          <w:rFonts w:ascii="宋体" w:hAnsi="宋体" w:cs="宋体" w:eastAsia="宋体" w:hint="default"/>
        </w:rPr>
        <w:t>1</w:t>
      </w:r>
      <w:r>
        <w:rPr>
          <w:rFonts w:ascii="宋体" w:hAnsi="宋体" w:cs="宋体" w:eastAsia="宋体" w:hint="default"/>
          <w:spacing w:val="-60"/>
        </w:rPr>
        <w:t> </w:t>
      </w:r>
      <w:r>
        <w:rPr/>
        <w:t>名。公司高级管理人员简介如下： </w:t>
      </w:r>
      <w:r>
        <w:rPr>
          <w:rFonts w:ascii="宋体" w:hAnsi="宋体" w:cs="宋体" w:eastAsia="宋体" w:hint="default"/>
        </w:rPr>
        <w:t>1</w:t>
      </w:r>
      <w:r>
        <w:rPr/>
        <w:t>、童之磊 </w:t>
      </w:r>
      <w:r>
        <w:rPr>
          <w:spacing w:val="-9"/>
        </w:rPr>
        <w:t>童之磊先生，总经理，其简历参见本节“（一）董事会成员”。</w:t>
      </w:r>
      <w:r>
        <w:rPr/>
        <w:t> </w:t>
      </w:r>
      <w:r>
        <w:rPr>
          <w:rFonts w:ascii="宋体" w:hAnsi="宋体" w:cs="宋体" w:eastAsia="宋体" w:hint="default"/>
        </w:rPr>
        <w:t>2</w:t>
      </w:r>
      <w:r>
        <w:rPr/>
        <w:t>、戴和忠</w:t>
      </w:r>
    </w:p>
    <w:p>
      <w:pPr>
        <w:spacing w:after="0" w:line="434"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29" w:firstLine="480"/>
        <w:jc w:val="both"/>
        <w:rPr>
          <w:rFonts w:ascii="宋体" w:hAnsi="宋体" w:cs="宋体" w:eastAsia="宋体" w:hint="default"/>
        </w:rPr>
      </w:pPr>
      <w:r>
        <w:rPr/>
        <w:t>戴和忠先生</w:t>
      </w:r>
      <w:r>
        <w:rPr>
          <w:rFonts w:ascii="宋体" w:hAnsi="宋体" w:cs="宋体" w:eastAsia="宋体" w:hint="default"/>
        </w:rPr>
        <w:t>,1975</w:t>
      </w:r>
      <w:r>
        <w:rPr>
          <w:rFonts w:ascii="宋体" w:hAnsi="宋体" w:cs="宋体" w:eastAsia="宋体" w:hint="default"/>
          <w:spacing w:val="-35"/>
        </w:rPr>
        <w:t> </w:t>
      </w:r>
      <w:r>
        <w:rPr>
          <w:spacing w:val="-5"/>
        </w:rPr>
        <w:t>年出生</w:t>
      </w:r>
      <w:r>
        <w:rPr>
          <w:rFonts w:ascii="宋体" w:hAnsi="宋体" w:cs="宋体" w:eastAsia="宋体" w:hint="default"/>
          <w:spacing w:val="-5"/>
        </w:rPr>
        <w:t>,</w:t>
      </w:r>
      <w:r>
        <w:rPr>
          <w:spacing w:val="-5"/>
        </w:rPr>
        <w:t>中国国籍，无境外永久居留权，博士研究生</w:t>
      </w:r>
      <w:r>
        <w:rPr>
          <w:rFonts w:ascii="宋体" w:hAnsi="宋体" w:cs="宋体" w:eastAsia="宋体" w:hint="default"/>
          <w:spacing w:val="-5"/>
        </w:rPr>
        <w:t>,</w:t>
      </w:r>
      <w:r>
        <w:rPr>
          <w:spacing w:val="-5"/>
        </w:rPr>
        <w:t>高级经济师。</w:t>
      </w:r>
      <w:r>
        <w:rPr>
          <w:rFonts w:ascii="宋体" w:hAnsi="宋体" w:cs="宋体" w:eastAsia="宋体" w:hint="default"/>
          <w:spacing w:val="-5"/>
        </w:rPr>
        <w:t>2009</w:t>
      </w:r>
      <w:r>
        <w:rPr>
          <w:rFonts w:ascii="宋体" w:hAnsi="宋体" w:cs="宋体" w:eastAsia="宋体" w:hint="default"/>
        </w:rPr>
        <w:t> </w:t>
      </w:r>
      <w:r>
        <w:rPr/>
        <w:t>年创建中国移动手机阅读基地并担任总经理；</w:t>
      </w:r>
      <w:r>
        <w:rPr>
          <w:rFonts w:ascii="宋体" w:hAnsi="宋体" w:cs="宋体" w:eastAsia="宋体" w:hint="default"/>
        </w:rPr>
        <w:t>2014</w:t>
      </w:r>
      <w:r>
        <w:rPr>
          <w:rFonts w:ascii="宋体" w:hAnsi="宋体" w:cs="宋体" w:eastAsia="宋体" w:hint="default"/>
          <w:spacing w:val="7"/>
        </w:rPr>
        <w:t> </w:t>
      </w:r>
      <w:r>
        <w:rPr/>
        <w:t>年底</w:t>
      </w:r>
      <w:r>
        <w:rPr>
          <w:rFonts w:ascii="宋体" w:hAnsi="宋体" w:cs="宋体" w:eastAsia="宋体" w:hint="default"/>
        </w:rPr>
        <w:t>,</w:t>
      </w:r>
      <w:r>
        <w:rPr/>
        <w:t>中国移动手机阅读基地转型成为咪 </w:t>
      </w:r>
      <w:r>
        <w:rPr>
          <w:spacing w:val="-2"/>
        </w:rPr>
        <w:t>咕数字传媒有限公司进行独立运营</w:t>
      </w:r>
      <w:r>
        <w:rPr>
          <w:rFonts w:ascii="宋体" w:hAnsi="宋体" w:cs="宋体" w:eastAsia="宋体" w:hint="default"/>
          <w:spacing w:val="-2"/>
        </w:rPr>
        <w:t>,</w:t>
      </w:r>
      <w:r>
        <w:rPr>
          <w:spacing w:val="-2"/>
        </w:rPr>
        <w:t>戴和忠先生出任咪咕数字传媒有限公司总经理；</w:t>
      </w:r>
      <w:r>
        <w:rPr>
          <w:rFonts w:ascii="宋体" w:hAnsi="宋体" w:cs="宋体" w:eastAsia="宋体" w:hint="default"/>
          <w:spacing w:val="-2"/>
        </w:rPr>
        <w:t>2016</w:t>
      </w:r>
      <w:r>
        <w:rPr>
          <w:rFonts w:ascii="宋体" w:hAnsi="宋体" w:cs="宋体" w:eastAsia="宋体" w:hint="default"/>
          <w:spacing w:val="-60"/>
        </w:rPr>
        <w:t> </w:t>
      </w:r>
      <w:r>
        <w:rPr/>
        <w:t>年</w:t>
      </w:r>
      <w:r>
        <w:rPr>
          <w:spacing w:val="-60"/>
        </w:rPr>
        <w:t> </w:t>
      </w:r>
      <w:r>
        <w:rPr>
          <w:rFonts w:ascii="宋体" w:hAnsi="宋体" w:cs="宋体" w:eastAsia="宋体" w:hint="default"/>
        </w:rPr>
        <w:t>1</w:t>
      </w:r>
    </w:p>
    <w:p>
      <w:pPr>
        <w:pStyle w:val="BodyText"/>
        <w:spacing w:line="240" w:lineRule="auto" w:before="36"/>
        <w:ind w:right="1092"/>
        <w:jc w:val="left"/>
        <w:rPr>
          <w:rFonts w:ascii="宋体" w:hAnsi="宋体" w:cs="宋体" w:eastAsia="宋体" w:hint="default"/>
        </w:rPr>
      </w:pPr>
      <w:r>
        <w:rPr/>
        <w:t>月至 </w:t>
      </w:r>
      <w:r>
        <w:rPr>
          <w:rFonts w:ascii="宋体" w:hAnsi="宋体" w:cs="宋体" w:eastAsia="宋体" w:hint="default"/>
        </w:rPr>
        <w:t>9</w:t>
      </w:r>
      <w:r>
        <w:rPr>
          <w:rFonts w:ascii="宋体" w:hAnsi="宋体" w:cs="宋体" w:eastAsia="宋体" w:hint="default"/>
          <w:spacing w:val="-82"/>
        </w:rPr>
        <w:t> </w:t>
      </w:r>
      <w:r>
        <w:rPr/>
        <w:t>月，担任浙江华策影视股份有限公司副总裁兼浙江华策娱乐科技有限公司总裁。</w:t>
      </w:r>
      <w:r>
        <w:rPr>
          <w:rFonts w:ascii="宋体" w:hAnsi="宋体" w:cs="宋体" w:eastAsia="宋体" w:hint="default"/>
        </w:rPr>
        <w:t>2016</w:t>
      </w:r>
    </w:p>
    <w:p>
      <w:pPr>
        <w:pStyle w:val="BodyText"/>
        <w:spacing w:line="357" w:lineRule="auto" w:before="154"/>
        <w:ind w:right="1000"/>
        <w:jc w:val="left"/>
      </w:pPr>
      <w:r>
        <w:rPr/>
        <w:t>年</w:t>
      </w:r>
      <w:r>
        <w:rPr>
          <w:spacing w:val="-47"/>
        </w:rPr>
        <w:t> </w:t>
      </w:r>
      <w:r>
        <w:rPr>
          <w:rFonts w:ascii="宋体" w:hAnsi="宋体" w:cs="宋体" w:eastAsia="宋体" w:hint="default"/>
        </w:rPr>
        <w:t>10</w:t>
      </w:r>
      <w:r>
        <w:rPr>
          <w:rFonts w:ascii="宋体" w:hAnsi="宋体" w:cs="宋体" w:eastAsia="宋体" w:hint="default"/>
          <w:spacing w:val="-47"/>
        </w:rPr>
        <w:t> </w:t>
      </w:r>
      <w:r>
        <w:rPr>
          <w:spacing w:val="-6"/>
        </w:rPr>
        <w:t>月加入中文在线，现任中文在线执行总经理，同时兼任上海晨之科董事、中文万维董事、</w:t>
      </w:r>
      <w:r>
        <w:rPr>
          <w:spacing w:val="-118"/>
        </w:rPr>
        <w:t> </w:t>
      </w:r>
      <w:r>
        <w:rPr>
          <w:spacing w:val="-118"/>
        </w:rPr>
      </w:r>
      <w:r>
        <w:rPr/>
        <w:t>中文光之影执行董事、东阳光之影执行董事、天津中文光之影执行董事、上海光之影执行董 事、杭州四月天董事、北京新浪阅读信息技术有限公司董事、武侠世界有限公司董事。</w:t>
      </w:r>
    </w:p>
    <w:p>
      <w:pPr>
        <w:pStyle w:val="BodyText"/>
        <w:spacing w:line="240" w:lineRule="auto" w:before="136"/>
        <w:ind w:left="634" w:right="1092"/>
        <w:jc w:val="left"/>
      </w:pPr>
      <w:r>
        <w:rPr>
          <w:rFonts w:ascii="宋体" w:hAnsi="宋体" w:cs="宋体" w:eastAsia="宋体" w:hint="default"/>
        </w:rPr>
        <w:t>3</w:t>
      </w:r>
      <w:r>
        <w:rPr/>
        <w:t>、谢广才</w:t>
      </w:r>
    </w:p>
    <w:p>
      <w:pPr>
        <w:spacing w:line="240" w:lineRule="auto" w:before="5"/>
        <w:rPr>
          <w:rFonts w:ascii="宋体" w:hAnsi="宋体" w:cs="宋体" w:eastAsia="宋体" w:hint="default"/>
          <w:sz w:val="19"/>
          <w:szCs w:val="19"/>
        </w:rPr>
      </w:pPr>
    </w:p>
    <w:p>
      <w:pPr>
        <w:pStyle w:val="BodyText"/>
        <w:spacing w:line="357" w:lineRule="auto"/>
        <w:ind w:right="998" w:firstLine="480"/>
        <w:jc w:val="left"/>
      </w:pPr>
      <w:r>
        <w:rPr>
          <w:spacing w:val="-3"/>
        </w:rPr>
        <w:t>谢广才先生，</w:t>
      </w:r>
      <w:r>
        <w:rPr>
          <w:rFonts w:ascii="宋体" w:hAnsi="宋体" w:cs="宋体" w:eastAsia="宋体" w:hint="default"/>
          <w:spacing w:val="-3"/>
        </w:rPr>
        <w:t>1977</w:t>
      </w:r>
      <w:r>
        <w:rPr>
          <w:rFonts w:ascii="宋体" w:hAnsi="宋体" w:cs="宋体" w:eastAsia="宋体" w:hint="default"/>
          <w:spacing w:val="-52"/>
        </w:rPr>
        <w:t> </w:t>
      </w:r>
      <w:r>
        <w:rPr>
          <w:spacing w:val="-4"/>
        </w:rPr>
        <w:t>年出生，中国国籍，无境外永久居留权，硕士研究生，工商管理专业。</w:t>
      </w:r>
      <w:r>
        <w:rPr/>
        <w:t> </w:t>
      </w:r>
      <w:r>
        <w:rPr>
          <w:rFonts w:ascii="宋体" w:hAnsi="宋体" w:cs="宋体" w:eastAsia="宋体" w:hint="default"/>
        </w:rPr>
        <w:t>2002</w:t>
      </w:r>
      <w:r>
        <w:rPr>
          <w:rFonts w:ascii="宋体" w:hAnsi="宋体" w:cs="宋体" w:eastAsia="宋体" w:hint="default"/>
          <w:spacing w:val="-65"/>
        </w:rPr>
        <w:t> </w:t>
      </w:r>
      <w:r>
        <w:rPr/>
        <w:t>年</w:t>
      </w:r>
      <w:r>
        <w:rPr>
          <w:spacing w:val="-65"/>
        </w:rPr>
        <w:t> </w:t>
      </w:r>
      <w:r>
        <w:rPr>
          <w:rFonts w:ascii="宋体" w:hAnsi="宋体" w:cs="宋体" w:eastAsia="宋体" w:hint="default"/>
        </w:rPr>
        <w:t>4</w:t>
      </w:r>
      <w:r>
        <w:rPr>
          <w:rFonts w:ascii="宋体" w:hAnsi="宋体" w:cs="宋体" w:eastAsia="宋体" w:hint="default"/>
          <w:spacing w:val="-65"/>
        </w:rPr>
        <w:t> </w:t>
      </w:r>
      <w:r>
        <w:rPr/>
        <w:t>月加入中文在线，现任中文在线常务副总经理，同时兼任鸿达以太执行董事、中文 在线天津公司总经理、邯郸中文在线文化发展有限公司执行董事、杭州中文在线信息科技有 限公司董事。</w:t>
      </w:r>
    </w:p>
    <w:p>
      <w:pPr>
        <w:pStyle w:val="BodyText"/>
        <w:spacing w:line="240" w:lineRule="auto" w:before="136"/>
        <w:ind w:left="634" w:right="1092"/>
        <w:jc w:val="left"/>
      </w:pPr>
      <w:r>
        <w:rPr>
          <w:rFonts w:ascii="宋体" w:hAnsi="宋体" w:cs="宋体" w:eastAsia="宋体" w:hint="default"/>
        </w:rPr>
        <w:t>4</w:t>
      </w:r>
      <w:r>
        <w:rPr/>
        <w:t>、贾庆丰</w:t>
      </w:r>
    </w:p>
    <w:p>
      <w:pPr>
        <w:spacing w:line="240" w:lineRule="auto" w:before="4"/>
        <w:rPr>
          <w:rFonts w:ascii="宋体" w:hAnsi="宋体" w:cs="宋体" w:eastAsia="宋体" w:hint="default"/>
          <w:sz w:val="19"/>
          <w:szCs w:val="19"/>
        </w:rPr>
      </w:pPr>
    </w:p>
    <w:p>
      <w:pPr>
        <w:pStyle w:val="BodyText"/>
        <w:spacing w:line="357" w:lineRule="auto"/>
        <w:ind w:right="1131" w:firstLine="480"/>
        <w:jc w:val="both"/>
      </w:pPr>
      <w:r>
        <w:rPr/>
        <w:t>贾庆丰先生，</w:t>
      </w:r>
      <w:r>
        <w:rPr>
          <w:rFonts w:ascii="宋体" w:hAnsi="宋体" w:cs="宋体" w:eastAsia="宋体" w:hint="default"/>
        </w:rPr>
        <w:t>1977</w:t>
      </w:r>
      <w:r>
        <w:rPr>
          <w:rFonts w:ascii="宋体" w:hAnsi="宋体" w:cs="宋体" w:eastAsia="宋体" w:hint="default"/>
          <w:spacing w:val="-81"/>
        </w:rPr>
        <w:t> </w:t>
      </w:r>
      <w:r>
        <w:rPr/>
        <w:t>年出生，中国国籍，无境外永久居留权，北京交通大学会计学专业管 理学士，北京大学光华管理学院</w:t>
      </w:r>
      <w:r>
        <w:rPr>
          <w:spacing w:val="-55"/>
        </w:rPr>
        <w:t> </w:t>
      </w:r>
      <w:r>
        <w:rPr>
          <w:rFonts w:ascii="宋体" w:hAnsi="宋体" w:cs="宋体" w:eastAsia="宋体" w:hint="default"/>
        </w:rPr>
        <w:t>EMBA</w:t>
      </w:r>
      <w:r>
        <w:rPr/>
        <w:t>。</w:t>
      </w:r>
      <w:r>
        <w:rPr>
          <w:rFonts w:ascii="宋体" w:hAnsi="宋体" w:cs="宋体" w:eastAsia="宋体" w:hint="default"/>
        </w:rPr>
        <w:t>2008</w:t>
      </w:r>
      <w:r>
        <w:rPr>
          <w:rFonts w:ascii="宋体" w:hAnsi="宋体" w:cs="宋体" w:eastAsia="宋体" w:hint="default"/>
          <w:spacing w:val="-56"/>
        </w:rPr>
        <w:t> </w:t>
      </w:r>
      <w:r>
        <w:rPr/>
        <w:t>年</w:t>
      </w:r>
      <w:r>
        <w:rPr>
          <w:spacing w:val="-56"/>
        </w:rPr>
        <w:t> </w:t>
      </w:r>
      <w:r>
        <w:rPr>
          <w:rFonts w:ascii="宋体" w:hAnsi="宋体" w:cs="宋体" w:eastAsia="宋体" w:hint="default"/>
        </w:rPr>
        <w:t>9</w:t>
      </w:r>
      <w:r>
        <w:rPr>
          <w:rFonts w:ascii="宋体" w:hAnsi="宋体" w:cs="宋体" w:eastAsia="宋体" w:hint="default"/>
          <w:spacing w:val="-56"/>
        </w:rPr>
        <w:t> </w:t>
      </w:r>
      <w:r>
        <w:rPr/>
        <w:t>月至</w:t>
      </w:r>
      <w:r>
        <w:rPr>
          <w:spacing w:val="-56"/>
        </w:rPr>
        <w:t> </w:t>
      </w:r>
      <w:r>
        <w:rPr>
          <w:rFonts w:ascii="宋体" w:hAnsi="宋体" w:cs="宋体" w:eastAsia="宋体" w:hint="default"/>
        </w:rPr>
        <w:t>2017</w:t>
      </w:r>
      <w:r>
        <w:rPr>
          <w:rFonts w:ascii="宋体" w:hAnsi="宋体" w:cs="宋体" w:eastAsia="宋体" w:hint="default"/>
          <w:spacing w:val="-56"/>
        </w:rPr>
        <w:t> </w:t>
      </w:r>
      <w:r>
        <w:rPr/>
        <w:t>年</w:t>
      </w:r>
      <w:r>
        <w:rPr>
          <w:spacing w:val="-56"/>
        </w:rPr>
        <w:t> </w:t>
      </w:r>
      <w:r>
        <w:rPr>
          <w:rFonts w:ascii="宋体" w:hAnsi="宋体" w:cs="宋体" w:eastAsia="宋体" w:hint="default"/>
        </w:rPr>
        <w:t>4</w:t>
      </w:r>
      <w:r>
        <w:rPr>
          <w:rFonts w:ascii="宋体" w:hAnsi="宋体" w:cs="宋体" w:eastAsia="宋体" w:hint="default"/>
          <w:spacing w:val="-56"/>
        </w:rPr>
        <w:t> </w:t>
      </w:r>
      <w:r>
        <w:rPr/>
        <w:t>月，担任北京麒麟网文化股 份有限公司高级副总经理、财务总监。</w:t>
      </w:r>
      <w:r>
        <w:rPr>
          <w:rFonts w:ascii="宋体" w:hAnsi="宋体" w:cs="宋体" w:eastAsia="宋体" w:hint="default"/>
        </w:rPr>
        <w:t>2017 </w:t>
      </w:r>
      <w:r>
        <w:rPr/>
        <w:t>年 </w:t>
      </w:r>
      <w:r>
        <w:rPr>
          <w:rFonts w:ascii="宋体" w:hAnsi="宋体" w:cs="宋体" w:eastAsia="宋体" w:hint="default"/>
        </w:rPr>
        <w:t>11</w:t>
      </w:r>
      <w:r>
        <w:rPr>
          <w:rFonts w:ascii="宋体" w:hAnsi="宋体" w:cs="宋体" w:eastAsia="宋体" w:hint="default"/>
          <w:spacing w:val="-84"/>
        </w:rPr>
        <w:t> </w:t>
      </w:r>
      <w:r>
        <w:rPr/>
        <w:t>月，加入中文在线，现任中文在线副总经 理兼财务总监，同时兼任晨之科董事、</w:t>
      </w:r>
      <w:r>
        <w:rPr>
          <w:rFonts w:ascii="宋体" w:hAnsi="宋体" w:cs="宋体" w:eastAsia="宋体" w:hint="default"/>
        </w:rPr>
        <w:t>CRAZY MAPLE STUDIO, INC.</w:t>
      </w:r>
      <w:r>
        <w:rPr/>
        <w:t>董事。</w:t>
      </w:r>
    </w:p>
    <w:p>
      <w:pPr>
        <w:pStyle w:val="BodyText"/>
        <w:spacing w:line="432" w:lineRule="auto" w:before="137"/>
        <w:ind w:left="634" w:right="1092"/>
        <w:jc w:val="left"/>
      </w:pPr>
      <w:r>
        <w:rPr>
          <w:rFonts w:ascii="宋体" w:hAnsi="宋体" w:cs="宋体" w:eastAsia="宋体" w:hint="default"/>
        </w:rPr>
        <w:t>5</w:t>
      </w:r>
      <w:r>
        <w:rPr/>
        <w:t>、王京京 王京京女士，中国国籍，无境外永久居留权，华中科技大学法学与管理学双学士学位及</w:t>
      </w:r>
    </w:p>
    <w:p>
      <w:pPr>
        <w:pStyle w:val="BodyText"/>
        <w:spacing w:line="276" w:lineRule="exact"/>
        <w:ind w:right="1092"/>
        <w:jc w:val="left"/>
      </w:pPr>
      <w:r>
        <w:rPr/>
        <w:t>经济法专业硕士学位，具有法律职业资格和董事会秘书资格。曾任职北京数码视讯科技股份</w:t>
      </w:r>
    </w:p>
    <w:p>
      <w:pPr>
        <w:pStyle w:val="BodyText"/>
        <w:spacing w:line="357" w:lineRule="auto" w:before="154"/>
        <w:ind w:right="1133"/>
        <w:jc w:val="both"/>
      </w:pPr>
      <w:r>
        <w:rPr/>
        <w:t>有限公司证券投资部，</w:t>
      </w:r>
      <w:r>
        <w:rPr>
          <w:rFonts w:ascii="宋体" w:hAnsi="宋体" w:cs="宋体" w:eastAsia="宋体" w:hint="default"/>
        </w:rPr>
        <w:t>2010</w:t>
      </w:r>
      <w:r>
        <w:rPr>
          <w:rFonts w:ascii="宋体" w:hAnsi="宋体" w:cs="宋体" w:eastAsia="宋体" w:hint="default"/>
          <w:spacing w:val="-82"/>
        </w:rPr>
        <w:t> </w:t>
      </w:r>
      <w:r>
        <w:rPr/>
        <w:t>年加入中文在线，曾任证券事务代表，证券投资部总经理，现任 中文在线副总经理兼董事会秘书，同时兼任文化传媒监事、湖北中文在线监事、杭州四月天 监事、杭州中文在线监事、中文在线天津公司监事、中文光之影监事、东阳光之影监事、晨 之科监事、北京汤圆和它的小伙伴们网络科技有限公司监事、广州市四月天信息科技有限公 司监事、邯郸中文在线文化发展有限公司监事、广州市迈步信息科技有限公司监事、天津中 文光之影文化传媒有限公司监事、上海光之影兄弟文化科技发展有限公司监事。</w:t>
      </w:r>
    </w:p>
    <w:p>
      <w:pPr>
        <w:pStyle w:val="BodyText"/>
        <w:spacing w:line="240" w:lineRule="auto" w:before="136"/>
        <w:ind w:left="634" w:right="1092"/>
        <w:jc w:val="left"/>
      </w:pPr>
      <w:r>
        <w:rPr/>
        <w:t>在股东单位任职情况</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after="0" w:line="240" w:lineRule="auto"/>
        <w:jc w:val="left"/>
        <w:sectPr>
          <w:pgSz w:w="11910" w:h="16840"/>
          <w:pgMar w:header="877" w:footer="979" w:top="1100" w:bottom="1160" w:left="980" w:right="0"/>
        </w:sectPr>
      </w:pPr>
    </w:p>
    <w:p>
      <w:pPr>
        <w:spacing w:line="240" w:lineRule="auto" w:before="6"/>
        <w:rPr>
          <w:rFonts w:ascii="宋体" w:hAnsi="宋体" w:cs="宋体" w:eastAsia="宋体" w:hint="default"/>
          <w:sz w:val="24"/>
          <w:szCs w:val="24"/>
        </w:rPr>
      </w:pPr>
      <w:r>
        <w:rPr/>
        <w:pict>
          <v:group style="position:absolute;margin-left:277.660004pt;margin-top:549.639954pt;width:50.4pt;height:15.6pt;mso-position-horizontal-relative:page;mso-position-vertical-relative:page;z-index:-1153504" coordorigin="5553,10993" coordsize="1008,312">
            <v:shape style="position:absolute;left:5553;top:10993;width:1008;height:312" coordorigin="5553,10993" coordsize="1008,312" path="m5553,11305l6561,11305,6561,10993,5553,10993,5553,11305xe" filled="true" fillcolor="#ffffff" stroked="false">
              <v:path arrowok="t"/>
              <v:fill type="solid"/>
            </v:shape>
            <w10:wrap type="none"/>
          </v:group>
        </w:pict>
      </w:r>
    </w:p>
    <w:tbl>
      <w:tblPr>
        <w:tblW w:w="0" w:type="auto"/>
        <w:jc w:val="left"/>
        <w:tblInd w:w="149" w:type="dxa"/>
        <w:tblLayout w:type="fixed"/>
        <w:tblCellMar>
          <w:top w:w="0" w:type="dxa"/>
          <w:left w:w="0" w:type="dxa"/>
          <w:bottom w:w="0" w:type="dxa"/>
          <w:right w:w="0" w:type="dxa"/>
        </w:tblCellMar>
        <w:tblLook w:val="01E0"/>
      </w:tblPr>
      <w:tblGrid>
        <w:gridCol w:w="1202"/>
        <w:gridCol w:w="3189"/>
        <w:gridCol w:w="1280"/>
        <w:gridCol w:w="1985"/>
        <w:gridCol w:w="851"/>
        <w:gridCol w:w="1062"/>
      </w:tblGrid>
      <w:tr>
        <w:trPr>
          <w:trHeight w:val="1026"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48"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75" w:right="92" w:hanging="180"/>
              <w:jc w:val="left"/>
              <w:rPr>
                <w:rFonts w:ascii="宋体" w:hAnsi="宋体" w:cs="宋体" w:eastAsia="宋体" w:hint="default"/>
                <w:sz w:val="18"/>
                <w:szCs w:val="18"/>
              </w:rPr>
            </w:pPr>
            <w:r>
              <w:rPr>
                <w:rFonts w:ascii="宋体" w:hAnsi="宋体" w:cs="宋体" w:eastAsia="宋体" w:hint="default"/>
                <w:sz w:val="18"/>
                <w:szCs w:val="18"/>
              </w:rPr>
              <w:t>在股东单位担 任的职务</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39" w:right="5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5" w:right="74"/>
              <w:jc w:val="center"/>
              <w:rPr>
                <w:rFonts w:ascii="宋体" w:hAnsi="宋体" w:cs="宋体" w:eastAsia="宋体" w:hint="default"/>
                <w:sz w:val="18"/>
                <w:szCs w:val="18"/>
              </w:rPr>
            </w:pPr>
            <w:r>
              <w:rPr>
                <w:rFonts w:ascii="宋体" w:hAnsi="宋体" w:cs="宋体" w:eastAsia="宋体" w:hint="default"/>
                <w:sz w:val="18"/>
                <w:szCs w:val="18"/>
              </w:rPr>
              <w:t>在股东单位 是否领取报 酬津贴</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建水文睿企业管理有限公司</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9"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7"/>
              <w:jc w:val="left"/>
              <w:rPr>
                <w:rFonts w:ascii="宋体" w:hAnsi="宋体" w:cs="宋体" w:eastAsia="宋体" w:hint="default"/>
                <w:sz w:val="18"/>
                <w:szCs w:val="18"/>
              </w:rPr>
            </w:pPr>
            <w:r>
              <w:rPr>
                <w:rFonts w:ascii="宋体" w:hAnsi="宋体" w:cs="宋体" w:eastAsia="宋体" w:hint="default"/>
                <w:sz w:val="18"/>
                <w:szCs w:val="18"/>
              </w:rPr>
              <w:t>在股东单位任 职情况的说明</w:t>
            </w:r>
          </w:p>
        </w:tc>
        <w:tc>
          <w:tcPr>
            <w:tcW w:w="836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童之磊为建水文睿企业管理有限公司控股股东、实际控制人。</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在其他单位任职情况</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3"/>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1202"/>
        <w:gridCol w:w="3190"/>
        <w:gridCol w:w="1063"/>
        <w:gridCol w:w="1492"/>
        <w:gridCol w:w="1029"/>
        <w:gridCol w:w="1594"/>
      </w:tblGrid>
      <w:tr>
        <w:trPr>
          <w:trHeight w:val="713"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0"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77"/>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20" w:right="56" w:hanging="360"/>
              <w:jc w:val="left"/>
              <w:rPr>
                <w:rFonts w:ascii="宋体" w:hAnsi="宋体" w:cs="宋体" w:eastAsia="宋体" w:hint="default"/>
                <w:sz w:val="18"/>
                <w:szCs w:val="18"/>
              </w:rPr>
            </w:pPr>
            <w:r>
              <w:rPr>
                <w:rFonts w:ascii="宋体" w:hAnsi="宋体" w:cs="宋体" w:eastAsia="宋体" w:hint="default"/>
                <w:sz w:val="18"/>
                <w:szCs w:val="18"/>
              </w:rPr>
              <w:t>任期终止日 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42" w:right="71" w:hanging="270"/>
              <w:jc w:val="left"/>
              <w:rPr>
                <w:rFonts w:ascii="宋体" w:hAnsi="宋体" w:cs="宋体" w:eastAsia="宋体" w:hint="default"/>
                <w:sz w:val="18"/>
                <w:szCs w:val="18"/>
              </w:rPr>
            </w:pPr>
            <w:r>
              <w:rPr>
                <w:rFonts w:ascii="宋体" w:hAnsi="宋体" w:cs="宋体" w:eastAsia="宋体" w:hint="default"/>
                <w:sz w:val="18"/>
                <w:szCs w:val="18"/>
              </w:rPr>
              <w:t>在其他单位是否领 取报酬津贴</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建水文睿企业管理有限公司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sz w:val="18"/>
              </w:rPr>
              <w:t>ATA Inc.</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北京亚杰商汇咨询有限公司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雷  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5"/>
              <w:jc w:val="left"/>
              <w:rPr>
                <w:rFonts w:ascii="宋体" w:hAnsi="宋体" w:cs="宋体" w:eastAsia="宋体" w:hint="default"/>
                <w:sz w:val="18"/>
                <w:szCs w:val="18"/>
              </w:rPr>
            </w:pPr>
            <w:r>
              <w:rPr>
                <w:rFonts w:ascii="宋体" w:hAnsi="宋体" w:cs="宋体" w:eastAsia="宋体" w:hint="default"/>
                <w:sz w:val="18"/>
                <w:szCs w:val="18"/>
              </w:rPr>
              <w:t>清控银杏创业投资管理（北京）有限公 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创始合伙人</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上海开物股权投资管理有限公司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8"/>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北京开物投资管理有限公司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128"/>
              <w:jc w:val="left"/>
              <w:rPr>
                <w:rFonts w:ascii="宋体" w:hAnsi="宋体" w:cs="宋体" w:eastAsia="宋体" w:hint="default"/>
                <w:sz w:val="18"/>
                <w:szCs w:val="18"/>
              </w:rPr>
            </w:pPr>
            <w:r>
              <w:rPr>
                <w:rFonts w:ascii="宋体" w:hAnsi="宋体" w:cs="宋体" w:eastAsia="宋体" w:hint="default"/>
                <w:sz w:val="18"/>
                <w:szCs w:val="18"/>
              </w:rPr>
              <w:t>执行董事兼 经理</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04</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上海开物兴华创业投资管理有限公司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8"/>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95"/>
              <w:jc w:val="left"/>
              <w:rPr>
                <w:rFonts w:ascii="宋体" w:hAnsi="宋体" w:cs="宋体" w:eastAsia="宋体" w:hint="default"/>
                <w:sz w:val="18"/>
                <w:szCs w:val="18"/>
              </w:rPr>
            </w:pPr>
            <w:r>
              <w:rPr>
                <w:rFonts w:ascii="宋体" w:hAnsi="宋体" w:cs="宋体" w:eastAsia="宋体" w:hint="default"/>
                <w:sz w:val="18"/>
                <w:szCs w:val="18"/>
              </w:rPr>
              <w:t>上海开物兴晖创业投资合伙企业（有限 合伙）</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8"/>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90"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44"/>
              <w:jc w:val="left"/>
              <w:rPr>
                <w:rFonts w:ascii="宋体" w:hAnsi="宋体" w:cs="宋体" w:eastAsia="宋体" w:hint="default"/>
                <w:sz w:val="18"/>
                <w:szCs w:val="18"/>
              </w:rPr>
            </w:pPr>
            <w:r>
              <w:rPr>
                <w:rFonts w:ascii="宋体" w:hAnsi="宋体" w:cs="宋体" w:eastAsia="宋体" w:hint="default"/>
                <w:spacing w:val="-3"/>
                <w:sz w:val="18"/>
                <w:szCs w:val="18"/>
              </w:rPr>
              <w:t>广西华清华和投资合伙企业（有限合伙）</w:t>
            </w:r>
            <w:r>
              <w:rPr>
                <w:rFonts w:ascii="宋体" w:hAnsi="宋体" w:cs="宋体" w:eastAsia="宋体" w:hint="default"/>
                <w:sz w:val="18"/>
                <w:szCs w:val="18"/>
              </w:rPr>
            </w:r>
          </w:p>
        </w:tc>
        <w:tc>
          <w:tcPr>
            <w:tcW w:w="1063" w:type="dxa"/>
            <w:tcBorders>
              <w:top w:val="single" w:sz="4" w:space="0" w:color="000000"/>
              <w:left w:val="single" w:sz="13" w:space="0" w:color="FFFFFF"/>
              <w:bottom w:val="single" w:sz="4" w:space="0" w:color="000000"/>
              <w:right w:val="single" w:sz="4" w:space="0" w:color="000000"/>
            </w:tcBorders>
          </w:tcPr>
          <w:p>
            <w:pPr>
              <w:pStyle w:val="TableParagraph"/>
              <w:spacing w:line="316" w:lineRule="auto" w:before="52"/>
              <w:ind w:left="11" w:right="128"/>
              <w:jc w:val="both"/>
              <w:rPr>
                <w:rFonts w:ascii="宋体" w:hAnsi="宋体" w:cs="宋体" w:eastAsia="宋体" w:hint="default"/>
                <w:sz w:val="18"/>
                <w:szCs w:val="18"/>
              </w:rPr>
            </w:pPr>
            <w:r>
              <w:rPr>
                <w:rFonts w:ascii="宋体" w:hAnsi="宋体" w:cs="宋体" w:eastAsia="宋体" w:hint="default"/>
                <w:sz w:val="18"/>
                <w:szCs w:val="18"/>
              </w:rPr>
              <w:t>执行事务合 伙人委派代 表</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06</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广西钦州华清翰泉投资管理有限公司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8"/>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24</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上海望润投资咨询有限公司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05</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瞳心</w:t>
            </w:r>
            <w:r>
              <w:rPr>
                <w:rFonts w:ascii="宋体" w:hAnsi="宋体" w:cs="宋体" w:eastAsia="宋体" w:hint="default"/>
                <w:sz w:val="18"/>
                <w:szCs w:val="18"/>
              </w:rPr>
              <w:t>(</w:t>
            </w:r>
            <w:r>
              <w:rPr>
                <w:rFonts w:ascii="宋体" w:hAnsi="宋体" w:cs="宋体" w:eastAsia="宋体" w:hint="default"/>
                <w:sz w:val="18"/>
                <w:szCs w:val="18"/>
              </w:rPr>
              <w:t>北京</w:t>
            </w:r>
            <w:r>
              <w:rPr>
                <w:rFonts w:ascii="宋体" w:hAnsi="宋体" w:cs="宋体" w:eastAsia="宋体" w:hint="default"/>
                <w:sz w:val="18"/>
                <w:szCs w:val="18"/>
              </w:rPr>
              <w:t>)</w:t>
            </w:r>
            <w:r>
              <w:rPr>
                <w:rFonts w:ascii="宋体" w:hAnsi="宋体" w:cs="宋体" w:eastAsia="宋体" w:hint="default"/>
                <w:sz w:val="18"/>
                <w:szCs w:val="18"/>
              </w:rPr>
              <w:t>教育发展有限公司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24</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  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重庆桑禾动物药业有限公司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04</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  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深圳丝路数字视觉股份有限公司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张  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北京华夏威科软件技术有限公司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  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佳信德润（北京）科技有限公司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  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北京智慧流教育科技有限公司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06</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footerReference w:type="default" r:id="rId32"/>
          <w:pgSz w:w="11910" w:h="16840"/>
          <w:pgMar w:footer="979" w:header="877"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202"/>
        <w:gridCol w:w="3190"/>
        <w:gridCol w:w="1063"/>
        <w:gridCol w:w="1492"/>
        <w:gridCol w:w="1029"/>
        <w:gridCol w:w="1594"/>
      </w:tblGrid>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  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北京寓乐世界教育科技有限公司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星展银行（香港）有限公司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04</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中国远洋海运集团有限公司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外部董事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中国移动通讯集团有限公司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外部董事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美国 </w:t>
            </w:r>
            <w:r>
              <w:rPr>
                <w:rFonts w:ascii="宋体" w:hAnsi="宋体" w:cs="宋体" w:eastAsia="宋体" w:hint="default"/>
                <w:sz w:val="18"/>
                <w:szCs w:val="18"/>
              </w:rPr>
              <w:t>Air Products and Chemical</w:t>
            </w:r>
            <w:r>
              <w:rPr>
                <w:rFonts w:ascii="宋体" w:hAnsi="宋体" w:cs="宋体" w:eastAsia="宋体" w:hint="default"/>
                <w:spacing w:val="-46"/>
                <w:sz w:val="18"/>
                <w:szCs w:val="18"/>
              </w:rPr>
              <w:t> </w:t>
            </w:r>
            <w:r>
              <w:rPr>
                <w:rFonts w:ascii="宋体" w:hAnsi="宋体" w:cs="宋体" w:eastAsia="宋体" w:hint="default"/>
                <w:sz w:val="18"/>
                <w:szCs w:val="18"/>
              </w:rPr>
              <w:t>Inc</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美国 </w:t>
            </w:r>
            <w:r>
              <w:rPr>
                <w:rFonts w:ascii="宋体" w:hAnsi="宋体" w:cs="宋体" w:eastAsia="宋体" w:hint="default"/>
                <w:sz w:val="18"/>
                <w:szCs w:val="18"/>
              </w:rPr>
              <w:t>nVent Electric</w:t>
            </w:r>
            <w:r>
              <w:rPr>
                <w:rFonts w:ascii="宋体" w:hAnsi="宋体" w:cs="宋体" w:eastAsia="宋体" w:hint="default"/>
                <w:spacing w:val="-46"/>
                <w:sz w:val="18"/>
                <w:szCs w:val="18"/>
              </w:rPr>
              <w:t> </w:t>
            </w:r>
            <w:r>
              <w:rPr>
                <w:rFonts w:ascii="宋体" w:hAnsi="宋体" w:cs="宋体" w:eastAsia="宋体" w:hint="default"/>
                <w:sz w:val="18"/>
                <w:szCs w:val="18"/>
              </w:rPr>
              <w:t>Plc</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05</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美国 </w:t>
            </w:r>
            <w:r>
              <w:rPr>
                <w:rFonts w:ascii="宋体" w:hAnsi="宋体" w:cs="宋体" w:eastAsia="宋体" w:hint="default"/>
                <w:sz w:val="18"/>
                <w:szCs w:val="18"/>
              </w:rPr>
              <w:t>Qorvo</w:t>
            </w:r>
            <w:r>
              <w:rPr>
                <w:rFonts w:ascii="宋体" w:hAnsi="宋体" w:cs="宋体" w:eastAsia="宋体" w:hint="default"/>
                <w:spacing w:val="-46"/>
                <w:sz w:val="18"/>
                <w:szCs w:val="18"/>
              </w:rPr>
              <w:t> </w:t>
            </w:r>
            <w:r>
              <w:rPr>
                <w:rFonts w:ascii="宋体" w:hAnsi="宋体" w:cs="宋体" w:eastAsia="宋体" w:hint="default"/>
                <w:sz w:val="18"/>
                <w:szCs w:val="18"/>
              </w:rPr>
              <w:t>Inc</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05</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Kiina Investment (BVI) Ltd</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Kiina Systems (Hong Kong) Ltd</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04</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Kiina Properties (Canada) Ltd</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1995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Kiina Ventures (Canada) Inc</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王志雄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北京市君合律师事务所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合伙人</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2002</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清华大学经管学院</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8"/>
              <w:jc w:val="left"/>
              <w:rPr>
                <w:rFonts w:ascii="宋体" w:hAnsi="宋体" w:cs="宋体" w:eastAsia="宋体" w:hint="default"/>
                <w:sz w:val="18"/>
                <w:szCs w:val="18"/>
              </w:rPr>
            </w:pPr>
            <w:r>
              <w:rPr>
                <w:rFonts w:ascii="宋体" w:hAnsi="宋体" w:cs="宋体" w:eastAsia="宋体" w:hint="default"/>
                <w:sz w:val="18"/>
                <w:szCs w:val="18"/>
              </w:rPr>
              <w:t>会计系长聘 副教授</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北京德鑫泉物联网科技股份有限公司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北京三元食品股份有限公司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05</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中国中期投资股份有限公司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23</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富士康工业互联网股份有限公司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北京华清物业管理有限责任公司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1997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启迪控股股份有限公司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2000</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24</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北京启迪创业孵化器有限公司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2001</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15</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威新华清（北京）置业发展有限公司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2002</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中德诺浩（北京）教肓投资股份有限公 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2003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北京沃捷文化传媒股份有限公司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北京启迪华创投资咨询有限公司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北京智联安科技有限公司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25</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宁波华清海创物业服务有限责任公司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北京启迪日新科技有限公司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北京紫晶立方科技有限公司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启迪之星（北京）投资管理有限公司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启迪之星（北京）科技企业孵化器有限 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15</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北京清源创新投资管理有限公司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北京启迪东升科技孵化器有限公司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26</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footerReference w:type="default" r:id="rId33"/>
          <w:pgSz w:w="11910" w:h="16840"/>
          <w:pgMar w:footer="979" w:header="877" w:top="1100" w:bottom="1160" w:left="980" w:right="0"/>
          <w:pgNumType w:start="101"/>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202"/>
        <w:gridCol w:w="3190"/>
        <w:gridCol w:w="1063"/>
        <w:gridCol w:w="1492"/>
        <w:gridCol w:w="1029"/>
        <w:gridCol w:w="1594"/>
      </w:tblGrid>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启迪清源（北京）科技有限公司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启迪种子（北京）投资管理有限公司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31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宁波启迪创业孵化器有限公司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启迪之星（潍坊）创业投资管理有限公 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24</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北京启迪万博幸福科技有限公司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北京清数科技发展有限公司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杭州启迪东信孵化器有限公司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洛阳启迪创业孵化器有限公司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合肥启迪创业孵化器有限公司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北京紫荆创业投资基金管理有限公司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03</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水木清心科技（北京）有限公司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04</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福州启迪之星孵化器管理有限公司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04</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26</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启迪万博郫县创业孵化器有限公司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06</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一起创天下</w:t>
            </w:r>
            <w:r>
              <w:rPr>
                <w:rFonts w:ascii="宋体" w:hAnsi="宋体" w:cs="宋体" w:eastAsia="宋体" w:hint="default"/>
                <w:sz w:val="18"/>
                <w:szCs w:val="18"/>
              </w:rPr>
              <w:t>(</w:t>
            </w:r>
            <w:r>
              <w:rPr>
                <w:rFonts w:ascii="宋体" w:hAnsi="宋体" w:cs="宋体" w:eastAsia="宋体" w:hint="default"/>
                <w:sz w:val="18"/>
                <w:szCs w:val="18"/>
              </w:rPr>
              <w:t>北京</w:t>
            </w:r>
            <w:r>
              <w:rPr>
                <w:rFonts w:ascii="宋体" w:hAnsi="宋体" w:cs="宋体" w:eastAsia="宋体" w:hint="default"/>
                <w:sz w:val="18"/>
                <w:szCs w:val="18"/>
              </w:rPr>
              <w:t>)</w:t>
            </w:r>
            <w:r>
              <w:rPr>
                <w:rFonts w:ascii="宋体" w:hAnsi="宋体" w:cs="宋体" w:eastAsia="宋体" w:hint="default"/>
                <w:sz w:val="18"/>
                <w:szCs w:val="18"/>
              </w:rPr>
              <w:t>信息科技有限责任公 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嘉兴启迪之星华瀚科技企业孵化器有限 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河南启迪之星科技企业孵化器有限公司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25</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启迪方信（成都）投资管理有限公司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启迪未来投资控股</w:t>
            </w:r>
            <w:r>
              <w:rPr>
                <w:rFonts w:ascii="宋体" w:hAnsi="宋体" w:cs="宋体" w:eastAsia="宋体" w:hint="default"/>
                <w:sz w:val="18"/>
                <w:szCs w:val="18"/>
              </w:rPr>
              <w:t>(</w:t>
            </w:r>
            <w:r>
              <w:rPr>
                <w:rFonts w:ascii="宋体" w:hAnsi="宋体" w:cs="宋体" w:eastAsia="宋体" w:hint="default"/>
                <w:sz w:val="18"/>
                <w:szCs w:val="18"/>
              </w:rPr>
              <w:t>北京）有限公司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05</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启迪之星（宜昌）科技企业孵化器有限 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启迪新材料（北京）有限公司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北京启迪临空投资发展有限公司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06</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北京指掌易科技有限公司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北京赋乐科技有限公司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安徽天兵电子科技股份有限公司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06</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启辰资本控股（珠海）有限公司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攀枝花启迪万博科技孵化器有限公司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浙江启迪物业服务有限责任公司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31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徐州启迪双创科技企业孵化器有限公司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05</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31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启迪水木文创科技发展（北京）有限公 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06</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北京水木清心投资管理有限公司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202"/>
        <w:gridCol w:w="3190"/>
        <w:gridCol w:w="1063"/>
        <w:gridCol w:w="1492"/>
        <w:gridCol w:w="1029"/>
        <w:gridCol w:w="1594"/>
      </w:tblGrid>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华砺智行（武汉）科技有限公司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17</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四川启迪之星企业孵化器有限公司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8"/>
              <w:jc w:val="left"/>
              <w:rPr>
                <w:rFonts w:ascii="宋体" w:hAnsi="宋体" w:cs="宋体" w:eastAsia="宋体" w:hint="default"/>
                <w:sz w:val="18"/>
                <w:szCs w:val="18"/>
              </w:rPr>
            </w:pPr>
            <w:r>
              <w:rPr>
                <w:rFonts w:ascii="宋体" w:hAnsi="宋体" w:cs="宋体" w:eastAsia="宋体" w:hint="default"/>
                <w:sz w:val="18"/>
                <w:szCs w:val="18"/>
              </w:rPr>
              <w:t>董事兼总经 理</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北京启迪数字园区科技服务有限公司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17</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北京启迪香山加速器科技有限公司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启迪之星（三亚）科技企业孵化器有限 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遂宁启迪万博科技孵化器有限公司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04</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启迪国际技术转移有限公司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w:t>
            </w:r>
            <w:r>
              <w:rPr>
                <w:rFonts w:ascii="宋体" w:hAnsi="宋体" w:cs="宋体" w:eastAsia="宋体" w:hint="default"/>
                <w:sz w:val="18"/>
                <w:szCs w:val="18"/>
              </w:rPr>
              <w:t>,</w:t>
            </w:r>
            <w:r>
              <w:rPr>
                <w:rFonts w:ascii="宋体" w:hAnsi="宋体" w:cs="宋体" w:eastAsia="宋体" w:hint="default"/>
                <w:sz w:val="18"/>
                <w:szCs w:val="18"/>
              </w:rPr>
              <w:t>经理</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06</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启迪科技服务有限公司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30</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北京青橙创客教育科技有限公司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30</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2000</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19</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北京创一教育科技有限公司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09</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07</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北京心聆教育科技有限公司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05</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21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深圳前海泰实浩华资本管理有限公司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08</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云南启迪孵化器产业有限公司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13</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任佳伟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北京北信源软件股份有限公司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投资总监</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宋体" w:hAnsi="宋体" w:cs="宋体" w:eastAsia="宋体" w:hint="default"/>
                <w:sz w:val="18"/>
                <w:szCs w:val="18"/>
              </w:rPr>
              <w:t>01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0"/>
        <w:rPr>
          <w:rFonts w:ascii="Times New Roman" w:hAnsi="Times New Roman" w:cs="Times New Roman" w:eastAsia="Times New Roman" w:hint="default"/>
          <w:sz w:val="10"/>
          <w:szCs w:val="10"/>
        </w:rPr>
      </w:pPr>
    </w:p>
    <w:p>
      <w:pPr>
        <w:pStyle w:val="BodyText"/>
        <w:spacing w:line="240" w:lineRule="auto" w:before="26"/>
        <w:ind w:left="634" w:right="1092"/>
        <w:jc w:val="left"/>
      </w:pPr>
      <w:r>
        <w:rPr/>
        <w:t>公司现任及报告期内离任董事、监事和高级管理人员近三年证券监管机构处罚的情况</w:t>
      </w:r>
    </w:p>
    <w:p>
      <w:pPr>
        <w:spacing w:line="240" w:lineRule="auto" w:before="6"/>
        <w:rPr>
          <w:rFonts w:ascii="宋体" w:hAnsi="宋体" w:cs="宋体" w:eastAsia="宋体" w:hint="default"/>
          <w:sz w:val="19"/>
          <w:szCs w:val="19"/>
        </w:rPr>
      </w:pPr>
    </w:p>
    <w:p>
      <w:pPr>
        <w:spacing w:line="525" w:lineRule="auto" w:before="0"/>
        <w:ind w:left="154" w:right="5472" w:firstLine="480"/>
        <w:jc w:val="left"/>
        <w:rPr>
          <w:rFonts w:ascii="宋体" w:hAnsi="宋体" w:cs="宋体" w:eastAsia="宋体" w:hint="default"/>
          <w:sz w:val="24"/>
          <w:szCs w:val="24"/>
        </w:rPr>
      </w:pPr>
      <w:r>
        <w:rPr>
          <w:rFonts w:ascii="宋体" w:hAnsi="宋体" w:cs="宋体" w:eastAsia="宋体" w:hint="default"/>
          <w:sz w:val="24"/>
          <w:szCs w:val="24"/>
        </w:rPr>
        <w:t>□ 适用 √ 不适用 </w:t>
      </w:r>
      <w:bookmarkStart w:name="四、董事、监事、高级管理人员报酬情况" w:id="128"/>
      <w:bookmarkEnd w:id="128"/>
      <w:r>
        <w:rPr>
          <w:rFonts w:ascii="宋体" w:hAnsi="宋体" w:cs="宋体" w:eastAsia="宋体" w:hint="default"/>
          <w:sz w:val="24"/>
          <w:szCs w:val="24"/>
        </w:rPr>
      </w:r>
      <w:r>
        <w:rPr>
          <w:rFonts w:ascii="宋体" w:hAnsi="宋体" w:cs="宋体" w:eastAsia="宋体" w:hint="default"/>
          <w:b/>
          <w:bCs/>
          <w:w w:val="95"/>
          <w:sz w:val="24"/>
          <w:szCs w:val="24"/>
        </w:rPr>
        <w:t>四、董事、监事、高级管理人员报酬情况</w:t>
      </w:r>
      <w:r>
        <w:rPr>
          <w:rFonts w:ascii="宋体" w:hAnsi="宋体" w:cs="宋体" w:eastAsia="宋体" w:hint="default"/>
          <w:sz w:val="24"/>
          <w:szCs w:val="24"/>
        </w:rPr>
      </w:r>
    </w:p>
    <w:p>
      <w:pPr>
        <w:pStyle w:val="BodyText"/>
        <w:spacing w:line="240" w:lineRule="auto" w:before="92"/>
        <w:ind w:left="634" w:right="1092"/>
        <w:jc w:val="left"/>
      </w:pPr>
      <w:r>
        <w:rPr/>
        <w:t>董事、监事、高级管理人员报酬的决策程序、确定依据、实际支付情况</w:t>
      </w:r>
    </w:p>
    <w:p>
      <w:pPr>
        <w:spacing w:line="240" w:lineRule="auto" w:before="3"/>
        <w:rPr>
          <w:rFonts w:ascii="宋体" w:hAnsi="宋体" w:cs="宋体" w:eastAsia="宋体" w:hint="default"/>
          <w:sz w:val="16"/>
          <w:szCs w:val="16"/>
        </w:rPr>
      </w:pPr>
    </w:p>
    <w:tbl>
      <w:tblPr>
        <w:tblW w:w="0" w:type="auto"/>
        <w:jc w:val="left"/>
        <w:tblInd w:w="164" w:type="dxa"/>
        <w:tblLayout w:type="fixed"/>
        <w:tblCellMar>
          <w:top w:w="0" w:type="dxa"/>
          <w:left w:w="0" w:type="dxa"/>
          <w:bottom w:w="0" w:type="dxa"/>
          <w:right w:w="0" w:type="dxa"/>
        </w:tblCellMar>
        <w:tblLook w:val="01E0"/>
      </w:tblPr>
      <w:tblGrid>
        <w:gridCol w:w="2836"/>
        <w:gridCol w:w="6733"/>
      </w:tblGrid>
      <w:tr>
        <w:trPr>
          <w:trHeight w:val="1051" w:hRule="exact"/>
        </w:trPr>
        <w:tc>
          <w:tcPr>
            <w:tcW w:w="283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9" w:lineRule="auto" w:before="62"/>
              <w:ind w:left="2" w:right="3"/>
              <w:jc w:val="left"/>
              <w:rPr>
                <w:rFonts w:ascii="宋体" w:hAnsi="宋体" w:cs="宋体" w:eastAsia="宋体" w:hint="default"/>
                <w:sz w:val="18"/>
                <w:szCs w:val="18"/>
              </w:rPr>
            </w:pPr>
            <w:r>
              <w:rPr>
                <w:rFonts w:ascii="宋体" w:hAnsi="宋体" w:cs="宋体" w:eastAsia="宋体" w:hint="default"/>
                <w:spacing w:val="-5"/>
                <w:sz w:val="18"/>
                <w:szCs w:val="18"/>
              </w:rPr>
              <w:t>董事、监事、高级管理人员报酬的决</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策程序</w:t>
            </w:r>
          </w:p>
        </w:tc>
        <w:tc>
          <w:tcPr>
            <w:tcW w:w="6733"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62"/>
              <w:ind w:left="2" w:right="53"/>
              <w:jc w:val="both"/>
              <w:rPr>
                <w:rFonts w:ascii="宋体" w:hAnsi="宋体" w:cs="宋体" w:eastAsia="宋体" w:hint="default"/>
                <w:sz w:val="18"/>
                <w:szCs w:val="18"/>
              </w:rPr>
            </w:pPr>
            <w:r>
              <w:rPr>
                <w:rFonts w:ascii="宋体" w:hAnsi="宋体" w:cs="宋体" w:eastAsia="宋体" w:hint="default"/>
                <w:sz w:val="18"/>
                <w:szCs w:val="18"/>
              </w:rPr>
              <w:t>公司董事、监事、高级管理人员的报酬由董事会审议通过后，提交股东大会审议。其 中在公司担任工作职务的董事、监事、高级管理人员岗位报酬由公司支付，不再支付 董事、监事津贴。</w:t>
            </w:r>
          </w:p>
        </w:tc>
      </w:tr>
      <w:tr>
        <w:trPr>
          <w:trHeight w:val="739" w:hRule="exact"/>
        </w:trPr>
        <w:tc>
          <w:tcPr>
            <w:tcW w:w="283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62"/>
              <w:ind w:left="2" w:right="3"/>
              <w:jc w:val="left"/>
              <w:rPr>
                <w:rFonts w:ascii="宋体" w:hAnsi="宋体" w:cs="宋体" w:eastAsia="宋体" w:hint="default"/>
                <w:sz w:val="18"/>
                <w:szCs w:val="18"/>
              </w:rPr>
            </w:pPr>
            <w:r>
              <w:rPr>
                <w:rFonts w:ascii="宋体" w:hAnsi="宋体" w:cs="宋体" w:eastAsia="宋体" w:hint="default"/>
                <w:spacing w:val="-5"/>
                <w:sz w:val="18"/>
                <w:szCs w:val="18"/>
              </w:rPr>
              <w:t>董事、监事、高级管理人员报酬确定</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依据</w:t>
            </w:r>
          </w:p>
        </w:tc>
        <w:tc>
          <w:tcPr>
            <w:tcW w:w="673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2"/>
              <w:ind w:left="2" w:right="55"/>
              <w:jc w:val="left"/>
              <w:rPr>
                <w:rFonts w:ascii="宋体" w:hAnsi="宋体" w:cs="宋体" w:eastAsia="宋体" w:hint="default"/>
                <w:sz w:val="18"/>
                <w:szCs w:val="18"/>
              </w:rPr>
            </w:pPr>
            <w:r>
              <w:rPr>
                <w:rFonts w:ascii="宋体" w:hAnsi="宋体" w:cs="宋体" w:eastAsia="宋体" w:hint="default"/>
                <w:sz w:val="18"/>
                <w:szCs w:val="18"/>
              </w:rPr>
              <w:t>根据国家有关法律、法规及《公司章程》的有关规定，以及行业及地区的收入水平， 结合公司实际经营和盈利水平，董事、监事、高级管理人员的分工及履行情况确定。</w:t>
            </w:r>
          </w:p>
        </w:tc>
      </w:tr>
      <w:tr>
        <w:trPr>
          <w:trHeight w:val="739" w:hRule="exact"/>
        </w:trPr>
        <w:tc>
          <w:tcPr>
            <w:tcW w:w="283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62"/>
              <w:ind w:left="2" w:right="3"/>
              <w:jc w:val="left"/>
              <w:rPr>
                <w:rFonts w:ascii="宋体" w:hAnsi="宋体" w:cs="宋体" w:eastAsia="宋体" w:hint="default"/>
                <w:sz w:val="18"/>
                <w:szCs w:val="18"/>
              </w:rPr>
            </w:pPr>
            <w:r>
              <w:rPr>
                <w:rFonts w:ascii="宋体" w:hAnsi="宋体" w:cs="宋体" w:eastAsia="宋体" w:hint="default"/>
                <w:spacing w:val="-5"/>
                <w:sz w:val="18"/>
                <w:szCs w:val="18"/>
              </w:rPr>
              <w:t>董事、监事和高级管理人员报酬的实</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际支付情况</w:t>
            </w:r>
          </w:p>
        </w:tc>
        <w:tc>
          <w:tcPr>
            <w:tcW w:w="6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报告期内，公司已向董事、监事及管理人员全额支付薪酬。</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公司报告期内董事、监事和高级管理人员报酬情况</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8" w:right="47" w:hanging="181"/>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7"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bl>
    <w:p>
      <w:pPr>
        <w:spacing w:after="0" w:line="316"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董事长兼总经理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86.94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雷  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  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王志雄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61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任佳伟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戴和忠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136.05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谢广才</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常务副总经理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142.86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副总经理兼董事 会秘书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101.03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贾庆丰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副总经理兼财务 总监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126.84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鲁  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任免</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101.34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宋洁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44.19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  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38.98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崔嵬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928.59</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7" w:right="0"/>
              <w:jc w:val="left"/>
              <w:rPr>
                <w:rFonts w:ascii="宋体" w:hAnsi="宋体" w:cs="宋体" w:eastAsia="宋体" w:hint="default"/>
                <w:sz w:val="18"/>
                <w:szCs w:val="18"/>
              </w:rPr>
            </w:pPr>
            <w:r>
              <w:rPr>
                <w:rFonts w:ascii="宋体"/>
                <w:sz w:val="18"/>
              </w:rPr>
              <w:t>--</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公司董事、高级管理人员报告期内被授予的股权激励情况</w:t>
      </w:r>
    </w:p>
    <w:p>
      <w:pPr>
        <w:spacing w:line="240" w:lineRule="auto" w:before="6"/>
        <w:rPr>
          <w:rFonts w:ascii="宋体" w:hAnsi="宋体" w:cs="宋体" w:eastAsia="宋体" w:hint="default"/>
          <w:sz w:val="19"/>
          <w:szCs w:val="19"/>
        </w:rPr>
      </w:pPr>
    </w:p>
    <w:p>
      <w:pPr>
        <w:spacing w:line="506" w:lineRule="auto" w:before="0"/>
        <w:ind w:left="154" w:right="7484" w:firstLine="480"/>
        <w:jc w:val="left"/>
        <w:rPr>
          <w:rFonts w:ascii="宋体" w:hAnsi="宋体" w:cs="宋体" w:eastAsia="宋体" w:hint="default"/>
          <w:sz w:val="21"/>
          <w:szCs w:val="21"/>
        </w:rPr>
      </w:pPr>
      <w:r>
        <w:rPr>
          <w:rFonts w:ascii="宋体" w:hAnsi="宋体" w:cs="宋体" w:eastAsia="宋体" w:hint="default"/>
          <w:sz w:val="24"/>
          <w:szCs w:val="24"/>
        </w:rPr>
        <w:t>□ 适用 √ 不适用 </w:t>
      </w:r>
      <w:bookmarkStart w:name="五、公司员工情况" w:id="129"/>
      <w:bookmarkEnd w:id="129"/>
      <w:r>
        <w:rPr>
          <w:rFonts w:ascii="宋体" w:hAnsi="宋体" w:cs="宋体" w:eastAsia="宋体" w:hint="default"/>
          <w:sz w:val="24"/>
          <w:szCs w:val="24"/>
        </w:rPr>
      </w:r>
      <w:r>
        <w:rPr>
          <w:rFonts w:ascii="宋体" w:hAnsi="宋体" w:cs="宋体" w:eastAsia="宋体" w:hint="default"/>
          <w:b/>
          <w:bCs/>
          <w:sz w:val="24"/>
          <w:szCs w:val="24"/>
        </w:rPr>
        <w:t>五、公司员工情况</w:t>
      </w:r>
      <w:r>
        <w:rPr>
          <w:rFonts w:ascii="宋体" w:hAnsi="宋体" w:cs="宋体" w:eastAsia="宋体" w:hint="default"/>
          <w:b/>
          <w:bCs/>
          <w:w w:val="99"/>
          <w:sz w:val="24"/>
          <w:szCs w:val="24"/>
        </w:rPr>
        <w:t> </w:t>
      </w:r>
      <w:bookmarkStart w:name="1、员工数量、专业构成及教育程度" w:id="130"/>
      <w:bookmarkEnd w:id="130"/>
      <w:r>
        <w:rPr>
          <w:rFonts w:ascii="宋体" w:hAnsi="宋体" w:cs="宋体" w:eastAsia="宋体" w:hint="default"/>
          <w:b/>
          <w:bCs/>
          <w:w w:val="99"/>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、员工数量、专业构成及教育程度</w:t>
      </w:r>
      <w:r>
        <w:rPr>
          <w:rFonts w:ascii="宋体" w:hAnsi="宋体" w:cs="宋体" w:eastAsia="宋体" w:hint="default"/>
          <w:sz w:val="21"/>
          <w:szCs w:val="21"/>
        </w:rPr>
      </w:r>
    </w:p>
    <w:p>
      <w:pPr>
        <w:spacing w:line="240" w:lineRule="auto" w:before="1"/>
        <w:rPr>
          <w:rFonts w:ascii="宋体" w:hAnsi="宋体" w:cs="宋体" w:eastAsia="宋体" w:hint="default"/>
          <w:b/>
          <w:bCs/>
          <w:sz w:val="9"/>
          <w:szCs w:val="9"/>
        </w:rPr>
      </w:pPr>
    </w:p>
    <w:tbl>
      <w:tblPr>
        <w:tblW w:w="0" w:type="auto"/>
        <w:jc w:val="left"/>
        <w:tblInd w:w="160" w:type="dxa"/>
        <w:tblLayout w:type="fixed"/>
        <w:tblCellMar>
          <w:top w:w="0" w:type="dxa"/>
          <w:left w:w="0" w:type="dxa"/>
          <w:bottom w:w="0" w:type="dxa"/>
          <w:right w:w="0" w:type="dxa"/>
        </w:tblCellMar>
        <w:tblLook w:val="01E0"/>
      </w:tblPr>
      <w:tblGrid>
        <w:gridCol w:w="4767"/>
        <w:gridCol w:w="4790"/>
      </w:tblGrid>
      <w:tr>
        <w:trPr>
          <w:trHeight w:val="402"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283</w:t>
            </w:r>
          </w:p>
        </w:tc>
      </w:tr>
      <w:tr>
        <w:trPr>
          <w:trHeight w:val="402"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486</w:t>
            </w:r>
          </w:p>
        </w:tc>
      </w:tr>
      <w:tr>
        <w:trPr>
          <w:trHeight w:val="402"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769</w:t>
            </w:r>
          </w:p>
        </w:tc>
      </w:tr>
      <w:tr>
        <w:trPr>
          <w:trHeight w:val="402"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769</w:t>
            </w:r>
          </w:p>
        </w:tc>
      </w:tr>
      <w:tr>
        <w:trPr>
          <w:trHeight w:val="407"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39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7" w:hRule="exact"/>
        </w:trPr>
        <w:tc>
          <w:tcPr>
            <w:tcW w:w="4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 w:right="4"/>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583"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b/>
          <w:bCs/>
          <w:sz w:val="24"/>
          <w:szCs w:val="24"/>
        </w:rPr>
      </w:pPr>
    </w:p>
    <w:tbl>
      <w:tblPr>
        <w:tblW w:w="0" w:type="auto"/>
        <w:jc w:val="left"/>
        <w:tblInd w:w="160" w:type="dxa"/>
        <w:tblLayout w:type="fixed"/>
        <w:tblCellMar>
          <w:top w:w="0" w:type="dxa"/>
          <w:left w:w="0" w:type="dxa"/>
          <w:bottom w:w="0" w:type="dxa"/>
          <w:right w:w="0" w:type="dxa"/>
        </w:tblCellMar>
        <w:tblLook w:val="01E0"/>
      </w:tblPr>
      <w:tblGrid>
        <w:gridCol w:w="4768"/>
        <w:gridCol w:w="4790"/>
      </w:tblGrid>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459</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105</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140</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w:t>
            </w:r>
          </w:p>
        </w:tc>
      </w:tr>
      <w:tr>
        <w:trPr>
          <w:trHeight w:val="407"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769</w:t>
            </w:r>
          </w:p>
        </w:tc>
      </w:tr>
      <w:tr>
        <w:trPr>
          <w:trHeight w:val="39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7"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1"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8"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研究生及以上</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96</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481</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192</w:t>
            </w:r>
          </w:p>
        </w:tc>
      </w:tr>
      <w:tr>
        <w:trPr>
          <w:trHeight w:val="402" w:hRule="exact"/>
        </w:trPr>
        <w:tc>
          <w:tcPr>
            <w:tcW w:w="47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769</w:t>
            </w:r>
          </w:p>
        </w:tc>
      </w:tr>
    </w:tbl>
    <w:p>
      <w:pPr>
        <w:spacing w:line="240" w:lineRule="auto" w:before="2"/>
        <w:rPr>
          <w:rFonts w:ascii="宋体" w:hAnsi="宋体" w:cs="宋体" w:eastAsia="宋体" w:hint="default"/>
          <w:b/>
          <w:bCs/>
          <w:sz w:val="19"/>
          <w:szCs w:val="19"/>
        </w:rPr>
      </w:pPr>
    </w:p>
    <w:p>
      <w:pPr>
        <w:spacing w:before="35"/>
        <w:ind w:left="154" w:right="1092" w:firstLine="0"/>
        <w:jc w:val="left"/>
        <w:rPr>
          <w:rFonts w:ascii="宋体" w:hAnsi="宋体" w:cs="宋体" w:eastAsia="宋体" w:hint="default"/>
          <w:sz w:val="21"/>
          <w:szCs w:val="21"/>
        </w:rPr>
      </w:pPr>
      <w:bookmarkStart w:name="2、薪酬政策" w:id="131"/>
      <w:bookmarkEnd w:id="131"/>
      <w:r>
        <w:rPr/>
      </w:r>
      <w:r>
        <w:rPr>
          <w:rFonts w:ascii="宋体" w:hAnsi="宋体" w:cs="宋体" w:eastAsia="宋体" w:hint="default"/>
          <w:b/>
          <w:bCs/>
          <w:sz w:val="21"/>
          <w:szCs w:val="21"/>
        </w:rPr>
        <w:t>2</w:t>
      </w:r>
      <w:r>
        <w:rPr>
          <w:rFonts w:ascii="宋体" w:hAnsi="宋体" w:cs="宋体" w:eastAsia="宋体" w:hint="default"/>
          <w:b/>
          <w:bCs/>
          <w:sz w:val="21"/>
          <w:szCs w:val="21"/>
        </w:rPr>
        <w:t>、薪酬政策</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9" w:firstLine="480"/>
        <w:jc w:val="both"/>
      </w:pPr>
      <w:r>
        <w:rPr/>
        <w:t>公司奉行“承担社会责任、贯彻股东精神、让员工满意”的宗旨，制定切合公司实际且 具有一定竞争力的薪酬政策。建立兼顾内部公平性和市场竞争性的薪酬体系，努力实现员工 在薪酬分配上的“责任与利益一致、能力与价值一致、业绩与收益一致”的目标，促进公司 持续、稳定、健康发展。</w:t>
      </w:r>
    </w:p>
    <w:p>
      <w:pPr>
        <w:pStyle w:val="BodyText"/>
        <w:spacing w:line="357" w:lineRule="auto" w:before="136"/>
        <w:ind w:right="994" w:firstLine="480"/>
        <w:jc w:val="left"/>
      </w:pPr>
      <w:r>
        <w:rPr/>
        <w:t>公司实行整体薪酬体系，整体薪酬指员工从公司获得的经济性和非经济性的报酬。经济 </w:t>
      </w:r>
      <w:r>
        <w:rPr>
          <w:spacing w:val="-2"/>
        </w:rPr>
        <w:t>性报酬由直接经济报酬和间接经济报酬构成。直接经济报酬指以现金形式支付给员工的报酬，</w:t>
      </w:r>
      <w:r>
        <w:rPr/>
        <w:t> 具体包括基本工资、绩效工资、各项提成、年度奖金、补贴等。间接经济报酬指不直接支付 现金的报酬，具体包括社保、福利、在职培训等。非经济性的报酬指员工获得的心理上的满 足和自身价值的提高。具体包括轮岗的机会、舒适的工作环境等，在创建和谐团队的同时提 </w:t>
      </w:r>
      <w:r>
        <w:rPr>
          <w:spacing w:val="-3"/>
        </w:rPr>
        <w:t>高了企业团队凝聚力。除此之外，为达到进一步激励人才的目的，公司实施了股权激励计划，</w:t>
      </w:r>
      <w:r>
        <w:rPr>
          <w:spacing w:val="-81"/>
        </w:rPr>
        <w:t> </w:t>
      </w:r>
      <w:r>
        <w:rPr>
          <w:spacing w:val="-81"/>
        </w:rPr>
      </w:r>
      <w:r>
        <w:rPr/>
        <w:t>极大的激励了核心管理者和骨干员工的积极性和创造性，将企业经营价值和员工进行分享， 提高核心员工的满意度。</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3、培训计划" w:id="132"/>
      <w:bookmarkEnd w:id="132"/>
      <w:r>
        <w:rPr/>
      </w:r>
      <w:r>
        <w:rPr>
          <w:rFonts w:ascii="宋体" w:hAnsi="宋体" w:cs="宋体" w:eastAsia="宋体" w:hint="default"/>
          <w:b/>
          <w:bCs/>
          <w:sz w:val="21"/>
          <w:szCs w:val="21"/>
        </w:rPr>
        <w:t>3</w:t>
      </w:r>
      <w:r>
        <w:rPr>
          <w:rFonts w:ascii="宋体" w:hAnsi="宋体" w:cs="宋体" w:eastAsia="宋体" w:hint="default"/>
          <w:b/>
          <w:bCs/>
          <w:sz w:val="21"/>
          <w:szCs w:val="21"/>
        </w:rPr>
        <w:t>、培训计划</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2"/>
        <w:ind w:right="1133" w:firstLine="480"/>
        <w:jc w:val="both"/>
      </w:pPr>
      <w:r>
        <w:rPr/>
        <w:t>公司培训与人才发展工作紧密围绕公司人才战略、人力资源规划、年度经营目标开展， 制定年度培训计划并认真落实，培训教育工作取得了新的进展。相继开展了青干班培训、管 理培训生、高级管理人员等一系列人才发展与管理培训课程，进一步增强了公司各类人才的</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right="0"/>
        <w:jc w:val="left"/>
      </w:pPr>
      <w:r>
        <w:rPr/>
        <w:t>业务知识和管理能力，保证了人才梯队的建设，为业务发展提供合格的管理人才与专业人才。</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劳务外包情况" w:id="133"/>
      <w:bookmarkEnd w:id="133"/>
      <w:r>
        <w:rPr/>
      </w:r>
      <w:r>
        <w:rPr>
          <w:rFonts w:ascii="宋体" w:hAnsi="宋体" w:cs="宋体" w:eastAsia="宋体" w:hint="default"/>
          <w:b/>
          <w:bCs/>
          <w:sz w:val="21"/>
          <w:szCs w:val="21"/>
        </w:rPr>
        <w:t>4</w:t>
      </w:r>
      <w:r>
        <w:rPr>
          <w:rFonts w:ascii="宋体" w:hAnsi="宋体" w:cs="宋体" w:eastAsia="宋体" w:hint="default"/>
          <w:b/>
          <w:bCs/>
          <w:sz w:val="21"/>
          <w:szCs w:val="21"/>
        </w:rPr>
        <w:t>、劳务外包情况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after="0" w:line="240" w:lineRule="auto"/>
        <w:jc w:val="left"/>
        <w:sectPr>
          <w:pgSz w:w="11910" w:h="16840"/>
          <w:pgMar w:header="877"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4"/>
        <w:ind w:right="1112"/>
        <w:jc w:val="center"/>
        <w:rPr>
          <w:b w:val="0"/>
          <w:bCs w:val="0"/>
        </w:rPr>
      </w:pPr>
      <w:bookmarkStart w:name="第九节 公司治理" w:id="134"/>
      <w:bookmarkEnd w:id="134"/>
      <w:r>
        <w:rPr>
          <w:b w:val="0"/>
          <w:bCs w:val="0"/>
        </w:rPr>
      </w:r>
      <w:bookmarkStart w:name="_bookmark7" w:id="135"/>
      <w:bookmarkEnd w:id="135"/>
      <w:r>
        <w:rPr>
          <w:b w:val="0"/>
          <w:bCs w:val="0"/>
        </w:rPr>
      </w:r>
      <w:r>
        <w:rPr/>
        <w:t>第九节</w:t>
      </w:r>
      <w:r>
        <w:rPr>
          <w:spacing w:val="-5"/>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ind w:right="0"/>
        <w:jc w:val="both"/>
        <w:rPr>
          <w:b w:val="0"/>
          <w:bCs w:val="0"/>
        </w:rPr>
      </w:pPr>
      <w:bookmarkStart w:name="一、公司治理的基本状况" w:id="136"/>
      <w:bookmarkEnd w:id="136"/>
      <w:r>
        <w:rPr>
          <w:b w:val="0"/>
          <w:bCs w:val="0"/>
        </w:rPr>
      </w:r>
      <w:r>
        <w:rPr/>
        <w:t>一、公司治理的基本状况</w:t>
      </w:r>
      <w:r>
        <w:rPr>
          <w:b w:val="0"/>
          <w:bCs w:val="0"/>
        </w:rPr>
      </w:r>
    </w:p>
    <w:p>
      <w:pPr>
        <w:spacing w:line="240" w:lineRule="auto" w:before="10"/>
        <w:rPr>
          <w:rFonts w:ascii="宋体" w:hAnsi="宋体" w:cs="宋体" w:eastAsia="宋体" w:hint="default"/>
          <w:b/>
          <w:bCs/>
          <w:sz w:val="28"/>
          <w:szCs w:val="28"/>
        </w:rPr>
      </w:pPr>
    </w:p>
    <w:p>
      <w:pPr>
        <w:pStyle w:val="BodyText"/>
        <w:spacing w:line="240" w:lineRule="auto"/>
        <w:ind w:left="634" w:right="0"/>
        <w:jc w:val="left"/>
      </w:pPr>
      <w:r>
        <w:rPr/>
        <w:t>报告期内</w:t>
      </w:r>
      <w:r>
        <w:rPr>
          <w:spacing w:val="-51"/>
        </w:rPr>
        <w:t>，</w:t>
      </w:r>
      <w:r>
        <w:rPr/>
        <w:t>公司严格按</w:t>
      </w:r>
      <w:r>
        <w:rPr>
          <w:spacing w:val="-51"/>
        </w:rPr>
        <w:t>照</w:t>
      </w:r>
      <w:r>
        <w:rPr/>
        <w:t>《公司法</w:t>
      </w:r>
      <w:r>
        <w:rPr>
          <w:spacing w:val="-120"/>
        </w:rPr>
        <w:t>》</w:t>
      </w:r>
      <w:r>
        <w:rPr>
          <w:spacing w:val="-171"/>
        </w:rPr>
        <w:t>、</w:t>
      </w:r>
      <w:r>
        <w:rPr/>
        <w:t>《证券法</w:t>
      </w:r>
      <w:r>
        <w:rPr>
          <w:spacing w:val="-120"/>
        </w:rPr>
        <w:t>》</w:t>
      </w:r>
      <w:r>
        <w:rPr>
          <w:spacing w:val="-171"/>
        </w:rPr>
        <w:t>、</w:t>
      </w:r>
      <w:r>
        <w:rPr/>
        <w:t>《深圳证券交易所创业板股票上市规则</w:t>
      </w:r>
      <w:r>
        <w:rPr>
          <w:spacing w:val="-120"/>
        </w:rPr>
        <w:t>》</w:t>
      </w:r>
      <w:r>
        <w:rPr/>
        <w:t>、</w:t>
      </w:r>
    </w:p>
    <w:p>
      <w:pPr>
        <w:pStyle w:val="BodyText"/>
        <w:spacing w:line="357" w:lineRule="auto" w:before="154"/>
        <w:ind w:right="1129"/>
        <w:jc w:val="both"/>
      </w:pPr>
      <w:r>
        <w:rPr/>
        <w:t>《深圳证券交易所创业板上市公司规范运作指引》等相关法律、法规和规范性文件的要求，</w:t>
      </w:r>
      <w:r>
        <w:rPr>
          <w:spacing w:val="-110"/>
        </w:rPr>
        <w:t> </w:t>
      </w:r>
      <w:r>
        <w:rPr>
          <w:spacing w:val="-110"/>
        </w:rPr>
      </w:r>
      <w:r>
        <w:rPr/>
        <w:t>不断完善公司治理结构，进一步提高公司治理水平。公司确立了由股东大会、董事会、监事</w:t>
      </w:r>
      <w:r>
        <w:rPr/>
        <w:t> 会和经营管理层组成的公司治理结构，建立健全了股东大会、董事会、监事会、独立董事、 董事会秘书等相关制度。目前，公司在治理方面的各项规章制度配套齐全，主要有《公司章 </w:t>
      </w:r>
      <w:r>
        <w:rPr>
          <w:spacing w:val="-31"/>
        </w:rPr>
        <w:t>程》、《股东大会议事规则》、《董事会议事规则》、《监事会议事规则》、《总经理工作细则》、《独</w:t>
      </w:r>
      <w:r>
        <w:rPr>
          <w:spacing w:val="-99"/>
        </w:rPr>
        <w:t> </w:t>
      </w:r>
      <w:r>
        <w:rPr>
          <w:spacing w:val="-99"/>
        </w:rPr>
      </w:r>
      <w:r>
        <w:rPr>
          <w:spacing w:val="-26"/>
        </w:rPr>
        <w:t>立董事工作细则》、《董事会秘书工作制度》、《信息披露管理办法》、《关联交易管理办法》、《募</w:t>
      </w:r>
      <w:r>
        <w:rPr>
          <w:spacing w:val="-114"/>
        </w:rPr>
        <w:t> </w:t>
      </w:r>
      <w:r>
        <w:rPr>
          <w:spacing w:val="-114"/>
        </w:rPr>
      </w:r>
      <w:r>
        <w:rPr>
          <w:spacing w:val="-17"/>
        </w:rPr>
        <w:t>集资金使用管理制度》、《对外投资管理制度》、《对外担保管理制度》、《内部审计制度》等。</w:t>
      </w:r>
      <w:r>
        <w:rPr>
          <w:spacing w:val="-108"/>
        </w:rPr>
        <w:t> </w:t>
      </w:r>
      <w:r>
        <w:rPr>
          <w:spacing w:val="-108"/>
        </w:rPr>
      </w:r>
      <w:r>
        <w:rPr/>
        <w:t>此外，公司持续深入开展公司治理活动，不断加强信息披露工作，进一步提高了公司规范运 作和治理水平，形成了规范的股东大会、董事会、监事会和经理层的经营决策机制，切实维 护公司及全体股东利益。</w:t>
      </w:r>
    </w:p>
    <w:p>
      <w:pPr>
        <w:pStyle w:val="BodyText"/>
        <w:spacing w:line="432" w:lineRule="auto" w:before="137"/>
        <w:ind w:left="634" w:right="999"/>
        <w:jc w:val="left"/>
      </w:pPr>
      <w:r>
        <w:rPr/>
        <w:t>（一）关于股东与股东大会 </w:t>
      </w:r>
      <w:r>
        <w:rPr>
          <w:spacing w:val="-20"/>
        </w:rPr>
        <w:t>公司严格按照《公司法》、《上市公司股东大会规则》、《公司章程》、《股东大会议事规则》</w:t>
      </w:r>
    </w:p>
    <w:p>
      <w:pPr>
        <w:pStyle w:val="BodyText"/>
        <w:spacing w:line="276" w:lineRule="exact"/>
        <w:ind w:right="0"/>
        <w:jc w:val="both"/>
      </w:pPr>
      <w:r>
        <w:rPr>
          <w:spacing w:val="-3"/>
        </w:rPr>
        <w:t>等规定和要求，规范地召集、召开股东大会，平等地对待所有股东，使其充分行使股东权利。</w:t>
      </w:r>
    </w:p>
    <w:p>
      <w:pPr>
        <w:pStyle w:val="BodyText"/>
        <w:spacing w:line="357" w:lineRule="auto" w:before="154"/>
        <w:ind w:right="1133"/>
        <w:jc w:val="both"/>
      </w:pPr>
      <w:r>
        <w:rPr/>
        <w:t>公司股东大会就会议通知所列明的议案依次进行审议，议案审议符合程序，出席股东大会会 议人员的资格合法有效。股东大会设有股东讨论环节，股东可充分表达自己的意见，公司管</w:t>
      </w:r>
      <w:r>
        <w:rPr>
          <w:spacing w:val="-113"/>
        </w:rPr>
        <w:t> </w:t>
      </w:r>
      <w:r>
        <w:rPr>
          <w:spacing w:val="-113"/>
        </w:rPr>
      </w:r>
      <w:r>
        <w:rPr/>
        <w:t>理层对于股东的提问、质询也尽量予以解答，以确保中小股东的话语权。召开股东大会时， 公司按相关要求提供网络投票方式为全体股东参与投票表决提供便利。此外，公司聘请律师 见证，保证会议召集、召开和表决程序的合法性，维护了公司和股东的合法权益。</w:t>
      </w:r>
    </w:p>
    <w:p>
      <w:pPr>
        <w:pStyle w:val="BodyText"/>
        <w:spacing w:line="432" w:lineRule="auto" w:before="136"/>
        <w:ind w:left="634" w:right="1092"/>
        <w:jc w:val="left"/>
      </w:pPr>
      <w:r>
        <w:rPr/>
        <w:t>（二）关于公司与控股股东 公司的控股股东、实际控制人为童之磊先生。控股股东能依据法律、法规及公司的规章</w:t>
      </w:r>
    </w:p>
    <w:p>
      <w:pPr>
        <w:pStyle w:val="BodyText"/>
        <w:spacing w:line="276" w:lineRule="exact"/>
        <w:ind w:right="0"/>
        <w:jc w:val="both"/>
      </w:pPr>
      <w:r>
        <w:rPr/>
        <w:t>管理制度行使权力，并承担相应的义务，履行相关承诺。不存在控股股东利用其控股地位侵</w:t>
      </w:r>
    </w:p>
    <w:p>
      <w:pPr>
        <w:pStyle w:val="BodyText"/>
        <w:spacing w:line="357" w:lineRule="auto" w:before="154"/>
        <w:ind w:right="1129"/>
        <w:jc w:val="both"/>
      </w:pPr>
      <w:r>
        <w:rPr/>
        <w:t>害其他股东利益的行为，也没有超越股东大会或董事会直接或间接干预公司的决策和经营活</w:t>
      </w:r>
      <w:r>
        <w:rPr>
          <w:spacing w:val="-109"/>
        </w:rPr>
        <w:t> </w:t>
      </w:r>
      <w:r>
        <w:rPr>
          <w:spacing w:val="-109"/>
        </w:rPr>
      </w:r>
      <w:r>
        <w:rPr/>
        <w:t>动，不存在控股股东非经营性占用公司资金以及公司为控股股东提供担保的情形。</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left="634" w:right="1092"/>
        <w:jc w:val="left"/>
      </w:pPr>
      <w:r>
        <w:rPr/>
        <w:t>（三）关于董事与董事会</w:t>
      </w:r>
    </w:p>
    <w:p>
      <w:pPr>
        <w:spacing w:line="240" w:lineRule="auto" w:before="4"/>
        <w:rPr>
          <w:rFonts w:ascii="宋体" w:hAnsi="宋体" w:cs="宋体" w:eastAsia="宋体" w:hint="default"/>
          <w:sz w:val="19"/>
          <w:szCs w:val="19"/>
        </w:rPr>
      </w:pPr>
    </w:p>
    <w:p>
      <w:pPr>
        <w:pStyle w:val="BodyText"/>
        <w:spacing w:line="357" w:lineRule="auto"/>
        <w:ind w:right="1131" w:firstLine="480"/>
        <w:jc w:val="both"/>
      </w:pPr>
      <w:r>
        <w:rPr/>
        <w:t>公司董事会成员共</w:t>
      </w:r>
      <w:r>
        <w:rPr>
          <w:spacing w:val="-50"/>
        </w:rPr>
        <w:t> </w:t>
      </w:r>
      <w:r>
        <w:rPr>
          <w:rFonts w:ascii="宋体" w:hAnsi="宋体" w:cs="宋体" w:eastAsia="宋体" w:hint="default"/>
        </w:rPr>
        <w:t>7</w:t>
      </w:r>
      <w:r>
        <w:rPr>
          <w:rFonts w:ascii="宋体" w:hAnsi="宋体" w:cs="宋体" w:eastAsia="宋体" w:hint="default"/>
          <w:spacing w:val="-51"/>
        </w:rPr>
        <w:t> </w:t>
      </w:r>
      <w:r>
        <w:rPr/>
        <w:t>人，其中独立董事</w:t>
      </w:r>
      <w:r>
        <w:rPr>
          <w:spacing w:val="-50"/>
        </w:rPr>
        <w:t> </w:t>
      </w:r>
      <w:r>
        <w:rPr>
          <w:rFonts w:ascii="宋体" w:hAnsi="宋体" w:cs="宋体" w:eastAsia="宋体" w:hint="default"/>
        </w:rPr>
        <w:t>3</w:t>
      </w:r>
      <w:r>
        <w:rPr>
          <w:rFonts w:ascii="宋体" w:hAnsi="宋体" w:cs="宋体" w:eastAsia="宋体" w:hint="default"/>
          <w:spacing w:val="-51"/>
        </w:rPr>
        <w:t> </w:t>
      </w:r>
      <w:r>
        <w:rPr/>
        <w:t>人，占全体董事的三分之一以上，均由股东大 会选举产生，由公司高级管理人员担任的董事不超过董事总数的</w:t>
      </w:r>
      <w:r>
        <w:rPr>
          <w:spacing w:val="8"/>
        </w:rPr>
        <w:t> </w:t>
      </w:r>
      <w:r>
        <w:rPr>
          <w:rFonts w:ascii="宋体" w:hAnsi="宋体" w:cs="宋体" w:eastAsia="宋体" w:hint="default"/>
        </w:rPr>
        <w:t>1/3</w:t>
      </w:r>
      <w:r>
        <w:rPr/>
        <w:t>，董事会的人数及人员 </w:t>
      </w:r>
      <w:r>
        <w:rPr>
          <w:spacing w:val="-5"/>
        </w:rPr>
        <w:t>构成符合法律、法规和《公司章程》的有关规定。公司全体董事的任职资格和任免均按照《公</w:t>
      </w:r>
      <w:r>
        <w:rPr/>
        <w:t> </w:t>
      </w:r>
      <w:r>
        <w:rPr>
          <w:spacing w:val="-8"/>
        </w:rPr>
        <w:t>司法》、《创业板上市规则》及《公司章程》等规定执行，符合法定程序。</w:t>
      </w:r>
    </w:p>
    <w:p>
      <w:pPr>
        <w:pStyle w:val="BodyText"/>
        <w:spacing w:line="357" w:lineRule="auto" w:before="136"/>
        <w:ind w:right="999" w:firstLine="480"/>
        <w:jc w:val="left"/>
      </w:pPr>
      <w:r>
        <w:rPr>
          <w:spacing w:val="-3"/>
        </w:rPr>
        <w:t>全体董事诚实守信、勤勉尽责，积极出席董事会和股东大会，认真审议各项董事会议案，</w:t>
      </w:r>
      <w:r>
        <w:rPr/>
        <w:t> 忠诚于公司和全体股东的利益，保护中小股东的合法权益不受侵害。同时，独立董事以其所</w:t>
      </w:r>
      <w:r>
        <w:rPr>
          <w:spacing w:val="-117"/>
        </w:rPr>
        <w:t> </w:t>
      </w:r>
      <w:r>
        <w:rPr>
          <w:spacing w:val="-117"/>
        </w:rPr>
      </w:r>
      <w:r>
        <w:rPr/>
        <w:t>具备的丰富的专业知识和勤勉尽责的职业道德在董事会制定公司发展战略、发展计划和进行 生产经营决策等方面发挥了重要的作用，有力地保障了董事会决策的科学性和公正性。</w:t>
      </w:r>
    </w:p>
    <w:p>
      <w:pPr>
        <w:pStyle w:val="BodyText"/>
        <w:spacing w:line="240" w:lineRule="auto" w:before="136"/>
        <w:ind w:left="634" w:right="1092"/>
        <w:jc w:val="left"/>
      </w:pPr>
      <w:r>
        <w:rPr/>
        <w:t>（四）关于监事与监事会</w:t>
      </w:r>
    </w:p>
    <w:p>
      <w:pPr>
        <w:spacing w:line="240" w:lineRule="auto" w:before="4"/>
        <w:rPr>
          <w:rFonts w:ascii="宋体" w:hAnsi="宋体" w:cs="宋体" w:eastAsia="宋体" w:hint="default"/>
          <w:sz w:val="19"/>
          <w:szCs w:val="19"/>
        </w:rPr>
      </w:pPr>
    </w:p>
    <w:p>
      <w:pPr>
        <w:pStyle w:val="BodyText"/>
        <w:spacing w:line="357" w:lineRule="auto"/>
        <w:ind w:right="1129" w:firstLine="480"/>
        <w:jc w:val="both"/>
      </w:pPr>
      <w:r>
        <w:rPr/>
        <w:t>公司监事会成员共</w:t>
      </w:r>
      <w:r>
        <w:rPr>
          <w:spacing w:val="-54"/>
        </w:rPr>
        <w:t> </w:t>
      </w:r>
      <w:r>
        <w:rPr>
          <w:rFonts w:ascii="宋体" w:hAnsi="宋体" w:cs="宋体" w:eastAsia="宋体" w:hint="default"/>
        </w:rPr>
        <w:t>3</w:t>
      </w:r>
      <w:r>
        <w:rPr>
          <w:rFonts w:ascii="宋体" w:hAnsi="宋体" w:cs="宋体" w:eastAsia="宋体" w:hint="default"/>
          <w:spacing w:val="-54"/>
        </w:rPr>
        <w:t> </w:t>
      </w:r>
      <w:r>
        <w:rPr/>
        <w:t>人，其中职工代表监事</w:t>
      </w:r>
      <w:r>
        <w:rPr>
          <w:spacing w:val="-54"/>
        </w:rPr>
        <w:t> </w:t>
      </w:r>
      <w:r>
        <w:rPr>
          <w:rFonts w:ascii="宋体" w:hAnsi="宋体" w:cs="宋体" w:eastAsia="宋体" w:hint="default"/>
        </w:rPr>
        <w:t>1</w:t>
      </w:r>
      <w:r>
        <w:rPr>
          <w:rFonts w:ascii="宋体" w:hAnsi="宋体" w:cs="宋体" w:eastAsia="宋体" w:hint="default"/>
          <w:spacing w:val="-53"/>
        </w:rPr>
        <w:t> </w:t>
      </w:r>
      <w:r>
        <w:rPr/>
        <w:t>人，股东代表监事</w:t>
      </w:r>
      <w:r>
        <w:rPr>
          <w:spacing w:val="-54"/>
        </w:rPr>
        <w:t> </w:t>
      </w:r>
      <w:r>
        <w:rPr>
          <w:rFonts w:ascii="宋体" w:hAnsi="宋体" w:cs="宋体" w:eastAsia="宋体" w:hint="default"/>
        </w:rPr>
        <w:t>2</w:t>
      </w:r>
      <w:r>
        <w:rPr>
          <w:rFonts w:ascii="宋体" w:hAnsi="宋体" w:cs="宋体" w:eastAsia="宋体" w:hint="default"/>
          <w:spacing w:val="-54"/>
        </w:rPr>
        <w:t> </w:t>
      </w:r>
      <w:r>
        <w:rPr/>
        <w:t>人。监事会的人数及 </w:t>
      </w:r>
      <w:r>
        <w:rPr>
          <w:spacing w:val="-5"/>
        </w:rPr>
        <w:t>人员构成符合法律、法规和《公司章程》的要求。公司全体监事的任职资格和任免均按照《公</w:t>
      </w:r>
      <w:r>
        <w:rPr/>
        <w:t> </w:t>
      </w:r>
      <w:r>
        <w:rPr>
          <w:spacing w:val="-11"/>
        </w:rPr>
        <w:t>司法》、《公司章程》等规定执行，符合法定程序。</w:t>
      </w:r>
    </w:p>
    <w:p>
      <w:pPr>
        <w:pStyle w:val="BodyText"/>
        <w:spacing w:line="360" w:lineRule="auto" w:before="136"/>
        <w:ind w:right="999" w:firstLine="480"/>
        <w:jc w:val="left"/>
      </w:pPr>
      <w:r>
        <w:rPr>
          <w:spacing w:val="-3"/>
        </w:rPr>
        <w:t>公司监事能够按照《监事会议事规则》的规定，认真履行自己的职责，对公司重大事项、</w:t>
      </w:r>
      <w:r>
        <w:rPr/>
        <w:t> 财务状况、董事和高级管理人员的履职情况等进行有效监督并发表意见。</w:t>
      </w:r>
    </w:p>
    <w:p>
      <w:pPr>
        <w:pStyle w:val="BodyText"/>
        <w:spacing w:line="432" w:lineRule="auto" w:before="133"/>
        <w:ind w:left="634" w:right="1092"/>
        <w:jc w:val="left"/>
      </w:pPr>
      <w:r>
        <w:rPr/>
        <w:t>（五）关于经理层 公司《总经理工作细则》明确了总经理的权利和义务。公司经理层在任期内严格按照相</w:t>
      </w:r>
    </w:p>
    <w:p>
      <w:pPr>
        <w:pStyle w:val="BodyText"/>
        <w:spacing w:line="276" w:lineRule="exact"/>
        <w:ind w:right="0"/>
        <w:jc w:val="both"/>
      </w:pPr>
      <w:r>
        <w:rPr/>
        <w:t>关规则行使职权，并对公司日常生产经营实施有效控制。公司经理层没有越权行使职权的行</w:t>
      </w:r>
    </w:p>
    <w:p>
      <w:pPr>
        <w:pStyle w:val="BodyText"/>
        <w:spacing w:line="357" w:lineRule="auto" w:before="154"/>
        <w:ind w:right="1139"/>
        <w:jc w:val="both"/>
      </w:pPr>
      <w:r>
        <w:rPr/>
        <w:t>为，董事会和监事会能对公司经理层实施有效的监督和制约。公司总经理等高级管理人员忠 实履行职务，能够维护公司和全体股东的利益，目前未发生过因未能忠实履行职务，违背诚 信义务，侵害公司和股东利益的行为。</w:t>
      </w:r>
    </w:p>
    <w:p>
      <w:pPr>
        <w:pStyle w:val="BodyText"/>
        <w:spacing w:line="432" w:lineRule="auto" w:before="137"/>
        <w:ind w:left="634" w:right="1092"/>
        <w:jc w:val="left"/>
      </w:pPr>
      <w:r>
        <w:rPr/>
        <w:t>（六）关于公司内部控制 目前，已经纳入公司内控范畴的领域有公司治理结构、组织机构、人力资源管理、内部</w:t>
      </w:r>
    </w:p>
    <w:p>
      <w:pPr>
        <w:pStyle w:val="BodyText"/>
        <w:spacing w:line="276" w:lineRule="exact"/>
        <w:ind w:right="0"/>
        <w:jc w:val="both"/>
      </w:pPr>
      <w:r>
        <w:rPr/>
        <w:t>审计机构、资金的内部控制、销售与收款、采购与付款、资产管理、对控股子公司的控制、</w:t>
      </w:r>
    </w:p>
    <w:p>
      <w:pPr>
        <w:pStyle w:val="BodyText"/>
        <w:spacing w:line="360" w:lineRule="auto" w:before="154"/>
        <w:ind w:right="1139"/>
        <w:jc w:val="both"/>
      </w:pPr>
      <w:r>
        <w:rPr/>
        <w:t>关联交易的内部控制、对外担保的内部控制、对外投资的内部控制、对募集资金的控制、对 信息披露的内部控制等。内控制度得到了有效执行，相关风险得到有效控制。</w:t>
      </w:r>
    </w:p>
    <w:p>
      <w:pPr>
        <w:pStyle w:val="BodyText"/>
        <w:spacing w:line="240" w:lineRule="auto" w:before="133"/>
        <w:ind w:left="634" w:right="1092"/>
        <w:jc w:val="left"/>
      </w:pPr>
      <w:r>
        <w:rPr/>
        <w:t>（七）信息披露与透明度</w:t>
      </w:r>
    </w:p>
    <w:p>
      <w:pPr>
        <w:spacing w:after="0" w:line="240"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3" w:firstLine="480"/>
        <w:jc w:val="both"/>
      </w:pPr>
      <w:r>
        <w:rPr/>
        <w:t>公司严格按照有关法律法规之规定，加强信息披露事务管理，履行信息披露义务，并指 </w:t>
      </w:r>
      <w:r>
        <w:rPr>
          <w:spacing w:val="-17"/>
        </w:rPr>
        <w:t>定巨潮资讯网为公司信息披露的网站和《中国证券报》、《上海证券报》、《证券时报》、《证券</w:t>
      </w:r>
      <w:r>
        <w:rPr>
          <w:spacing w:val="-104"/>
        </w:rPr>
        <w:t> </w:t>
      </w:r>
      <w:r>
        <w:rPr>
          <w:spacing w:val="-104"/>
        </w:rPr>
      </w:r>
      <w:r>
        <w:rPr/>
        <w:t>日报》作为公司信息披露的报纸，真实、准确、及时、完整地披露信息，确保所有投资者公</w:t>
      </w:r>
      <w:r>
        <w:rPr>
          <w:spacing w:val="-113"/>
        </w:rPr>
        <w:t> </w:t>
      </w:r>
      <w:r>
        <w:rPr>
          <w:spacing w:val="-113"/>
        </w:rPr>
      </w:r>
      <w:r>
        <w:rPr>
          <w:spacing w:val="-6"/>
        </w:rPr>
        <w:t>平获取公司信息。公司按照《投资者关系管理制度》、《信息披露管理制度》的要求，加强与</w:t>
      </w:r>
      <w:r>
        <w:rPr>
          <w:spacing w:val="-112"/>
        </w:rPr>
        <w:t> </w:t>
      </w:r>
      <w:r>
        <w:rPr>
          <w:spacing w:val="-112"/>
        </w:rPr>
      </w:r>
      <w:r>
        <w:rPr/>
        <w:t>投资者的沟通，促进投资者对公司的了解和认同。</w:t>
      </w:r>
    </w:p>
    <w:p>
      <w:pPr>
        <w:pStyle w:val="BodyText"/>
        <w:spacing w:line="434" w:lineRule="auto" w:before="136"/>
        <w:ind w:left="634" w:right="1092"/>
        <w:jc w:val="left"/>
      </w:pPr>
      <w:r>
        <w:rPr/>
        <w:t>（八）关于公司独立性 公司严格按照《公司法》和《公司章程》的有关规定规范运作，建立了健全的公司法人</w:t>
      </w:r>
    </w:p>
    <w:p>
      <w:pPr>
        <w:pStyle w:val="BodyText"/>
        <w:spacing w:line="274" w:lineRule="exact"/>
        <w:ind w:right="0"/>
        <w:jc w:val="both"/>
      </w:pPr>
      <w:r>
        <w:rPr/>
        <w:t>治理结构，在资产、人员、财务、机构、业务等方面均独立于控股股东、实际控制人控制及</w:t>
      </w:r>
    </w:p>
    <w:p>
      <w:pPr>
        <w:pStyle w:val="BodyText"/>
        <w:spacing w:line="357" w:lineRule="auto" w:before="154"/>
        <w:ind w:right="1139"/>
        <w:jc w:val="both"/>
      </w:pPr>
      <w:r>
        <w:rPr/>
        <w:t>其施加重大影响的其他企业，公司具有完整的业务体系及面向市场独立经营的能力。公司控 股股东严格规范自己的行为，没有超越股东大会直接或间接干预公司的决策和经营活动，不 存在同业竞争的情况，亦不存在控股股东及其它关联方非经营性占用公司资金的情况。</w:t>
      </w:r>
    </w:p>
    <w:p>
      <w:pPr>
        <w:pStyle w:val="BodyText"/>
        <w:spacing w:line="432" w:lineRule="auto" w:before="136"/>
        <w:ind w:left="634" w:right="999"/>
        <w:jc w:val="left"/>
      </w:pPr>
      <w:r>
        <w:rPr/>
        <w:t>（九）公司透明情况 </w:t>
      </w:r>
      <w:r>
        <w:rPr>
          <w:spacing w:val="-4"/>
        </w:rPr>
        <w:t>公司严格按照有关法律法规、《公司章程》和公司《信息披露管理制度》的要求，真实、</w:t>
      </w:r>
    </w:p>
    <w:p>
      <w:pPr>
        <w:pStyle w:val="BodyText"/>
        <w:spacing w:line="276" w:lineRule="exact"/>
        <w:ind w:right="0"/>
        <w:jc w:val="both"/>
      </w:pPr>
      <w:r>
        <w:rPr>
          <w:spacing w:val="-3"/>
        </w:rPr>
        <w:t>准确、完整、及时、公平地披露有关信息和向中国证监会北京证监局、深交所报告有关情况。</w:t>
      </w:r>
    </w:p>
    <w:p>
      <w:pPr>
        <w:pStyle w:val="BodyText"/>
        <w:spacing w:line="357" w:lineRule="auto" w:before="154"/>
        <w:ind w:right="1139"/>
        <w:jc w:val="both"/>
      </w:pPr>
      <w:r>
        <w:rPr/>
        <w:t>公司指定董事会秘书负责信息披露、接待投资者来访和投资咨询，公司证券投资部设有专线 电话，公司网站设立了投资者关系专栏，并通过电子信箱、传真、投资者关系互动平台等多 种方式，确保与广大中小投资者进行无障碍地有效沟通。公司所有需披露的信息均在中国证 监会指定的创业板信息披露网站上全面披露，确保所有股东均有平等机会获取公司信息。</w:t>
      </w:r>
    </w:p>
    <w:p>
      <w:pPr>
        <w:pStyle w:val="BodyText"/>
        <w:spacing w:line="357" w:lineRule="auto" w:before="136"/>
        <w:ind w:right="1140" w:firstLine="480"/>
        <w:jc w:val="both"/>
      </w:pPr>
      <w:r>
        <w:rPr/>
        <w:t>公司治理的实际状况与中国证监会发布的有关上市公司治理的规范性文件是否存在重大 差异</w:t>
      </w:r>
    </w:p>
    <w:p>
      <w:pPr>
        <w:pStyle w:val="BodyText"/>
        <w:spacing w:line="432" w:lineRule="auto" w:before="136"/>
        <w:ind w:left="634" w:right="1092"/>
        <w:jc w:val="left"/>
      </w:pPr>
      <w:r>
        <w:rPr/>
        <w:t>□ 是 √ 否 公司治理的实际状况与中国证监会发布的有关上市公司治理的规范性文件不存在重大差</w:t>
      </w:r>
    </w:p>
    <w:p>
      <w:pPr>
        <w:pStyle w:val="BodyText"/>
        <w:spacing w:line="277" w:lineRule="exact"/>
        <w:ind w:right="0"/>
        <w:jc w:val="both"/>
      </w:pPr>
      <w:r>
        <w:rPr/>
        <w:t>异。</w:t>
      </w:r>
    </w:p>
    <w:p>
      <w:pPr>
        <w:spacing w:line="690" w:lineRule="exact" w:before="104"/>
        <w:ind w:left="634" w:right="1092" w:hanging="480"/>
        <w:jc w:val="left"/>
        <w:rPr>
          <w:rFonts w:ascii="宋体" w:hAnsi="宋体" w:cs="宋体" w:eastAsia="宋体" w:hint="default"/>
          <w:sz w:val="24"/>
          <w:szCs w:val="24"/>
        </w:rPr>
      </w:pPr>
      <w:bookmarkStart w:name="二、公司相对于控股股东在业务、人员、资产、机构、财务等方面的独立情况" w:id="137"/>
      <w:bookmarkEnd w:id="137"/>
      <w:r>
        <w:rPr/>
      </w:r>
      <w:r>
        <w:rPr>
          <w:rFonts w:ascii="宋体" w:hAnsi="宋体" w:cs="宋体" w:eastAsia="宋体" w:hint="default"/>
          <w:b/>
          <w:bCs/>
          <w:sz w:val="24"/>
          <w:szCs w:val="24"/>
        </w:rPr>
        <w:t>二、公司相对于控股股东在业务、人员、资产、机构、财务等方面的独立情况</w:t>
      </w:r>
      <w:r>
        <w:rPr>
          <w:rFonts w:ascii="宋体" w:hAnsi="宋体" w:cs="宋体" w:eastAsia="宋体" w:hint="default"/>
          <w:b/>
          <w:bCs/>
          <w:w w:val="99"/>
          <w:sz w:val="24"/>
          <w:szCs w:val="24"/>
        </w:rPr>
        <w:t> </w:t>
      </w:r>
      <w:r>
        <w:rPr>
          <w:rFonts w:ascii="宋体" w:hAnsi="宋体" w:cs="宋体" w:eastAsia="宋体" w:hint="default"/>
          <w:spacing w:val="-7"/>
          <w:sz w:val="24"/>
          <w:szCs w:val="24"/>
        </w:rPr>
        <w:t>公司严格按照《公司法》、《证券法》等有关法律法规和《公司章程》的要求规范运作，</w:t>
      </w:r>
    </w:p>
    <w:p>
      <w:pPr>
        <w:pStyle w:val="BodyText"/>
        <w:spacing w:line="357" w:lineRule="auto" w:before="49"/>
        <w:ind w:right="999"/>
        <w:jc w:val="left"/>
      </w:pPr>
      <w:r>
        <w:rPr/>
        <w:t>与控股股东在业务、人员、资产、机构、财务等方面保持独立，具有独立完整的业务及自主 </w:t>
      </w:r>
      <w:r>
        <w:rPr>
          <w:spacing w:val="-3"/>
        </w:rPr>
        <w:t>经营能力。公司所有的生产经营或重大事项均根据《公司章程》及相关制度的规定由经理层、</w:t>
      </w:r>
    </w:p>
    <w:p>
      <w:pPr>
        <w:spacing w:after="0" w:line="357"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525" w:lineRule="auto" w:before="26"/>
        <w:ind w:right="2832"/>
        <w:jc w:val="left"/>
        <w:rPr>
          <w:rFonts w:ascii="宋体" w:hAnsi="宋体" w:cs="宋体" w:eastAsia="宋体" w:hint="default"/>
        </w:rPr>
      </w:pPr>
      <w:r>
        <w:rPr/>
        <w:t>董事会、股东大会讨论确定，不存在受控于控股股东、实际控制人的情形。 </w:t>
      </w:r>
      <w:bookmarkStart w:name="三、同业竞争情况" w:id="138"/>
      <w:bookmarkEnd w:id="138"/>
      <w:r>
        <w:rPr/>
      </w:r>
      <w:r>
        <w:rPr>
          <w:rFonts w:ascii="宋体" w:hAnsi="宋体" w:cs="宋体" w:eastAsia="宋体" w:hint="default"/>
          <w:b/>
          <w:bCs/>
        </w:rPr>
        <w:t>三、同业竞争情况</w:t>
      </w:r>
      <w:r>
        <w:rPr>
          <w:rFonts w:ascii="宋体" w:hAnsi="宋体" w:cs="宋体" w:eastAsia="宋体" w:hint="default"/>
        </w:rPr>
      </w:r>
    </w:p>
    <w:p>
      <w:pPr>
        <w:spacing w:line="506" w:lineRule="auto" w:before="93"/>
        <w:ind w:left="154" w:right="2592" w:firstLine="480"/>
        <w:jc w:val="left"/>
        <w:rPr>
          <w:rFonts w:ascii="宋体" w:hAnsi="宋体" w:cs="宋体" w:eastAsia="宋体" w:hint="default"/>
          <w:sz w:val="21"/>
          <w:szCs w:val="21"/>
        </w:rPr>
      </w:pPr>
      <w:r>
        <w:rPr>
          <w:rFonts w:ascii="宋体" w:hAnsi="宋体" w:cs="宋体" w:eastAsia="宋体" w:hint="default"/>
          <w:sz w:val="24"/>
          <w:szCs w:val="24"/>
        </w:rPr>
        <w:t>□ 适用 √ 不适用 </w:t>
      </w:r>
      <w:bookmarkStart w:name="四、报告期内召开的年度股东大会和临时股东大会的有关情况" w:id="139"/>
      <w:bookmarkEnd w:id="139"/>
      <w:r>
        <w:rPr>
          <w:rFonts w:ascii="宋体" w:hAnsi="宋体" w:cs="宋体" w:eastAsia="宋体" w:hint="default"/>
          <w:sz w:val="24"/>
          <w:szCs w:val="24"/>
        </w:rPr>
      </w:r>
      <w:r>
        <w:rPr>
          <w:rFonts w:ascii="宋体" w:hAnsi="宋体" w:cs="宋体" w:eastAsia="宋体" w:hint="default"/>
          <w:b/>
          <w:bCs/>
          <w:w w:val="95"/>
          <w:sz w:val="24"/>
          <w:szCs w:val="24"/>
        </w:rPr>
        <w:t>四、报告期内召开的年度股东大会和临时股东大会的有关情况</w:t>
      </w:r>
      <w:r>
        <w:rPr>
          <w:rFonts w:ascii="宋体" w:hAnsi="宋体" w:cs="宋体" w:eastAsia="宋体" w:hint="default"/>
          <w:b/>
          <w:bCs/>
          <w:spacing w:val="70"/>
          <w:w w:val="95"/>
          <w:sz w:val="24"/>
          <w:szCs w:val="24"/>
        </w:rPr>
        <w:t> </w:t>
      </w:r>
      <w:bookmarkStart w:name="1、本报告期股东大会情况" w:id="140"/>
      <w:bookmarkEnd w:id="140"/>
      <w:r>
        <w:rPr>
          <w:rFonts w:ascii="宋体" w:hAnsi="宋体" w:cs="宋体" w:eastAsia="宋体" w:hint="default"/>
          <w:b/>
          <w:bCs/>
          <w:spacing w:val="70"/>
          <w:w w:val="95"/>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、本报告期股东大会情况</w:t>
      </w:r>
      <w:r>
        <w:rPr>
          <w:rFonts w:ascii="宋体" w:hAnsi="宋体" w:cs="宋体" w:eastAsia="宋体" w:hint="default"/>
          <w:sz w:val="21"/>
          <w:szCs w:val="21"/>
        </w:rPr>
      </w:r>
    </w:p>
    <w:p>
      <w:pPr>
        <w:spacing w:line="240" w:lineRule="auto" w:before="2"/>
        <w:rPr>
          <w:rFonts w:ascii="宋体" w:hAnsi="宋体" w:cs="宋体" w:eastAsia="宋体" w:hint="default"/>
          <w:b/>
          <w:bCs/>
          <w:sz w:val="9"/>
          <w:szCs w:val="9"/>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922"/>
        <w:gridCol w:w="1134"/>
        <w:gridCol w:w="1134"/>
        <w:gridCol w:w="3188"/>
      </w:tblGrid>
      <w:tr>
        <w:trPr>
          <w:trHeight w:val="713"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5" w:right="94" w:hanging="90"/>
              <w:jc w:val="left"/>
              <w:rPr>
                <w:rFonts w:ascii="宋体" w:hAnsi="宋体" w:cs="宋体" w:eastAsia="宋体" w:hint="default"/>
                <w:sz w:val="18"/>
                <w:szCs w:val="18"/>
              </w:rPr>
            </w:pPr>
            <w:r>
              <w:rPr>
                <w:rFonts w:ascii="宋体" w:hAnsi="宋体" w:cs="宋体" w:eastAsia="宋体" w:hint="default"/>
                <w:sz w:val="18"/>
                <w:szCs w:val="18"/>
              </w:rPr>
              <w:t>投资者参 与比例</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33"/>
              <w:jc w:val="left"/>
              <w:rPr>
                <w:rFonts w:ascii="宋体" w:hAnsi="宋体" w:cs="宋体" w:eastAsia="宋体" w:hint="default"/>
                <w:sz w:val="18"/>
                <w:szCs w:val="18"/>
              </w:rPr>
            </w:pPr>
            <w:r>
              <w:rPr>
                <w:rFonts w:ascii="宋体" w:hAnsi="宋体" w:cs="宋体" w:eastAsia="宋体" w:hint="default"/>
                <w:sz w:val="18"/>
                <w:szCs w:val="18"/>
              </w:rPr>
              <w:t>2018 </w:t>
            </w:r>
            <w:r>
              <w:rPr>
                <w:rFonts w:ascii="宋体" w:hAnsi="宋体" w:cs="宋体" w:eastAsia="宋体" w:hint="default"/>
                <w:sz w:val="18"/>
                <w:szCs w:val="18"/>
              </w:rPr>
              <w:t>年第一次临时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27.01%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 </w:t>
            </w:r>
            <w:r>
              <w:rPr>
                <w:rFonts w:ascii="宋体" w:hAnsi="宋体" w:cs="宋体" w:eastAsia="宋体" w:hint="default"/>
                <w:sz w:val="18"/>
                <w:szCs w:val="18"/>
              </w:rPr>
              <w:t>年第一次临时股东大会决议公告</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（公告编号：</w:t>
            </w:r>
            <w:r>
              <w:rPr>
                <w:rFonts w:ascii="宋体" w:hAnsi="宋体" w:cs="宋体" w:eastAsia="宋体" w:hint="default"/>
                <w:sz w:val="18"/>
                <w:szCs w:val="18"/>
              </w:rPr>
              <w:t>2018-021</w:t>
            </w:r>
            <w:r>
              <w:rPr>
                <w:rFonts w:ascii="宋体" w:hAnsi="宋体" w:cs="宋体" w:eastAsia="宋体" w:hint="default"/>
                <w:sz w:val="18"/>
                <w:szCs w:val="18"/>
              </w:rPr>
              <w:t>）</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33"/>
              <w:jc w:val="left"/>
              <w:rPr>
                <w:rFonts w:ascii="宋体" w:hAnsi="宋体" w:cs="宋体" w:eastAsia="宋体" w:hint="default"/>
                <w:sz w:val="18"/>
                <w:szCs w:val="18"/>
              </w:rPr>
            </w:pPr>
            <w:r>
              <w:rPr>
                <w:rFonts w:ascii="宋体" w:hAnsi="宋体" w:cs="宋体" w:eastAsia="宋体" w:hint="default"/>
                <w:sz w:val="18"/>
                <w:szCs w:val="18"/>
              </w:rPr>
              <w:t>2017 </w:t>
            </w:r>
            <w:r>
              <w:rPr>
                <w:rFonts w:ascii="宋体" w:hAnsi="宋体" w:cs="宋体" w:eastAsia="宋体" w:hint="default"/>
                <w:sz w:val="18"/>
                <w:szCs w:val="18"/>
              </w:rPr>
              <w:t>年年度股东大 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18.26%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18"/>
                <w:sz w:val="18"/>
                <w:szCs w:val="18"/>
              </w:rPr>
              <w:t> </w:t>
            </w:r>
            <w:r>
              <w:rPr>
                <w:rFonts w:ascii="宋体" w:hAnsi="宋体" w:cs="宋体" w:eastAsia="宋体" w:hint="default"/>
                <w:sz w:val="18"/>
                <w:szCs w:val="18"/>
              </w:rPr>
              <w:t>年年度股东大会决议公告（公告编 号：</w:t>
            </w:r>
            <w:r>
              <w:rPr>
                <w:rFonts w:ascii="宋体" w:hAnsi="宋体" w:cs="宋体" w:eastAsia="宋体" w:hint="default"/>
                <w:sz w:val="18"/>
                <w:szCs w:val="18"/>
              </w:rPr>
              <w:t>2018-053</w:t>
            </w:r>
            <w:r>
              <w:rPr>
                <w:rFonts w:ascii="宋体" w:hAnsi="宋体" w:cs="宋体" w:eastAsia="宋体" w:hint="default"/>
                <w:sz w:val="18"/>
                <w:szCs w:val="18"/>
              </w:rPr>
              <w:t>）</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33"/>
              <w:jc w:val="left"/>
              <w:rPr>
                <w:rFonts w:ascii="宋体" w:hAnsi="宋体" w:cs="宋体" w:eastAsia="宋体" w:hint="default"/>
                <w:sz w:val="18"/>
                <w:szCs w:val="18"/>
              </w:rPr>
            </w:pPr>
            <w:r>
              <w:rPr>
                <w:rFonts w:ascii="宋体" w:hAnsi="宋体" w:cs="宋体" w:eastAsia="宋体" w:hint="default"/>
                <w:sz w:val="18"/>
                <w:szCs w:val="18"/>
              </w:rPr>
              <w:t>2018 </w:t>
            </w:r>
            <w:r>
              <w:rPr>
                <w:rFonts w:ascii="宋体" w:hAnsi="宋体" w:cs="宋体" w:eastAsia="宋体" w:hint="default"/>
                <w:sz w:val="18"/>
                <w:szCs w:val="18"/>
              </w:rPr>
              <w:t>年第二次临时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18.13%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07</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07</w:t>
            </w:r>
            <w:r>
              <w:rPr>
                <w:rFonts w:ascii="宋体" w:hAnsi="宋体" w:cs="宋体" w:eastAsia="宋体" w:hint="default"/>
                <w:spacing w:val="-46"/>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2018 </w:t>
            </w:r>
            <w:r>
              <w:rPr>
                <w:rFonts w:ascii="宋体" w:hAnsi="宋体" w:cs="宋体" w:eastAsia="宋体" w:hint="default"/>
                <w:sz w:val="18"/>
                <w:szCs w:val="18"/>
              </w:rPr>
              <w:t>年第二次临时股东大会决议公告</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（公告编号：</w:t>
            </w:r>
            <w:r>
              <w:rPr>
                <w:rFonts w:ascii="宋体" w:hAnsi="宋体" w:cs="宋体" w:eastAsia="宋体" w:hint="default"/>
                <w:sz w:val="18"/>
                <w:szCs w:val="18"/>
              </w:rPr>
              <w:t>2018-073</w:t>
            </w:r>
            <w:r>
              <w:rPr>
                <w:rFonts w:ascii="宋体" w:hAnsi="宋体" w:cs="宋体" w:eastAsia="宋体" w:hint="default"/>
                <w:sz w:val="18"/>
                <w:szCs w:val="18"/>
              </w:rPr>
              <w:t>）</w:t>
            </w:r>
          </w:p>
        </w:tc>
      </w:tr>
    </w:tbl>
    <w:p>
      <w:pPr>
        <w:spacing w:line="240" w:lineRule="auto" w:before="2"/>
        <w:rPr>
          <w:rFonts w:ascii="宋体" w:hAnsi="宋体" w:cs="宋体" w:eastAsia="宋体" w:hint="default"/>
          <w:b/>
          <w:bCs/>
          <w:sz w:val="19"/>
          <w:szCs w:val="19"/>
        </w:rPr>
      </w:pPr>
    </w:p>
    <w:p>
      <w:pPr>
        <w:spacing w:before="35"/>
        <w:ind w:left="154" w:right="1092" w:firstLine="0"/>
        <w:jc w:val="left"/>
        <w:rPr>
          <w:rFonts w:ascii="宋体" w:hAnsi="宋体" w:cs="宋体" w:eastAsia="宋体" w:hint="default"/>
          <w:sz w:val="21"/>
          <w:szCs w:val="21"/>
        </w:rPr>
      </w:pPr>
      <w:bookmarkStart w:name="2、表决权恢复的优先股股东请求召开临时股东大会" w:id="141"/>
      <w:bookmarkEnd w:id="141"/>
      <w:r>
        <w:rPr/>
      </w:r>
      <w:r>
        <w:rPr>
          <w:rFonts w:ascii="宋体" w:hAnsi="宋体" w:cs="宋体" w:eastAsia="宋体" w:hint="default"/>
          <w:b/>
          <w:bCs/>
          <w:sz w:val="21"/>
          <w:szCs w:val="21"/>
        </w:rPr>
        <w:t>2</w:t>
      </w:r>
      <w:r>
        <w:rPr>
          <w:rFonts w:ascii="宋体" w:hAnsi="宋体" w:cs="宋体" w:eastAsia="宋体" w:hint="default"/>
          <w:b/>
          <w:bCs/>
          <w:sz w:val="21"/>
          <w:szCs w:val="21"/>
        </w:rPr>
        <w:t>、表决权恢复的优先股股东请求召开临时股东大会</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2"/>
        <w:ind w:left="154" w:right="5472" w:firstLine="480"/>
        <w:jc w:val="left"/>
        <w:rPr>
          <w:rFonts w:ascii="宋体" w:hAnsi="宋体" w:cs="宋体" w:eastAsia="宋体" w:hint="default"/>
          <w:sz w:val="21"/>
          <w:szCs w:val="21"/>
        </w:rPr>
      </w:pPr>
      <w:r>
        <w:rPr>
          <w:rFonts w:ascii="宋体" w:hAnsi="宋体" w:cs="宋体" w:eastAsia="宋体" w:hint="default"/>
          <w:sz w:val="24"/>
          <w:szCs w:val="24"/>
        </w:rPr>
        <w:t>□ 适用 √ 不适用 </w:t>
      </w:r>
      <w:bookmarkStart w:name="五、报告期内独立董事履行职责的情况" w:id="142"/>
      <w:bookmarkEnd w:id="142"/>
      <w:r>
        <w:rPr>
          <w:rFonts w:ascii="宋体" w:hAnsi="宋体" w:cs="宋体" w:eastAsia="宋体" w:hint="default"/>
          <w:sz w:val="24"/>
          <w:szCs w:val="24"/>
        </w:rPr>
      </w:r>
      <w:r>
        <w:rPr>
          <w:rFonts w:ascii="宋体" w:hAnsi="宋体" w:cs="宋体" w:eastAsia="宋体" w:hint="default"/>
          <w:b/>
          <w:bCs/>
          <w:w w:val="95"/>
          <w:sz w:val="24"/>
          <w:szCs w:val="24"/>
        </w:rPr>
        <w:t>五、报告期内独立董事履行职责的情况</w:t>
      </w:r>
      <w:r>
        <w:rPr>
          <w:rFonts w:ascii="宋体" w:hAnsi="宋体" w:cs="宋体" w:eastAsia="宋体" w:hint="default"/>
          <w:b/>
          <w:bCs/>
          <w:spacing w:val="73"/>
          <w:w w:val="95"/>
          <w:sz w:val="24"/>
          <w:szCs w:val="24"/>
        </w:rPr>
        <w:t> </w:t>
      </w:r>
      <w:bookmarkStart w:name="1、独立董事出席董事会及股东大会的情况" w:id="143"/>
      <w:bookmarkEnd w:id="143"/>
      <w:r>
        <w:rPr>
          <w:rFonts w:ascii="宋体" w:hAnsi="宋体" w:cs="宋体" w:eastAsia="宋体" w:hint="default"/>
          <w:b/>
          <w:bCs/>
          <w:spacing w:val="73"/>
          <w:w w:val="95"/>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、独立董事出席董事会及股东大会的情况</w:t>
      </w:r>
      <w:r>
        <w:rPr>
          <w:rFonts w:ascii="宋体" w:hAnsi="宋体" w:cs="宋体" w:eastAsia="宋体" w:hint="default"/>
          <w:sz w:val="21"/>
          <w:szCs w:val="21"/>
        </w:rPr>
      </w:r>
    </w:p>
    <w:p>
      <w:pPr>
        <w:spacing w:line="240" w:lineRule="auto" w:before="1"/>
        <w:rPr>
          <w:rFonts w:ascii="宋体" w:hAnsi="宋体" w:cs="宋体" w:eastAsia="宋体" w:hint="default"/>
          <w:b/>
          <w:bCs/>
          <w:sz w:val="9"/>
          <w:szCs w:val="9"/>
        </w:rPr>
      </w:pPr>
    </w:p>
    <w:tbl>
      <w:tblPr>
        <w:tblW w:w="0" w:type="auto"/>
        <w:jc w:val="left"/>
        <w:tblInd w:w="14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2"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5" w:right="36"/>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5" w:right="36"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7" w:right="35"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485" w:right="35"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5" w:right="35"/>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95"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何庆源</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85" w:right="0"/>
              <w:jc w:val="left"/>
              <w:rPr>
                <w:rFonts w:ascii="宋体" w:hAnsi="宋体" w:cs="宋体" w:eastAsia="宋体" w:hint="default"/>
                <w:sz w:val="18"/>
                <w:szCs w:val="18"/>
              </w:rPr>
            </w:pPr>
            <w:r>
              <w:rPr>
                <w:rFonts w:ascii="宋体"/>
                <w:sz w:val="18"/>
              </w:rPr>
              <w:t>11</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31" w:right="0"/>
              <w:jc w:val="left"/>
              <w:rPr>
                <w:rFonts w:ascii="宋体" w:hAnsi="宋体" w:cs="宋体" w:eastAsia="宋体" w:hint="default"/>
                <w:sz w:val="18"/>
                <w:szCs w:val="18"/>
              </w:rPr>
            </w:pPr>
            <w:r>
              <w:rPr>
                <w:rFonts w:ascii="宋体"/>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10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王志雄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85" w:right="0"/>
              <w:jc w:val="left"/>
              <w:rPr>
                <w:rFonts w:ascii="宋体" w:hAnsi="宋体" w:cs="宋体" w:eastAsia="宋体" w:hint="default"/>
                <w:sz w:val="18"/>
                <w:szCs w:val="18"/>
              </w:rPr>
            </w:pPr>
            <w:r>
              <w:rPr>
                <w:rFonts w:ascii="宋体"/>
                <w:sz w:val="18"/>
              </w:rPr>
              <w:t>11</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31" w:right="0"/>
              <w:jc w:val="left"/>
              <w:rPr>
                <w:rFonts w:ascii="宋体" w:hAnsi="宋体" w:cs="宋体" w:eastAsia="宋体" w:hint="default"/>
                <w:sz w:val="18"/>
                <w:szCs w:val="18"/>
              </w:rPr>
            </w:pPr>
            <w:r>
              <w:rPr>
                <w:rFonts w:ascii="宋体"/>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10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薛健</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85" w:right="0"/>
              <w:jc w:val="left"/>
              <w:rPr>
                <w:rFonts w:ascii="宋体" w:hAnsi="宋体" w:cs="宋体" w:eastAsia="宋体" w:hint="default"/>
                <w:sz w:val="18"/>
                <w:szCs w:val="18"/>
              </w:rPr>
            </w:pPr>
            <w:r>
              <w:rPr>
                <w:rFonts w:ascii="宋体"/>
                <w:sz w:val="18"/>
              </w:rPr>
              <w:t>11</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31" w:right="0"/>
              <w:jc w:val="left"/>
              <w:rPr>
                <w:rFonts w:ascii="宋体" w:hAnsi="宋体" w:cs="宋体" w:eastAsia="宋体" w:hint="default"/>
                <w:sz w:val="18"/>
                <w:szCs w:val="18"/>
              </w:rPr>
            </w:pPr>
            <w:r>
              <w:rPr>
                <w:rFonts w:ascii="宋体"/>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10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3</w:t>
            </w:r>
          </w:p>
        </w:tc>
      </w:tr>
    </w:tbl>
    <w:p>
      <w:pPr>
        <w:spacing w:line="240" w:lineRule="auto" w:before="2"/>
        <w:rPr>
          <w:rFonts w:ascii="宋体" w:hAnsi="宋体" w:cs="宋体" w:eastAsia="宋体" w:hint="default"/>
          <w:b/>
          <w:bCs/>
          <w:sz w:val="19"/>
          <w:szCs w:val="19"/>
        </w:rPr>
      </w:pPr>
    </w:p>
    <w:p>
      <w:pPr>
        <w:spacing w:before="35"/>
        <w:ind w:left="154" w:right="1092" w:firstLine="0"/>
        <w:jc w:val="left"/>
        <w:rPr>
          <w:rFonts w:ascii="宋体" w:hAnsi="宋体" w:cs="宋体" w:eastAsia="宋体" w:hint="default"/>
          <w:sz w:val="21"/>
          <w:szCs w:val="21"/>
        </w:rPr>
      </w:pPr>
      <w:bookmarkStart w:name="2、独立董事对公司有关事项提出异议的情况" w:id="144"/>
      <w:bookmarkEnd w:id="144"/>
      <w:r>
        <w:rPr/>
      </w:r>
      <w:r>
        <w:rPr>
          <w:rFonts w:ascii="宋体" w:hAnsi="宋体" w:cs="宋体" w:eastAsia="宋体" w:hint="default"/>
          <w:b/>
          <w:bCs/>
          <w:sz w:val="21"/>
          <w:szCs w:val="21"/>
        </w:rPr>
        <w:t>2</w:t>
      </w:r>
      <w:r>
        <w:rPr>
          <w:rFonts w:ascii="宋体" w:hAnsi="宋体" w:cs="宋体" w:eastAsia="宋体" w:hint="default"/>
          <w:b/>
          <w:bCs/>
          <w:sz w:val="21"/>
          <w:szCs w:val="21"/>
        </w:rPr>
        <w:t>、独立董事对公司有关事项提出异议的情况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独立董事对公司有关事项是否提出异议</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是 √ 否</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left="634" w:right="1092"/>
        <w:jc w:val="left"/>
      </w:pPr>
      <w:r>
        <w:rPr/>
        <w:t>报告期内独立董事对公司有关事项未提出异议。</w:t>
      </w:r>
    </w:p>
    <w:p>
      <w:pPr>
        <w:spacing w:line="240" w:lineRule="auto" w:before="5"/>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3、独立董事履行职责的其他说明" w:id="145"/>
      <w:bookmarkEnd w:id="145"/>
      <w:r>
        <w:rPr/>
      </w:r>
      <w:r>
        <w:rPr>
          <w:rFonts w:ascii="宋体" w:hAnsi="宋体" w:cs="宋体" w:eastAsia="宋体" w:hint="default"/>
          <w:b/>
          <w:bCs/>
          <w:sz w:val="21"/>
          <w:szCs w:val="21"/>
        </w:rPr>
        <w:t>3</w:t>
      </w:r>
      <w:r>
        <w:rPr>
          <w:rFonts w:ascii="宋体" w:hAnsi="宋体" w:cs="宋体" w:eastAsia="宋体" w:hint="default"/>
          <w:b/>
          <w:bCs/>
          <w:sz w:val="21"/>
          <w:szCs w:val="21"/>
        </w:rPr>
        <w:t>、独立董事履行职责的其他说明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独立董事对公司有关建议是否被采纳</w:t>
      </w:r>
    </w:p>
    <w:p>
      <w:pPr>
        <w:spacing w:line="240" w:lineRule="auto" w:before="5"/>
        <w:rPr>
          <w:rFonts w:ascii="宋体" w:hAnsi="宋体" w:cs="宋体" w:eastAsia="宋体" w:hint="default"/>
          <w:sz w:val="19"/>
          <w:szCs w:val="19"/>
        </w:rPr>
      </w:pPr>
    </w:p>
    <w:p>
      <w:pPr>
        <w:pStyle w:val="BodyText"/>
        <w:spacing w:line="434" w:lineRule="auto"/>
        <w:ind w:left="634" w:right="4992"/>
        <w:jc w:val="left"/>
      </w:pPr>
      <w:r>
        <w:rPr/>
        <w:t>√ 是 □ 否 独立董事对公司有关建议被采纳或未被采纳的说明</w:t>
      </w:r>
    </w:p>
    <w:p>
      <w:pPr>
        <w:pStyle w:val="BodyText"/>
        <w:spacing w:line="357" w:lineRule="auto" w:before="58"/>
        <w:ind w:right="994" w:firstLine="480"/>
        <w:jc w:val="left"/>
      </w:pPr>
      <w:r>
        <w:rPr>
          <w:spacing w:val="-7"/>
        </w:rPr>
        <w:t>公司独立董事何庆源先生、王志雄先生和薛健女士能够严格按照《公司章程》、《独立董</w:t>
      </w:r>
      <w:r>
        <w:rPr/>
        <w:t> 事工作制度》等的规定，本着对公司、股东负责的态度，忠实、勤勉地履行职责，按时出席 相关会议，认真审议各项议案，客观地发表自己的看法及观点，积极深入公司及控股子公司 </w:t>
      </w:r>
      <w:r>
        <w:rPr>
          <w:spacing w:val="-2"/>
        </w:rPr>
        <w:t>现场调研，了解公司生产经营状况和内部控制的建设及董事会决议、股东会决议的执行情况，</w:t>
      </w:r>
      <w:r>
        <w:rPr/>
        <w:t> 并利用自己的专业知识做出独立、公正的判断。在报告期内，对公司年报事项、股权激励事 项、募集资金存放于使用事项、关联交易事项、非公开发行等事项进行审核并出具了独立董 事意见，有效保证了公司董事会决策的公正性和客观性，维护了公司整体利益和广大中小股 东的合法权益，为公司的规范运作和健康发展发挥了积极作用。</w:t>
      </w:r>
    </w:p>
    <w:p>
      <w:pPr>
        <w:spacing w:line="240" w:lineRule="auto" w:before="9"/>
        <w:rPr>
          <w:rFonts w:ascii="宋体" w:hAnsi="宋体" w:cs="宋体" w:eastAsia="宋体" w:hint="default"/>
          <w:sz w:val="19"/>
          <w:szCs w:val="19"/>
        </w:rPr>
      </w:pPr>
    </w:p>
    <w:p>
      <w:pPr>
        <w:pStyle w:val="Heading2"/>
        <w:spacing w:line="240" w:lineRule="auto" w:before="0"/>
        <w:ind w:right="0"/>
        <w:jc w:val="both"/>
        <w:rPr>
          <w:b w:val="0"/>
          <w:bCs w:val="0"/>
        </w:rPr>
      </w:pPr>
      <w:bookmarkStart w:name="六、董事会下设专门委员会在报告期内履行职责情况" w:id="146"/>
      <w:bookmarkEnd w:id="146"/>
      <w:r>
        <w:rPr>
          <w:b w:val="0"/>
          <w:bCs w:val="0"/>
        </w:rPr>
      </w:r>
      <w:r>
        <w:rPr/>
        <w:t>六、董事会下设专门委员会在报告期内履行职责情况</w:t>
      </w:r>
      <w:r>
        <w:rPr>
          <w:b w:val="0"/>
          <w:bCs w:val="0"/>
        </w:rPr>
      </w:r>
    </w:p>
    <w:p>
      <w:pPr>
        <w:spacing w:line="240" w:lineRule="auto" w:before="11"/>
        <w:rPr>
          <w:rFonts w:ascii="宋体" w:hAnsi="宋体" w:cs="宋体" w:eastAsia="宋体" w:hint="default"/>
          <w:b/>
          <w:bCs/>
          <w:sz w:val="28"/>
          <w:szCs w:val="28"/>
        </w:rPr>
      </w:pPr>
    </w:p>
    <w:p>
      <w:pPr>
        <w:pStyle w:val="BodyText"/>
        <w:spacing w:line="357" w:lineRule="auto"/>
        <w:ind w:right="1131" w:firstLine="480"/>
        <w:jc w:val="both"/>
      </w:pPr>
      <w:r>
        <w:rPr/>
        <w:t>公司董事会下设四个专门委员会，分别为审计委员会、薪酬与考核委员会、提名委员会 及战略委员会。</w:t>
      </w:r>
      <w:r>
        <w:rPr>
          <w:rFonts w:ascii="宋体" w:hAnsi="宋体" w:cs="宋体" w:eastAsia="宋体" w:hint="default"/>
        </w:rPr>
        <w:t>2018</w:t>
      </w:r>
      <w:r>
        <w:rPr>
          <w:rFonts w:ascii="宋体" w:hAnsi="宋体" w:cs="宋体" w:eastAsia="宋体" w:hint="default"/>
          <w:spacing w:val="-81"/>
        </w:rPr>
        <w:t> </w:t>
      </w:r>
      <w:r>
        <w:rPr/>
        <w:t>年各专门委员会本着勤勉尽责的原则，按照有关法律法规、规范性文件 及公司各专门委员会工作细则的有关规定开展相关工作。四个专门委员会自成立起一直按照 相应的议事规则运作，在公司内部审计、人才选拔、薪酬与考核等各个方面发挥着积极的作 用。</w:t>
      </w:r>
    </w:p>
    <w:p>
      <w:pPr>
        <w:pStyle w:val="BodyText"/>
        <w:spacing w:line="434" w:lineRule="auto" w:before="136"/>
        <w:ind w:left="634" w:right="1092"/>
        <w:jc w:val="left"/>
      </w:pPr>
      <w:r>
        <w:rPr>
          <w:rFonts w:ascii="宋体" w:hAnsi="宋体" w:cs="宋体" w:eastAsia="宋体" w:hint="default"/>
        </w:rPr>
        <w:t>1</w:t>
      </w:r>
      <w:r>
        <w:rPr/>
        <w:t>、审计委员会的履职情况 </w:t>
      </w:r>
      <w:r>
        <w:rPr>
          <w:spacing w:val="-12"/>
        </w:rPr>
        <w:t>审计委员会根据《公司法》、《证券法》、《公司章程》等有关规定，积极履行职责。报告</w:t>
      </w:r>
    </w:p>
    <w:p>
      <w:pPr>
        <w:pStyle w:val="BodyText"/>
        <w:spacing w:line="274" w:lineRule="exact"/>
        <w:ind w:right="0"/>
        <w:jc w:val="both"/>
      </w:pPr>
      <w:r>
        <w:rPr/>
        <w:t>期内，审计委员会审查了公司内部控制制度及执行情况，审核了公司所有重要的会计政策，</w:t>
      </w:r>
    </w:p>
    <w:p>
      <w:pPr>
        <w:pStyle w:val="BodyText"/>
        <w:spacing w:line="357" w:lineRule="auto" w:before="154"/>
        <w:ind w:right="1129"/>
        <w:jc w:val="both"/>
      </w:pPr>
      <w:r>
        <w:rPr/>
        <w:t>定期了解公司财务状况和经营情况，督促和指导内审部门对公司财务管理运行情况进行定期 和不定期的检查和评估，委员会认为公司内控制度体系符合法律、法规及《公司章程》的要 求，适应当前公司生产经营实际情况的需要，并能够得到有效的执行。同时，审计委员会还 </w:t>
      </w:r>
      <w:r>
        <w:rPr>
          <w:spacing w:val="-6"/>
        </w:rPr>
        <w:t>就下列事项展开工作：（</w:t>
      </w:r>
      <w:r>
        <w:rPr>
          <w:rFonts w:ascii="宋体" w:hAnsi="宋体" w:cs="宋体" w:eastAsia="宋体" w:hint="default"/>
          <w:spacing w:val="-6"/>
        </w:rPr>
        <w:t>1</w:t>
      </w:r>
      <w:r>
        <w:rPr>
          <w:spacing w:val="-6"/>
        </w:rPr>
        <w:t>）与会计师事务所就年度审计报告编制进行沟通与交流；（</w:t>
      </w:r>
      <w:r>
        <w:rPr>
          <w:rFonts w:ascii="宋体" w:hAnsi="宋体" w:cs="宋体" w:eastAsia="宋体" w:hint="default"/>
          <w:spacing w:val="-6"/>
        </w:rPr>
        <w:t>2</w:t>
      </w:r>
      <w:r>
        <w:rPr>
          <w:spacing w:val="-6"/>
        </w:rPr>
        <w:t>）与公</w:t>
      </w:r>
      <w:r>
        <w:rPr>
          <w:spacing w:val="-96"/>
        </w:rPr>
        <w:t> </w:t>
      </w:r>
      <w:r>
        <w:rPr>
          <w:spacing w:val="-3"/>
        </w:rPr>
        <w:t>司审计部就公司的内部控制制度的完善与执行保持沟通；（</w:t>
      </w:r>
      <w:r>
        <w:rPr>
          <w:rFonts w:ascii="宋体" w:hAnsi="宋体" w:cs="宋体" w:eastAsia="宋体" w:hint="default"/>
          <w:spacing w:val="-3"/>
        </w:rPr>
        <w:t>3</w:t>
      </w:r>
      <w:r>
        <w:rPr>
          <w:spacing w:val="-3"/>
        </w:rPr>
        <w:t>）审议公司内审部门提交的季度</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4" w:lineRule="auto" w:before="26"/>
        <w:ind w:left="634" w:right="1002" w:hanging="480"/>
        <w:jc w:val="left"/>
      </w:pPr>
      <w:r>
        <w:rPr>
          <w:spacing w:val="-5"/>
        </w:rPr>
        <w:t>工作报告，年度工作计划；（</w:t>
      </w:r>
      <w:r>
        <w:rPr>
          <w:rFonts w:ascii="宋体" w:hAnsi="宋体" w:cs="宋体" w:eastAsia="宋体" w:hint="default"/>
          <w:spacing w:val="-5"/>
        </w:rPr>
        <w:t>4</w:t>
      </w:r>
      <w:r>
        <w:rPr>
          <w:spacing w:val="-5"/>
        </w:rPr>
        <w:t>）对会计师事务所的工作进行评价，并向董事会提出续聘建议。</w:t>
      </w:r>
      <w:r>
        <w:rPr>
          <w:spacing w:val="-114"/>
        </w:rPr>
        <w:t> </w:t>
      </w:r>
      <w:r>
        <w:rPr>
          <w:spacing w:val="-114"/>
        </w:rPr>
      </w:r>
      <w:r>
        <w:rPr>
          <w:rFonts w:ascii="宋体" w:hAnsi="宋体" w:cs="宋体" w:eastAsia="宋体" w:hint="default"/>
        </w:rPr>
        <w:t>2</w:t>
      </w:r>
      <w:r>
        <w:rPr/>
        <w:t>、薪酬与考核委员会的履职情况 薪酬与考核委员会对公司董事和高级管理人员的薪酬情况进行了审核，认为其薪酬标准</w:t>
      </w:r>
    </w:p>
    <w:p>
      <w:pPr>
        <w:pStyle w:val="BodyText"/>
        <w:spacing w:line="274" w:lineRule="exact"/>
        <w:ind w:right="1092"/>
        <w:jc w:val="left"/>
      </w:pPr>
      <w:r>
        <w:rPr/>
        <w:t>和年度薪酬总额的确定符合公司相关薪酬管理制度的规定。同时，薪酬与考核委员会不断探</w:t>
      </w:r>
    </w:p>
    <w:p>
      <w:pPr>
        <w:pStyle w:val="BodyText"/>
        <w:spacing w:line="357" w:lineRule="auto" w:before="154"/>
        <w:ind w:right="1115"/>
        <w:jc w:val="left"/>
      </w:pPr>
      <w:r>
        <w:rPr>
          <w:spacing w:val="-3"/>
        </w:rPr>
        <w:t>讨绩效考核体系的进一步完善。报告期内，薪酬与考核委员会分别对</w:t>
      </w:r>
      <w:r>
        <w:rPr>
          <w:spacing w:val="-56"/>
        </w:rPr>
        <w:t> </w:t>
      </w:r>
      <w:r>
        <w:rPr>
          <w:rFonts w:ascii="宋体" w:hAnsi="宋体" w:cs="宋体" w:eastAsia="宋体" w:hint="default"/>
        </w:rPr>
        <w:t>2018</w:t>
      </w:r>
      <w:r>
        <w:rPr>
          <w:rFonts w:ascii="宋体" w:hAnsi="宋体" w:cs="宋体" w:eastAsia="宋体" w:hint="default"/>
          <w:spacing w:val="-57"/>
        </w:rPr>
        <w:t> </w:t>
      </w:r>
      <w:r>
        <w:rPr/>
        <w:t>年度董事监事高级 管理人员薪酬以及股权激励相关事项进行了审议并通过。</w:t>
      </w:r>
    </w:p>
    <w:p>
      <w:pPr>
        <w:pStyle w:val="BodyText"/>
        <w:spacing w:line="432" w:lineRule="auto" w:before="136"/>
        <w:ind w:left="634" w:right="1092"/>
        <w:jc w:val="left"/>
      </w:pPr>
      <w:r>
        <w:rPr>
          <w:rFonts w:ascii="宋体" w:hAnsi="宋体" w:cs="宋体" w:eastAsia="宋体" w:hint="default"/>
        </w:rPr>
        <w:t>3</w:t>
      </w:r>
      <w:r>
        <w:rPr/>
        <w:t>、提名委员会的履职情况 报告期内，提名委员会认真履行职责，对公司董事会规模和人员结构的情况、董事和经</w:t>
      </w:r>
    </w:p>
    <w:p>
      <w:pPr>
        <w:pStyle w:val="BodyText"/>
        <w:spacing w:line="276" w:lineRule="exact"/>
        <w:ind w:right="1092"/>
        <w:jc w:val="left"/>
      </w:pPr>
      <w:r>
        <w:rPr/>
        <w:t>理人员的任职资格等相关事宜提出建议；报告期内，提名委员会同意解聘金晖先生、鲁丰先</w:t>
      </w:r>
    </w:p>
    <w:p>
      <w:pPr>
        <w:pStyle w:val="BodyText"/>
        <w:spacing w:line="434" w:lineRule="auto" w:before="155"/>
        <w:ind w:left="634" w:right="2352" w:hanging="480"/>
        <w:jc w:val="left"/>
      </w:pPr>
      <w:r>
        <w:rPr/>
        <w:t>生、崔嵬先生的副总经理职务，同意聘任贾庆丰担任公司副总经理兼财务总监。 </w:t>
      </w:r>
      <w:r>
        <w:rPr>
          <w:rFonts w:ascii="宋体" w:hAnsi="宋体" w:cs="宋体" w:eastAsia="宋体" w:hint="default"/>
        </w:rPr>
        <w:t>4</w:t>
      </w:r>
      <w:r>
        <w:rPr/>
        <w:t>、战略委员会的履职情况</w:t>
      </w:r>
    </w:p>
    <w:p>
      <w:pPr>
        <w:pStyle w:val="BodyText"/>
        <w:spacing w:line="240" w:lineRule="auto" w:before="58"/>
        <w:ind w:left="634" w:right="1092"/>
        <w:jc w:val="left"/>
      </w:pPr>
      <w:r>
        <w:rPr>
          <w:rFonts w:ascii="宋体" w:hAnsi="宋体" w:cs="宋体" w:eastAsia="宋体" w:hint="default"/>
        </w:rPr>
        <w:t>2018</w:t>
      </w:r>
      <w:r>
        <w:rPr>
          <w:rFonts w:ascii="宋体" w:hAnsi="宋体" w:cs="宋体" w:eastAsia="宋体" w:hint="default"/>
          <w:spacing w:val="-85"/>
        </w:rPr>
        <w:t> </w:t>
      </w:r>
      <w:r>
        <w:rPr/>
        <w:t>年公司战略委员会认真履行职责，按照《公司章程》的相关规定，勤勉尽责，积极</w:t>
      </w:r>
    </w:p>
    <w:p>
      <w:pPr>
        <w:pStyle w:val="BodyText"/>
        <w:spacing w:line="525" w:lineRule="auto" w:before="155"/>
        <w:ind w:right="1752"/>
        <w:jc w:val="left"/>
        <w:rPr>
          <w:rFonts w:ascii="宋体" w:hAnsi="宋体" w:cs="宋体" w:eastAsia="宋体" w:hint="default"/>
        </w:rPr>
      </w:pPr>
      <w:r>
        <w:rPr/>
        <w:t>开展工作；报告期内，战略委员会对公司</w:t>
      </w:r>
      <w:r>
        <w:rPr>
          <w:spacing w:val="-60"/>
        </w:rPr>
        <w:t> </w:t>
      </w:r>
      <w:r>
        <w:rPr>
          <w:rFonts w:ascii="宋体" w:hAnsi="宋体" w:cs="宋体" w:eastAsia="宋体" w:hint="default"/>
        </w:rPr>
        <w:t>2018</w:t>
      </w:r>
      <w:r>
        <w:rPr>
          <w:rFonts w:ascii="宋体" w:hAnsi="宋体" w:cs="宋体" w:eastAsia="宋体" w:hint="default"/>
          <w:spacing w:val="-60"/>
        </w:rPr>
        <w:t> </w:t>
      </w:r>
      <w:r>
        <w:rPr/>
        <w:t>年度战略发展规划进行了审议并通过。 </w:t>
      </w:r>
      <w:bookmarkStart w:name="七、监事会工作情况" w:id="147"/>
      <w:bookmarkEnd w:id="147"/>
      <w:r>
        <w:rPr/>
      </w:r>
      <w:r>
        <w:rPr>
          <w:rFonts w:ascii="宋体" w:hAnsi="宋体" w:cs="宋体" w:eastAsia="宋体" w:hint="default"/>
          <w:b/>
          <w:bCs/>
        </w:rPr>
        <w:t>七、监事会工作情况</w:t>
      </w:r>
      <w:r>
        <w:rPr>
          <w:rFonts w:ascii="宋体" w:hAnsi="宋体" w:cs="宋体" w:eastAsia="宋体" w:hint="default"/>
        </w:rPr>
      </w:r>
    </w:p>
    <w:p>
      <w:pPr>
        <w:pStyle w:val="BodyText"/>
        <w:spacing w:line="240" w:lineRule="auto" w:before="92"/>
        <w:ind w:left="634" w:right="1092"/>
        <w:jc w:val="left"/>
      </w:pPr>
      <w:r>
        <w:rPr/>
        <w:t>监事会在报告期内的监督活动中发现公司是否存在风险</w:t>
      </w:r>
    </w:p>
    <w:p>
      <w:pPr>
        <w:spacing w:line="240" w:lineRule="auto" w:before="5"/>
        <w:rPr>
          <w:rFonts w:ascii="宋体" w:hAnsi="宋体" w:cs="宋体" w:eastAsia="宋体" w:hint="default"/>
          <w:sz w:val="19"/>
          <w:szCs w:val="19"/>
        </w:rPr>
      </w:pPr>
    </w:p>
    <w:p>
      <w:pPr>
        <w:pStyle w:val="BodyText"/>
        <w:spacing w:line="434" w:lineRule="auto"/>
        <w:ind w:left="634" w:right="5712"/>
        <w:jc w:val="left"/>
      </w:pPr>
      <w:r>
        <w:rPr/>
        <w:t>□ 是 √ 否 公司监事会对报告期内的监督事项无异议。</w:t>
      </w:r>
    </w:p>
    <w:p>
      <w:pPr>
        <w:pStyle w:val="Heading2"/>
        <w:spacing w:line="240" w:lineRule="auto" w:before="180"/>
        <w:ind w:right="1092"/>
        <w:jc w:val="left"/>
        <w:rPr>
          <w:b w:val="0"/>
          <w:bCs w:val="0"/>
        </w:rPr>
      </w:pPr>
      <w:bookmarkStart w:name="八、高级管理人员的考评及激励情况" w:id="148"/>
      <w:bookmarkEnd w:id="148"/>
      <w:r>
        <w:rPr>
          <w:b w:val="0"/>
          <w:bCs w:val="0"/>
        </w:rPr>
      </w:r>
      <w:r>
        <w:rPr/>
        <w:t>八、高级管理人员的考评及激励情况</w:t>
      </w:r>
      <w:r>
        <w:rPr>
          <w:b w:val="0"/>
          <w:bCs w:val="0"/>
        </w:rPr>
      </w:r>
    </w:p>
    <w:p>
      <w:pPr>
        <w:spacing w:line="240" w:lineRule="auto" w:before="11"/>
        <w:rPr>
          <w:rFonts w:ascii="宋体" w:hAnsi="宋体" w:cs="宋体" w:eastAsia="宋体" w:hint="default"/>
          <w:b/>
          <w:bCs/>
          <w:sz w:val="28"/>
          <w:szCs w:val="28"/>
        </w:rPr>
      </w:pPr>
    </w:p>
    <w:p>
      <w:pPr>
        <w:pStyle w:val="BodyText"/>
        <w:spacing w:line="357" w:lineRule="auto"/>
        <w:ind w:right="1139" w:firstLine="480"/>
        <w:jc w:val="both"/>
      </w:pPr>
      <w:r>
        <w:rPr/>
        <w:t>公司建立了完善的高级管理人员绩效考评体系和薪酬制度，公司董事会下设的薪酬与考 核委员会负责对公司董事及高级管理人员进行绩效考核，高级管理人员的工作绩效与其收入 直接挂钩。高级管理人员的聘任公开、透明，符合法律、法规的规定。公司将积极探索与现 代企业制度相适应的考评及激励机制，体现高级管理人员的管理价值贡献导向，以调动高级 管理人员的积极性、主动性与创造性，提升企业核心竞争力，以确保公司经营目标的实现， 改善并提高企业经营管理水平，促进企业效益持续稳定增长。</w:t>
      </w:r>
    </w:p>
    <w:p>
      <w:pPr>
        <w:spacing w:after="0" w:line="357" w:lineRule="auto"/>
        <w:jc w:val="both"/>
        <w:sectPr>
          <w:pgSz w:w="11910" w:h="16840"/>
          <w:pgMar w:header="877" w:footer="979" w:top="1100" w:bottom="1160" w:left="980" w:right="0"/>
        </w:sectPr>
      </w:pPr>
    </w:p>
    <w:p>
      <w:pPr>
        <w:spacing w:line="240" w:lineRule="auto" w:before="8"/>
        <w:rPr>
          <w:rFonts w:ascii="宋体" w:hAnsi="宋体" w:cs="宋体" w:eastAsia="宋体" w:hint="default"/>
          <w:sz w:val="19"/>
          <w:szCs w:val="19"/>
        </w:rPr>
      </w:pPr>
      <w:r>
        <w:rPr/>
        <w:pict>
          <v:group style="position:absolute;margin-left:383.980011pt;margin-top:528.339966pt;width:149.8pt;height:15.6pt;mso-position-horizontal-relative:page;mso-position-vertical-relative:page;z-index:-1153480" coordorigin="7680,10567" coordsize="2996,312">
            <v:shape style="position:absolute;left:7680;top:10567;width:2996;height:312" coordorigin="7680,10567" coordsize="2996,312" path="m7680,10879l10675,10879,10675,10567,7680,10567,7680,10879xe" filled="true" fillcolor="#ffffff" stroked="false">
              <v:path arrowok="t"/>
              <v:fill type="solid"/>
            </v:shape>
            <w10:wrap type="none"/>
          </v:group>
        </w:pict>
      </w:r>
      <w:r>
        <w:rPr/>
        <w:pict>
          <v:group style="position:absolute;margin-left:383.980011pt;margin-top:606.339966pt;width:149.8pt;height:15.6pt;mso-position-horizontal-relative:page;mso-position-vertical-relative:page;z-index:-1153456" coordorigin="7680,12127" coordsize="2996,312">
            <v:shape style="position:absolute;left:7680;top:12127;width:2996;height:312" coordorigin="7680,12127" coordsize="2996,312" path="m7680,12439l10675,12439,10675,12127,7680,12127,7680,12439xe" filled="true" fillcolor="#ffffff" stroked="false">
              <v:path arrowok="t"/>
              <v:fill type="solid"/>
            </v:shape>
            <w10:wrap type="none"/>
          </v:group>
        </w:pict>
      </w:r>
    </w:p>
    <w:p>
      <w:pPr>
        <w:pStyle w:val="Heading2"/>
        <w:spacing w:line="240" w:lineRule="auto"/>
        <w:ind w:right="1092"/>
        <w:jc w:val="left"/>
        <w:rPr>
          <w:b w:val="0"/>
          <w:bCs w:val="0"/>
        </w:rPr>
      </w:pPr>
      <w:bookmarkStart w:name="九、内部控制评价报告" w:id="149"/>
      <w:bookmarkEnd w:id="149"/>
      <w:r>
        <w:rPr>
          <w:b w:val="0"/>
          <w:bCs w:val="0"/>
        </w:rPr>
      </w:r>
      <w:r>
        <w:rPr/>
        <w:t>九、内部控制评价报告</w:t>
      </w:r>
      <w:r>
        <w:rPr>
          <w:b w:val="0"/>
          <w:bCs w:val="0"/>
        </w:rPr>
      </w:r>
    </w:p>
    <w:p>
      <w:pPr>
        <w:spacing w:line="240" w:lineRule="auto" w:before="9"/>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报告期内发现的内部控制重大缺陷的具体情况" w:id="150"/>
      <w:bookmarkEnd w:id="150"/>
      <w:r>
        <w:rPr/>
      </w:r>
      <w:r>
        <w:rPr>
          <w:rFonts w:ascii="宋体" w:hAnsi="宋体" w:cs="宋体" w:eastAsia="宋体" w:hint="default"/>
          <w:b/>
          <w:bCs/>
          <w:sz w:val="21"/>
          <w:szCs w:val="21"/>
        </w:rPr>
        <w:t>1</w:t>
      </w:r>
      <w:r>
        <w:rPr>
          <w:rFonts w:ascii="宋体" w:hAnsi="宋体" w:cs="宋体" w:eastAsia="宋体" w:hint="default"/>
          <w:b/>
          <w:bCs/>
          <w:sz w:val="21"/>
          <w:szCs w:val="21"/>
        </w:rPr>
        <w:t>、报告期内发现的内部控制重大缺陷的具体情况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134" w:right="8470"/>
        <w:jc w:val="center"/>
      </w:pPr>
      <w:r>
        <w:rPr/>
        <w:t>□ 是 √ 否</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内控自我评价报告" w:id="151"/>
      <w:bookmarkEnd w:id="151"/>
      <w:r>
        <w:rPr/>
      </w:r>
      <w:r>
        <w:rPr>
          <w:rFonts w:ascii="宋体" w:hAnsi="宋体" w:cs="宋体" w:eastAsia="宋体" w:hint="default"/>
          <w:b/>
          <w:bCs/>
          <w:sz w:val="21"/>
          <w:szCs w:val="21"/>
        </w:rPr>
        <w:t>2</w:t>
      </w:r>
      <w:r>
        <w:rPr>
          <w:rFonts w:ascii="宋体" w:hAnsi="宋体" w:cs="宋体" w:eastAsia="宋体" w:hint="default"/>
          <w:b/>
          <w:bCs/>
          <w:sz w:val="21"/>
          <w:szCs w:val="21"/>
        </w:rPr>
        <w:t>、内控自我评价报告</w:t>
      </w:r>
      <w:r>
        <w:rPr>
          <w:rFonts w:ascii="宋体" w:hAnsi="宋体" w:cs="宋体" w:eastAsia="宋体" w:hint="default"/>
          <w:sz w:val="21"/>
          <w:szCs w:val="21"/>
        </w:rPr>
      </w:r>
    </w:p>
    <w:p>
      <w:pPr>
        <w:spacing w:line="240" w:lineRule="auto" w:before="13"/>
        <w:rPr>
          <w:rFonts w:ascii="宋体" w:hAnsi="宋体" w:cs="宋体" w:eastAsia="宋体" w:hint="default"/>
          <w:b/>
          <w:bCs/>
          <w:sz w:val="26"/>
          <w:szCs w:val="26"/>
        </w:rPr>
      </w:pPr>
    </w:p>
    <w:tbl>
      <w:tblPr>
        <w:tblW w:w="0" w:type="auto"/>
        <w:jc w:val="left"/>
        <w:tblInd w:w="160" w:type="dxa"/>
        <w:tblLayout w:type="fixed"/>
        <w:tblCellMar>
          <w:top w:w="0" w:type="dxa"/>
          <w:left w:w="0" w:type="dxa"/>
          <w:bottom w:w="0" w:type="dxa"/>
          <w:right w:w="0" w:type="dxa"/>
        </w:tblCellMar>
        <w:tblLook w:val="01E0"/>
      </w:tblPr>
      <w:tblGrid>
        <w:gridCol w:w="3177"/>
        <w:gridCol w:w="3341"/>
        <w:gridCol w:w="3039"/>
      </w:tblGrid>
      <w:tr>
        <w:trPr>
          <w:trHeight w:val="402"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6"/>
                <w:sz w:val="18"/>
                <w:szCs w:val="18"/>
              </w:rPr>
              <w:t> </w:t>
            </w:r>
            <w:r>
              <w:rPr>
                <w:rFonts w:ascii="宋体" w:hAnsi="宋体" w:cs="宋体" w:eastAsia="宋体" w:hint="default"/>
                <w:sz w:val="18"/>
                <w:szCs w:val="18"/>
              </w:rPr>
              <w:t>日</w:t>
            </w:r>
          </w:p>
        </w:tc>
      </w:tr>
      <w:tr>
        <w:trPr>
          <w:trHeight w:val="402"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3815" w:right="0"/>
              <w:jc w:val="left"/>
              <w:rPr>
                <w:rFonts w:ascii="宋体" w:hAnsi="宋体" w:cs="宋体" w:eastAsia="宋体" w:hint="default"/>
                <w:sz w:val="18"/>
                <w:szCs w:val="18"/>
              </w:rPr>
            </w:pPr>
            <w:r>
              <w:rPr>
                <w:rFonts w:ascii="宋体" w:hAnsi="宋体" w:cs="宋体" w:eastAsia="宋体" w:hint="default"/>
                <w:sz w:val="18"/>
                <w:szCs w:val="18"/>
              </w:rPr>
              <w:t>巨潮资讯网 </w:t>
            </w:r>
            <w:hyperlink r:id="rId11">
              <w:r>
                <w:rPr>
                  <w:rFonts w:ascii="宋体" w:hAnsi="宋体" w:cs="宋体" w:eastAsia="宋体" w:hint="default"/>
                  <w:sz w:val="18"/>
                  <w:szCs w:val="18"/>
                </w:rPr>
                <w:t>www.cninfo.com.cn</w:t>
              </w:r>
            </w:hyperlink>
          </w:p>
        </w:tc>
      </w:tr>
      <w:tr>
        <w:trPr>
          <w:trHeight w:val="714"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94"/>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r>
      <w:tr>
        <w:trPr>
          <w:trHeight w:val="715"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9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r>
      <w:tr>
        <w:trPr>
          <w:trHeight w:val="402" w:hRule="exact"/>
        </w:trPr>
        <w:tc>
          <w:tcPr>
            <w:tcW w:w="955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1"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5"/>
              <w:jc w:val="center"/>
              <w:rPr>
                <w:rFonts w:ascii="宋体" w:hAnsi="宋体" w:cs="宋体" w:eastAsia="宋体" w:hint="default"/>
                <w:sz w:val="18"/>
                <w:szCs w:val="18"/>
              </w:rPr>
            </w:pPr>
            <w:r>
              <w:rPr>
                <w:rFonts w:ascii="宋体" w:hAnsi="宋体" w:cs="宋体" w:eastAsia="宋体" w:hint="default"/>
                <w:sz w:val="18"/>
                <w:szCs w:val="18"/>
              </w:rPr>
              <w:t>类别</w:t>
            </w:r>
          </w:p>
        </w:tc>
        <w:tc>
          <w:tcPr>
            <w:tcW w:w="33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3594" w:hRule="exact"/>
        </w:trPr>
        <w:tc>
          <w:tcPr>
            <w:tcW w:w="3177" w:type="dxa"/>
            <w:tcBorders>
              <w:top w:val="single" w:sz="4" w:space="0" w:color="000000"/>
              <w:left w:val="single" w:sz="4" w:space="0" w:color="000000"/>
              <w:bottom w:val="nil" w:sz="6" w:space="0" w:color="auto"/>
              <w:right w:val="single" w:sz="4" w:space="0" w:color="000000"/>
            </w:tcBorders>
            <w:shd w:val="clear" w:color="auto" w:fill="D2D2D2"/>
          </w:tcPr>
          <w:p>
            <w:pPr/>
          </w:p>
        </w:tc>
        <w:tc>
          <w:tcPr>
            <w:tcW w:w="3341" w:type="dxa"/>
            <w:vMerge w:val="restart"/>
            <w:tcBorders>
              <w:top w:val="single" w:sz="4" w:space="0" w:color="000000"/>
              <w:left w:val="single" w:sz="9" w:space="0" w:color="D2D2D2"/>
              <w:right w:val="single" w:sz="9" w:space="0" w:color="FFFFFF"/>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4"/>
                <w:sz w:val="18"/>
                <w:szCs w:val="18"/>
              </w:rPr>
              <w:t>重大缺陷：</w:t>
            </w:r>
            <w:r>
              <w:rPr>
                <w:rFonts w:ascii="宋体" w:hAnsi="宋体" w:cs="宋体" w:eastAsia="宋体" w:hint="default"/>
                <w:spacing w:val="-4"/>
                <w:sz w:val="18"/>
                <w:szCs w:val="18"/>
              </w:rPr>
              <w:t>1</w:t>
            </w:r>
            <w:r>
              <w:rPr>
                <w:rFonts w:ascii="宋体" w:hAnsi="宋体" w:cs="宋体" w:eastAsia="宋体" w:hint="default"/>
                <w:spacing w:val="-4"/>
                <w:sz w:val="18"/>
                <w:szCs w:val="18"/>
              </w:rPr>
              <w:t>、对已经签发的财务报告更正</w:t>
            </w:r>
          </w:p>
          <w:p>
            <w:pPr>
              <w:pStyle w:val="TableParagraph"/>
              <w:spacing w:line="319" w:lineRule="auto" w:before="75"/>
              <w:ind w:left="22" w:right="-28"/>
              <w:jc w:val="left"/>
              <w:rPr>
                <w:rFonts w:ascii="宋体" w:hAnsi="宋体" w:cs="宋体" w:eastAsia="宋体" w:hint="default"/>
                <w:sz w:val="18"/>
                <w:szCs w:val="18"/>
              </w:rPr>
            </w:pPr>
            <w:r>
              <w:rPr>
                <w:rFonts w:ascii="宋体" w:hAnsi="宋体" w:cs="宋体" w:eastAsia="宋体" w:hint="default"/>
                <w:sz w:val="18"/>
                <w:szCs w:val="18"/>
              </w:rPr>
              <w:t>（由于政策变化或其他客观因素变化导致 </w:t>
            </w:r>
            <w:r>
              <w:rPr>
                <w:rFonts w:ascii="宋体" w:hAnsi="宋体" w:cs="宋体" w:eastAsia="宋体" w:hint="default"/>
                <w:spacing w:val="-6"/>
                <w:sz w:val="18"/>
                <w:szCs w:val="18"/>
              </w:rPr>
              <w:t>的对以前年度的追溯调整除外）；</w:t>
            </w:r>
            <w:r>
              <w:rPr>
                <w:rFonts w:ascii="宋体" w:hAnsi="宋体" w:cs="宋体" w:eastAsia="宋体" w:hint="default"/>
                <w:spacing w:val="-31"/>
                <w:sz w:val="18"/>
                <w:szCs w:val="18"/>
              </w:rPr>
              <w:t> </w:t>
            </w:r>
            <w:r>
              <w:rPr>
                <w:rFonts w:ascii="宋体" w:hAnsi="宋体" w:cs="宋体" w:eastAsia="宋体" w:hint="default"/>
                <w:spacing w:val="-8"/>
                <w:sz w:val="18"/>
                <w:szCs w:val="18"/>
              </w:rPr>
              <w:t>2</w:t>
            </w:r>
            <w:r>
              <w:rPr>
                <w:rFonts w:ascii="宋体" w:hAnsi="宋体" w:cs="宋体" w:eastAsia="宋体" w:hint="default"/>
                <w:spacing w:val="-8"/>
                <w:sz w:val="18"/>
                <w:szCs w:val="18"/>
              </w:rPr>
              <w:t>、注册</w:t>
            </w:r>
            <w:r>
              <w:rPr>
                <w:rFonts w:ascii="宋体" w:hAnsi="宋体" w:cs="宋体" w:eastAsia="宋体" w:hint="default"/>
                <w:sz w:val="18"/>
                <w:szCs w:val="18"/>
              </w:rPr>
              <w:t> 会计师发现的、未被识别的当期财务报告 的重大错报； </w:t>
            </w:r>
            <w:r>
              <w:rPr>
                <w:rFonts w:ascii="宋体" w:hAnsi="宋体" w:cs="宋体" w:eastAsia="宋体" w:hint="default"/>
                <w:sz w:val="18"/>
                <w:szCs w:val="18"/>
              </w:rPr>
              <w:t>3</w:t>
            </w:r>
            <w:r>
              <w:rPr>
                <w:rFonts w:ascii="宋体" w:hAnsi="宋体" w:cs="宋体" w:eastAsia="宋体" w:hint="default"/>
                <w:sz w:val="18"/>
                <w:szCs w:val="18"/>
              </w:rPr>
              <w:t>、公司董事、监事及高级 管理人员出现舞弊行为；</w:t>
            </w:r>
            <w:r>
              <w:rPr>
                <w:rFonts w:ascii="宋体" w:hAnsi="宋体" w:cs="宋体" w:eastAsia="宋体" w:hint="default"/>
                <w:spacing w:val="-28"/>
                <w:sz w:val="18"/>
                <w:szCs w:val="18"/>
              </w:rPr>
              <w:t> </w:t>
            </w:r>
            <w:r>
              <w:rPr>
                <w:rFonts w:ascii="宋体" w:hAnsi="宋体" w:cs="宋体" w:eastAsia="宋体" w:hint="default"/>
                <w:spacing w:val="-9"/>
                <w:sz w:val="18"/>
                <w:szCs w:val="18"/>
              </w:rPr>
              <w:t>4</w:t>
            </w:r>
            <w:r>
              <w:rPr>
                <w:rFonts w:ascii="宋体" w:hAnsi="宋体" w:cs="宋体" w:eastAsia="宋体" w:hint="default"/>
                <w:spacing w:val="-9"/>
                <w:sz w:val="18"/>
                <w:szCs w:val="18"/>
              </w:rPr>
              <w:t>、公司监事会、</w:t>
            </w:r>
            <w:r>
              <w:rPr>
                <w:rFonts w:ascii="宋体" w:hAnsi="宋体" w:cs="宋体" w:eastAsia="宋体" w:hint="default"/>
                <w:spacing w:val="-34"/>
                <w:sz w:val="18"/>
                <w:szCs w:val="18"/>
              </w:rPr>
              <w:t> </w:t>
            </w:r>
            <w:r>
              <w:rPr>
                <w:rFonts w:ascii="宋体" w:hAnsi="宋体" w:cs="宋体" w:eastAsia="宋体" w:hint="default"/>
                <w:sz w:val="18"/>
                <w:szCs w:val="18"/>
              </w:rPr>
              <w:t>审计委员会、内部审计机构对内部控制监</w:t>
            </w:r>
            <w:r>
              <w:rPr>
                <w:rFonts w:ascii="宋体" w:hAnsi="宋体" w:cs="宋体" w:eastAsia="宋体" w:hint="default"/>
                <w:sz w:val="18"/>
                <w:szCs w:val="18"/>
              </w:rPr>
              <w:t> </w:t>
            </w:r>
            <w:r>
              <w:rPr>
                <w:rFonts w:ascii="宋体" w:hAnsi="宋体" w:cs="宋体" w:eastAsia="宋体" w:hint="default"/>
                <w:spacing w:val="-4"/>
                <w:sz w:val="18"/>
                <w:szCs w:val="18"/>
              </w:rPr>
              <w:t>督无效。重要缺陷：</w:t>
            </w:r>
            <w:r>
              <w:rPr>
                <w:rFonts w:ascii="宋体" w:hAnsi="宋体" w:cs="宋体" w:eastAsia="宋体" w:hint="default"/>
                <w:spacing w:val="-4"/>
                <w:sz w:val="18"/>
                <w:szCs w:val="18"/>
              </w:rPr>
              <w:t>1</w:t>
            </w:r>
            <w:r>
              <w:rPr>
                <w:rFonts w:ascii="宋体" w:hAnsi="宋体" w:cs="宋体" w:eastAsia="宋体" w:hint="default"/>
                <w:spacing w:val="-4"/>
                <w:sz w:val="18"/>
                <w:szCs w:val="18"/>
              </w:rPr>
              <w:t>、期末财务报告流程</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的内控存在缺陷，并造成重要影响； </w:t>
            </w:r>
            <w:r>
              <w:rPr>
                <w:rFonts w:ascii="宋体" w:hAnsi="宋体" w:cs="宋体" w:eastAsia="宋体" w:hint="default"/>
                <w:sz w:val="18"/>
                <w:szCs w:val="18"/>
              </w:rPr>
              <w:t>2</w:t>
            </w:r>
            <w:r>
              <w:rPr>
                <w:rFonts w:ascii="宋体" w:hAnsi="宋体" w:cs="宋体" w:eastAsia="宋体" w:hint="default"/>
                <w:sz w:val="18"/>
                <w:szCs w:val="18"/>
              </w:rPr>
              <w:t>、 合规性管控职能存在缺陷，其中违规行为 </w:t>
            </w:r>
            <w:r>
              <w:rPr>
                <w:rFonts w:ascii="宋体" w:hAnsi="宋体" w:cs="宋体" w:eastAsia="宋体" w:hint="default"/>
                <w:spacing w:val="-6"/>
                <w:sz w:val="18"/>
                <w:szCs w:val="18"/>
              </w:rPr>
              <w:t>可能对财务报告产生重大影响。一般缺陷：</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除上述重大缺陷、重要缺陷以外的缺陷。</w:t>
            </w:r>
          </w:p>
        </w:tc>
        <w:tc>
          <w:tcPr>
            <w:tcW w:w="3039" w:type="dxa"/>
            <w:vMerge w:val="restart"/>
            <w:tcBorders>
              <w:top w:val="single" w:sz="4" w:space="0" w:color="000000"/>
              <w:left w:val="single" w:sz="9" w:space="0" w:color="FFFFFF"/>
              <w:right w:val="single" w:sz="4" w:space="0" w:color="000000"/>
            </w:tcBorders>
          </w:tcPr>
          <w:p>
            <w:pPr>
              <w:pStyle w:val="TableParagraph"/>
              <w:spacing w:line="316" w:lineRule="auto" w:before="52"/>
              <w:ind w:left="4" w:right="-42"/>
              <w:jc w:val="left"/>
              <w:rPr>
                <w:rFonts w:ascii="宋体" w:hAnsi="宋体" w:cs="宋体" w:eastAsia="宋体" w:hint="default"/>
                <w:sz w:val="18"/>
                <w:szCs w:val="18"/>
              </w:rPr>
            </w:pPr>
            <w:r>
              <w:rPr>
                <w:rFonts w:ascii="宋体" w:hAnsi="宋体" w:cs="宋体" w:eastAsia="宋体" w:hint="default"/>
                <w:sz w:val="18"/>
                <w:szCs w:val="18"/>
              </w:rPr>
              <w:t>重大缺陷：完全无法保证公司资产安 </w:t>
            </w:r>
            <w:r>
              <w:rPr>
                <w:rFonts w:ascii="宋体" w:hAnsi="宋体" w:cs="宋体" w:eastAsia="宋体" w:hint="default"/>
                <w:spacing w:val="-4"/>
                <w:sz w:val="18"/>
                <w:szCs w:val="18"/>
              </w:rPr>
              <w:t>全，或者已经造成重大资产损失；严重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违反国家法律法规，导致监管机构的调</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查或重大起诉；严重影响经营的效率和</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效果，导致公司经营活动管理混乱，无</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法实现盈利，甚至出现严重亏损；内控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缺陷严重影响公司战略目标的实现，可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能给公司带来致命后果。重要缺陷：不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能合理保证公司资产安全，相关内部控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制活动缺陷严重，使公司资产暴露于风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险中；违反国家法律法规，导致监管机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构的调查或比较重大的起诉；对公司的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经营效率和效果有比较重要的影响，导</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致经营活动管理不规范，盈利率下降； 内控缺陷可能使公司战略偏离重要目 </w:t>
            </w:r>
            <w:r>
              <w:rPr>
                <w:rFonts w:ascii="宋体" w:hAnsi="宋体" w:cs="宋体" w:eastAsia="宋体" w:hint="default"/>
                <w:spacing w:val="-4"/>
                <w:sz w:val="18"/>
                <w:szCs w:val="18"/>
              </w:rPr>
              <w:t>标，但不会导致公司战略整体失败。一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般缺陷：影响资产安全的管理活动，不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利于资产安全的管理；违反地方法规， </w:t>
            </w:r>
            <w:r>
              <w:rPr>
                <w:rFonts w:ascii="宋体" w:hAnsi="宋体" w:cs="宋体" w:eastAsia="宋体" w:hint="default"/>
                <w:spacing w:val="-4"/>
                <w:sz w:val="18"/>
                <w:szCs w:val="18"/>
              </w:rPr>
              <w:t>可能被除以警告或金额较少的罚款；对</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公司的经营效率和效果有一定影响，不</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利于规范化、常规化的处理业务流程， </w:t>
            </w:r>
            <w:r>
              <w:rPr>
                <w:rFonts w:ascii="宋体" w:hAnsi="宋体" w:cs="宋体" w:eastAsia="宋体" w:hint="default"/>
                <w:spacing w:val="-4"/>
                <w:sz w:val="18"/>
                <w:szCs w:val="18"/>
              </w:rPr>
              <w:t>不能实现效率最高化；对公司战略目标</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达成有一定影响，但是影响较小，不会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造成战略目标偏离。</w:t>
            </w:r>
          </w:p>
        </w:tc>
      </w:tr>
      <w:tr>
        <w:trPr>
          <w:trHeight w:val="391" w:hRule="exact"/>
        </w:trPr>
        <w:tc>
          <w:tcPr>
            <w:tcW w:w="31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41" w:type="dxa"/>
            <w:vMerge/>
            <w:tcBorders>
              <w:left w:val="single" w:sz="9" w:space="0" w:color="D2D2D2"/>
              <w:right w:val="single" w:sz="9" w:space="0" w:color="FFFFFF"/>
            </w:tcBorders>
          </w:tcPr>
          <w:p>
            <w:pPr/>
          </w:p>
        </w:tc>
        <w:tc>
          <w:tcPr>
            <w:tcW w:w="3039" w:type="dxa"/>
            <w:vMerge/>
            <w:tcBorders>
              <w:left w:val="single" w:sz="9" w:space="0" w:color="FFFFFF"/>
              <w:right w:val="single" w:sz="4" w:space="0" w:color="000000"/>
            </w:tcBorders>
          </w:tcPr>
          <w:p>
            <w:pPr/>
          </w:p>
        </w:tc>
      </w:tr>
      <w:tr>
        <w:trPr>
          <w:trHeight w:val="3593" w:hRule="exact"/>
        </w:trPr>
        <w:tc>
          <w:tcPr>
            <w:tcW w:w="3177" w:type="dxa"/>
            <w:tcBorders>
              <w:top w:val="nil" w:sz="6" w:space="0" w:color="auto"/>
              <w:left w:val="single" w:sz="4" w:space="0" w:color="000000"/>
              <w:bottom w:val="single" w:sz="4" w:space="0" w:color="000000"/>
              <w:right w:val="single" w:sz="4" w:space="0" w:color="000000"/>
            </w:tcBorders>
            <w:shd w:val="clear" w:color="auto" w:fill="D2D2D2"/>
          </w:tcPr>
          <w:p>
            <w:pPr/>
          </w:p>
        </w:tc>
        <w:tc>
          <w:tcPr>
            <w:tcW w:w="3341" w:type="dxa"/>
            <w:vMerge/>
            <w:tcBorders>
              <w:left w:val="single" w:sz="9" w:space="0" w:color="D2D2D2"/>
              <w:bottom w:val="single" w:sz="4" w:space="0" w:color="000000"/>
              <w:right w:val="single" w:sz="9" w:space="0" w:color="FFFFFF"/>
            </w:tcBorders>
          </w:tcPr>
          <w:p>
            <w:pPr/>
          </w:p>
        </w:tc>
        <w:tc>
          <w:tcPr>
            <w:tcW w:w="3039" w:type="dxa"/>
            <w:vMerge/>
            <w:tcBorders>
              <w:left w:val="single" w:sz="9" w:space="0" w:color="FFFFFF"/>
              <w:bottom w:val="single" w:sz="4" w:space="0" w:color="000000"/>
              <w:right w:val="single" w:sz="4" w:space="0" w:color="000000"/>
            </w:tcBorders>
          </w:tcPr>
          <w:p>
            <w:pPr/>
          </w:p>
        </w:tc>
      </w:tr>
      <w:tr>
        <w:trPr>
          <w:trHeight w:val="142" w:hRule="exact"/>
        </w:trPr>
        <w:tc>
          <w:tcPr>
            <w:tcW w:w="3177" w:type="dxa"/>
            <w:tcBorders>
              <w:top w:val="single" w:sz="4" w:space="0" w:color="000000"/>
              <w:left w:val="single" w:sz="4" w:space="0" w:color="000000"/>
              <w:bottom w:val="nil" w:sz="6" w:space="0" w:color="auto"/>
              <w:right w:val="single" w:sz="4" w:space="0" w:color="000000"/>
            </w:tcBorders>
            <w:shd w:val="clear" w:color="auto" w:fill="D2D2D2"/>
          </w:tcPr>
          <w:p>
            <w:pPr/>
          </w:p>
        </w:tc>
        <w:tc>
          <w:tcPr>
            <w:tcW w:w="3341" w:type="dxa"/>
            <w:vMerge w:val="restart"/>
            <w:tcBorders>
              <w:top w:val="single" w:sz="4" w:space="0" w:color="000000"/>
              <w:left w:val="single" w:sz="13" w:space="0" w:color="D2D2D2"/>
              <w:right w:val="single" w:sz="4" w:space="0" w:color="000000"/>
            </w:tcBorders>
          </w:tcPr>
          <w:p>
            <w:pPr>
              <w:pStyle w:val="TableParagraph"/>
              <w:spacing w:line="316" w:lineRule="auto" w:before="51"/>
              <w:ind w:left="16" w:right="32"/>
              <w:jc w:val="left"/>
              <w:rPr>
                <w:rFonts w:ascii="宋体" w:hAnsi="宋体" w:cs="宋体" w:eastAsia="宋体" w:hint="default"/>
                <w:sz w:val="18"/>
                <w:szCs w:val="18"/>
              </w:rPr>
            </w:pPr>
            <w:r>
              <w:rPr>
                <w:rFonts w:ascii="宋体" w:hAnsi="宋体" w:cs="宋体" w:eastAsia="宋体" w:hint="default"/>
                <w:spacing w:val="-4"/>
                <w:sz w:val="18"/>
                <w:szCs w:val="18"/>
              </w:rPr>
              <w:t>重大缺陷：潜在错报≥营业收入</w:t>
            </w:r>
            <w:r>
              <w:rPr>
                <w:rFonts w:ascii="宋体" w:hAnsi="宋体" w:cs="宋体" w:eastAsia="宋体" w:hint="default"/>
                <w:spacing w:val="-4"/>
                <w:sz w:val="18"/>
                <w:szCs w:val="18"/>
              </w:rPr>
              <w:t>*1%</w:t>
            </w:r>
            <w:r>
              <w:rPr>
                <w:rFonts w:ascii="宋体" w:hAnsi="宋体" w:cs="宋体" w:eastAsia="宋体" w:hint="default"/>
                <w:spacing w:val="-4"/>
                <w:sz w:val="18"/>
                <w:szCs w:val="18"/>
              </w:rPr>
              <w:t>；重要</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缺陷：营业收入</w:t>
            </w:r>
            <w:r>
              <w:rPr>
                <w:rFonts w:ascii="宋体" w:hAnsi="宋体" w:cs="宋体" w:eastAsia="宋体" w:hint="default"/>
                <w:sz w:val="18"/>
                <w:szCs w:val="18"/>
              </w:rPr>
              <w:t>*0.5% </w:t>
            </w:r>
            <w:r>
              <w:rPr>
                <w:rFonts w:ascii="宋体" w:hAnsi="宋体" w:cs="宋体" w:eastAsia="宋体" w:hint="default"/>
                <w:sz w:val="18"/>
                <w:szCs w:val="18"/>
              </w:rPr>
              <w:t>≤潜在错报＜营业</w:t>
            </w:r>
          </w:p>
        </w:tc>
        <w:tc>
          <w:tcPr>
            <w:tcW w:w="3039" w:type="dxa"/>
            <w:vMerge w:val="restart"/>
            <w:tcBorders>
              <w:top w:val="single" w:sz="4" w:space="0" w:color="000000"/>
              <w:left w:val="single" w:sz="4" w:space="0" w:color="000000"/>
              <w:right w:val="single" w:sz="4" w:space="0" w:color="000000"/>
            </w:tcBorders>
          </w:tcPr>
          <w:p>
            <w:pPr>
              <w:pStyle w:val="TableParagraph"/>
              <w:spacing w:line="316" w:lineRule="auto" w:before="51"/>
              <w:ind w:left="11" w:right="20"/>
              <w:jc w:val="left"/>
              <w:rPr>
                <w:rFonts w:ascii="宋体" w:hAnsi="宋体" w:cs="宋体" w:eastAsia="宋体" w:hint="default"/>
                <w:sz w:val="18"/>
                <w:szCs w:val="18"/>
              </w:rPr>
            </w:pPr>
            <w:r>
              <w:rPr>
                <w:rFonts w:ascii="宋体" w:hAnsi="宋体" w:cs="宋体" w:eastAsia="宋体" w:hint="default"/>
                <w:spacing w:val="-4"/>
                <w:sz w:val="18"/>
                <w:szCs w:val="18"/>
              </w:rPr>
              <w:t>重大缺陷：潜在（直接）财产损失≥营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业收入</w:t>
            </w:r>
            <w:r>
              <w:rPr>
                <w:rFonts w:ascii="宋体" w:hAnsi="宋体" w:cs="宋体" w:eastAsia="宋体" w:hint="default"/>
                <w:spacing w:val="-4"/>
                <w:sz w:val="18"/>
                <w:szCs w:val="18"/>
              </w:rPr>
              <w:t>*1%</w:t>
            </w:r>
            <w:r>
              <w:rPr>
                <w:rFonts w:ascii="宋体" w:hAnsi="宋体" w:cs="宋体" w:eastAsia="宋体" w:hint="default"/>
                <w:spacing w:val="-4"/>
                <w:sz w:val="18"/>
                <w:szCs w:val="18"/>
              </w:rPr>
              <w:t>；重要缺陷：营业收入</w:t>
            </w:r>
            <w:r>
              <w:rPr>
                <w:rFonts w:ascii="宋体" w:hAnsi="宋体" w:cs="宋体" w:eastAsia="宋体" w:hint="default"/>
                <w:spacing w:val="-4"/>
                <w:sz w:val="18"/>
                <w:szCs w:val="18"/>
              </w:rPr>
              <w:t>*0.5%</w:t>
            </w:r>
          </w:p>
        </w:tc>
      </w:tr>
      <w:tr>
        <w:trPr>
          <w:trHeight w:val="391" w:hRule="exact"/>
        </w:trPr>
        <w:tc>
          <w:tcPr>
            <w:tcW w:w="31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41" w:type="dxa"/>
            <w:vMerge/>
            <w:tcBorders>
              <w:left w:val="single" w:sz="13" w:space="0" w:color="D2D2D2"/>
              <w:right w:val="single" w:sz="4" w:space="0" w:color="000000"/>
            </w:tcBorders>
          </w:tcPr>
          <w:p>
            <w:pPr/>
          </w:p>
        </w:tc>
        <w:tc>
          <w:tcPr>
            <w:tcW w:w="3039" w:type="dxa"/>
            <w:vMerge/>
            <w:tcBorders>
              <w:left w:val="single" w:sz="4" w:space="0" w:color="000000"/>
              <w:right w:val="single" w:sz="4" w:space="0" w:color="000000"/>
            </w:tcBorders>
          </w:tcPr>
          <w:p>
            <w:pPr/>
          </w:p>
        </w:tc>
      </w:tr>
      <w:tr>
        <w:trPr>
          <w:trHeight w:val="142" w:hRule="exact"/>
        </w:trPr>
        <w:tc>
          <w:tcPr>
            <w:tcW w:w="3177" w:type="dxa"/>
            <w:tcBorders>
              <w:top w:val="nil" w:sz="6" w:space="0" w:color="auto"/>
              <w:left w:val="single" w:sz="4" w:space="0" w:color="000000"/>
              <w:bottom w:val="single" w:sz="4" w:space="0" w:color="000000"/>
              <w:right w:val="single" w:sz="4" w:space="0" w:color="000000"/>
            </w:tcBorders>
            <w:shd w:val="clear" w:color="auto" w:fill="D2D2D2"/>
          </w:tcPr>
          <w:p>
            <w:pPr/>
          </w:p>
        </w:tc>
        <w:tc>
          <w:tcPr>
            <w:tcW w:w="3341" w:type="dxa"/>
            <w:vMerge/>
            <w:tcBorders>
              <w:left w:val="single" w:sz="13" w:space="0" w:color="D2D2D2"/>
              <w:bottom w:val="single" w:sz="4" w:space="0" w:color="000000"/>
              <w:right w:val="single" w:sz="4" w:space="0" w:color="000000"/>
            </w:tcBorders>
          </w:tcPr>
          <w:p>
            <w:pPr/>
          </w:p>
        </w:tc>
        <w:tc>
          <w:tcPr>
            <w:tcW w:w="3039"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6"/>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3194"/>
        <w:gridCol w:w="3324"/>
        <w:gridCol w:w="3051"/>
      </w:tblGrid>
      <w:tr>
        <w:trPr>
          <w:trHeight w:val="986"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4"/>
                <w:sz w:val="18"/>
                <w:szCs w:val="18"/>
              </w:rPr>
              <w:t>收入</w:t>
            </w:r>
            <w:r>
              <w:rPr>
                <w:rFonts w:ascii="宋体" w:hAnsi="宋体" w:cs="宋体" w:eastAsia="宋体" w:hint="default"/>
                <w:spacing w:val="-4"/>
                <w:sz w:val="18"/>
                <w:szCs w:val="18"/>
              </w:rPr>
              <w:t>*1%</w:t>
            </w:r>
            <w:r>
              <w:rPr>
                <w:rFonts w:ascii="宋体" w:hAnsi="宋体" w:cs="宋体" w:eastAsia="宋体" w:hint="default"/>
                <w:spacing w:val="-4"/>
                <w:sz w:val="18"/>
                <w:szCs w:val="18"/>
              </w:rPr>
              <w:t>；一般缺陷：潜在错报＜营业收入</w:t>
            </w:r>
          </w:p>
          <w:p>
            <w:pPr>
              <w:pStyle w:val="TableParagraph"/>
              <w:spacing w:line="240" w:lineRule="auto" w:before="77"/>
              <w:ind w:left="23" w:right="0"/>
              <w:jc w:val="left"/>
              <w:rPr>
                <w:rFonts w:ascii="宋体" w:hAnsi="宋体" w:cs="宋体" w:eastAsia="宋体" w:hint="default"/>
                <w:sz w:val="18"/>
                <w:szCs w:val="18"/>
              </w:rPr>
            </w:pPr>
            <w:r>
              <w:rPr>
                <w:rFonts w:ascii="宋体"/>
                <w:sz w:val="18"/>
              </w:rPr>
              <w:t>*0.5%</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≤潜在（直接）财产损失＜营业收入</w:t>
            </w:r>
          </w:p>
          <w:p>
            <w:pPr>
              <w:pStyle w:val="TableParagraph"/>
              <w:spacing w:line="319" w:lineRule="auto" w:before="76"/>
              <w:ind w:left="22" w:right="46"/>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；一般缺陷：潜在（直接）财产损 失＜营业收入</w:t>
            </w:r>
            <w:r>
              <w:rPr>
                <w:rFonts w:ascii="宋体" w:hAnsi="宋体" w:cs="宋体" w:eastAsia="宋体" w:hint="default"/>
                <w:sz w:val="18"/>
                <w:szCs w:val="18"/>
              </w:rPr>
              <w:t>*0.5%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r>
    </w:tbl>
    <w:p>
      <w:pPr>
        <w:spacing w:line="240" w:lineRule="auto" w:before="2"/>
        <w:rPr>
          <w:rFonts w:ascii="宋体" w:hAnsi="宋体" w:cs="宋体" w:eastAsia="宋体" w:hint="default"/>
          <w:b/>
          <w:bCs/>
          <w:sz w:val="18"/>
          <w:szCs w:val="18"/>
        </w:rPr>
      </w:pPr>
    </w:p>
    <w:p>
      <w:pPr>
        <w:pStyle w:val="Heading2"/>
        <w:spacing w:line="528" w:lineRule="auto"/>
        <w:ind w:left="634" w:right="7152" w:hanging="480"/>
        <w:jc w:val="left"/>
        <w:rPr>
          <w:rFonts w:ascii="宋体" w:hAnsi="宋体" w:cs="宋体" w:eastAsia="宋体" w:hint="default"/>
          <w:b w:val="0"/>
          <w:bCs w:val="0"/>
        </w:rPr>
      </w:pPr>
      <w:bookmarkStart w:name="十、内部控制审计报告或鉴证报告" w:id="152"/>
      <w:bookmarkEnd w:id="152"/>
      <w:r>
        <w:rPr>
          <w:b w:val="0"/>
          <w:bCs w:val="0"/>
        </w:rPr>
      </w:r>
      <w:r>
        <w:rPr>
          <w:w w:val="95"/>
        </w:rPr>
        <w:t>十、内部控制审计报告或鉴证报告</w:t>
      </w:r>
      <w:r>
        <w:rPr>
          <w:spacing w:val="51"/>
          <w:w w:val="95"/>
        </w:rPr>
        <w:t> </w:t>
      </w:r>
      <w:r>
        <w:rPr>
          <w:rFonts w:ascii="宋体" w:hAnsi="宋体" w:cs="宋体" w:eastAsia="宋体" w:hint="default"/>
          <w:b w:val="0"/>
          <w:bCs w:val="0"/>
        </w:rPr>
        <w:t>不适用</w:t>
      </w:r>
    </w:p>
    <w:p>
      <w:pPr>
        <w:spacing w:after="0" w:line="528" w:lineRule="auto"/>
        <w:jc w:val="left"/>
        <w:rPr>
          <w:rFonts w:ascii="宋体" w:hAnsi="宋体" w:cs="宋体" w:eastAsia="宋体" w:hint="default"/>
        </w:rPr>
        <w:sectPr>
          <w:pgSz w:w="11910" w:h="16840"/>
          <w:pgMar w:header="877"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4"/>
        <w:ind w:left="3126" w:right="1092"/>
        <w:jc w:val="left"/>
        <w:rPr>
          <w:b w:val="0"/>
          <w:bCs w:val="0"/>
        </w:rPr>
      </w:pPr>
      <w:bookmarkStart w:name="第十节 公司债券相关情况" w:id="153"/>
      <w:bookmarkEnd w:id="153"/>
      <w:r>
        <w:rPr>
          <w:b w:val="0"/>
          <w:bCs w:val="0"/>
        </w:rPr>
      </w:r>
      <w:bookmarkStart w:name="_bookmark8" w:id="154"/>
      <w:bookmarkEnd w:id="154"/>
      <w:r>
        <w:rPr>
          <w:b w:val="0"/>
          <w:bCs w:val="0"/>
        </w:rPr>
      </w:r>
      <w:r>
        <w:rPr/>
        <w:t>第十节</w:t>
      </w:r>
      <w:r>
        <w:rPr>
          <w:spacing w:val="-9"/>
        </w:rPr>
        <w:t> </w:t>
      </w:r>
      <w:r>
        <w:rPr/>
        <w:t>公司债券相关情况</w:t>
      </w:r>
      <w:r>
        <w:rPr>
          <w:b w:val="0"/>
          <w:bCs w:val="0"/>
        </w:rPr>
      </w:r>
    </w:p>
    <w:p>
      <w:pPr>
        <w:spacing w:line="240" w:lineRule="auto" w:before="10"/>
        <w:rPr>
          <w:rFonts w:ascii="宋体" w:hAnsi="宋体" w:cs="宋体" w:eastAsia="宋体" w:hint="default"/>
          <w:b/>
          <w:bCs/>
          <w:sz w:val="44"/>
          <w:szCs w:val="44"/>
        </w:rPr>
      </w:pPr>
    </w:p>
    <w:p>
      <w:pPr>
        <w:pStyle w:val="BodyText"/>
        <w:spacing w:line="357" w:lineRule="auto"/>
        <w:ind w:right="1092" w:firstLine="480"/>
        <w:jc w:val="left"/>
      </w:pPr>
      <w:r>
        <w:rPr/>
        <w:t>公司是否存在公开发行并在证券交易所上市，且在年度报告批准报出日未到期或到期未 能全额兑付的公司债券</w:t>
      </w:r>
    </w:p>
    <w:p>
      <w:pPr>
        <w:pStyle w:val="BodyText"/>
        <w:spacing w:line="240" w:lineRule="auto" w:before="136"/>
        <w:ind w:left="634" w:right="1092"/>
        <w:jc w:val="left"/>
      </w:pPr>
      <w:r>
        <w:rPr/>
        <w:t>否</w:t>
      </w:r>
    </w:p>
    <w:p>
      <w:pPr>
        <w:spacing w:after="0" w:line="240" w:lineRule="auto"/>
        <w:jc w:val="left"/>
        <w:sectPr>
          <w:pgSz w:w="11910" w:h="16840"/>
          <w:pgMar w:header="877"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4"/>
        <w:ind w:left="194" w:right="1112"/>
        <w:jc w:val="center"/>
        <w:rPr>
          <w:b w:val="0"/>
          <w:bCs w:val="0"/>
        </w:rPr>
      </w:pPr>
      <w:bookmarkStart w:name="第十一节 财务报告" w:id="155"/>
      <w:bookmarkEnd w:id="155"/>
      <w:r>
        <w:rPr>
          <w:b w:val="0"/>
          <w:bCs w:val="0"/>
        </w:rPr>
      </w:r>
      <w:bookmarkStart w:name="_bookmark9" w:id="156"/>
      <w:bookmarkEnd w:id="156"/>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ind w:left="214" w:right="1120"/>
        <w:jc w:val="left"/>
        <w:rPr>
          <w:b w:val="0"/>
          <w:bCs w:val="0"/>
        </w:rPr>
      </w:pPr>
      <w:bookmarkStart w:name="一、审计报告" w:id="157"/>
      <w:bookmarkEnd w:id="157"/>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20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6"/>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sz w:val="18"/>
              </w:rPr>
              <w:t>XYZH/2019BJA11315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汪洋、王宏疆</w:t>
            </w:r>
          </w:p>
        </w:tc>
      </w:tr>
    </w:tbl>
    <w:p>
      <w:pPr>
        <w:spacing w:line="240" w:lineRule="auto" w:before="10"/>
        <w:rPr>
          <w:rFonts w:ascii="宋体" w:hAnsi="宋体" w:cs="宋体" w:eastAsia="宋体" w:hint="default"/>
          <w:b/>
          <w:bCs/>
          <w:sz w:val="8"/>
          <w:szCs w:val="8"/>
        </w:rPr>
      </w:pPr>
    </w:p>
    <w:p>
      <w:pPr>
        <w:pStyle w:val="BodyText"/>
        <w:spacing w:line="434" w:lineRule="auto" w:before="26"/>
        <w:ind w:left="694" w:right="5230" w:firstLine="3620"/>
        <w:jc w:val="both"/>
        <w:rPr>
          <w:rFonts w:ascii="宋体" w:hAnsi="宋体" w:cs="宋体" w:eastAsia="宋体" w:hint="default"/>
        </w:rPr>
      </w:pPr>
      <w:r>
        <w:rPr/>
        <w:t>审计报告正文 中文在线数字出版集团股份有限公司全体股东： </w:t>
      </w:r>
      <w:r>
        <w:rPr>
          <w:rFonts w:ascii="宋体" w:hAnsi="宋体" w:cs="宋体" w:eastAsia="宋体" w:hint="default"/>
          <w:b/>
          <w:bCs/>
        </w:rPr>
        <w:t>一、审计意见</w:t>
      </w:r>
      <w:r>
        <w:rPr>
          <w:rFonts w:ascii="宋体" w:hAnsi="宋体" w:cs="宋体" w:eastAsia="宋体" w:hint="default"/>
        </w:rPr>
      </w:r>
    </w:p>
    <w:p>
      <w:pPr>
        <w:pStyle w:val="BodyText"/>
        <w:spacing w:line="357" w:lineRule="auto" w:before="58"/>
        <w:ind w:left="214" w:right="998" w:firstLine="480"/>
        <w:jc w:val="left"/>
      </w:pPr>
      <w:r>
        <w:rPr/>
        <w:t>我们审计了中文在线数字出版集团股份有限公司（以下简称“中文在线公司”）财务报 </w:t>
      </w:r>
      <w:r>
        <w:rPr>
          <w:spacing w:val="-3"/>
        </w:rPr>
        <w:t>表，包括</w:t>
      </w:r>
      <w:r>
        <w:rPr>
          <w:spacing w:val="-62"/>
        </w:rPr>
        <w:t> </w:t>
      </w:r>
      <w:r>
        <w:rPr>
          <w:rFonts w:ascii="宋体" w:hAnsi="宋体" w:cs="宋体" w:eastAsia="宋体" w:hint="default"/>
        </w:rPr>
        <w:t>2018</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2"/>
        </w:rPr>
        <w:t> </w:t>
      </w:r>
      <w:r>
        <w:rPr>
          <w:rFonts w:ascii="宋体" w:hAnsi="宋体" w:cs="宋体" w:eastAsia="宋体" w:hint="default"/>
        </w:rPr>
        <w:t>31</w:t>
      </w:r>
      <w:r>
        <w:rPr>
          <w:rFonts w:ascii="宋体" w:hAnsi="宋体" w:cs="宋体" w:eastAsia="宋体" w:hint="default"/>
          <w:spacing w:val="-62"/>
        </w:rPr>
        <w:t> </w:t>
      </w:r>
      <w:r>
        <w:rPr/>
        <w:t>日的合并及母公司资产负债表，</w:t>
      </w:r>
      <w:r>
        <w:rPr>
          <w:rFonts w:ascii="宋体" w:hAnsi="宋体" w:cs="宋体" w:eastAsia="宋体" w:hint="default"/>
        </w:rPr>
        <w:t>2018</w:t>
      </w:r>
      <w:r>
        <w:rPr>
          <w:rFonts w:ascii="宋体" w:hAnsi="宋体" w:cs="宋体" w:eastAsia="宋体" w:hint="default"/>
          <w:spacing w:val="-62"/>
        </w:rPr>
        <w:t> </w:t>
      </w:r>
      <w:r>
        <w:rPr/>
        <w:t>年度的合并及母公司利润表、 合并及母公司现金流量表、合并及母公司股东权益变动表，以及相关财务报表附注。</w:t>
      </w:r>
    </w:p>
    <w:p>
      <w:pPr>
        <w:pStyle w:val="BodyText"/>
        <w:spacing w:line="357" w:lineRule="auto" w:before="134"/>
        <w:ind w:left="214" w:right="1130" w:firstLine="480"/>
        <w:jc w:val="both"/>
      </w:pPr>
      <w:r>
        <w:rPr/>
        <w:t>我们认为，后附的财务报表在所有重大方面按照企业会计准则的规定编制，公允反映了 中文在线公司</w:t>
      </w:r>
      <w:r>
        <w:rPr>
          <w:spacing w:val="-55"/>
        </w:rPr>
        <w:t> </w:t>
      </w:r>
      <w:r>
        <w:rPr>
          <w:rFonts w:ascii="宋体" w:hAnsi="宋体" w:cs="宋体" w:eastAsia="宋体" w:hint="default"/>
        </w:rPr>
        <w:t>2018</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31</w:t>
      </w:r>
      <w:r>
        <w:rPr>
          <w:rFonts w:ascii="宋体" w:hAnsi="宋体" w:cs="宋体" w:eastAsia="宋体" w:hint="default"/>
          <w:spacing w:val="-56"/>
        </w:rPr>
        <w:t> </w:t>
      </w:r>
      <w:r>
        <w:rPr/>
        <w:t>日的合并及母公司财务状况以及</w:t>
      </w:r>
      <w:r>
        <w:rPr>
          <w:spacing w:val="-55"/>
        </w:rPr>
        <w:t> </w:t>
      </w:r>
      <w:r>
        <w:rPr>
          <w:rFonts w:ascii="宋体" w:hAnsi="宋体" w:cs="宋体" w:eastAsia="宋体" w:hint="default"/>
        </w:rPr>
        <w:t>2018</w:t>
      </w:r>
      <w:r>
        <w:rPr>
          <w:rFonts w:ascii="宋体" w:hAnsi="宋体" w:cs="宋体" w:eastAsia="宋体" w:hint="default"/>
          <w:spacing w:val="-55"/>
        </w:rPr>
        <w:t> </w:t>
      </w:r>
      <w:r>
        <w:rPr/>
        <w:t>年度的合并及母公司经 营成果和现金流量。</w:t>
      </w:r>
    </w:p>
    <w:p>
      <w:pPr>
        <w:spacing w:line="432" w:lineRule="auto" w:before="137"/>
        <w:ind w:left="694" w:right="1120" w:firstLine="2"/>
        <w:jc w:val="left"/>
        <w:rPr>
          <w:rFonts w:ascii="宋体" w:hAnsi="宋体" w:cs="宋体" w:eastAsia="宋体" w:hint="default"/>
          <w:sz w:val="24"/>
          <w:szCs w:val="24"/>
        </w:rPr>
      </w:pPr>
      <w:r>
        <w:rPr>
          <w:rFonts w:ascii="宋体" w:hAnsi="宋体" w:cs="宋体" w:eastAsia="宋体" w:hint="default"/>
          <w:b/>
          <w:bCs/>
          <w:sz w:val="24"/>
          <w:szCs w:val="24"/>
        </w:rPr>
        <w:t>二、形成审计意见的基础</w:t>
      </w:r>
      <w:r>
        <w:rPr>
          <w:rFonts w:ascii="宋体" w:hAnsi="宋体" w:cs="宋体" w:eastAsia="宋体" w:hint="default"/>
          <w:b/>
          <w:bCs/>
          <w:w w:val="99"/>
          <w:sz w:val="24"/>
          <w:szCs w:val="24"/>
        </w:rPr>
        <w:t> </w:t>
      </w:r>
      <w:r>
        <w:rPr>
          <w:rFonts w:ascii="宋体" w:hAnsi="宋体" w:cs="宋体" w:eastAsia="宋体" w:hint="default"/>
          <w:sz w:val="24"/>
          <w:szCs w:val="24"/>
        </w:rPr>
        <w:t>我们按照中国注册会计师审计准则的规定执行了审计工作。审计报告的“注册会计师对</w:t>
      </w:r>
    </w:p>
    <w:p>
      <w:pPr>
        <w:pStyle w:val="BodyText"/>
        <w:spacing w:line="276" w:lineRule="exact"/>
        <w:ind w:left="214" w:right="1120"/>
        <w:jc w:val="left"/>
      </w:pPr>
      <w:r>
        <w:rPr/>
        <w:t>财务报表审计的责任”部分进一步阐述了我们在这些准则下的责任。按照中国注册会计师职</w:t>
      </w:r>
    </w:p>
    <w:p>
      <w:pPr>
        <w:pStyle w:val="BodyText"/>
        <w:spacing w:line="357" w:lineRule="auto" w:before="154"/>
        <w:ind w:left="214" w:right="1120"/>
        <w:jc w:val="left"/>
      </w:pPr>
      <w:r>
        <w:rPr/>
        <w:t>业道德守则，我们独立于中文在线公司，并履行了职业道德方面的其他责任。我们相信，我 们获取的审计证据是充分、适当的，为发表审计意见提供了基础。</w:t>
      </w:r>
    </w:p>
    <w:p>
      <w:pPr>
        <w:pStyle w:val="BodyText"/>
        <w:spacing w:line="432" w:lineRule="auto" w:before="136"/>
        <w:ind w:left="694" w:right="1120" w:firstLine="2"/>
        <w:jc w:val="left"/>
      </w:pPr>
      <w:r>
        <w:rPr>
          <w:rFonts w:ascii="宋体" w:hAnsi="宋体" w:cs="宋体" w:eastAsia="宋体" w:hint="default"/>
          <w:b/>
          <w:bCs/>
        </w:rPr>
        <w:t>三、关键审计事项</w:t>
      </w:r>
      <w:r>
        <w:rPr>
          <w:rFonts w:ascii="宋体" w:hAnsi="宋体" w:cs="宋体" w:eastAsia="宋体" w:hint="default"/>
          <w:b/>
          <w:bCs/>
          <w:w w:val="99"/>
        </w:rPr>
        <w:t> </w:t>
      </w:r>
      <w:r>
        <w:rPr/>
        <w:t>关键审计事项是我们根据职业判断，认为对本期财务报表审计最为重要的事项。这些事</w:t>
      </w:r>
    </w:p>
    <w:p>
      <w:pPr>
        <w:pStyle w:val="BodyText"/>
        <w:spacing w:line="276" w:lineRule="exact"/>
        <w:ind w:left="214" w:right="1120"/>
        <w:jc w:val="left"/>
      </w:pPr>
      <w:r>
        <w:rPr/>
        <w:t>项的应对以对财务报表整体进行审计并形成审计意见为背景，我们不对这些事项单独发表意</w:t>
      </w:r>
    </w:p>
    <w:p>
      <w:pPr>
        <w:pStyle w:val="BodyText"/>
        <w:spacing w:line="240" w:lineRule="auto" w:before="155"/>
        <w:ind w:left="214" w:right="1120"/>
        <w:jc w:val="left"/>
      </w:pPr>
      <w:r>
        <w:rPr/>
        <w:t>见。</w:t>
      </w:r>
    </w:p>
    <w:p>
      <w:pPr>
        <w:spacing w:line="240" w:lineRule="auto" w:before="9"/>
        <w:rPr>
          <w:rFonts w:ascii="宋体" w:hAnsi="宋体" w:cs="宋体" w:eastAsia="宋体" w:hint="default"/>
          <w:sz w:val="16"/>
          <w:szCs w:val="16"/>
        </w:rPr>
      </w:pPr>
    </w:p>
    <w:p>
      <w:pPr>
        <w:spacing w:line="450" w:lineRule="exact"/>
        <w:ind w:left="106" w:right="0" w:firstLine="0"/>
        <w:rPr>
          <w:rFonts w:ascii="宋体" w:hAnsi="宋体" w:cs="宋体" w:eastAsia="宋体" w:hint="default"/>
          <w:sz w:val="20"/>
          <w:szCs w:val="20"/>
        </w:rPr>
      </w:pPr>
      <w:r>
        <w:rPr>
          <w:rFonts w:ascii="宋体" w:hAnsi="宋体" w:cs="宋体" w:eastAsia="宋体" w:hint="default"/>
          <w:position w:val="-8"/>
          <w:sz w:val="20"/>
          <w:szCs w:val="20"/>
        </w:rPr>
        <w:pict>
          <v:shape style="width:492.8pt;height:22.5pt;mso-position-horizontal-relative:char;mso-position-vertical-relative:line" type="#_x0000_t202" filled="true" fillcolor="#d9d9d9" stroked="true" strokeweight=".48004pt" strokecolor="#000000">
            <w10:anchorlock/>
            <v:textbox inset="0,0,0,0">
              <w:txbxContent>
                <w:p>
                  <w:pPr>
                    <w:spacing w:before="117"/>
                    <w:ind w:left="103"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、非同一控制企业合并晨之科商誉减值事项</w:t>
                  </w:r>
                </w:p>
              </w:txbxContent>
            </v:textbox>
            <v:fill type="solid"/>
          </v:shape>
        </w:pict>
      </w:r>
      <w:r>
        <w:rPr>
          <w:rFonts w:ascii="宋体" w:hAnsi="宋体" w:cs="宋体" w:eastAsia="宋体" w:hint="default"/>
          <w:position w:val="-8"/>
          <w:sz w:val="20"/>
          <w:szCs w:val="20"/>
        </w:rPr>
      </w:r>
    </w:p>
    <w:p>
      <w:pPr>
        <w:spacing w:after="0" w:line="450" w:lineRule="exact"/>
        <w:rPr>
          <w:rFonts w:ascii="宋体" w:hAnsi="宋体" w:cs="宋体" w:eastAsia="宋体" w:hint="default"/>
          <w:sz w:val="20"/>
          <w:szCs w:val="20"/>
        </w:rPr>
        <w:sectPr>
          <w:pgSz w:w="11910" w:h="16840"/>
          <w:pgMar w:header="877" w:footer="979" w:top="1100" w:bottom="1160" w:left="920" w:right="0"/>
        </w:sectPr>
      </w:pPr>
    </w:p>
    <w:p>
      <w:pPr>
        <w:spacing w:line="240" w:lineRule="auto" w:before="3"/>
        <w:rPr>
          <w:rFonts w:ascii="Times New Roman" w:hAnsi="Times New Roman" w:cs="Times New Roman" w:eastAsia="Times New Roman"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5080"/>
        <w:gridCol w:w="4775"/>
      </w:tblGrid>
      <w:tr>
        <w:trPr>
          <w:trHeight w:val="412" w:hRule="exact"/>
        </w:trPr>
        <w:tc>
          <w:tcPr>
            <w:tcW w:w="50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关键审计事项</w:t>
            </w:r>
          </w:p>
        </w:tc>
        <w:tc>
          <w:tcPr>
            <w:tcW w:w="47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审计中的应对</w:t>
            </w:r>
          </w:p>
        </w:tc>
      </w:tr>
      <w:tr>
        <w:trPr>
          <w:trHeight w:val="5696" w:hRule="exact"/>
        </w:trPr>
        <w:tc>
          <w:tcPr>
            <w:tcW w:w="5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367" w:lineRule="auto"/>
              <w:ind w:left="103" w:right="11" w:firstLine="360"/>
              <w:jc w:val="left"/>
              <w:rPr>
                <w:rFonts w:ascii="宋体" w:hAnsi="宋体" w:cs="宋体" w:eastAsia="宋体" w:hint="default"/>
                <w:sz w:val="18"/>
                <w:szCs w:val="18"/>
              </w:rPr>
            </w:pPr>
            <w:r>
              <w:rPr>
                <w:rFonts w:ascii="宋体" w:hAnsi="宋体" w:cs="宋体" w:eastAsia="宋体" w:hint="default"/>
                <w:spacing w:val="-3"/>
                <w:sz w:val="18"/>
                <w:szCs w:val="18"/>
              </w:rPr>
              <w:t>如财务报表附注四、</w:t>
            </w:r>
            <w:r>
              <w:rPr>
                <w:rFonts w:ascii="宋体" w:hAnsi="宋体" w:cs="宋体" w:eastAsia="宋体" w:hint="default"/>
                <w:spacing w:val="-3"/>
                <w:sz w:val="18"/>
                <w:szCs w:val="18"/>
              </w:rPr>
              <w:t>30</w:t>
            </w:r>
            <w:r>
              <w:rPr>
                <w:rFonts w:ascii="宋体" w:hAnsi="宋体" w:cs="宋体" w:eastAsia="宋体" w:hint="default"/>
                <w:spacing w:val="-3"/>
                <w:sz w:val="18"/>
                <w:szCs w:val="18"/>
              </w:rPr>
              <w:t>（</w:t>
            </w:r>
            <w:r>
              <w:rPr>
                <w:rFonts w:ascii="宋体" w:hAnsi="宋体" w:cs="宋体" w:eastAsia="宋体" w:hint="default"/>
                <w:spacing w:val="-3"/>
                <w:sz w:val="18"/>
                <w:szCs w:val="18"/>
              </w:rPr>
              <w:t>2</w:t>
            </w:r>
            <w:r>
              <w:rPr>
                <w:rFonts w:ascii="宋体" w:hAnsi="宋体" w:cs="宋体" w:eastAsia="宋体" w:hint="default"/>
                <w:spacing w:val="-3"/>
                <w:sz w:val="18"/>
                <w:szCs w:val="18"/>
              </w:rPr>
              <w:t>）及附注六、</w:t>
            </w:r>
            <w:r>
              <w:rPr>
                <w:rFonts w:ascii="宋体" w:hAnsi="宋体" w:cs="宋体" w:eastAsia="宋体" w:hint="default"/>
                <w:spacing w:val="-3"/>
                <w:sz w:val="18"/>
                <w:szCs w:val="18"/>
              </w:rPr>
              <w:t>14</w:t>
            </w:r>
            <w:r>
              <w:rPr>
                <w:rFonts w:ascii="宋体" w:hAnsi="宋体" w:cs="宋体" w:eastAsia="宋体" w:hint="default"/>
                <w:spacing w:val="-30"/>
                <w:sz w:val="18"/>
                <w:szCs w:val="18"/>
              </w:rPr>
              <w:t> </w:t>
            </w:r>
            <w:r>
              <w:rPr>
                <w:rFonts w:ascii="宋体" w:hAnsi="宋体" w:cs="宋体" w:eastAsia="宋体" w:hint="default"/>
                <w:sz w:val="18"/>
                <w:szCs w:val="18"/>
              </w:rPr>
              <w:t>商誉和附注七、 </w:t>
            </w:r>
            <w:r>
              <w:rPr>
                <w:rFonts w:ascii="宋体" w:hAnsi="宋体" w:cs="宋体" w:eastAsia="宋体" w:hint="default"/>
                <w:sz w:val="18"/>
                <w:szCs w:val="18"/>
              </w:rPr>
              <w:t>1</w:t>
            </w:r>
            <w:r>
              <w:rPr>
                <w:rFonts w:ascii="宋体" w:hAnsi="宋体" w:cs="宋体" w:eastAsia="宋体" w:hint="default"/>
                <w:spacing w:val="2"/>
                <w:sz w:val="18"/>
                <w:szCs w:val="18"/>
              </w:rPr>
              <w:t> </w:t>
            </w:r>
            <w:r>
              <w:rPr>
                <w:rFonts w:ascii="宋体" w:hAnsi="宋体" w:cs="宋体" w:eastAsia="宋体" w:hint="default"/>
                <w:sz w:val="18"/>
                <w:szCs w:val="18"/>
              </w:rPr>
              <w:t>非同一控制企业合并所述，中文在线公司原持有上海晨之科</w:t>
            </w:r>
          </w:p>
          <w:p>
            <w:pPr>
              <w:pStyle w:val="TableParagraph"/>
              <w:spacing w:line="367" w:lineRule="auto" w:before="29"/>
              <w:ind w:left="103" w:right="101"/>
              <w:jc w:val="both"/>
              <w:rPr>
                <w:rFonts w:ascii="宋体" w:hAnsi="宋体" w:cs="宋体" w:eastAsia="宋体" w:hint="default"/>
                <w:sz w:val="18"/>
                <w:szCs w:val="18"/>
              </w:rPr>
            </w:pPr>
            <w:r>
              <w:rPr>
                <w:rFonts w:ascii="宋体" w:hAnsi="宋体" w:cs="宋体" w:eastAsia="宋体" w:hint="default"/>
                <w:spacing w:val="-4"/>
                <w:sz w:val="18"/>
                <w:szCs w:val="18"/>
              </w:rPr>
              <w:t>信息科技有限公司（以下简称“晨之科”）</w:t>
            </w:r>
            <w:r>
              <w:rPr>
                <w:rFonts w:ascii="宋体" w:hAnsi="宋体" w:cs="宋体" w:eastAsia="宋体" w:hint="default"/>
                <w:spacing w:val="-4"/>
                <w:sz w:val="18"/>
                <w:szCs w:val="18"/>
              </w:rPr>
              <w:t>20%</w:t>
            </w:r>
            <w:r>
              <w:rPr>
                <w:rFonts w:ascii="宋体" w:hAnsi="宋体" w:cs="宋体" w:eastAsia="宋体" w:hint="default"/>
                <w:spacing w:val="-4"/>
                <w:sz w:val="18"/>
                <w:szCs w:val="18"/>
              </w:rPr>
              <w:t>股权，</w:t>
            </w:r>
            <w:r>
              <w:rPr>
                <w:rFonts w:ascii="宋体" w:hAnsi="宋体" w:cs="宋体" w:eastAsia="宋体" w:hint="default"/>
                <w:spacing w:val="-4"/>
                <w:sz w:val="18"/>
                <w:szCs w:val="18"/>
              </w:rPr>
              <w:t>2018</w:t>
            </w:r>
            <w:r>
              <w:rPr>
                <w:rFonts w:ascii="宋体" w:hAnsi="宋体" w:cs="宋体" w:eastAsia="宋体" w:hint="default"/>
                <w:spacing w:val="-33"/>
                <w:sz w:val="18"/>
                <w:szCs w:val="18"/>
              </w:rPr>
              <w:t> </w:t>
            </w:r>
            <w:r>
              <w:rPr>
                <w:rFonts w:ascii="宋体" w:hAnsi="宋体" w:cs="宋体" w:eastAsia="宋体" w:hint="default"/>
                <w:sz w:val="18"/>
                <w:szCs w:val="18"/>
              </w:rPr>
              <w:t>年</w:t>
            </w:r>
            <w:r>
              <w:rPr>
                <w:rFonts w:ascii="宋体" w:hAnsi="宋体" w:cs="宋体" w:eastAsia="宋体" w:hint="default"/>
                <w:spacing w:val="-33"/>
                <w:sz w:val="18"/>
                <w:szCs w:val="18"/>
              </w:rPr>
              <w:t> </w:t>
            </w:r>
            <w:r>
              <w:rPr>
                <w:rFonts w:ascii="宋体" w:hAnsi="宋体" w:cs="宋体" w:eastAsia="宋体" w:hint="default"/>
                <w:sz w:val="18"/>
                <w:szCs w:val="18"/>
              </w:rPr>
              <w:t>4</w:t>
            </w:r>
            <w:r>
              <w:rPr>
                <w:rFonts w:ascii="宋体" w:hAnsi="宋体" w:cs="宋体" w:eastAsia="宋体" w:hint="default"/>
                <w:spacing w:val="-87"/>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日收购晨之科剩余</w:t>
            </w:r>
            <w:r>
              <w:rPr>
                <w:rFonts w:ascii="宋体" w:hAnsi="宋体" w:cs="宋体" w:eastAsia="宋体" w:hint="default"/>
                <w:spacing w:val="-44"/>
                <w:sz w:val="18"/>
                <w:szCs w:val="18"/>
              </w:rPr>
              <w:t> </w:t>
            </w:r>
            <w:r>
              <w:rPr>
                <w:rFonts w:ascii="宋体" w:hAnsi="宋体" w:cs="宋体" w:eastAsia="宋体" w:hint="default"/>
                <w:sz w:val="18"/>
                <w:szCs w:val="18"/>
              </w:rPr>
              <w:t>80%</w:t>
            </w:r>
            <w:r>
              <w:rPr>
                <w:rFonts w:ascii="宋体" w:hAnsi="宋体" w:cs="宋体" w:eastAsia="宋体" w:hint="default"/>
                <w:sz w:val="18"/>
                <w:szCs w:val="18"/>
              </w:rPr>
              <w:t>的股权，取得晨之科</w:t>
            </w:r>
            <w:r>
              <w:rPr>
                <w:rFonts w:ascii="宋体" w:hAnsi="宋体" w:cs="宋体" w:eastAsia="宋体" w:hint="default"/>
                <w:spacing w:val="-44"/>
                <w:sz w:val="18"/>
                <w:szCs w:val="18"/>
              </w:rPr>
              <w:t> </w:t>
            </w:r>
            <w:r>
              <w:rPr>
                <w:rFonts w:ascii="宋体" w:hAnsi="宋体" w:cs="宋体" w:eastAsia="宋体" w:hint="default"/>
                <w:sz w:val="18"/>
                <w:szCs w:val="18"/>
              </w:rPr>
              <w:t>100%</w:t>
            </w:r>
            <w:r>
              <w:rPr>
                <w:rFonts w:ascii="宋体" w:hAnsi="宋体" w:cs="宋体" w:eastAsia="宋体" w:hint="default"/>
                <w:sz w:val="18"/>
                <w:szCs w:val="18"/>
              </w:rPr>
              <w:t>股权的公 允价值与晨之科可辩认净资产公允价值的差额</w:t>
            </w:r>
            <w:r>
              <w:rPr>
                <w:rFonts w:ascii="宋体" w:hAnsi="宋体" w:cs="宋体" w:eastAsia="宋体" w:hint="default"/>
                <w:spacing w:val="-44"/>
                <w:sz w:val="18"/>
                <w:szCs w:val="18"/>
              </w:rPr>
              <w:t> </w:t>
            </w:r>
            <w:r>
              <w:rPr>
                <w:rFonts w:ascii="宋体" w:hAnsi="宋体" w:cs="宋体" w:eastAsia="宋体" w:hint="default"/>
                <w:sz w:val="18"/>
                <w:szCs w:val="18"/>
              </w:rPr>
              <w:t>12.54</w:t>
            </w:r>
            <w:r>
              <w:rPr>
                <w:rFonts w:ascii="宋体" w:hAnsi="宋体" w:cs="宋体" w:eastAsia="宋体" w:hint="default"/>
                <w:spacing w:val="-44"/>
                <w:sz w:val="18"/>
                <w:szCs w:val="18"/>
              </w:rPr>
              <w:t> </w:t>
            </w:r>
            <w:r>
              <w:rPr>
                <w:rFonts w:ascii="宋体" w:hAnsi="宋体" w:cs="宋体" w:eastAsia="宋体" w:hint="default"/>
                <w:sz w:val="18"/>
                <w:szCs w:val="18"/>
              </w:rPr>
              <w:t>亿元确认 为商誉。根据企业会计准则的规定，管理层需要每年末对商誉 进行减值测试，以确定是否需要确认减值损失。由于商誉金额 重大，管理层需要对商誉是否减值作出重大判断和假设，因此 我们将非同一控制企业合并晨之科形成的商誉减值事项识别为 关键审计事项。</w:t>
            </w:r>
          </w:p>
        </w:tc>
        <w:tc>
          <w:tcPr>
            <w:tcW w:w="4775"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122"/>
              <w:ind w:left="101" w:right="102"/>
              <w:jc w:val="left"/>
              <w:rPr>
                <w:rFonts w:ascii="宋体" w:hAnsi="宋体" w:cs="宋体" w:eastAsia="宋体" w:hint="default"/>
                <w:sz w:val="18"/>
                <w:szCs w:val="18"/>
              </w:rPr>
            </w:pPr>
            <w:r>
              <w:rPr>
                <w:rFonts w:ascii="宋体" w:hAnsi="宋体" w:cs="宋体" w:eastAsia="宋体" w:hint="default"/>
                <w:sz w:val="18"/>
                <w:szCs w:val="18"/>
              </w:rPr>
              <w:t>我们就商誉减值事项执行的主要审计程序如下： </w:t>
            </w:r>
            <w:r>
              <w:rPr>
                <w:rFonts w:ascii="宋体" w:hAnsi="宋体" w:cs="宋体" w:eastAsia="宋体" w:hint="default"/>
                <w:spacing w:val="-2"/>
                <w:sz w:val="18"/>
                <w:szCs w:val="18"/>
              </w:rPr>
              <w:t>1</w:t>
            </w:r>
            <w:r>
              <w:rPr>
                <w:rFonts w:ascii="宋体" w:hAnsi="宋体" w:cs="宋体" w:eastAsia="宋体" w:hint="default"/>
                <w:spacing w:val="-2"/>
                <w:sz w:val="18"/>
                <w:szCs w:val="18"/>
              </w:rPr>
              <w:t>、对商誉减值测试相关的内部控制的设计及执行有效性进</w:t>
            </w:r>
          </w:p>
          <w:p>
            <w:pPr>
              <w:pStyle w:val="TableParagraph"/>
              <w:spacing w:line="408" w:lineRule="auto"/>
              <w:ind w:left="101" w:right="101"/>
              <w:jc w:val="left"/>
              <w:rPr>
                <w:rFonts w:ascii="宋体" w:hAnsi="宋体" w:cs="宋体" w:eastAsia="宋体" w:hint="default"/>
                <w:sz w:val="18"/>
                <w:szCs w:val="18"/>
              </w:rPr>
            </w:pPr>
            <w:r>
              <w:rPr>
                <w:rFonts w:ascii="宋体" w:hAnsi="宋体" w:cs="宋体" w:eastAsia="宋体" w:hint="default"/>
                <w:sz w:val="18"/>
                <w:szCs w:val="18"/>
              </w:rPr>
              <w:t>行评估和测试。 </w:t>
            </w:r>
            <w:r>
              <w:rPr>
                <w:rFonts w:ascii="宋体" w:hAnsi="宋体" w:cs="宋体" w:eastAsia="宋体" w:hint="default"/>
                <w:spacing w:val="-2"/>
                <w:sz w:val="18"/>
                <w:szCs w:val="18"/>
              </w:rPr>
              <w:t>2</w:t>
            </w:r>
            <w:r>
              <w:rPr>
                <w:rFonts w:ascii="宋体" w:hAnsi="宋体" w:cs="宋体" w:eastAsia="宋体" w:hint="default"/>
                <w:spacing w:val="-2"/>
                <w:sz w:val="18"/>
                <w:szCs w:val="18"/>
              </w:rPr>
              <w:t>、评价管理层对商誉所在的资产组的认定，了解资产组的</w:t>
            </w:r>
          </w:p>
          <w:p>
            <w:pPr>
              <w:pStyle w:val="TableParagraph"/>
              <w:spacing w:line="386" w:lineRule="auto"/>
              <w:ind w:left="101" w:right="101"/>
              <w:jc w:val="left"/>
              <w:rPr>
                <w:rFonts w:ascii="宋体" w:hAnsi="宋体" w:cs="宋体" w:eastAsia="宋体" w:hint="default"/>
                <w:sz w:val="18"/>
                <w:szCs w:val="18"/>
              </w:rPr>
            </w:pPr>
            <w:r>
              <w:rPr>
                <w:rFonts w:ascii="宋体" w:hAnsi="宋体" w:cs="宋体" w:eastAsia="宋体" w:hint="default"/>
                <w:sz w:val="18"/>
                <w:szCs w:val="18"/>
              </w:rPr>
              <w:t>历史业绩及未来收益预测，资产组所属行业的相关政策及</w:t>
            </w:r>
            <w:r>
              <w:rPr>
                <w:rFonts w:ascii="宋体" w:hAnsi="宋体" w:cs="宋体" w:eastAsia="宋体" w:hint="default"/>
                <w:spacing w:val="-41"/>
                <w:sz w:val="18"/>
                <w:szCs w:val="18"/>
              </w:rPr>
              <w:t> </w:t>
            </w:r>
            <w:r>
              <w:rPr>
                <w:rFonts w:ascii="宋体" w:hAnsi="宋体" w:cs="宋体" w:eastAsia="宋体" w:hint="default"/>
                <w:sz w:val="18"/>
                <w:szCs w:val="18"/>
              </w:rPr>
              <w:t>发展趋势。</w:t>
            </w:r>
            <w:r>
              <w:rPr>
                <w:rFonts w:ascii="宋体" w:hAnsi="宋体" w:cs="宋体" w:eastAsia="宋体" w:hint="default"/>
                <w:sz w:val="18"/>
                <w:szCs w:val="18"/>
              </w:rPr>
              <w:t> </w:t>
            </w:r>
            <w:r>
              <w:rPr>
                <w:rFonts w:ascii="宋体" w:hAnsi="宋体" w:cs="宋体" w:eastAsia="宋体" w:hint="default"/>
                <w:spacing w:val="-2"/>
                <w:sz w:val="18"/>
                <w:szCs w:val="18"/>
              </w:rPr>
              <w:t>3</w:t>
            </w:r>
            <w:r>
              <w:rPr>
                <w:rFonts w:ascii="宋体" w:hAnsi="宋体" w:cs="宋体" w:eastAsia="宋体" w:hint="default"/>
                <w:spacing w:val="-2"/>
                <w:sz w:val="18"/>
                <w:szCs w:val="18"/>
              </w:rPr>
              <w:t>、分析管理层对商誉减值测试时采用关键假设和方法，检</w:t>
            </w:r>
          </w:p>
          <w:p>
            <w:pPr>
              <w:pStyle w:val="TableParagraph"/>
              <w:spacing w:line="408" w:lineRule="auto" w:before="14"/>
              <w:ind w:left="101" w:right="101"/>
              <w:jc w:val="left"/>
              <w:rPr>
                <w:rFonts w:ascii="宋体" w:hAnsi="宋体" w:cs="宋体" w:eastAsia="宋体" w:hint="default"/>
                <w:sz w:val="18"/>
                <w:szCs w:val="18"/>
              </w:rPr>
            </w:pPr>
            <w:r>
              <w:rPr>
                <w:rFonts w:ascii="宋体" w:hAnsi="宋体" w:cs="宋体" w:eastAsia="宋体" w:hint="default"/>
                <w:sz w:val="18"/>
                <w:szCs w:val="18"/>
              </w:rPr>
              <w:t>查相关假设方法的合理性。 </w:t>
            </w:r>
            <w:r>
              <w:rPr>
                <w:rFonts w:ascii="宋体" w:hAnsi="宋体" w:cs="宋体" w:eastAsia="宋体" w:hint="default"/>
                <w:spacing w:val="-2"/>
                <w:sz w:val="18"/>
                <w:szCs w:val="18"/>
              </w:rPr>
              <w:t>4</w:t>
            </w:r>
            <w:r>
              <w:rPr>
                <w:rFonts w:ascii="宋体" w:hAnsi="宋体" w:cs="宋体" w:eastAsia="宋体" w:hint="default"/>
                <w:spacing w:val="-2"/>
                <w:sz w:val="18"/>
                <w:szCs w:val="18"/>
              </w:rPr>
              <w:t>、复核资产评估机构的工作，包括：商誉减值测试数据的</w:t>
            </w:r>
          </w:p>
          <w:p>
            <w:pPr>
              <w:pStyle w:val="TableParagraph"/>
              <w:spacing w:line="367" w:lineRule="auto"/>
              <w:ind w:left="101" w:right="101"/>
              <w:jc w:val="both"/>
              <w:rPr>
                <w:rFonts w:ascii="宋体" w:hAnsi="宋体" w:cs="宋体" w:eastAsia="宋体" w:hint="default"/>
                <w:sz w:val="18"/>
                <w:szCs w:val="18"/>
              </w:rPr>
            </w:pPr>
            <w:r>
              <w:rPr>
                <w:rFonts w:ascii="宋体" w:hAnsi="宋体" w:cs="宋体" w:eastAsia="宋体" w:hint="default"/>
                <w:sz w:val="18"/>
                <w:szCs w:val="18"/>
              </w:rPr>
              <w:t>引用、参数的选取、假设认定等，判断资产评估机构工作</w:t>
            </w:r>
            <w:r>
              <w:rPr>
                <w:rFonts w:ascii="宋体" w:hAnsi="宋体" w:cs="宋体" w:eastAsia="宋体" w:hint="default"/>
                <w:spacing w:val="-41"/>
                <w:sz w:val="18"/>
                <w:szCs w:val="18"/>
              </w:rPr>
              <w:t> </w:t>
            </w:r>
            <w:r>
              <w:rPr>
                <w:rFonts w:ascii="宋体" w:hAnsi="宋体" w:cs="宋体" w:eastAsia="宋体" w:hint="default"/>
                <w:sz w:val="18"/>
                <w:szCs w:val="18"/>
              </w:rPr>
              <w:t>的恰当性，检查评估机构是否选择恰当的估值技术来确定</w:t>
            </w:r>
            <w:r>
              <w:rPr>
                <w:rFonts w:ascii="宋体" w:hAnsi="宋体" w:cs="宋体" w:eastAsia="宋体" w:hint="default"/>
                <w:spacing w:val="-41"/>
                <w:sz w:val="18"/>
                <w:szCs w:val="18"/>
              </w:rPr>
              <w:t> </w:t>
            </w:r>
            <w:r>
              <w:rPr>
                <w:rFonts w:ascii="宋体" w:hAnsi="宋体" w:cs="宋体" w:eastAsia="宋体" w:hint="default"/>
                <w:sz w:val="18"/>
                <w:szCs w:val="18"/>
              </w:rPr>
              <w:t>商誉所在资产组的公允价值，合理分析并确定相关处置费</w:t>
            </w:r>
            <w:r>
              <w:rPr>
                <w:rFonts w:ascii="宋体" w:hAnsi="宋体" w:cs="宋体" w:eastAsia="宋体" w:hint="default"/>
                <w:spacing w:val="-41"/>
                <w:sz w:val="18"/>
                <w:szCs w:val="18"/>
              </w:rPr>
              <w:t> </w:t>
            </w:r>
            <w:r>
              <w:rPr>
                <w:rFonts w:ascii="宋体" w:hAnsi="宋体" w:cs="宋体" w:eastAsia="宋体" w:hint="default"/>
                <w:sz w:val="18"/>
                <w:szCs w:val="18"/>
              </w:rPr>
              <w:t>用，从而确定可收回金额。</w:t>
            </w:r>
          </w:p>
          <w:p>
            <w:pPr>
              <w:pStyle w:val="TableParagraph"/>
              <w:spacing w:line="367" w:lineRule="auto" w:before="68"/>
              <w:ind w:left="101" w:right="109"/>
              <w:jc w:val="left"/>
              <w:rPr>
                <w:rFonts w:ascii="宋体" w:hAnsi="宋体" w:cs="宋体" w:eastAsia="宋体" w:hint="default"/>
                <w:sz w:val="18"/>
                <w:szCs w:val="18"/>
              </w:rPr>
            </w:pPr>
            <w:r>
              <w:rPr>
                <w:rFonts w:ascii="宋体" w:hAnsi="宋体" w:cs="宋体" w:eastAsia="宋体" w:hint="default"/>
                <w:spacing w:val="5"/>
                <w:sz w:val="18"/>
                <w:szCs w:val="18"/>
              </w:rPr>
              <w:t>5</w:t>
            </w:r>
            <w:r>
              <w:rPr>
                <w:rFonts w:ascii="宋体" w:hAnsi="宋体" w:cs="宋体" w:eastAsia="宋体" w:hint="default"/>
                <w:spacing w:val="5"/>
                <w:sz w:val="18"/>
                <w:szCs w:val="18"/>
              </w:rPr>
              <w:t>、比较商誉所属资产组的账面价值与其可收回金额的差</w:t>
            </w:r>
            <w:r>
              <w:rPr>
                <w:rFonts w:ascii="宋体" w:hAnsi="宋体" w:cs="宋体" w:eastAsia="宋体" w:hint="default"/>
                <w:sz w:val="18"/>
                <w:szCs w:val="18"/>
              </w:rPr>
              <w:t> 异，确认商誉减值具体金额。</w:t>
            </w:r>
          </w:p>
        </w:tc>
      </w:tr>
      <w:tr>
        <w:trPr>
          <w:trHeight w:val="410" w:hRule="exact"/>
        </w:trPr>
        <w:tc>
          <w:tcPr>
            <w:tcW w:w="985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无形资产的摊销和减值事项</w:t>
            </w:r>
          </w:p>
        </w:tc>
      </w:tr>
      <w:tr>
        <w:trPr>
          <w:trHeight w:val="450" w:hRule="exact"/>
        </w:trPr>
        <w:tc>
          <w:tcPr>
            <w:tcW w:w="50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right="1"/>
              <w:jc w:val="center"/>
              <w:rPr>
                <w:rFonts w:ascii="宋体" w:hAnsi="宋体" w:cs="宋体" w:eastAsia="宋体" w:hint="default"/>
                <w:sz w:val="18"/>
                <w:szCs w:val="18"/>
              </w:rPr>
            </w:pPr>
            <w:r>
              <w:rPr>
                <w:rFonts w:ascii="宋体" w:hAnsi="宋体" w:cs="宋体" w:eastAsia="宋体" w:hint="default"/>
                <w:sz w:val="18"/>
                <w:szCs w:val="18"/>
              </w:rPr>
              <w:t>关键审计事项</w:t>
            </w:r>
          </w:p>
        </w:tc>
        <w:tc>
          <w:tcPr>
            <w:tcW w:w="47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right="2"/>
              <w:jc w:val="center"/>
              <w:rPr>
                <w:rFonts w:ascii="宋体" w:hAnsi="宋体" w:cs="宋体" w:eastAsia="宋体" w:hint="default"/>
                <w:sz w:val="18"/>
                <w:szCs w:val="18"/>
              </w:rPr>
            </w:pPr>
            <w:r>
              <w:rPr>
                <w:rFonts w:ascii="宋体" w:hAnsi="宋体" w:cs="宋体" w:eastAsia="宋体" w:hint="default"/>
                <w:sz w:val="18"/>
                <w:szCs w:val="18"/>
              </w:rPr>
              <w:t>审计中的应对</w:t>
            </w:r>
          </w:p>
        </w:tc>
      </w:tr>
      <w:tr>
        <w:trPr>
          <w:trHeight w:val="4251" w:hRule="exact"/>
        </w:trPr>
        <w:tc>
          <w:tcPr>
            <w:tcW w:w="5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67" w:lineRule="auto" w:before="137"/>
              <w:ind w:left="103" w:right="101" w:firstLine="360"/>
              <w:jc w:val="left"/>
              <w:rPr>
                <w:rFonts w:ascii="宋体" w:hAnsi="宋体" w:cs="宋体" w:eastAsia="宋体" w:hint="default"/>
                <w:sz w:val="18"/>
                <w:szCs w:val="18"/>
              </w:rPr>
            </w:pPr>
            <w:r>
              <w:rPr>
                <w:rFonts w:ascii="宋体" w:hAnsi="宋体" w:cs="宋体" w:eastAsia="宋体" w:hint="default"/>
                <w:spacing w:val="-2"/>
                <w:sz w:val="18"/>
                <w:szCs w:val="18"/>
              </w:rPr>
              <w:t>如财务报表附注四、</w:t>
            </w:r>
            <w:r>
              <w:rPr>
                <w:rFonts w:ascii="宋体" w:hAnsi="宋体" w:cs="宋体" w:eastAsia="宋体" w:hint="default"/>
                <w:spacing w:val="-2"/>
                <w:sz w:val="18"/>
                <w:szCs w:val="18"/>
              </w:rPr>
              <w:t>16</w:t>
            </w:r>
            <w:r>
              <w:rPr>
                <w:rFonts w:ascii="宋体" w:hAnsi="宋体" w:cs="宋体" w:eastAsia="宋体" w:hint="default"/>
                <w:spacing w:val="-2"/>
                <w:sz w:val="18"/>
                <w:szCs w:val="18"/>
              </w:rPr>
              <w:t>“无形资产”及附注六、</w:t>
            </w:r>
            <w:r>
              <w:rPr>
                <w:rFonts w:ascii="宋体" w:hAnsi="宋体" w:cs="宋体" w:eastAsia="宋体" w:hint="default"/>
                <w:spacing w:val="-2"/>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无形资 产所述，截止 </w:t>
            </w:r>
            <w:r>
              <w:rPr>
                <w:rFonts w:ascii="宋体" w:hAnsi="宋体" w:cs="宋体" w:eastAsia="宋体" w:hint="default"/>
                <w:sz w:val="18"/>
                <w:szCs w:val="18"/>
              </w:rPr>
              <w:t>2018 </w:t>
            </w:r>
            <w:r>
              <w:rPr>
                <w:rFonts w:ascii="宋体" w:hAnsi="宋体" w:cs="宋体" w:eastAsia="宋体" w:hint="default"/>
                <w:sz w:val="18"/>
                <w:szCs w:val="18"/>
              </w:rPr>
              <w:t>年 </w:t>
            </w:r>
            <w:r>
              <w:rPr>
                <w:rFonts w:ascii="宋体" w:hAnsi="宋体" w:cs="宋体" w:eastAsia="宋体" w:hint="default"/>
                <w:sz w:val="18"/>
                <w:szCs w:val="18"/>
              </w:rPr>
              <w:t>12 </w:t>
            </w:r>
            <w:r>
              <w:rPr>
                <w:rFonts w:ascii="宋体" w:hAnsi="宋体" w:cs="宋体" w:eastAsia="宋体" w:hint="default"/>
                <w:sz w:val="18"/>
                <w:szCs w:val="18"/>
              </w:rPr>
              <w:t>月 </w:t>
            </w:r>
            <w:r>
              <w:rPr>
                <w:rFonts w:ascii="宋体" w:hAnsi="宋体" w:cs="宋体" w:eastAsia="宋体" w:hint="default"/>
                <w:sz w:val="18"/>
                <w:szCs w:val="18"/>
              </w:rPr>
              <w:t>31</w:t>
            </w:r>
            <w:r>
              <w:rPr>
                <w:rFonts w:ascii="宋体" w:hAnsi="宋体" w:cs="宋体" w:eastAsia="宋体" w:hint="default"/>
                <w:spacing w:val="3"/>
                <w:sz w:val="18"/>
                <w:szCs w:val="18"/>
              </w:rPr>
              <w:t> </w:t>
            </w:r>
            <w:r>
              <w:rPr>
                <w:rFonts w:ascii="宋体" w:hAnsi="宋体" w:cs="宋体" w:eastAsia="宋体" w:hint="default"/>
                <w:sz w:val="18"/>
                <w:szCs w:val="18"/>
              </w:rPr>
              <w:t>日，中文在线公司合并报表</w:t>
            </w:r>
          </w:p>
          <w:p>
            <w:pPr>
              <w:pStyle w:val="TableParagraph"/>
              <w:spacing w:line="367" w:lineRule="auto" w:before="29"/>
              <w:ind w:left="103" w:right="101"/>
              <w:jc w:val="both"/>
              <w:rPr>
                <w:rFonts w:ascii="宋体" w:hAnsi="宋体" w:cs="宋体" w:eastAsia="宋体" w:hint="default"/>
                <w:sz w:val="18"/>
                <w:szCs w:val="18"/>
              </w:rPr>
            </w:pPr>
            <w:r>
              <w:rPr>
                <w:rFonts w:ascii="宋体" w:hAnsi="宋体" w:cs="宋体" w:eastAsia="宋体" w:hint="default"/>
                <w:spacing w:val="8"/>
                <w:sz w:val="18"/>
                <w:szCs w:val="18"/>
              </w:rPr>
              <w:t>无形资产净值为人民币 </w:t>
            </w:r>
            <w:r>
              <w:rPr>
                <w:rFonts w:ascii="宋体" w:hAnsi="宋体" w:cs="宋体" w:eastAsia="宋体" w:hint="default"/>
                <w:sz w:val="18"/>
                <w:szCs w:val="18"/>
              </w:rPr>
              <w:t>436,061,844.85</w:t>
            </w:r>
            <w:r>
              <w:rPr>
                <w:rFonts w:ascii="宋体" w:hAnsi="宋体" w:cs="宋体" w:eastAsia="宋体" w:hint="default"/>
                <w:spacing w:val="19"/>
                <w:sz w:val="18"/>
                <w:szCs w:val="18"/>
              </w:rPr>
              <w:t> </w:t>
            </w:r>
            <w:r>
              <w:rPr>
                <w:rFonts w:ascii="宋体" w:hAnsi="宋体" w:cs="宋体" w:eastAsia="宋体" w:hint="default"/>
                <w:spacing w:val="8"/>
                <w:sz w:val="18"/>
                <w:szCs w:val="18"/>
              </w:rPr>
              <w:t>元，占资产总额的</w:t>
            </w:r>
            <w:r>
              <w:rPr>
                <w:rFonts w:ascii="宋体" w:hAnsi="宋体" w:cs="宋体" w:eastAsia="宋体" w:hint="default"/>
                <w:sz w:val="18"/>
                <w:szCs w:val="18"/>
              </w:rPr>
              <w:t> </w:t>
            </w:r>
            <w:r>
              <w:rPr>
                <w:rFonts w:ascii="宋体" w:hAnsi="宋体" w:cs="宋体" w:eastAsia="宋体" w:hint="default"/>
                <w:spacing w:val="-3"/>
                <w:sz w:val="18"/>
                <w:szCs w:val="18"/>
              </w:rPr>
              <w:t>17.14%</w:t>
            </w:r>
            <w:r>
              <w:rPr>
                <w:rFonts w:ascii="宋体" w:hAnsi="宋体" w:cs="宋体" w:eastAsia="宋体" w:hint="default"/>
                <w:spacing w:val="-3"/>
                <w:sz w:val="18"/>
                <w:szCs w:val="18"/>
              </w:rPr>
              <w:t>。主要包括计入无形资产的数字</w:t>
            </w:r>
            <w:r>
              <w:rPr>
                <w:rFonts w:ascii="宋体" w:hAnsi="宋体" w:cs="宋体" w:eastAsia="宋体" w:hint="default"/>
                <w:spacing w:val="-39"/>
                <w:sz w:val="18"/>
                <w:szCs w:val="18"/>
              </w:rPr>
              <w:t> </w:t>
            </w:r>
            <w:r>
              <w:rPr>
                <w:rFonts w:ascii="宋体" w:hAnsi="宋体" w:cs="宋体" w:eastAsia="宋体" w:hint="default"/>
                <w:sz w:val="18"/>
                <w:szCs w:val="18"/>
              </w:rPr>
              <w:t>IP</w:t>
            </w:r>
            <w:r>
              <w:rPr>
                <w:rFonts w:ascii="宋体" w:hAnsi="宋体" w:cs="宋体" w:eastAsia="宋体" w:hint="default"/>
                <w:spacing w:val="-39"/>
                <w:sz w:val="18"/>
                <w:szCs w:val="18"/>
              </w:rPr>
              <w:t> </w:t>
            </w:r>
            <w:r>
              <w:rPr>
                <w:rFonts w:ascii="宋体" w:hAnsi="宋体" w:cs="宋体" w:eastAsia="宋体" w:hint="default"/>
                <w:spacing w:val="-5"/>
                <w:sz w:val="18"/>
                <w:szCs w:val="18"/>
              </w:rPr>
              <w:t>买断版权，该等版权</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是中文在线公司运营的核心资产。无形资产摊销计入主营业务</w:t>
            </w:r>
            <w:r>
              <w:rPr>
                <w:rFonts w:ascii="宋体" w:hAnsi="宋体" w:cs="宋体" w:eastAsia="宋体" w:hint="default"/>
                <w:sz w:val="18"/>
                <w:szCs w:val="18"/>
              </w:rPr>
              <w:t> </w:t>
            </w:r>
            <w:r>
              <w:rPr>
                <w:rFonts w:ascii="宋体" w:hAnsi="宋体" w:cs="宋体" w:eastAsia="宋体" w:hint="default"/>
                <w:spacing w:val="-2"/>
                <w:sz w:val="18"/>
                <w:szCs w:val="18"/>
              </w:rPr>
              <w:t>成本，摊销额占主营业务成本的</w:t>
            </w:r>
            <w:r>
              <w:rPr>
                <w:rFonts w:ascii="宋体" w:hAnsi="宋体" w:cs="宋体" w:eastAsia="宋体" w:hint="default"/>
                <w:spacing w:val="-34"/>
                <w:sz w:val="18"/>
                <w:szCs w:val="18"/>
              </w:rPr>
              <w:t> </w:t>
            </w:r>
            <w:r>
              <w:rPr>
                <w:rFonts w:ascii="宋体" w:hAnsi="宋体" w:cs="宋体" w:eastAsia="宋体" w:hint="default"/>
                <w:spacing w:val="-2"/>
                <w:sz w:val="18"/>
                <w:szCs w:val="18"/>
              </w:rPr>
              <w:t>27.45%</w:t>
            </w:r>
            <w:r>
              <w:rPr>
                <w:rFonts w:ascii="宋体" w:hAnsi="宋体" w:cs="宋体" w:eastAsia="宋体" w:hint="default"/>
                <w:spacing w:val="-2"/>
                <w:sz w:val="18"/>
                <w:szCs w:val="18"/>
              </w:rPr>
              <w:t>，且该等版权资产在报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表日是否存在减值迹象及减值金额估计的准确性对财务报表利</w:t>
            </w:r>
            <w:r>
              <w:rPr>
                <w:rFonts w:ascii="宋体" w:hAnsi="宋体" w:cs="宋体" w:eastAsia="宋体" w:hint="default"/>
                <w:sz w:val="18"/>
                <w:szCs w:val="18"/>
              </w:rPr>
              <w:t> 润影响较大，因此，我们将其识别为关键审计事项。</w:t>
            </w:r>
          </w:p>
        </w:tc>
        <w:tc>
          <w:tcPr>
            <w:tcW w:w="4775" w:type="dxa"/>
            <w:tcBorders>
              <w:top w:val="single" w:sz="4" w:space="0" w:color="000000"/>
              <w:left w:val="single" w:sz="4" w:space="0" w:color="000000"/>
              <w:bottom w:val="single" w:sz="4" w:space="0" w:color="000000"/>
              <w:right w:val="single" w:sz="4" w:space="0" w:color="000000"/>
            </w:tcBorders>
          </w:tcPr>
          <w:p>
            <w:pPr>
              <w:pStyle w:val="TableParagraph"/>
              <w:spacing w:line="386" w:lineRule="auto" w:before="118"/>
              <w:ind w:left="101" w:right="101"/>
              <w:jc w:val="left"/>
              <w:rPr>
                <w:rFonts w:ascii="宋体" w:hAnsi="宋体" w:cs="宋体" w:eastAsia="宋体" w:hint="default"/>
                <w:sz w:val="18"/>
                <w:szCs w:val="18"/>
              </w:rPr>
            </w:pPr>
            <w:r>
              <w:rPr>
                <w:rFonts w:ascii="宋体" w:hAnsi="宋体" w:cs="宋体" w:eastAsia="宋体" w:hint="default"/>
                <w:sz w:val="18"/>
                <w:szCs w:val="18"/>
              </w:rPr>
              <w:t>我们就无形资产的摊销和减值事项执行的主要审计程序如</w:t>
            </w:r>
            <w:r>
              <w:rPr>
                <w:rFonts w:ascii="宋体" w:hAnsi="宋体" w:cs="宋体" w:eastAsia="宋体" w:hint="default"/>
                <w:spacing w:val="-41"/>
                <w:sz w:val="18"/>
                <w:szCs w:val="18"/>
              </w:rPr>
              <w:t> </w:t>
            </w:r>
            <w:r>
              <w:rPr>
                <w:rFonts w:ascii="宋体" w:hAnsi="宋体" w:cs="宋体" w:eastAsia="宋体" w:hint="default"/>
                <w:sz w:val="18"/>
                <w:szCs w:val="18"/>
              </w:rPr>
              <w:t>下：</w:t>
            </w:r>
            <w:r>
              <w:rPr>
                <w:rFonts w:ascii="宋体" w:hAnsi="宋体" w:cs="宋体" w:eastAsia="宋体" w:hint="default"/>
                <w:sz w:val="18"/>
                <w:szCs w:val="18"/>
              </w:rPr>
              <w:t> </w:t>
            </w:r>
            <w:r>
              <w:rPr>
                <w:rFonts w:ascii="宋体" w:hAnsi="宋体" w:cs="宋体" w:eastAsia="宋体" w:hint="default"/>
                <w:spacing w:val="-2"/>
                <w:sz w:val="18"/>
                <w:szCs w:val="18"/>
              </w:rPr>
              <w:t>1</w:t>
            </w:r>
            <w:r>
              <w:rPr>
                <w:rFonts w:ascii="宋体" w:hAnsi="宋体" w:cs="宋体" w:eastAsia="宋体" w:hint="default"/>
                <w:spacing w:val="-2"/>
                <w:sz w:val="18"/>
                <w:szCs w:val="18"/>
              </w:rPr>
              <w:t>、了解和测试与无形资产相关的内部控制设计和运行的有</w:t>
            </w:r>
          </w:p>
          <w:p>
            <w:pPr>
              <w:pStyle w:val="TableParagraph"/>
              <w:spacing w:line="240" w:lineRule="auto" w:before="14"/>
              <w:ind w:left="101" w:right="0"/>
              <w:jc w:val="left"/>
              <w:rPr>
                <w:rFonts w:ascii="宋体" w:hAnsi="宋体" w:cs="宋体" w:eastAsia="宋体" w:hint="default"/>
                <w:sz w:val="18"/>
                <w:szCs w:val="18"/>
              </w:rPr>
            </w:pPr>
            <w:r>
              <w:rPr>
                <w:rFonts w:ascii="宋体" w:hAnsi="宋体" w:cs="宋体" w:eastAsia="宋体" w:hint="default"/>
                <w:sz w:val="18"/>
                <w:szCs w:val="18"/>
              </w:rPr>
              <w:t>效性。</w:t>
            </w: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367" w:lineRule="auto"/>
              <w:ind w:left="101" w:right="99"/>
              <w:jc w:val="both"/>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、针对外购无形资产</w:t>
            </w:r>
            <w:r>
              <w:rPr>
                <w:rFonts w:ascii="宋体" w:hAnsi="宋体" w:cs="宋体" w:eastAsia="宋体" w:hint="default"/>
                <w:sz w:val="18"/>
                <w:szCs w:val="18"/>
              </w:rPr>
              <w:t>-</w:t>
            </w:r>
            <w:r>
              <w:rPr>
                <w:rFonts w:ascii="宋体" w:hAnsi="宋体" w:cs="宋体" w:eastAsia="宋体" w:hint="default"/>
                <w:sz w:val="18"/>
                <w:szCs w:val="18"/>
              </w:rPr>
              <w:t>买断版权的合同，对获得的主要权</w:t>
            </w:r>
            <w:r>
              <w:rPr>
                <w:rFonts w:ascii="宋体" w:hAnsi="宋体" w:cs="宋体" w:eastAsia="宋体" w:hint="default"/>
                <w:spacing w:val="-39"/>
                <w:sz w:val="18"/>
                <w:szCs w:val="18"/>
              </w:rPr>
              <w:t> </w:t>
            </w:r>
            <w:r>
              <w:rPr>
                <w:rFonts w:ascii="宋体" w:hAnsi="宋体" w:cs="宋体" w:eastAsia="宋体" w:hint="default"/>
                <w:sz w:val="18"/>
                <w:szCs w:val="18"/>
              </w:rPr>
              <w:t>利、使用期限、价款等主要合同条款进行检查，抽取样本</w:t>
            </w:r>
            <w:r>
              <w:rPr>
                <w:rFonts w:ascii="宋体" w:hAnsi="宋体" w:cs="宋体" w:eastAsia="宋体" w:hint="default"/>
                <w:spacing w:val="-41"/>
                <w:sz w:val="18"/>
                <w:szCs w:val="18"/>
              </w:rPr>
              <w:t> </w:t>
            </w:r>
            <w:r>
              <w:rPr>
                <w:rFonts w:ascii="宋体" w:hAnsi="宋体" w:cs="宋体" w:eastAsia="宋体" w:hint="default"/>
                <w:sz w:val="18"/>
                <w:szCs w:val="18"/>
              </w:rPr>
              <w:t>追查至其所在网站或版权库证明存在性。</w:t>
            </w:r>
          </w:p>
          <w:p>
            <w:pPr>
              <w:pStyle w:val="TableParagraph"/>
              <w:spacing w:line="240" w:lineRule="auto" w:before="68"/>
              <w:ind w:left="10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、根据版权对应的受益情况对版权摊销重新测算。</w:t>
            </w: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86" w:lineRule="auto"/>
              <w:ind w:left="101" w:right="71"/>
              <w:jc w:val="left"/>
              <w:rPr>
                <w:rFonts w:ascii="宋体" w:hAnsi="宋体" w:cs="宋体" w:eastAsia="宋体" w:hint="default"/>
                <w:sz w:val="18"/>
                <w:szCs w:val="18"/>
              </w:rPr>
            </w:pPr>
            <w:r>
              <w:rPr>
                <w:rFonts w:ascii="宋体" w:hAnsi="宋体" w:cs="宋体" w:eastAsia="宋体" w:hint="default"/>
                <w:spacing w:val="-2"/>
                <w:sz w:val="18"/>
                <w:szCs w:val="18"/>
              </w:rPr>
              <w:t>4</w:t>
            </w:r>
            <w:r>
              <w:rPr>
                <w:rFonts w:ascii="宋体" w:hAnsi="宋体" w:cs="宋体" w:eastAsia="宋体" w:hint="default"/>
                <w:spacing w:val="-2"/>
                <w:sz w:val="18"/>
                <w:szCs w:val="18"/>
              </w:rPr>
              <w:t>、评估管理层识别是否存在减值迹象所作出的判断的合理</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性，该评估是否基于该版权未来收益状况的判断。 </w:t>
            </w:r>
            <w:r>
              <w:rPr>
                <w:rFonts w:ascii="宋体" w:hAnsi="宋体" w:cs="宋体" w:eastAsia="宋体" w:hint="default"/>
                <w:sz w:val="18"/>
                <w:szCs w:val="18"/>
              </w:rPr>
              <w:t>5</w:t>
            </w:r>
            <w:r>
              <w:rPr>
                <w:rFonts w:ascii="宋体" w:hAnsi="宋体" w:cs="宋体" w:eastAsia="宋体" w:hint="default"/>
                <w:sz w:val="18"/>
                <w:szCs w:val="18"/>
              </w:rPr>
              <w:t>、分析、复核管理层对版权资产减值测算结果的正确性。</w:t>
            </w:r>
          </w:p>
        </w:tc>
      </w:tr>
      <w:tr>
        <w:trPr>
          <w:trHeight w:val="455" w:hRule="exact"/>
        </w:trPr>
        <w:tc>
          <w:tcPr>
            <w:tcW w:w="9856" w:type="dxa"/>
            <w:gridSpan w:val="2"/>
            <w:tcBorders>
              <w:top w:val="single" w:sz="4" w:space="0" w:color="000000"/>
              <w:left w:val="single" w:sz="4" w:space="0" w:color="000000"/>
              <w:bottom w:val="single" w:sz="8" w:space="0" w:color="FFFFFF"/>
              <w:right w:val="single" w:sz="4" w:space="0" w:color="000000"/>
            </w:tcBorders>
            <w:shd w:val="clear" w:color="auto" w:fill="D9D9D9"/>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、收入确认事项</w:t>
            </w:r>
          </w:p>
        </w:tc>
      </w:tr>
      <w:tr>
        <w:trPr>
          <w:trHeight w:val="412" w:hRule="exact"/>
        </w:trPr>
        <w:tc>
          <w:tcPr>
            <w:tcW w:w="5080" w:type="dxa"/>
            <w:tcBorders>
              <w:top w:val="single" w:sz="8"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关键审计事项</w:t>
            </w:r>
          </w:p>
        </w:tc>
        <w:tc>
          <w:tcPr>
            <w:tcW w:w="4775" w:type="dxa"/>
            <w:tcBorders>
              <w:top w:val="single" w:sz="8"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审计中的应对</w:t>
            </w:r>
          </w:p>
        </w:tc>
      </w:tr>
      <w:tr>
        <w:trPr>
          <w:trHeight w:val="1856" w:hRule="exact"/>
        </w:trPr>
        <w:tc>
          <w:tcPr>
            <w:tcW w:w="5080" w:type="dxa"/>
            <w:tcBorders>
              <w:top w:val="single" w:sz="4" w:space="0" w:color="000000"/>
              <w:left w:val="single" w:sz="4" w:space="0" w:color="000000"/>
              <w:bottom w:val="single" w:sz="4" w:space="0" w:color="000000"/>
              <w:right w:val="single" w:sz="4" w:space="0" w:color="000000"/>
            </w:tcBorders>
          </w:tcPr>
          <w:p>
            <w:pPr>
              <w:pStyle w:val="TableParagraph"/>
              <w:spacing w:line="367" w:lineRule="auto" w:before="122"/>
              <w:ind w:left="103" w:right="102" w:firstLine="360"/>
              <w:jc w:val="both"/>
              <w:rPr>
                <w:rFonts w:ascii="宋体" w:hAnsi="宋体" w:cs="宋体" w:eastAsia="宋体" w:hint="default"/>
                <w:sz w:val="18"/>
                <w:szCs w:val="18"/>
              </w:rPr>
            </w:pPr>
            <w:r>
              <w:rPr>
                <w:rFonts w:ascii="宋体" w:hAnsi="宋体" w:cs="宋体" w:eastAsia="宋体" w:hint="default"/>
                <w:spacing w:val="-2"/>
                <w:sz w:val="18"/>
                <w:szCs w:val="18"/>
              </w:rPr>
              <w:t>如财务报表附注四、</w:t>
            </w:r>
            <w:r>
              <w:rPr>
                <w:rFonts w:ascii="宋体" w:hAnsi="宋体" w:cs="宋体" w:eastAsia="宋体" w:hint="default"/>
                <w:spacing w:val="-2"/>
                <w:sz w:val="18"/>
                <w:szCs w:val="18"/>
              </w:rPr>
              <w:t>24</w:t>
            </w:r>
            <w:r>
              <w:rPr>
                <w:rFonts w:ascii="宋体" w:hAnsi="宋体" w:cs="宋体" w:eastAsia="宋体" w:hint="default"/>
                <w:spacing w:val="-2"/>
                <w:sz w:val="18"/>
                <w:szCs w:val="18"/>
              </w:rPr>
              <w:t>“收入确认原则”及附注六、</w:t>
            </w:r>
            <w:r>
              <w:rPr>
                <w:rFonts w:ascii="宋体" w:hAnsi="宋体" w:cs="宋体" w:eastAsia="宋体" w:hint="default"/>
                <w:spacing w:val="-2"/>
                <w:sz w:val="18"/>
                <w:szCs w:val="18"/>
              </w:rPr>
              <w:t>33</w:t>
            </w:r>
            <w:r>
              <w:rPr>
                <w:rFonts w:ascii="宋体" w:hAnsi="宋体" w:cs="宋体" w:eastAsia="宋体" w:hint="default"/>
                <w:spacing w:val="-39"/>
                <w:sz w:val="18"/>
                <w:szCs w:val="18"/>
              </w:rPr>
              <w:t> </w:t>
            </w:r>
            <w:r>
              <w:rPr>
                <w:rFonts w:ascii="宋体" w:hAnsi="宋体" w:cs="宋体" w:eastAsia="宋体" w:hint="default"/>
                <w:sz w:val="18"/>
                <w:szCs w:val="18"/>
              </w:rPr>
              <w:t>营 </w:t>
            </w:r>
            <w:r>
              <w:rPr>
                <w:rFonts w:ascii="宋体" w:hAnsi="宋体" w:cs="宋体" w:eastAsia="宋体" w:hint="default"/>
                <w:spacing w:val="-5"/>
                <w:sz w:val="18"/>
                <w:szCs w:val="18"/>
              </w:rPr>
              <w:t>业收入所述，</w:t>
            </w:r>
            <w:r>
              <w:rPr>
                <w:rFonts w:ascii="宋体" w:hAnsi="宋体" w:cs="宋体" w:eastAsia="宋体" w:hint="default"/>
                <w:spacing w:val="-5"/>
                <w:sz w:val="18"/>
                <w:szCs w:val="18"/>
              </w:rPr>
              <w:t>2018</w:t>
            </w:r>
            <w:r>
              <w:rPr>
                <w:rFonts w:ascii="宋体" w:hAnsi="宋体" w:cs="宋体" w:eastAsia="宋体" w:hint="default"/>
                <w:spacing w:val="-40"/>
                <w:sz w:val="18"/>
                <w:szCs w:val="18"/>
              </w:rPr>
              <w:t> </w:t>
            </w:r>
            <w:r>
              <w:rPr>
                <w:rFonts w:ascii="宋体" w:hAnsi="宋体" w:cs="宋体" w:eastAsia="宋体" w:hint="default"/>
                <w:sz w:val="18"/>
                <w:szCs w:val="18"/>
              </w:rPr>
              <w:t>年度中文在线公司合并报表营业收入金额为 人民币</w:t>
            </w:r>
            <w:r>
              <w:rPr>
                <w:rFonts w:ascii="宋体" w:hAnsi="宋体" w:cs="宋体" w:eastAsia="宋体" w:hint="default"/>
                <w:spacing w:val="-40"/>
                <w:sz w:val="18"/>
                <w:szCs w:val="18"/>
              </w:rPr>
              <w:t> </w:t>
            </w:r>
            <w:r>
              <w:rPr>
                <w:rFonts w:ascii="宋体" w:hAnsi="宋体" w:cs="宋体" w:eastAsia="宋体" w:hint="default"/>
                <w:sz w:val="18"/>
                <w:szCs w:val="18"/>
              </w:rPr>
              <w:t>885,489,948.35</w:t>
            </w:r>
            <w:r>
              <w:rPr>
                <w:rFonts w:ascii="宋体" w:hAnsi="宋体" w:cs="宋体" w:eastAsia="宋体" w:hint="default"/>
                <w:spacing w:val="-40"/>
                <w:sz w:val="18"/>
                <w:szCs w:val="18"/>
              </w:rPr>
              <w:t> </w:t>
            </w:r>
            <w:r>
              <w:rPr>
                <w:rFonts w:ascii="宋体" w:hAnsi="宋体" w:cs="宋体" w:eastAsia="宋体" w:hint="default"/>
                <w:spacing w:val="-6"/>
                <w:sz w:val="18"/>
                <w:szCs w:val="18"/>
              </w:rPr>
              <w:t>元，营业收入主要来源于数字网上阅读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产品收入及其所带来的增值服务收入，营业收入的确认具有一</w:t>
            </w:r>
          </w:p>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定的行业特殊性。同时，营业收入确认是否恰当对中文在线公</w:t>
            </w:r>
          </w:p>
        </w:tc>
        <w:tc>
          <w:tcPr>
            <w:tcW w:w="4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408" w:lineRule="auto"/>
              <w:ind w:left="101" w:right="102"/>
              <w:jc w:val="left"/>
              <w:rPr>
                <w:rFonts w:ascii="宋体" w:hAnsi="宋体" w:cs="宋体" w:eastAsia="宋体" w:hint="default"/>
                <w:sz w:val="18"/>
                <w:szCs w:val="18"/>
              </w:rPr>
            </w:pPr>
            <w:r>
              <w:rPr>
                <w:rFonts w:ascii="宋体" w:hAnsi="宋体" w:cs="宋体" w:eastAsia="宋体" w:hint="default"/>
                <w:sz w:val="18"/>
                <w:szCs w:val="18"/>
              </w:rPr>
              <w:t>我们就收入确认事项执行的主要审计程序如下： </w:t>
            </w:r>
            <w:r>
              <w:rPr>
                <w:rFonts w:ascii="宋体" w:hAnsi="宋体" w:cs="宋体" w:eastAsia="宋体" w:hint="default"/>
                <w:spacing w:val="5"/>
                <w:sz w:val="18"/>
                <w:szCs w:val="18"/>
              </w:rPr>
              <w:t>1</w:t>
            </w:r>
            <w:r>
              <w:rPr>
                <w:rFonts w:ascii="宋体" w:hAnsi="宋体" w:cs="宋体" w:eastAsia="宋体" w:hint="default"/>
                <w:spacing w:val="5"/>
                <w:sz w:val="18"/>
                <w:szCs w:val="18"/>
              </w:rPr>
              <w:t>、了解和测试与收入相关的内部控制设计和运行的有效</w:t>
            </w:r>
          </w:p>
          <w:p>
            <w:pPr>
              <w:pStyle w:val="TableParagraph"/>
              <w:spacing w:line="367" w:lineRule="auto"/>
              <w:ind w:left="101" w:right="102"/>
              <w:jc w:val="left"/>
              <w:rPr>
                <w:rFonts w:ascii="宋体" w:hAnsi="宋体" w:cs="宋体" w:eastAsia="宋体" w:hint="default"/>
                <w:sz w:val="18"/>
                <w:szCs w:val="18"/>
              </w:rPr>
            </w:pPr>
            <w:r>
              <w:rPr>
                <w:rFonts w:ascii="宋体" w:hAnsi="宋体" w:cs="宋体" w:eastAsia="宋体" w:hint="default"/>
                <w:sz w:val="18"/>
                <w:szCs w:val="18"/>
              </w:rPr>
              <w:t>性。 </w:t>
            </w:r>
            <w:r>
              <w:rPr>
                <w:rFonts w:ascii="宋体" w:hAnsi="宋体" w:cs="宋体" w:eastAsia="宋体" w:hint="default"/>
                <w:spacing w:val="-2"/>
                <w:sz w:val="18"/>
                <w:szCs w:val="18"/>
              </w:rPr>
              <w:t>2</w:t>
            </w:r>
            <w:r>
              <w:rPr>
                <w:rFonts w:ascii="宋体" w:hAnsi="宋体" w:cs="宋体" w:eastAsia="宋体" w:hint="default"/>
                <w:spacing w:val="-2"/>
                <w:sz w:val="18"/>
                <w:szCs w:val="18"/>
              </w:rPr>
              <w:t>、通过检查合同的主要条款，了解和评价不同类型收入确</w:t>
            </w:r>
          </w:p>
        </w:tc>
      </w:tr>
    </w:tbl>
    <w:p>
      <w:pPr>
        <w:spacing w:after="0" w:line="367" w:lineRule="auto"/>
        <w:jc w:val="left"/>
        <w:rPr>
          <w:rFonts w:ascii="宋体" w:hAnsi="宋体" w:cs="宋体" w:eastAsia="宋体" w:hint="default"/>
          <w:sz w:val="18"/>
          <w:szCs w:val="18"/>
        </w:rPr>
        <w:sectPr>
          <w:pgSz w:w="11910" w:h="16840"/>
          <w:pgMar w:header="877" w:footer="979" w:top="1100" w:bottom="1160" w:left="92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01" w:type="dxa"/>
        <w:tblLayout w:type="fixed"/>
        <w:tblCellMar>
          <w:top w:w="0" w:type="dxa"/>
          <w:left w:w="0" w:type="dxa"/>
          <w:bottom w:w="0" w:type="dxa"/>
          <w:right w:w="0" w:type="dxa"/>
        </w:tblCellMar>
        <w:tblLook w:val="01E0"/>
      </w:tblPr>
      <w:tblGrid>
        <w:gridCol w:w="5080"/>
        <w:gridCol w:w="4775"/>
      </w:tblGrid>
      <w:tr>
        <w:trPr>
          <w:trHeight w:val="3851" w:hRule="exact"/>
        </w:trPr>
        <w:tc>
          <w:tcPr>
            <w:tcW w:w="5080" w:type="dxa"/>
            <w:tcBorders>
              <w:top w:val="single" w:sz="4" w:space="0" w:color="000000"/>
              <w:left w:val="single" w:sz="4" w:space="0" w:color="000000"/>
              <w:bottom w:val="single" w:sz="4" w:space="0" w:color="000000"/>
              <w:right w:val="single" w:sz="4" w:space="0" w:color="000000"/>
            </w:tcBorders>
          </w:tcPr>
          <w:p>
            <w:pPr>
              <w:pStyle w:val="TableParagraph"/>
              <w:spacing w:line="367" w:lineRule="auto" w:before="77"/>
              <w:ind w:left="103" w:right="101"/>
              <w:jc w:val="left"/>
              <w:rPr>
                <w:rFonts w:ascii="宋体" w:hAnsi="宋体" w:cs="宋体" w:eastAsia="宋体" w:hint="default"/>
                <w:sz w:val="18"/>
                <w:szCs w:val="18"/>
              </w:rPr>
            </w:pPr>
            <w:r>
              <w:rPr>
                <w:rFonts w:ascii="宋体" w:hAnsi="宋体" w:cs="宋体" w:eastAsia="宋体" w:hint="default"/>
                <w:sz w:val="18"/>
                <w:szCs w:val="18"/>
              </w:rPr>
              <w:t>司经营成果及业绩考核产生很大影响，存在营业收入确认之固 有风险，因此，我们将此事项识别为关键审计事项。</w:t>
            </w:r>
          </w:p>
        </w:tc>
        <w:tc>
          <w:tcPr>
            <w:tcW w:w="4775"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77"/>
              <w:ind w:left="101" w:right="251"/>
              <w:jc w:val="left"/>
              <w:rPr>
                <w:rFonts w:ascii="宋体" w:hAnsi="宋体" w:cs="宋体" w:eastAsia="宋体" w:hint="default"/>
                <w:sz w:val="18"/>
                <w:szCs w:val="18"/>
              </w:rPr>
            </w:pPr>
            <w:r>
              <w:rPr>
                <w:rFonts w:ascii="宋体" w:hAnsi="宋体" w:cs="宋体" w:eastAsia="宋体" w:hint="default"/>
                <w:sz w:val="18"/>
                <w:szCs w:val="18"/>
              </w:rPr>
              <w:t>认的会计政策制定的恰当性。 </w:t>
            </w:r>
            <w:r>
              <w:rPr>
                <w:rFonts w:ascii="宋体" w:hAnsi="宋体" w:cs="宋体" w:eastAsia="宋体" w:hint="default"/>
                <w:sz w:val="18"/>
                <w:szCs w:val="18"/>
              </w:rPr>
              <w:t>3</w:t>
            </w:r>
            <w:r>
              <w:rPr>
                <w:rFonts w:ascii="宋体" w:hAnsi="宋体" w:cs="宋体" w:eastAsia="宋体" w:hint="default"/>
                <w:sz w:val="18"/>
                <w:szCs w:val="18"/>
              </w:rPr>
              <w:t>、对两期收入、成本、毛利率变动情况进行对比分析。</w:t>
            </w:r>
          </w:p>
          <w:p>
            <w:pPr>
              <w:pStyle w:val="TableParagraph"/>
              <w:spacing w:line="367" w:lineRule="auto" w:before="39"/>
              <w:ind w:left="101" w:right="14"/>
              <w:jc w:val="left"/>
              <w:rPr>
                <w:rFonts w:ascii="宋体" w:hAnsi="宋体" w:cs="宋体" w:eastAsia="宋体" w:hint="default"/>
                <w:sz w:val="18"/>
                <w:szCs w:val="18"/>
              </w:rPr>
            </w:pPr>
            <w:r>
              <w:rPr>
                <w:rFonts w:ascii="宋体" w:hAnsi="宋体" w:cs="宋体" w:eastAsia="宋体" w:hint="default"/>
                <w:spacing w:val="-5"/>
                <w:sz w:val="18"/>
                <w:szCs w:val="18"/>
              </w:rPr>
              <w:t>4</w:t>
            </w:r>
            <w:r>
              <w:rPr>
                <w:rFonts w:ascii="宋体" w:hAnsi="宋体" w:cs="宋体" w:eastAsia="宋体" w:hint="default"/>
                <w:spacing w:val="-5"/>
                <w:sz w:val="18"/>
                <w:szCs w:val="18"/>
              </w:rPr>
              <w:t>、通过抽样检查与收入确认相关如：销售发票、银行回单、</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结算单、验收单、版权接收确认单等相关原始凭证。</w:t>
            </w:r>
          </w:p>
          <w:p>
            <w:pPr>
              <w:pStyle w:val="TableParagraph"/>
              <w:spacing w:line="386" w:lineRule="auto" w:before="68"/>
              <w:ind w:left="101" w:right="102"/>
              <w:jc w:val="left"/>
              <w:rPr>
                <w:rFonts w:ascii="宋体" w:hAnsi="宋体" w:cs="宋体" w:eastAsia="宋体" w:hint="default"/>
                <w:sz w:val="18"/>
                <w:szCs w:val="18"/>
              </w:rPr>
            </w:pPr>
            <w:r>
              <w:rPr>
                <w:rFonts w:ascii="宋体" w:hAnsi="宋体" w:cs="宋体" w:eastAsia="宋体" w:hint="default"/>
                <w:spacing w:val="-2"/>
                <w:sz w:val="18"/>
                <w:szCs w:val="18"/>
              </w:rPr>
              <w:t>5</w:t>
            </w:r>
            <w:r>
              <w:rPr>
                <w:rFonts w:ascii="宋体" w:hAnsi="宋体" w:cs="宋体" w:eastAsia="宋体" w:hint="default"/>
                <w:spacing w:val="-2"/>
                <w:sz w:val="18"/>
                <w:szCs w:val="18"/>
              </w:rPr>
              <w:t>、对主要客户选取样本执行函证程序，以确认本期交易金</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额及期末应收账款余额的真实性。 </w:t>
            </w:r>
            <w:r>
              <w:rPr>
                <w:rFonts w:ascii="宋体" w:hAnsi="宋体" w:cs="宋体" w:eastAsia="宋体" w:hint="default"/>
                <w:spacing w:val="-2"/>
                <w:sz w:val="18"/>
                <w:szCs w:val="18"/>
              </w:rPr>
              <w:t>6</w:t>
            </w:r>
            <w:r>
              <w:rPr>
                <w:rFonts w:ascii="宋体" w:hAnsi="宋体" w:cs="宋体" w:eastAsia="宋体" w:hint="default"/>
                <w:spacing w:val="-2"/>
                <w:sz w:val="18"/>
                <w:szCs w:val="18"/>
              </w:rPr>
              <w:t>、对本期新增的大客户，了解客户的主营业务、工商登记</w:t>
            </w:r>
          </w:p>
          <w:p>
            <w:pPr>
              <w:pStyle w:val="TableParagraph"/>
              <w:spacing w:line="386" w:lineRule="auto" w:before="14"/>
              <w:ind w:left="101" w:right="102"/>
              <w:jc w:val="left"/>
              <w:rPr>
                <w:rFonts w:ascii="宋体" w:hAnsi="宋体" w:cs="宋体" w:eastAsia="宋体" w:hint="default"/>
                <w:sz w:val="18"/>
                <w:szCs w:val="18"/>
              </w:rPr>
            </w:pPr>
            <w:r>
              <w:rPr>
                <w:rFonts w:ascii="宋体" w:hAnsi="宋体" w:cs="宋体" w:eastAsia="宋体" w:hint="default"/>
                <w:sz w:val="18"/>
                <w:szCs w:val="18"/>
              </w:rPr>
              <w:t>等相关信息，进行业务访谈，判断交易的真实性。 </w:t>
            </w:r>
            <w:r>
              <w:rPr>
                <w:rFonts w:ascii="宋体" w:hAnsi="宋体" w:cs="宋体" w:eastAsia="宋体" w:hint="default"/>
                <w:spacing w:val="-2"/>
                <w:sz w:val="18"/>
                <w:szCs w:val="18"/>
              </w:rPr>
              <w:t>7</w:t>
            </w:r>
            <w:r>
              <w:rPr>
                <w:rFonts w:ascii="宋体" w:hAnsi="宋体" w:cs="宋体" w:eastAsia="宋体" w:hint="default"/>
                <w:spacing w:val="-2"/>
                <w:sz w:val="18"/>
                <w:szCs w:val="18"/>
              </w:rPr>
              <w:t>、针对资产负债表日前后记录的收入交易，进行截止性测</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试，评估收入确认是否记录在恰当的会计期间。</w:t>
            </w:r>
          </w:p>
        </w:tc>
      </w:tr>
    </w:tbl>
    <w:p>
      <w:pPr>
        <w:spacing w:line="240" w:lineRule="auto" w:before="11"/>
        <w:rPr>
          <w:rFonts w:ascii="Times New Roman" w:hAnsi="Times New Roman" w:cs="Times New Roman" w:eastAsia="Times New Roman" w:hint="default"/>
          <w:sz w:val="9"/>
          <w:szCs w:val="9"/>
        </w:rPr>
      </w:pPr>
    </w:p>
    <w:p>
      <w:pPr>
        <w:pStyle w:val="BodyText"/>
        <w:spacing w:line="432" w:lineRule="auto" w:before="26"/>
        <w:ind w:left="694" w:right="1120" w:firstLine="2"/>
        <w:jc w:val="left"/>
      </w:pPr>
      <w:r>
        <w:rPr>
          <w:rFonts w:ascii="宋体" w:hAnsi="宋体" w:cs="宋体" w:eastAsia="宋体" w:hint="default"/>
          <w:b/>
          <w:bCs/>
        </w:rPr>
        <w:t>四、其他信息</w:t>
      </w:r>
      <w:r>
        <w:rPr>
          <w:rFonts w:ascii="宋体" w:hAnsi="宋体" w:cs="宋体" w:eastAsia="宋体" w:hint="default"/>
          <w:b/>
          <w:bCs/>
          <w:w w:val="99"/>
        </w:rPr>
        <w:t> </w:t>
      </w:r>
      <w:r>
        <w:rPr>
          <w:spacing w:val="6"/>
        </w:rPr>
        <w:t>中文在线公司管理层</w:t>
      </w:r>
      <w:r>
        <w:rPr>
          <w:rFonts w:ascii="宋体" w:hAnsi="宋体" w:cs="宋体" w:eastAsia="宋体" w:hint="default"/>
          <w:spacing w:val="6"/>
        </w:rPr>
        <w:t>(</w:t>
      </w:r>
      <w:r>
        <w:rPr>
          <w:spacing w:val="6"/>
        </w:rPr>
        <w:t>以下简称管理层</w:t>
      </w:r>
      <w:r>
        <w:rPr>
          <w:rFonts w:ascii="宋体" w:hAnsi="宋体" w:cs="宋体" w:eastAsia="宋体" w:hint="default"/>
          <w:spacing w:val="6"/>
        </w:rPr>
        <w:t>)</w:t>
      </w:r>
      <w:r>
        <w:rPr>
          <w:spacing w:val="6"/>
        </w:rPr>
        <w:t>对其他信息负责。其他信息包括中文在线公司</w:t>
      </w:r>
    </w:p>
    <w:p>
      <w:pPr>
        <w:pStyle w:val="BodyText"/>
        <w:spacing w:line="277" w:lineRule="exact"/>
        <w:ind w:left="214" w:right="1120"/>
        <w:jc w:val="left"/>
      </w:pPr>
      <w:r>
        <w:rPr>
          <w:rFonts w:ascii="宋体" w:hAnsi="宋体" w:cs="宋体" w:eastAsia="宋体" w:hint="default"/>
        </w:rPr>
        <w:t>2018</w:t>
      </w:r>
      <w:r>
        <w:rPr>
          <w:rFonts w:ascii="宋体" w:hAnsi="宋体" w:cs="宋体" w:eastAsia="宋体" w:hint="default"/>
          <w:spacing w:val="-60"/>
        </w:rPr>
        <w:t> </w:t>
      </w:r>
      <w:r>
        <w:rPr/>
        <w:t>年年度报告中涵盖的信息，但不包括财务报表和我们的审计报告。</w:t>
      </w:r>
    </w:p>
    <w:p>
      <w:pPr>
        <w:spacing w:line="240" w:lineRule="auto" w:before="5"/>
        <w:rPr>
          <w:rFonts w:ascii="宋体" w:hAnsi="宋体" w:cs="宋体" w:eastAsia="宋体" w:hint="default"/>
          <w:sz w:val="19"/>
          <w:szCs w:val="19"/>
        </w:rPr>
      </w:pPr>
    </w:p>
    <w:p>
      <w:pPr>
        <w:pStyle w:val="BodyText"/>
        <w:spacing w:line="357" w:lineRule="auto"/>
        <w:ind w:left="214" w:right="1140" w:firstLine="480"/>
        <w:jc w:val="both"/>
      </w:pPr>
      <w:r>
        <w:rPr/>
        <w:t>我们对财务报表发表的审计意见不涵盖其他信息，我们也不对其他信息发表任何形式的 鉴证结论。</w:t>
      </w:r>
    </w:p>
    <w:p>
      <w:pPr>
        <w:pStyle w:val="BodyText"/>
        <w:spacing w:line="360" w:lineRule="auto" w:before="134"/>
        <w:ind w:left="214" w:right="1140" w:firstLine="480"/>
        <w:jc w:val="right"/>
      </w:pPr>
      <w:r>
        <w:rPr/>
        <w:t>结合我们对财务报表的审计，我们的责任是阅读其他信息，在此过程中，考虑其他信息 是否与财务报表或我们在审计过程中了解到的情况存在重大不一致或者似乎存在重大错报。</w:t>
      </w:r>
    </w:p>
    <w:p>
      <w:pPr>
        <w:pStyle w:val="BodyText"/>
        <w:spacing w:line="357" w:lineRule="auto" w:before="132"/>
        <w:ind w:left="214" w:right="1140" w:firstLine="480"/>
        <w:jc w:val="both"/>
      </w:pPr>
      <w:r>
        <w:rPr/>
        <w:t>基于我们已执行的工作，如果我们确定其他信息存在重大错报，我们应当报告该事实。 在这方面，我们无任何事项需要报告。</w:t>
      </w:r>
    </w:p>
    <w:p>
      <w:pPr>
        <w:spacing w:line="432" w:lineRule="auto" w:before="137"/>
        <w:ind w:left="694" w:right="1120" w:firstLine="2"/>
        <w:jc w:val="left"/>
        <w:rPr>
          <w:rFonts w:ascii="宋体" w:hAnsi="宋体" w:cs="宋体" w:eastAsia="宋体" w:hint="default"/>
          <w:sz w:val="24"/>
          <w:szCs w:val="24"/>
        </w:rPr>
      </w:pPr>
      <w:r>
        <w:rPr>
          <w:rFonts w:ascii="宋体" w:hAnsi="宋体" w:cs="宋体" w:eastAsia="宋体" w:hint="default"/>
          <w:b/>
          <w:bCs/>
          <w:sz w:val="24"/>
          <w:szCs w:val="24"/>
        </w:rPr>
        <w:t>五、管理层和治理层对财务报表的责任</w:t>
      </w:r>
      <w:r>
        <w:rPr>
          <w:rFonts w:ascii="宋体" w:hAnsi="宋体" w:cs="宋体" w:eastAsia="宋体" w:hint="default"/>
          <w:b/>
          <w:bCs/>
          <w:w w:val="99"/>
          <w:sz w:val="24"/>
          <w:szCs w:val="24"/>
        </w:rPr>
        <w:t> </w:t>
      </w:r>
      <w:r>
        <w:rPr>
          <w:rFonts w:ascii="宋体" w:hAnsi="宋体" w:cs="宋体" w:eastAsia="宋体" w:hint="default"/>
          <w:sz w:val="24"/>
          <w:szCs w:val="24"/>
        </w:rPr>
        <w:t>管理层负责按照企业会计准则的规定编制财务报表，使其实现公允反映，并设计、执行</w:t>
      </w:r>
    </w:p>
    <w:p>
      <w:pPr>
        <w:pStyle w:val="BodyText"/>
        <w:spacing w:line="277" w:lineRule="exact"/>
        <w:ind w:left="214" w:right="1120"/>
        <w:jc w:val="left"/>
      </w:pPr>
      <w:r>
        <w:rPr/>
        <w:t>和维护必要的内部控制，以使财务报表不存在由于舞弊或错误导致的重大错报。</w:t>
      </w:r>
    </w:p>
    <w:p>
      <w:pPr>
        <w:spacing w:line="240" w:lineRule="auto" w:before="4"/>
        <w:rPr>
          <w:rFonts w:ascii="宋体" w:hAnsi="宋体" w:cs="宋体" w:eastAsia="宋体" w:hint="default"/>
          <w:sz w:val="19"/>
          <w:szCs w:val="19"/>
        </w:rPr>
      </w:pPr>
    </w:p>
    <w:p>
      <w:pPr>
        <w:pStyle w:val="BodyText"/>
        <w:spacing w:line="357" w:lineRule="auto"/>
        <w:ind w:left="214" w:right="1130" w:firstLine="480"/>
        <w:jc w:val="both"/>
      </w:pPr>
      <w:r>
        <w:rPr/>
        <w:t>在编制财务报表时，管理层负责评估中文在线公司的持续经营能力，披露与持续经营相 </w:t>
      </w:r>
      <w:r>
        <w:rPr>
          <w:spacing w:val="-5"/>
        </w:rPr>
        <w:t>关的事项（如适用），并运用持续经营假设，除非管理层计划清算中文在线公司、终止运营或</w:t>
      </w:r>
      <w:r>
        <w:rPr>
          <w:spacing w:val="-118"/>
        </w:rPr>
        <w:t> </w:t>
      </w:r>
      <w:r>
        <w:rPr>
          <w:spacing w:val="-118"/>
        </w:rPr>
      </w:r>
      <w:r>
        <w:rPr/>
        <w:t>别无其他现实的选择。</w:t>
      </w:r>
    </w:p>
    <w:p>
      <w:pPr>
        <w:spacing w:line="434" w:lineRule="auto" w:before="137"/>
        <w:ind w:left="696" w:right="5233" w:hanging="3"/>
        <w:jc w:val="left"/>
        <w:rPr>
          <w:rFonts w:ascii="宋体" w:hAnsi="宋体" w:cs="宋体" w:eastAsia="宋体" w:hint="default"/>
          <w:sz w:val="24"/>
          <w:szCs w:val="24"/>
        </w:rPr>
      </w:pPr>
      <w:r>
        <w:rPr>
          <w:rFonts w:ascii="宋体" w:hAnsi="宋体" w:cs="宋体" w:eastAsia="宋体" w:hint="default"/>
          <w:sz w:val="24"/>
          <w:szCs w:val="24"/>
        </w:rPr>
        <w:t>治理层负责监督中文在线公司的财务报告过程。 </w:t>
      </w:r>
      <w:r>
        <w:rPr>
          <w:rFonts w:ascii="宋体" w:hAnsi="宋体" w:cs="宋体" w:eastAsia="宋体" w:hint="default"/>
          <w:b/>
          <w:bCs/>
          <w:sz w:val="24"/>
          <w:szCs w:val="24"/>
        </w:rPr>
        <w:t>六、注册会计师对财务报表审计的责任</w:t>
      </w:r>
      <w:r>
        <w:rPr>
          <w:rFonts w:ascii="宋体" w:hAnsi="宋体" w:cs="宋体" w:eastAsia="宋体" w:hint="default"/>
          <w:sz w:val="24"/>
          <w:szCs w:val="24"/>
        </w:rPr>
      </w:r>
    </w:p>
    <w:p>
      <w:pPr>
        <w:pStyle w:val="BodyText"/>
        <w:spacing w:line="357" w:lineRule="auto" w:before="58"/>
        <w:ind w:left="214" w:right="1139" w:firstLine="480"/>
        <w:jc w:val="both"/>
      </w:pPr>
      <w:r>
        <w:rPr>
          <w:spacing w:val="6"/>
        </w:rPr>
        <w:t>我们的目标是对财务报表整体是否不存在由于舞弊或错误导致的重大错报获取合理保</w:t>
      </w:r>
      <w:r>
        <w:rPr/>
        <w:t> 证，并出具包含审计意见的审计报告。合理保证是高水平的保证，但并不能保证按照审计准</w:t>
      </w:r>
    </w:p>
    <w:p>
      <w:pPr>
        <w:spacing w:after="0" w:line="357" w:lineRule="auto"/>
        <w:jc w:val="both"/>
        <w:sectPr>
          <w:pgSz w:w="11910" w:h="16840"/>
          <w:pgMar w:header="877" w:footer="979" w:top="1100" w:bottom="1160" w:left="920" w:right="0"/>
        </w:sectPr>
      </w:pPr>
    </w:p>
    <w:p>
      <w:pPr>
        <w:spacing w:line="240" w:lineRule="auto" w:before="7"/>
        <w:rPr>
          <w:rFonts w:ascii="宋体" w:hAnsi="宋体" w:cs="宋体" w:eastAsia="宋体" w:hint="default"/>
          <w:sz w:val="25"/>
          <w:szCs w:val="25"/>
        </w:rPr>
      </w:pPr>
    </w:p>
    <w:p>
      <w:pPr>
        <w:pStyle w:val="BodyText"/>
        <w:spacing w:line="357" w:lineRule="auto" w:before="26"/>
        <w:ind w:right="1139"/>
        <w:jc w:val="both"/>
      </w:pPr>
      <w:r>
        <w:rPr/>
        <w:t>则执行的审计在某一重大错报存在时总能发现。错报可能由于舞弊或错误导致，如果合理预 期错报单独或汇总起来可能影响财务报表使用者依据财务报表作出的经济决策，则通常认为 错报是重大的。</w:t>
      </w:r>
    </w:p>
    <w:p>
      <w:pPr>
        <w:pStyle w:val="BodyText"/>
        <w:spacing w:line="357" w:lineRule="auto" w:before="135"/>
        <w:ind w:right="1092" w:firstLine="480"/>
        <w:jc w:val="left"/>
      </w:pPr>
      <w:r>
        <w:rPr/>
        <w:t>在按照审计准则执行审计工作的过程中，我们运用职业判断，并保持职业怀疑。同时，</w:t>
      </w:r>
      <w:r>
        <w:rPr>
          <w:spacing w:val="2"/>
        </w:rPr>
        <w:t> </w:t>
      </w:r>
      <w:r>
        <w:rPr/>
        <w:t>我们也执行以下工作：</w:t>
      </w:r>
    </w:p>
    <w:p>
      <w:pPr>
        <w:pStyle w:val="BodyText"/>
        <w:spacing w:line="357" w:lineRule="auto" w:before="136"/>
        <w:ind w:left="1054" w:right="1131" w:hanging="421"/>
        <w:jc w:val="both"/>
      </w:pPr>
      <w:r>
        <w:rPr>
          <w:rFonts w:ascii="宋体" w:hAnsi="宋体" w:cs="宋体" w:eastAsia="宋体" w:hint="default"/>
        </w:rPr>
        <w:t>1)</w:t>
      </w:r>
      <w:r>
        <w:rPr>
          <w:rFonts w:ascii="宋体" w:hAnsi="宋体" w:cs="宋体" w:eastAsia="宋体" w:hint="default"/>
          <w:spacing w:val="27"/>
        </w:rPr>
        <w:t> </w:t>
      </w:r>
      <w:r>
        <w:rPr>
          <w:spacing w:val="-3"/>
        </w:rPr>
        <w:t>识别和评估由于舞弊或错误导致的财务报表重大错报风险，设计和实施审计程序以应</w:t>
      </w:r>
      <w:r>
        <w:rPr/>
        <w:t> </w:t>
      </w:r>
      <w:r>
        <w:rPr>
          <w:spacing w:val="2"/>
        </w:rPr>
        <w:t>对这些风险，并获取充分、适当的审计证据，作为发表审计意见的基础。由于舞弊</w:t>
      </w:r>
      <w:r>
        <w:rPr/>
        <w:t> </w:t>
      </w:r>
      <w:r>
        <w:rPr>
          <w:spacing w:val="2"/>
        </w:rPr>
        <w:t>可能涉及串通、伪造、故意遗漏、虚假陈述或凌驾于内部控制之上，未能发现由于</w:t>
      </w:r>
      <w:r>
        <w:rPr/>
        <w:t> 舞弊导致的重大错报的风险高于未能发现由于错误导致的重大错报的风险。</w:t>
      </w:r>
    </w:p>
    <w:p>
      <w:pPr>
        <w:pStyle w:val="BodyText"/>
        <w:spacing w:line="240" w:lineRule="auto" w:before="136"/>
        <w:ind w:left="634" w:right="1092"/>
        <w:jc w:val="left"/>
      </w:pPr>
      <w:r>
        <w:rPr>
          <w:rFonts w:ascii="宋体" w:hAnsi="宋体" w:cs="宋体" w:eastAsia="宋体" w:hint="default"/>
        </w:rPr>
        <w:t>2) </w:t>
      </w:r>
      <w:r>
        <w:rPr/>
        <w:t>了解与审计相关的内部控制，以设计恰当的审计程序。</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rFonts w:ascii="宋体" w:hAnsi="宋体" w:cs="宋体" w:eastAsia="宋体" w:hint="default"/>
        </w:rPr>
        <w:t>3) </w:t>
      </w:r>
      <w:r>
        <w:rPr/>
        <w:t>评价管理层选用会计政策的恰当性和作出会计估计及相关披露的合理性。</w:t>
      </w:r>
    </w:p>
    <w:p>
      <w:pPr>
        <w:spacing w:line="240" w:lineRule="auto" w:before="5"/>
        <w:rPr>
          <w:rFonts w:ascii="宋体" w:hAnsi="宋体" w:cs="宋体" w:eastAsia="宋体" w:hint="default"/>
          <w:sz w:val="19"/>
          <w:szCs w:val="19"/>
        </w:rPr>
      </w:pPr>
    </w:p>
    <w:p>
      <w:pPr>
        <w:pStyle w:val="BodyText"/>
        <w:spacing w:line="357" w:lineRule="auto"/>
        <w:ind w:left="1054" w:right="1132" w:hanging="421"/>
        <w:jc w:val="both"/>
      </w:pPr>
      <w:r>
        <w:rPr>
          <w:rFonts w:ascii="宋体" w:hAnsi="宋体" w:cs="宋体" w:eastAsia="宋体" w:hint="default"/>
        </w:rPr>
        <w:t>4)</w:t>
      </w:r>
      <w:r>
        <w:rPr>
          <w:rFonts w:ascii="宋体" w:hAnsi="宋体" w:cs="宋体" w:eastAsia="宋体" w:hint="default"/>
          <w:spacing w:val="25"/>
        </w:rPr>
        <w:t> </w:t>
      </w:r>
      <w:r>
        <w:rPr>
          <w:spacing w:val="-3"/>
        </w:rPr>
        <w:t>对管理层使用持续经营假设的恰当性得出结论。同时，根据获取的审计证据，就可能</w:t>
      </w:r>
      <w:r>
        <w:rPr/>
        <w:t> </w:t>
      </w:r>
      <w:r>
        <w:rPr>
          <w:spacing w:val="2"/>
        </w:rPr>
        <w:t>导致对中文在线公司持续经营能力产生重大疑虑的事项或情况是否存在重大不确定</w:t>
      </w:r>
      <w:r>
        <w:rPr/>
        <w:t> </w:t>
      </w:r>
      <w:r>
        <w:rPr>
          <w:spacing w:val="2"/>
        </w:rPr>
        <w:t>性得出结论。如果我们得出结论认为存在重大不确定性，审计准则要求我们在审计</w:t>
      </w:r>
      <w:r>
        <w:rPr/>
        <w:t> </w:t>
      </w:r>
      <w:r>
        <w:rPr>
          <w:spacing w:val="2"/>
        </w:rPr>
        <w:t>报告中提请报表使用者注意财务报表中的相关披露；如果披露不充分，我们应当发</w:t>
      </w:r>
      <w:r>
        <w:rPr/>
        <w:t> </w:t>
      </w:r>
      <w:r>
        <w:rPr>
          <w:spacing w:val="2"/>
        </w:rPr>
        <w:t>表非无保留意见。我们的结论基于截至审计报告日可获得的信息。然而，未来的事</w:t>
      </w:r>
      <w:r>
        <w:rPr/>
        <w:t> 项或情况可能导致中文在线公司不能持续经营。</w:t>
      </w:r>
    </w:p>
    <w:p>
      <w:pPr>
        <w:pStyle w:val="BodyText"/>
        <w:spacing w:line="357" w:lineRule="auto" w:before="134"/>
        <w:ind w:left="1054" w:right="1139" w:hanging="421"/>
        <w:jc w:val="both"/>
      </w:pPr>
      <w:r>
        <w:rPr>
          <w:rFonts w:ascii="宋体" w:hAnsi="宋体" w:cs="宋体" w:eastAsia="宋体" w:hint="default"/>
        </w:rPr>
        <w:t>5)</w:t>
      </w:r>
      <w:r>
        <w:rPr>
          <w:rFonts w:ascii="宋体" w:hAnsi="宋体" w:cs="宋体" w:eastAsia="宋体" w:hint="default"/>
          <w:spacing w:val="24"/>
        </w:rPr>
        <w:t> </w:t>
      </w:r>
      <w:r>
        <w:rPr>
          <w:spacing w:val="-4"/>
        </w:rPr>
        <w:t>评价财务报表的总体列报、结构和内容（包括披露），并评价财务报表是否公允反映</w:t>
      </w:r>
      <w:r>
        <w:rPr>
          <w:spacing w:val="-113"/>
        </w:rPr>
        <w:t> </w:t>
      </w:r>
      <w:r>
        <w:rPr>
          <w:spacing w:val="-113"/>
        </w:rPr>
      </w:r>
      <w:r>
        <w:rPr/>
        <w:t>相关交易和事项。</w:t>
      </w:r>
    </w:p>
    <w:p>
      <w:pPr>
        <w:pStyle w:val="BodyText"/>
        <w:spacing w:line="357" w:lineRule="auto" w:before="134"/>
        <w:ind w:left="1054" w:right="1131" w:hanging="421"/>
        <w:jc w:val="both"/>
      </w:pPr>
      <w:r>
        <w:rPr>
          <w:rFonts w:ascii="宋体" w:hAnsi="宋体" w:cs="宋体" w:eastAsia="宋体" w:hint="default"/>
        </w:rPr>
        <w:t>6)</w:t>
      </w:r>
      <w:r>
        <w:rPr>
          <w:rFonts w:ascii="宋体" w:hAnsi="宋体" w:cs="宋体" w:eastAsia="宋体" w:hint="default"/>
          <w:spacing w:val="27"/>
        </w:rPr>
        <w:t> </w:t>
      </w:r>
      <w:r>
        <w:rPr>
          <w:spacing w:val="-3"/>
        </w:rPr>
        <w:t>就中文在线公司中实体或业务活动的财务信息获取充分、适当的审计证据，以对财务</w:t>
      </w:r>
      <w:r>
        <w:rPr/>
        <w:t> </w:t>
      </w:r>
      <w:r>
        <w:rPr>
          <w:spacing w:val="2"/>
        </w:rPr>
        <w:t>报表发表审计意见。我们负责指导、监督和执行集团审计，并对审计意见承担全部</w:t>
      </w:r>
      <w:r>
        <w:rPr/>
        <w:t> 责任。</w:t>
      </w:r>
    </w:p>
    <w:p>
      <w:pPr>
        <w:pStyle w:val="BodyText"/>
        <w:spacing w:line="357" w:lineRule="auto" w:before="136"/>
        <w:ind w:right="1092" w:firstLine="480"/>
        <w:jc w:val="left"/>
      </w:pPr>
      <w:r>
        <w:rPr/>
        <w:t>我们与治理层就计划的审计范围、时间安排和重大审计发现等事项进行沟通，包括沟通 我们在审计中识别出的值得关注的内部控制缺陷。</w:t>
      </w:r>
    </w:p>
    <w:p>
      <w:pPr>
        <w:pStyle w:val="BodyText"/>
        <w:spacing w:line="360" w:lineRule="auto" w:before="134"/>
        <w:ind w:right="1092" w:firstLine="480"/>
        <w:jc w:val="left"/>
      </w:pPr>
      <w:r>
        <w:rPr/>
        <w:t>我们还就已遵守与独立性相关的职业道德要求向治理层提供声明，并与治理层沟通可能 </w:t>
      </w:r>
      <w:r>
        <w:rPr>
          <w:spacing w:val="-4"/>
        </w:rPr>
        <w:t>被合理认为影响我们独立性的所有关系和其他事项，以及相关的防范措施（如适用）。</w:t>
      </w:r>
    </w:p>
    <w:p>
      <w:pPr>
        <w:pStyle w:val="BodyText"/>
        <w:spacing w:line="240" w:lineRule="auto" w:before="132"/>
        <w:ind w:left="634" w:right="1092"/>
        <w:jc w:val="left"/>
      </w:pPr>
      <w:r>
        <w:rPr/>
        <w:t>从与治理层沟通过的事项中，我们确定哪些事项对本期财务报表审计最为重要，因而构</w:t>
      </w:r>
    </w:p>
    <w:p>
      <w:pPr>
        <w:spacing w:after="0" w:line="240"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6"/>
        <w:jc w:val="both"/>
      </w:pPr>
      <w:r>
        <w:rPr/>
        <w:t>成关键审计事项。我们在审计报告中描述这些事项，除非法律法规禁止公开披露这些事项， 或在极少数情形下，如果合理预期在审计报告中沟通某事项造成的负面后果超过在公众利益</w:t>
      </w:r>
      <w:r>
        <w:rPr>
          <w:spacing w:val="-117"/>
        </w:rPr>
        <w:t> </w:t>
      </w:r>
      <w:r>
        <w:rPr>
          <w:spacing w:val="-117"/>
        </w:rPr>
      </w:r>
      <w:r>
        <w:rPr/>
        <w:t>方面产生的益处，我们确定不应在审计报告中沟通该事项。</w:t>
      </w:r>
    </w:p>
    <w:p>
      <w:pPr>
        <w:spacing w:line="240" w:lineRule="auto" w:before="9"/>
        <w:rPr>
          <w:rFonts w:ascii="宋体" w:hAnsi="宋体" w:cs="宋体" w:eastAsia="宋体" w:hint="default"/>
          <w:sz w:val="19"/>
          <w:szCs w:val="19"/>
        </w:rPr>
      </w:pPr>
    </w:p>
    <w:p>
      <w:pPr>
        <w:pStyle w:val="Heading2"/>
        <w:spacing w:line="240" w:lineRule="auto" w:before="0"/>
        <w:ind w:right="0"/>
        <w:jc w:val="both"/>
        <w:rPr>
          <w:b w:val="0"/>
          <w:bCs w:val="0"/>
        </w:rPr>
      </w:pPr>
      <w:bookmarkStart w:name="二、财务报表" w:id="158"/>
      <w:bookmarkEnd w:id="158"/>
      <w:r>
        <w:rPr>
          <w:b w:val="0"/>
          <w:bCs w:val="0"/>
        </w:rPr>
      </w:r>
      <w:r>
        <w:rPr/>
        <w:t>二、财务报表</w:t>
      </w:r>
      <w:r>
        <w:rPr>
          <w:b w:val="0"/>
          <w:bCs w:val="0"/>
        </w:rPr>
      </w:r>
    </w:p>
    <w:p>
      <w:pPr>
        <w:spacing w:line="240" w:lineRule="auto" w:before="12"/>
        <w:rPr>
          <w:rFonts w:ascii="宋体" w:hAnsi="宋体" w:cs="宋体" w:eastAsia="宋体" w:hint="default"/>
          <w:b/>
          <w:bCs/>
          <w:sz w:val="28"/>
          <w:szCs w:val="28"/>
        </w:rPr>
      </w:pPr>
    </w:p>
    <w:p>
      <w:pPr>
        <w:pStyle w:val="BodyText"/>
        <w:spacing w:line="240" w:lineRule="auto"/>
        <w:ind w:left="634" w:right="1092"/>
        <w:jc w:val="left"/>
      </w:pPr>
      <w:r>
        <w:rPr/>
        <w:t>财务附注中报表的单位为：人民币元</w:t>
      </w:r>
    </w:p>
    <w:p>
      <w:pPr>
        <w:spacing w:line="240" w:lineRule="auto" w:before="5"/>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1、合并资产负债表" w:id="159"/>
      <w:bookmarkEnd w:id="159"/>
      <w:r>
        <w:rPr/>
      </w:r>
      <w:r>
        <w:rPr>
          <w:rFonts w:ascii="宋体" w:hAnsi="宋体" w:cs="宋体" w:eastAsia="宋体" w:hint="default"/>
          <w:b/>
          <w:bCs/>
          <w:sz w:val="21"/>
          <w:szCs w:val="21"/>
        </w:rPr>
        <w:t>1</w:t>
      </w: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154" w:right="1092" w:firstLine="0"/>
        <w:jc w:val="left"/>
        <w:rPr>
          <w:rFonts w:ascii="宋体" w:hAnsi="宋体" w:cs="宋体" w:eastAsia="宋体" w:hint="default"/>
          <w:sz w:val="18"/>
          <w:szCs w:val="18"/>
        </w:rPr>
      </w:pPr>
      <w:r>
        <w:rPr>
          <w:rFonts w:ascii="宋体" w:hAnsi="宋体" w:cs="宋体" w:eastAsia="宋体" w:hint="default"/>
          <w:sz w:val="18"/>
          <w:szCs w:val="18"/>
        </w:rPr>
        <w:t>编制单位：中文在线数字出版集团股份有限公司</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484,756,200.85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759,480,058.06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8"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216,395,000.00</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232,940,409.42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133,383,639.60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232,940,409.42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133,383,639.60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216,336,539.13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65,400,972.52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126,433,272.75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14,846,995.32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18,764,753.88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11,176,207.01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33,432,560.07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24,111,377.90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1,329,058,736.10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1,008,399,250.41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145,048,574.71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540,166,889.89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261,323,498.96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484,790,611.25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46,768,739.93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21,738,872.26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95,391,564.50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26,426,666.86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436,061,844.85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488,726,683.89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56,476,635.84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38,650,844.47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34,538,763.83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34,538,763.83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63,926,143.52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12,076,460.40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9,111,974.48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17,864,662.81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112,869,554.52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289,945,675.63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1,261,517,295.14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1,954,926,131.29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2,590,576,031.24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2,963,325,381.70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100,000,000.00</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8"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损益的金融负债</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22,055,864.54</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116,256,048.30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71,421,115.88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32,384,940.02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61,265,980.07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35,861,527.95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41,187,008.05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16,913,012.25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14,140,951.96</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51,845,972.39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51,739,520.78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113,566.95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49,408.34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108,653.01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132,647.83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375,317,365.45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239,754,576.74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30,000,000.00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37,173,536.54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17,697,078.27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1,957,122.13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3,042,604.54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39,130,658.67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50,739,682.81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414,448,024.12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290,494,259.55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771,998,250.00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711,157,430.00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2,645,470,704.71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1,697,217,647.72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49,750,916.92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-20,321,019.18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3,620,711.39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30,930,203.91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30,930,203.91</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3194"/>
        <w:gridCol w:w="3407"/>
        <w:gridCol w:w="296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407"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-1,248,482,428.43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270,836,329.97</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2,179,595,711.01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2,664,011,406.07</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-3,467,703.89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8,819,716.08</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2,176,128,007.12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2,672,831,122.15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2,590,576,031.24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2,963,325,381.70</w:t>
            </w:r>
          </w:p>
        </w:tc>
      </w:tr>
    </w:tbl>
    <w:p>
      <w:pPr>
        <w:spacing w:line="240" w:lineRule="auto" w:before="3"/>
        <w:rPr>
          <w:rFonts w:ascii="Times New Roman" w:hAnsi="Times New Roman" w:cs="Times New Roman" w:eastAsia="Times New Roman" w:hint="default"/>
          <w:sz w:val="23"/>
          <w:szCs w:val="23"/>
        </w:rPr>
      </w:pPr>
    </w:p>
    <w:p>
      <w:pPr>
        <w:tabs>
          <w:tab w:pos="3510" w:val="left" w:leader="none"/>
          <w:tab w:pos="7741" w:val="left" w:leader="none"/>
        </w:tabs>
        <w:spacing w:before="44"/>
        <w:ind w:left="0" w:right="1229" w:firstLine="0"/>
        <w:jc w:val="right"/>
        <w:rPr>
          <w:rFonts w:ascii="宋体" w:hAnsi="宋体" w:cs="宋体" w:eastAsia="宋体" w:hint="default"/>
          <w:sz w:val="18"/>
          <w:szCs w:val="18"/>
        </w:rPr>
      </w:pPr>
      <w:r>
        <w:rPr>
          <w:rFonts w:ascii="宋体" w:hAnsi="宋体" w:cs="宋体" w:eastAsia="宋体" w:hint="default"/>
          <w:sz w:val="18"/>
          <w:szCs w:val="18"/>
        </w:rPr>
        <w:t>法定代表人：童之磊</w:t>
        <w:tab/>
        <w:t>主管会计工作负责人：贾庆丰</w:t>
        <w:tab/>
        <w:t>会计机构负责人：祝君</w:t>
      </w:r>
    </w:p>
    <w:p>
      <w:pPr>
        <w:spacing w:line="240" w:lineRule="auto" w:before="11"/>
        <w:rPr>
          <w:rFonts w:ascii="宋体" w:hAnsi="宋体" w:cs="宋体" w:eastAsia="宋体" w:hint="default"/>
          <w:sz w:val="26"/>
          <w:szCs w:val="26"/>
        </w:rPr>
      </w:pPr>
    </w:p>
    <w:p>
      <w:pPr>
        <w:spacing w:before="0"/>
        <w:ind w:left="154" w:right="1092" w:firstLine="0"/>
        <w:jc w:val="left"/>
        <w:rPr>
          <w:rFonts w:ascii="宋体" w:hAnsi="宋体" w:cs="宋体" w:eastAsia="宋体" w:hint="default"/>
          <w:sz w:val="21"/>
          <w:szCs w:val="21"/>
        </w:rPr>
      </w:pPr>
      <w:bookmarkStart w:name="2、母公司资产负债表" w:id="160"/>
      <w:bookmarkEnd w:id="160"/>
      <w:r>
        <w:rPr/>
      </w:r>
      <w:r>
        <w:rPr>
          <w:rFonts w:ascii="宋体" w:hAnsi="宋体" w:cs="宋体" w:eastAsia="宋体" w:hint="default"/>
          <w:b/>
          <w:bCs/>
          <w:sz w:val="21"/>
          <w:szCs w:val="21"/>
        </w:rPr>
        <w:t>2</w:t>
      </w:r>
      <w:r>
        <w:rPr>
          <w:rFonts w:ascii="宋体" w:hAnsi="宋体" w:cs="宋体" w:eastAsia="宋体" w:hint="default"/>
          <w:b/>
          <w:bCs/>
          <w:sz w:val="21"/>
          <w:szCs w:val="21"/>
        </w:rPr>
        <w:t>、母公司资产负债表</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279,022,671.39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289,692,399.57</w:t>
            </w:r>
          </w:p>
        </w:tc>
      </w:tr>
      <w:tr>
        <w:trPr>
          <w:trHeight w:val="71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216,395,000.00</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57,783,363.83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46,524,977.76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57,783,363.83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46,524,977.76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42,405,184.98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37,908,125.46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32,874,431.44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205,453,331.03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9,003,122.37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5,324,953.47</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637,483,774.01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584,903,787.29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59,265,756.99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352,402,254.91</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1,989,304,500.92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1,742,701,660.09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25,507,093.03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72,170,942.35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6,906,557.53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240,086,027.33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257,653,799.04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3,797,499.03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7,240,883.59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6,295,700.89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6,989,245.09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6,989,245.09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29,017,680.54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254,983,412.43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2,429,582,129.84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2,631,730,129.01</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3,067,065,903.85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3,216,633,916.30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100,000,000.00</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22,055,864.54</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52,825,647.65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44,408,146.80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17,771,511.13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24,961,266.45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12,937,830.52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14,020,998.07</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1,773,612.72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1,310,261.65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741,598,768.51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483,878,207.69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113,566.95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49,408.34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108,653.01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132,647.83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948,963,235.07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568,578,880.66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30,000,000.00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4"/>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13,075,020.44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7,140,736.85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682,622.85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13,075,020.44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37,823,359.70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962,038,255.51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606,402,240.36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771,998,250.00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711,157,430.00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4"/>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2,621,399,777.15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1,682,512,603.03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49,750,916.92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-20,183,543.01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3,868,196.13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30,930,203.91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30,930,203.91</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-1,299,117,039.71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231,514,159.79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2,105,027,648.34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2,610,231,675.94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3,067,065,903.85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3,216,633,916.30</w:t>
            </w:r>
          </w:p>
        </w:tc>
      </w:tr>
    </w:tbl>
    <w:p>
      <w:pPr>
        <w:spacing w:line="240" w:lineRule="auto" w:before="10"/>
        <w:rPr>
          <w:rFonts w:ascii="Times New Roman" w:hAnsi="Times New Roman" w:cs="Times New Roman" w:eastAsia="Times New Roman" w:hint="default"/>
          <w:sz w:val="21"/>
          <w:szCs w:val="21"/>
        </w:rPr>
      </w:pPr>
    </w:p>
    <w:p>
      <w:pPr>
        <w:spacing w:before="35"/>
        <w:ind w:left="154" w:right="1092" w:firstLine="0"/>
        <w:jc w:val="left"/>
        <w:rPr>
          <w:rFonts w:ascii="宋体" w:hAnsi="宋体" w:cs="宋体" w:eastAsia="宋体" w:hint="default"/>
          <w:sz w:val="21"/>
          <w:szCs w:val="21"/>
        </w:rPr>
      </w:pPr>
      <w:bookmarkStart w:name="3、合并利润表" w:id="161"/>
      <w:bookmarkEnd w:id="161"/>
      <w:r>
        <w:rPr/>
      </w:r>
      <w:r>
        <w:rPr>
          <w:rFonts w:ascii="宋体" w:hAnsi="宋体" w:cs="宋体" w:eastAsia="宋体" w:hint="default"/>
          <w:b/>
          <w:bCs/>
          <w:sz w:val="21"/>
          <w:szCs w:val="21"/>
        </w:rPr>
        <w:t>3</w:t>
      </w:r>
      <w:r>
        <w:rPr>
          <w:rFonts w:ascii="宋体" w:hAnsi="宋体" w:cs="宋体" w:eastAsia="宋体" w:hint="default"/>
          <w:b/>
          <w:bCs/>
          <w:sz w:val="21"/>
          <w:szCs w:val="21"/>
        </w:rPr>
        <w:t>、合并利润表</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885,489,948.35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716,779,582.45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885,489,948.35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716,779,582.45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81"/>
              <w:jc w:val="righ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2,873,533,002.92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675,325,740.17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533,385,052.00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359,969,409.68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81"/>
              <w:jc w:val="righ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r>
        <w:rPr/>
        <w:pict>
          <v:group style="position:absolute;margin-left:205.339996pt;margin-top:511.749969pt;width:163.35pt;height:20.8pt;mso-position-horizontal-relative:page;mso-position-vertical-relative:page;z-index:-1153384" coordorigin="4107,10235" coordsize="3267,416">
            <v:group style="position:absolute;left:4118;top:10246;width:2;height:393" coordorigin="4118,10246" coordsize="2,393">
              <v:shape style="position:absolute;left:4118;top:10246;width:2;height:393" coordorigin="4118,10246" coordsize="0,393" path="m4118,10246l4118,10639e" filled="false" stroked="true" strokeweight="1.140pt" strokecolor="#ffffff">
                <v:path arrowok="t"/>
              </v:shape>
            </v:group>
            <v:group style="position:absolute;left:4130;top:10246;width:3244;height:393" coordorigin="4130,10246" coordsize="3244,393">
              <v:shape style="position:absolute;left:4130;top:10246;width:3244;height:393" coordorigin="4130,10246" coordsize="3244,393" path="m4130,10639l7374,10639,7374,10246,4130,10246,4130,10639xe" filled="true" fillcolor="#ffffff" stroked="false">
                <v:path arrowok="t"/>
                <v:fill type="solid"/>
              </v:shape>
            </v:group>
            <w10:wrap type="none"/>
          </v:group>
        </w:pict>
      </w:r>
      <w:r>
        <w:rPr/>
        <w:pict>
          <v:group style="position:absolute;margin-left:205.339996pt;margin-top:627.849976pt;width:163.35pt;height:20.8pt;mso-position-horizontal-relative:page;mso-position-vertical-relative:page;z-index:-1153360" coordorigin="4107,12557" coordsize="3267,416">
            <v:group style="position:absolute;left:4118;top:12568;width:2;height:393" coordorigin="4118,12568" coordsize="2,393">
              <v:shape style="position:absolute;left:4118;top:12568;width:2;height:393" coordorigin="4118,12568" coordsize="0,393" path="m4118,12568l4118,12961e" filled="false" stroked="true" strokeweight="1.140pt" strokecolor="#ffffff">
                <v:path arrowok="t"/>
              </v:shape>
            </v:group>
            <v:group style="position:absolute;left:4130;top:12568;width:3244;height:393" coordorigin="4130,12568" coordsize="3244,393">
              <v:shape style="position:absolute;left:4130;top:12568;width:3244;height:393" coordorigin="4130,12568" coordsize="3244,393" path="m4130,12961l7374,12961,7374,12568,4130,12568,4130,12961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2967"/>
        <w:gridCol w:w="902"/>
        <w:gridCol w:w="2399"/>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301"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301"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301"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301"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8,370,432.53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5,346,320.34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07" w:right="0"/>
              <w:jc w:val="left"/>
              <w:rPr>
                <w:rFonts w:ascii="宋体" w:hAnsi="宋体" w:cs="宋体" w:eastAsia="宋体" w:hint="default"/>
                <w:sz w:val="18"/>
                <w:szCs w:val="18"/>
              </w:rPr>
            </w:pPr>
            <w:r>
              <w:rPr>
                <w:rFonts w:ascii="宋体"/>
                <w:sz w:val="18"/>
              </w:rPr>
              <w:t>312,567,466.97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105,083,437.65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07" w:right="0"/>
              <w:jc w:val="left"/>
              <w:rPr>
                <w:rFonts w:ascii="宋体" w:hAnsi="宋体" w:cs="宋体" w:eastAsia="宋体" w:hint="default"/>
                <w:sz w:val="18"/>
                <w:szCs w:val="18"/>
              </w:rPr>
            </w:pPr>
            <w:r>
              <w:rPr>
                <w:rFonts w:ascii="宋体"/>
                <w:sz w:val="18"/>
              </w:rPr>
              <w:t>129,351,270.04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145,226,376.19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97" w:right="0"/>
              <w:jc w:val="left"/>
              <w:rPr>
                <w:rFonts w:ascii="宋体" w:hAnsi="宋体" w:cs="宋体" w:eastAsia="宋体" w:hint="default"/>
                <w:sz w:val="18"/>
                <w:szCs w:val="18"/>
              </w:rPr>
            </w:pPr>
            <w:r>
              <w:rPr>
                <w:rFonts w:ascii="宋体"/>
                <w:sz w:val="18"/>
              </w:rPr>
              <w:t>88,025,095.33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77,715,675.33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07" w:right="0"/>
              <w:jc w:val="left"/>
              <w:rPr>
                <w:rFonts w:ascii="宋体" w:hAnsi="宋体" w:cs="宋体" w:eastAsia="宋体" w:hint="default"/>
                <w:sz w:val="18"/>
                <w:szCs w:val="18"/>
              </w:rPr>
            </w:pPr>
            <w:r>
              <w:rPr>
                <w:rFonts w:ascii="宋体"/>
                <w:sz w:val="18"/>
              </w:rPr>
              <w:t>-11,931,378.62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-22,780,152.39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0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3,320,554.38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5,255,033.34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4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97" w:right="0"/>
              <w:jc w:val="left"/>
              <w:rPr>
                <w:rFonts w:ascii="宋体" w:hAnsi="宋体" w:cs="宋体" w:eastAsia="宋体" w:hint="default"/>
                <w:sz w:val="18"/>
                <w:szCs w:val="18"/>
              </w:rPr>
            </w:pPr>
            <w:r>
              <w:rPr>
                <w:rFonts w:ascii="宋体"/>
                <w:sz w:val="18"/>
              </w:rPr>
              <w:t>15,192,046.15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29,282,229.52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27" w:right="0"/>
              <w:jc w:val="left"/>
              <w:rPr>
                <w:rFonts w:ascii="宋体" w:hAnsi="宋体" w:cs="宋体" w:eastAsia="宋体" w:hint="default"/>
                <w:sz w:val="18"/>
                <w:szCs w:val="18"/>
              </w:rPr>
            </w:pPr>
            <w:r>
              <w:rPr>
                <w:rFonts w:ascii="宋体"/>
                <w:sz w:val="18"/>
              </w:rPr>
              <w:t>1,813,765,064.67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4,764,673.37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97" w:right="0"/>
              <w:jc w:val="left"/>
              <w:rPr>
                <w:rFonts w:ascii="宋体" w:hAnsi="宋体" w:cs="宋体" w:eastAsia="宋体" w:hint="default"/>
                <w:sz w:val="18"/>
                <w:szCs w:val="18"/>
              </w:rPr>
            </w:pPr>
            <w:r>
              <w:rPr>
                <w:rFonts w:ascii="宋体"/>
                <w:sz w:val="18"/>
              </w:rPr>
              <w:t>10,931,043.00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30,180,516.37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投资收益（损失以“－”号</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07" w:right="0"/>
              <w:jc w:val="left"/>
              <w:rPr>
                <w:rFonts w:ascii="宋体" w:hAnsi="宋体" w:cs="宋体" w:eastAsia="宋体" w:hint="default"/>
                <w:sz w:val="18"/>
                <w:szCs w:val="18"/>
              </w:rPr>
            </w:pPr>
            <w:r>
              <w:rPr>
                <w:rFonts w:ascii="宋体"/>
                <w:sz w:val="18"/>
              </w:rPr>
              <w:t>194,384,031.53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21,554,349.05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187" w:right="0"/>
              <w:jc w:val="left"/>
              <w:rPr>
                <w:rFonts w:ascii="宋体" w:hAnsi="宋体" w:cs="宋体" w:eastAsia="宋体" w:hint="default"/>
                <w:sz w:val="18"/>
                <w:szCs w:val="18"/>
              </w:rPr>
            </w:pPr>
            <w:r>
              <w:rPr>
                <w:rFonts w:ascii="宋体"/>
                <w:sz w:val="18"/>
              </w:rPr>
              <w:t>2,429,005.12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10,360,577.85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公允价值变动收益（损失以 “－”号填列）</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007" w:right="0"/>
              <w:jc w:val="left"/>
              <w:rPr>
                <w:rFonts w:ascii="宋体" w:hAnsi="宋体" w:cs="宋体" w:eastAsia="宋体" w:hint="default"/>
                <w:sz w:val="18"/>
                <w:szCs w:val="18"/>
              </w:rPr>
            </w:pPr>
            <w:r>
              <w:rPr>
                <w:rFonts w:ascii="宋体"/>
                <w:sz w:val="18"/>
              </w:rPr>
              <w:t>260,502,000.00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pacing w:val="-5"/>
                <w:sz w:val="18"/>
                <w:szCs w:val="18"/>
              </w:rPr>
              <w:t>汇兑收益（损失以“</w:t>
            </w:r>
            <w:r>
              <w:rPr>
                <w:rFonts w:ascii="宋体" w:hAnsi="宋体" w:cs="宋体" w:eastAsia="宋体" w:hint="default"/>
                <w:spacing w:val="-5"/>
                <w:sz w:val="18"/>
                <w:szCs w:val="18"/>
              </w:rPr>
              <w:t>-</w:t>
            </w:r>
            <w:r>
              <w:rPr>
                <w:rFonts w:ascii="宋体" w:hAnsi="宋体" w:cs="宋体" w:eastAsia="宋体" w:hint="default"/>
                <w:spacing w:val="-5"/>
                <w:sz w:val="18"/>
                <w:szCs w:val="18"/>
              </w:rPr>
              <w:t>”号填</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1"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743" w:right="-43"/>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宋体" w:hAnsi="宋体" w:cs="宋体" w:eastAsia="宋体" w:hint="default"/>
                <w:sz w:val="18"/>
                <w:szCs w:val="18"/>
              </w:rPr>
              <w:t>-</w:t>
            </w:r>
            <w:r>
              <w:rPr>
                <w:rFonts w:ascii="宋体" w:hAnsi="宋体" w:cs="宋体" w:eastAsia="宋体" w:hint="default"/>
                <w:sz w:val="18"/>
                <w:szCs w:val="18"/>
              </w:rPr>
              <w:t>”</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1" w:type="dxa"/>
            <w:gridSpan w:val="2"/>
            <w:tcBorders>
              <w:top w:val="single" w:sz="4" w:space="0" w:color="000000"/>
              <w:left w:val="single" w:sz="9" w:space="0" w:color="FFFFFF"/>
              <w:bottom w:val="single" w:sz="4" w:space="0" w:color="000000"/>
              <w:right w:val="single" w:sz="4" w:space="0" w:color="000000"/>
            </w:tcBorders>
          </w:tcPr>
          <w:p>
            <w:pPr>
              <w:pStyle w:val="TableParagraph"/>
              <w:spacing w:line="156" w:lineRule="exact"/>
              <w:ind w:left="-6" w:right="-5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2"/>
                <w:sz w:val="15"/>
                <w:szCs w:val="15"/>
              </w:rPr>
              <w:pict>
                <v:group style="width:164.5pt;height:7.8pt;mso-position-horizontal-relative:char;mso-position-vertical-relative:line" coordorigin="0,0" coordsize="3290,156">
                  <v:group style="position:absolute;left:0;top:0;width:3290;height:156" coordorigin="0,0" coordsize="3290,156">
                    <v:shape style="position:absolute;left:0;top:0;width:3290;height:156" coordorigin="0,0" coordsize="3290,156" path="m0,156l3290,156,3290,0,0,0,0,156xe" filled="true" fillcolor="#ffffff" stroked="false">
                      <v:path arrowok="t"/>
                      <v:fill type="solid"/>
                    </v:shape>
                  </v:group>
                </v:group>
              </w:pict>
            </w:r>
            <w:r>
              <w:rPr>
                <w:rFonts w:ascii="Times New Roman" w:hAnsi="Times New Roman" w:cs="Times New Roman" w:eastAsia="Times New Roman" w:hint="default"/>
                <w:position w:val="-2"/>
                <w:sz w:val="15"/>
                <w:szCs w:val="15"/>
              </w:rPr>
            </w:r>
          </w:p>
          <w:p>
            <w:pPr>
              <w:pStyle w:val="TableParagraph"/>
              <w:spacing w:line="240" w:lineRule="auto" w:before="51"/>
              <w:ind w:right="23"/>
              <w:jc w:val="right"/>
              <w:rPr>
                <w:rFonts w:ascii="宋体" w:hAnsi="宋体" w:cs="宋体" w:eastAsia="宋体" w:hint="default"/>
                <w:sz w:val="18"/>
                <w:szCs w:val="18"/>
              </w:rPr>
            </w:pPr>
            <w:r>
              <w:rPr>
                <w:rFonts w:ascii="宋体"/>
                <w:sz w:val="18"/>
              </w:rPr>
              <w:t>-80,707.34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65,841.45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4"/>
                <w:sz w:val="18"/>
                <w:szCs w:val="18"/>
              </w:rPr>
              <w:t>三、营业利润（亏损以“－”号填列</w:t>
            </w:r>
          </w:p>
        </w:tc>
        <w:tc>
          <w:tcPr>
            <w:tcW w:w="9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left="-123" w:right="0"/>
              <w:jc w:val="left"/>
              <w:rPr>
                <w:rFonts w:ascii="宋体" w:hAnsi="宋体" w:cs="宋体" w:eastAsia="宋体" w:hint="default"/>
                <w:sz w:val="18"/>
                <w:szCs w:val="18"/>
              </w:rPr>
            </w:pPr>
            <w:r>
              <w:rPr>
                <w:rFonts w:ascii="宋体" w:hAnsi="宋体" w:cs="宋体" w:eastAsia="宋体" w:hint="default"/>
                <w:sz w:val="18"/>
                <w:szCs w:val="18"/>
              </w:rPr>
              <w:t>）</w:t>
            </w:r>
          </w:p>
        </w:tc>
        <w:tc>
          <w:tcPr>
            <w:tcW w:w="23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-1,522,306,687.38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93,254,549.15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9,315,658.06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150,809.22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1,950,827.09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585,942.87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四、利润总额（亏损总额以“－”号 填列）</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737" w:right="0"/>
              <w:jc w:val="left"/>
              <w:rPr>
                <w:rFonts w:ascii="宋体" w:hAnsi="宋体" w:cs="宋体" w:eastAsia="宋体" w:hint="default"/>
                <w:sz w:val="18"/>
                <w:szCs w:val="18"/>
              </w:rPr>
            </w:pPr>
            <w:r>
              <w:rPr>
                <w:rFonts w:ascii="宋体"/>
                <w:sz w:val="18"/>
              </w:rPr>
              <w:t>-1,514,941,856.41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92,819,415.50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07" w:right="0"/>
              <w:jc w:val="left"/>
              <w:rPr>
                <w:rFonts w:ascii="宋体" w:hAnsi="宋体" w:cs="宋体" w:eastAsia="宋体" w:hint="default"/>
                <w:sz w:val="18"/>
                <w:szCs w:val="18"/>
              </w:rPr>
            </w:pPr>
            <w:r>
              <w:rPr>
                <w:rFonts w:ascii="宋体"/>
                <w:sz w:val="18"/>
              </w:rPr>
              <w:t>-10,011,943.56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11,727,110.71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4"/>
                <w:sz w:val="18"/>
                <w:szCs w:val="18"/>
              </w:rPr>
              <w:t>五、净利润（净亏损以“－”号填列</w:t>
            </w:r>
          </w:p>
        </w:tc>
        <w:tc>
          <w:tcPr>
            <w:tcW w:w="9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left="-123" w:right="0"/>
              <w:jc w:val="left"/>
              <w:rPr>
                <w:rFonts w:ascii="宋体" w:hAnsi="宋体" w:cs="宋体" w:eastAsia="宋体" w:hint="default"/>
                <w:sz w:val="18"/>
                <w:szCs w:val="18"/>
              </w:rPr>
            </w:pPr>
            <w:r>
              <w:rPr>
                <w:rFonts w:ascii="宋体" w:hAnsi="宋体" w:cs="宋体" w:eastAsia="宋体" w:hint="default"/>
                <w:sz w:val="18"/>
                <w:szCs w:val="18"/>
              </w:rPr>
              <w:t>）</w:t>
            </w:r>
          </w:p>
        </w:tc>
        <w:tc>
          <w:tcPr>
            <w:tcW w:w="23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-1,504,929,912.85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81,092,304.79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以“－”号填列）</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737" w:right="0"/>
              <w:jc w:val="left"/>
              <w:rPr>
                <w:rFonts w:ascii="宋体" w:hAnsi="宋体" w:cs="宋体" w:eastAsia="宋体" w:hint="default"/>
                <w:sz w:val="18"/>
                <w:szCs w:val="18"/>
              </w:rPr>
            </w:pPr>
            <w:r>
              <w:rPr>
                <w:rFonts w:ascii="宋体"/>
                <w:sz w:val="18"/>
              </w:rPr>
              <w:t>-1,504,929,912.85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81,092,304.79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以“－”号填列）</w:t>
            </w:r>
          </w:p>
        </w:tc>
        <w:tc>
          <w:tcPr>
            <w:tcW w:w="3301"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37" w:right="0"/>
              <w:jc w:val="left"/>
              <w:rPr>
                <w:rFonts w:ascii="宋体" w:hAnsi="宋体" w:cs="宋体" w:eastAsia="宋体" w:hint="default"/>
                <w:sz w:val="18"/>
                <w:szCs w:val="18"/>
              </w:rPr>
            </w:pPr>
            <w:r>
              <w:rPr>
                <w:rFonts w:ascii="宋体"/>
                <w:sz w:val="18"/>
              </w:rPr>
              <w:t>-1,508,461,329.35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77,527,103.03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3,531,416.50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3,565,201.76</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-23,941,730.57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3,571,086.39</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-23,941,730.57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3,571,086.39</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重新计量设定受益计划</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90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权益法下不能转损益的 其他综合收益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-23,941,730.57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3,571,086.39</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权益法下可转损益的其</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90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可供出售金融资产公允 价值变动损益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-24,051,739.14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3,868,196.13</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90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持有至到期投资重分类 为可供出售金融资产损益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现金流量套期损益的有</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外币财务报表折算差额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110,008.57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-297,109.74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z w:val="18"/>
                <w:szCs w:val="18"/>
              </w:rPr>
              <w:t>其他</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-1,528,871,643.42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84,663,391.18</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 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-1,532,403,059.92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81,098,189.42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3,531,416.50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3,565,201.76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-1.9912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0.1100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-1.9912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0.1089</w:t>
            </w:r>
          </w:p>
        </w:tc>
      </w:tr>
    </w:tbl>
    <w:p>
      <w:pPr>
        <w:spacing w:line="240" w:lineRule="auto" w:before="3"/>
        <w:rPr>
          <w:rFonts w:ascii="Times New Roman" w:hAnsi="Times New Roman" w:cs="Times New Roman" w:eastAsia="Times New Roman" w:hint="default"/>
          <w:sz w:val="23"/>
          <w:szCs w:val="23"/>
        </w:rPr>
      </w:pPr>
    </w:p>
    <w:p>
      <w:pPr>
        <w:tabs>
          <w:tab w:pos="3510" w:val="left" w:leader="none"/>
          <w:tab w:pos="7741" w:val="left" w:leader="none"/>
        </w:tabs>
        <w:spacing w:before="44"/>
        <w:ind w:left="0" w:right="1229" w:firstLine="0"/>
        <w:jc w:val="right"/>
        <w:rPr>
          <w:rFonts w:ascii="宋体" w:hAnsi="宋体" w:cs="宋体" w:eastAsia="宋体" w:hint="default"/>
          <w:sz w:val="18"/>
          <w:szCs w:val="18"/>
        </w:rPr>
      </w:pPr>
      <w:r>
        <w:rPr>
          <w:rFonts w:ascii="宋体" w:hAnsi="宋体" w:cs="宋体" w:eastAsia="宋体" w:hint="default"/>
          <w:sz w:val="18"/>
          <w:szCs w:val="18"/>
        </w:rPr>
        <w:t>法定代表人：童之磊</w:t>
        <w:tab/>
        <w:t>主管会计工作负责人：贾庆丰</w:t>
        <w:tab/>
        <w:t>会计机构负责人：祝君</w:t>
      </w:r>
    </w:p>
    <w:p>
      <w:pPr>
        <w:spacing w:line="240" w:lineRule="auto" w:before="11"/>
        <w:rPr>
          <w:rFonts w:ascii="宋体" w:hAnsi="宋体" w:cs="宋体" w:eastAsia="宋体" w:hint="default"/>
          <w:sz w:val="26"/>
          <w:szCs w:val="26"/>
        </w:rPr>
      </w:pPr>
    </w:p>
    <w:p>
      <w:pPr>
        <w:spacing w:before="0"/>
        <w:ind w:left="154" w:right="1092" w:firstLine="0"/>
        <w:jc w:val="left"/>
        <w:rPr>
          <w:rFonts w:ascii="宋体" w:hAnsi="宋体" w:cs="宋体" w:eastAsia="宋体" w:hint="default"/>
          <w:sz w:val="21"/>
          <w:szCs w:val="21"/>
        </w:rPr>
      </w:pPr>
      <w:bookmarkStart w:name="4、母公司利润表" w:id="162"/>
      <w:bookmarkEnd w:id="162"/>
      <w:r>
        <w:rPr/>
      </w:r>
      <w:r>
        <w:rPr>
          <w:rFonts w:ascii="宋体" w:hAnsi="宋体" w:cs="宋体" w:eastAsia="宋体"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007" w:right="0"/>
              <w:jc w:val="left"/>
              <w:rPr>
                <w:rFonts w:ascii="宋体" w:hAnsi="宋体" w:cs="宋体" w:eastAsia="宋体" w:hint="default"/>
                <w:sz w:val="18"/>
                <w:szCs w:val="18"/>
              </w:rPr>
            </w:pPr>
            <w:r>
              <w:rPr>
                <w:rFonts w:ascii="宋体"/>
                <w:sz w:val="18"/>
              </w:rPr>
              <w:t>224,389,071.73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08" w:right="0"/>
              <w:jc w:val="left"/>
              <w:rPr>
                <w:rFonts w:ascii="宋体" w:hAnsi="宋体" w:cs="宋体" w:eastAsia="宋体" w:hint="default"/>
                <w:sz w:val="18"/>
                <w:szCs w:val="18"/>
              </w:rPr>
            </w:pPr>
            <w:r>
              <w:rPr>
                <w:rFonts w:ascii="宋体"/>
                <w:sz w:val="18"/>
              </w:rPr>
              <w:t>364,899,838.38</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r>
        <w:rPr/>
        <w:pict>
          <v:group style="position:absolute;margin-left:205.279999pt;margin-top:415.72998pt;width:163.4pt;height:20.8pt;mso-position-horizontal-relative:page;mso-position-vertical-relative:page;z-index:-1153312" coordorigin="4106,8315" coordsize="3268,416">
            <v:group style="position:absolute;left:4117;top:8326;width:2;height:393" coordorigin="4117,8326" coordsize="2,393">
              <v:shape style="position:absolute;left:4117;top:8326;width:2;height:393" coordorigin="4117,8326" coordsize="0,393" path="m4117,8326l4117,8719e" filled="false" stroked="true" strokeweight="1.140pt" strokecolor="#ffffff">
                <v:path arrowok="t"/>
              </v:shape>
            </v:group>
            <v:group style="position:absolute;left:4128;top:8326;width:3246;height:393" coordorigin="4128,8326" coordsize="3246,393">
              <v:shape style="position:absolute;left:4128;top:8326;width:3246;height:393" coordorigin="4128,8326" coordsize="3246,393" path="m4128,8719l7374,8719,7374,8326,4128,8326,4128,8719xe" filled="true" fillcolor="#ffffff" stroked="false">
                <v:path arrowok="t"/>
                <v:fill type="solid"/>
              </v:shape>
            </v:group>
            <w10:wrap type="none"/>
          </v:group>
        </w:pict>
      </w:r>
      <w:r>
        <w:rPr/>
        <w:pict>
          <v:group style="position:absolute;margin-left:205.279999pt;margin-top:531.849976pt;width:163.4pt;height:20.8pt;mso-position-horizontal-relative:page;mso-position-vertical-relative:page;z-index:-1153288" coordorigin="4106,10637" coordsize="3268,416">
            <v:group style="position:absolute;left:4117;top:10648;width:2;height:393" coordorigin="4117,10648" coordsize="2,393">
              <v:shape style="position:absolute;left:4117;top:10648;width:2;height:393" coordorigin="4117,10648" coordsize="0,393" path="m4117,10648l4117,11041e" filled="false" stroked="true" strokeweight="1.140pt" strokecolor="#ffffff">
                <v:path arrowok="t"/>
              </v:shape>
            </v:group>
            <v:group style="position:absolute;left:4128;top:10648;width:3246;height:393" coordorigin="4128,10648" coordsize="3246,393">
              <v:shape style="position:absolute;left:4128;top:10648;width:3246;height:393" coordorigin="4128,10648" coordsize="3246,393" path="m4128,11041l7374,11041,7374,10648,4128,10648,4128,11041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2967"/>
        <w:gridCol w:w="902"/>
        <w:gridCol w:w="2400"/>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07" w:right="0"/>
              <w:jc w:val="left"/>
              <w:rPr>
                <w:rFonts w:ascii="宋体" w:hAnsi="宋体" w:cs="宋体" w:eastAsia="宋体" w:hint="default"/>
                <w:sz w:val="18"/>
                <w:szCs w:val="18"/>
              </w:rPr>
            </w:pPr>
            <w:r>
              <w:rPr>
                <w:rFonts w:ascii="宋体"/>
                <w:sz w:val="18"/>
              </w:rPr>
              <w:t>181,060,596.50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183,659,329.06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1,650,074.26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2,164,060.08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97" w:right="0"/>
              <w:jc w:val="left"/>
              <w:rPr>
                <w:rFonts w:ascii="宋体" w:hAnsi="宋体" w:cs="宋体" w:eastAsia="宋体" w:hint="default"/>
                <w:sz w:val="18"/>
                <w:szCs w:val="18"/>
              </w:rPr>
            </w:pPr>
            <w:r>
              <w:rPr>
                <w:rFonts w:ascii="宋体"/>
                <w:sz w:val="18"/>
              </w:rPr>
              <w:t>87,435,197.46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48,535,336.16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97" w:right="0"/>
              <w:jc w:val="left"/>
              <w:rPr>
                <w:rFonts w:ascii="宋体" w:hAnsi="宋体" w:cs="宋体" w:eastAsia="宋体" w:hint="default"/>
                <w:sz w:val="18"/>
                <w:szCs w:val="18"/>
              </w:rPr>
            </w:pPr>
            <w:r>
              <w:rPr>
                <w:rFonts w:ascii="宋体"/>
                <w:sz w:val="18"/>
              </w:rPr>
              <w:t>77,310,160.86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100,108,728.01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97" w:right="0"/>
              <w:jc w:val="left"/>
              <w:rPr>
                <w:rFonts w:ascii="宋体" w:hAnsi="宋体" w:cs="宋体" w:eastAsia="宋体" w:hint="default"/>
                <w:sz w:val="18"/>
                <w:szCs w:val="18"/>
              </w:rPr>
            </w:pPr>
            <w:r>
              <w:rPr>
                <w:rFonts w:ascii="宋体"/>
                <w:sz w:val="18"/>
              </w:rPr>
              <w:t>10,639,129.13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12,971,224.36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97" w:right="0"/>
              <w:jc w:val="left"/>
              <w:rPr>
                <w:rFonts w:ascii="宋体" w:hAnsi="宋体" w:cs="宋体" w:eastAsia="宋体" w:hint="default"/>
                <w:sz w:val="18"/>
                <w:szCs w:val="18"/>
              </w:rPr>
            </w:pPr>
            <w:r>
              <w:rPr>
                <w:rFonts w:ascii="宋体"/>
                <w:sz w:val="18"/>
              </w:rPr>
              <w:t>-4,293,753.24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-14,247,102.56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3,320,554.38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5,255,033.34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7,679,881.53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19,549,220.15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27" w:right="0"/>
              <w:jc w:val="left"/>
              <w:rPr>
                <w:rFonts w:ascii="宋体" w:hAnsi="宋体" w:cs="宋体" w:eastAsia="宋体" w:hint="default"/>
                <w:sz w:val="18"/>
                <w:szCs w:val="18"/>
              </w:rPr>
            </w:pPr>
            <w:r>
              <w:rPr>
                <w:rFonts w:ascii="宋体"/>
                <w:sz w:val="18"/>
              </w:rPr>
              <w:t>1,658,548,589.79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2,395,868.67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87" w:right="0"/>
              <w:jc w:val="left"/>
              <w:rPr>
                <w:rFonts w:ascii="宋体" w:hAnsi="宋体" w:cs="宋体" w:eastAsia="宋体" w:hint="default"/>
                <w:sz w:val="18"/>
                <w:szCs w:val="18"/>
              </w:rPr>
            </w:pPr>
            <w:r>
              <w:rPr>
                <w:rFonts w:ascii="宋体"/>
                <w:sz w:val="18"/>
              </w:rPr>
              <w:t>8,346,570.58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5,827,443.82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投资收益（损失以“－”号</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-421,929.58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29,561,897.03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97" w:right="0"/>
              <w:jc w:val="left"/>
              <w:rPr>
                <w:rFonts w:ascii="宋体" w:hAnsi="宋体" w:cs="宋体" w:eastAsia="宋体" w:hint="default"/>
                <w:sz w:val="18"/>
                <w:szCs w:val="18"/>
              </w:rPr>
            </w:pPr>
            <w:r>
              <w:rPr>
                <w:rFonts w:ascii="宋体"/>
                <w:sz w:val="18"/>
              </w:rPr>
              <w:t>-1,903,586.05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29,561,897.03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公允价值变动收益（损失以 “－”号填列）</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07" w:right="0"/>
              <w:jc w:val="left"/>
              <w:rPr>
                <w:rFonts w:ascii="宋体" w:hAnsi="宋体" w:cs="宋体" w:eastAsia="宋体" w:hint="default"/>
                <w:sz w:val="18"/>
                <w:szCs w:val="18"/>
              </w:rPr>
            </w:pPr>
            <w:r>
              <w:rPr>
                <w:rFonts w:ascii="宋体"/>
                <w:sz w:val="18"/>
              </w:rPr>
              <w:t>260,502,000.00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743" w:right="-43"/>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宋体" w:hAnsi="宋体" w:cs="宋体" w:eastAsia="宋体" w:hint="default"/>
                <w:sz w:val="18"/>
                <w:szCs w:val="18"/>
              </w:rPr>
              <w:t>-</w:t>
            </w:r>
            <w:r>
              <w:rPr>
                <w:rFonts w:ascii="宋体" w:hAnsi="宋体" w:cs="宋体" w:eastAsia="宋体" w:hint="default"/>
                <w:sz w:val="18"/>
                <w:szCs w:val="18"/>
              </w:rPr>
              <w:t>”</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2" w:type="dxa"/>
            <w:gridSpan w:val="2"/>
            <w:tcBorders>
              <w:top w:val="single" w:sz="4" w:space="0" w:color="000000"/>
              <w:left w:val="single" w:sz="9" w:space="0" w:color="FFFFFF"/>
              <w:bottom w:val="single" w:sz="4" w:space="0" w:color="000000"/>
              <w:right w:val="single" w:sz="4" w:space="0" w:color="000000"/>
            </w:tcBorders>
          </w:tcPr>
          <w:p>
            <w:pPr>
              <w:pStyle w:val="TableParagraph"/>
              <w:spacing w:line="156" w:lineRule="exact"/>
              <w:ind w:left="-7" w:right="-49"/>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2"/>
                <w:sz w:val="15"/>
                <w:szCs w:val="15"/>
              </w:rPr>
              <w:pict>
                <v:group style="width:164.55pt;height:7.8pt;mso-position-horizontal-relative:char;mso-position-vertical-relative:line" coordorigin="0,0" coordsize="3291,156">
                  <v:group style="position:absolute;left:0;top:0;width:3291;height:156" coordorigin="0,0" coordsize="3291,156">
                    <v:shape style="position:absolute;left:0;top:0;width:3291;height:156" coordorigin="0,0" coordsize="3291,156" path="m0,156l3291,156,3291,0,0,0,0,156xe" filled="true" fillcolor="#ffffff" stroked="false">
                      <v:path arrowok="t"/>
                      <v:fill type="solid"/>
                    </v:shape>
                  </v:group>
                </v:group>
              </w:pict>
            </w:r>
            <w:r>
              <w:rPr>
                <w:rFonts w:ascii="Times New Roman" w:hAnsi="Times New Roman" w:cs="Times New Roman" w:eastAsia="Times New Roman" w:hint="default"/>
                <w:position w:val="-2"/>
                <w:sz w:val="15"/>
                <w:szCs w:val="15"/>
              </w:rPr>
            </w:r>
          </w:p>
          <w:p>
            <w:pPr>
              <w:pStyle w:val="TableParagraph"/>
              <w:spacing w:line="240" w:lineRule="auto" w:before="51"/>
              <w:ind w:right="23"/>
              <w:jc w:val="right"/>
              <w:rPr>
                <w:rFonts w:ascii="宋体" w:hAnsi="宋体" w:cs="宋体" w:eastAsia="宋体" w:hint="default"/>
                <w:sz w:val="18"/>
                <w:szCs w:val="18"/>
              </w:rPr>
            </w:pPr>
            <w:r>
              <w:rPr>
                <w:rFonts w:ascii="宋体"/>
                <w:sz w:val="18"/>
              </w:rPr>
              <w:t>-108.37</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4"/>
                <w:sz w:val="18"/>
                <w:szCs w:val="18"/>
              </w:rPr>
              <w:t>二、营业利润（亏损以“－”号填列</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tabs>
                <w:tab w:pos="1737" w:val="left" w:leader="none"/>
              </w:tabs>
              <w:spacing w:line="240" w:lineRule="auto" w:before="51"/>
              <w:ind w:left="-125" w:right="0"/>
              <w:jc w:val="left"/>
              <w:rPr>
                <w:rFonts w:ascii="宋体" w:hAnsi="宋体" w:cs="宋体" w:eastAsia="宋体" w:hint="default"/>
                <w:sz w:val="18"/>
                <w:szCs w:val="18"/>
              </w:rPr>
            </w:pPr>
            <w:r>
              <w:rPr>
                <w:rFonts w:ascii="宋体" w:hAnsi="宋体" w:cs="宋体" w:eastAsia="宋体" w:hint="default"/>
                <w:sz w:val="18"/>
                <w:szCs w:val="18"/>
              </w:rPr>
              <w:t>）</w:t>
              <w:tab/>
            </w:r>
            <w:r>
              <w:rPr>
                <w:rFonts w:ascii="宋体" w:hAnsi="宋体" w:cs="宋体" w:eastAsia="宋体" w:hint="default"/>
                <w:sz w:val="18"/>
                <w:szCs w:val="18"/>
              </w:rPr>
              <w:t>-1,519,534,390.40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64,701,735.45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239,380.05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441,984.56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三、利润总额（亏损总额以“－”号 填列）</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737" w:right="0"/>
              <w:jc w:val="left"/>
              <w:rPr>
                <w:rFonts w:ascii="宋体" w:hAnsi="宋体" w:cs="宋体" w:eastAsia="宋体" w:hint="default"/>
                <w:sz w:val="18"/>
                <w:szCs w:val="18"/>
              </w:rPr>
            </w:pPr>
            <w:r>
              <w:rPr>
                <w:rFonts w:ascii="宋体"/>
                <w:sz w:val="18"/>
              </w:rPr>
              <w:t>-1,519,773,770.45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64,389,750.89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5,836,530.11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4"/>
                <w:sz w:val="18"/>
                <w:szCs w:val="18"/>
              </w:rPr>
              <w:t>四、净利润（净亏损以“－”号填列</w:t>
            </w:r>
          </w:p>
        </w:tc>
        <w:tc>
          <w:tcPr>
            <w:tcW w:w="9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2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840" w:right="0"/>
              <w:jc w:val="left"/>
              <w:rPr>
                <w:rFonts w:ascii="宋体" w:hAnsi="宋体" w:cs="宋体" w:eastAsia="宋体" w:hint="default"/>
                <w:sz w:val="18"/>
                <w:szCs w:val="18"/>
              </w:rPr>
            </w:pPr>
            <w:r>
              <w:rPr>
                <w:rFonts w:ascii="宋体"/>
                <w:sz w:val="18"/>
              </w:rPr>
              <w:t>-1,519,773,770.45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58,553,220.78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以“－”号填列）</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737" w:right="0"/>
              <w:jc w:val="left"/>
              <w:rPr>
                <w:rFonts w:ascii="宋体" w:hAnsi="宋体" w:cs="宋体" w:eastAsia="宋体" w:hint="default"/>
                <w:sz w:val="18"/>
                <w:szCs w:val="18"/>
              </w:rPr>
            </w:pPr>
            <w:r>
              <w:rPr>
                <w:rFonts w:ascii="宋体"/>
                <w:sz w:val="18"/>
              </w:rPr>
              <w:t>-1,519,773,770.45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58,553,220.78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以“－”号填列）</w:t>
            </w:r>
          </w:p>
        </w:tc>
        <w:tc>
          <w:tcPr>
            <w:tcW w:w="3302"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07" w:right="0"/>
              <w:jc w:val="left"/>
              <w:rPr>
                <w:rFonts w:ascii="宋体" w:hAnsi="宋体" w:cs="宋体" w:eastAsia="宋体" w:hint="default"/>
                <w:sz w:val="18"/>
                <w:szCs w:val="18"/>
              </w:rPr>
            </w:pPr>
            <w:r>
              <w:rPr>
                <w:rFonts w:ascii="宋体"/>
                <w:sz w:val="18"/>
              </w:rPr>
              <w:t>-24,051,739.14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3,868,196.13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3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重新计量设定受益计划</w:t>
            </w:r>
          </w:p>
          <w:p>
            <w:pPr>
              <w:pStyle w:val="TableParagraph"/>
              <w:spacing w:line="240" w:lineRule="auto" w:before="78"/>
              <w:ind w:left="22"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02"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firstLine="90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权益法下不能转损益的 其他综合收益</w:t>
            </w:r>
          </w:p>
        </w:tc>
        <w:tc>
          <w:tcPr>
            <w:tcW w:w="3302" w:type="dxa"/>
            <w:gridSpan w:val="2"/>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-24,051,739.14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3,868,196.13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权益法下可转损益的其</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90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可供出售金融资产公允 价值变动损益</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-24,051,739.14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3,868,196.13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90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持有至到期投资重分类 为可供出售金融资产损益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现金流量套期损益的有</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外币财务报表折算差额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6.</w:t>
            </w:r>
            <w:r>
              <w:rPr>
                <w:rFonts w:ascii="宋体" w:hAnsi="宋体" w:cs="宋体" w:eastAsia="宋体" w:hint="default"/>
                <w:sz w:val="18"/>
                <w:szCs w:val="18"/>
              </w:rPr>
              <w:t>其他</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-1,543,825,509.59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62,421,416.91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spacing w:before="35"/>
        <w:ind w:left="154" w:right="1092" w:firstLine="0"/>
        <w:jc w:val="left"/>
        <w:rPr>
          <w:rFonts w:ascii="宋体" w:hAnsi="宋体" w:cs="宋体" w:eastAsia="宋体" w:hint="default"/>
          <w:sz w:val="21"/>
          <w:szCs w:val="21"/>
        </w:rPr>
      </w:pPr>
      <w:bookmarkStart w:name="5、合并现金流量表" w:id="163"/>
      <w:bookmarkEnd w:id="163"/>
      <w:r>
        <w:rPr/>
      </w:r>
      <w:r>
        <w:rPr>
          <w:rFonts w:ascii="宋体" w:hAnsi="宋体" w:cs="宋体" w:eastAsia="宋体" w:hint="default"/>
          <w:b/>
          <w:bCs/>
          <w:sz w:val="21"/>
          <w:szCs w:val="21"/>
        </w:rPr>
        <w:t>5</w:t>
      </w:r>
      <w:r>
        <w:rPr>
          <w:rFonts w:ascii="宋体" w:hAnsi="宋体" w:cs="宋体" w:eastAsia="宋体" w:hint="default"/>
          <w:b/>
          <w:bCs/>
          <w:sz w:val="21"/>
          <w:szCs w:val="21"/>
        </w:rPr>
        <w:t>、合并现金流量表</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1,076,704,073.68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800,629,675.66</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10,391,284.91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15,388.50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38,892,296.60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67,226,508.99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1,125,987,655.19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867,871,573.15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610,281,897.13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227,060,019.47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243,123,158.05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207,769,475.12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56,390,361.51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58,007,565.96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305,581,606.85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135,782,248.40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1,215,377,023.54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628,619,308.95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-89,389,368.35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239,252,264.20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245,378,634.98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14,500.00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12,014,719.94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903,867.00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10,707,453.11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80,000.00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76,204,688.00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344,305,496.03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998,367.00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192,997,447.51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608,710,481.42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357,231,559.97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281,252,184.58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48,226,674.27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9,001,100.00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598,455,681.75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898,963,766.00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-254,150,185.72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-897,965,399.00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42,811,726.00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-10,615,646.19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40"/>
              <w:jc w:val="right"/>
              <w:rPr>
                <w:rFonts w:ascii="宋体" w:hAnsi="宋体" w:cs="宋体" w:eastAsia="宋体" w:hint="default"/>
                <w:sz w:val="18"/>
                <w:szCs w:val="18"/>
              </w:rPr>
            </w:pPr>
            <w:r>
              <w:rPr>
                <w:rFonts w:ascii="宋体" w:hAnsi="宋体" w:cs="宋体" w:eastAsia="宋体" w:hint="default"/>
                <w:sz w:val="18"/>
                <w:szCs w:val="18"/>
              </w:rPr>
              <w:t>其中：子公司吸收少数股东投资</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36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330,000,000.00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510,000,000.00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33,340,000.00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406,151,726.00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499,384,353.81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480,000,000.00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14,607,228.01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18,609,900.24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2,145,000.00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32,248,215.64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33,353,563.96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306,855,443.65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531,963,464.20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99,296,282.35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-32,579,110.39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805,954.51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-290,365.86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-243,437,317.21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-691,582,611.05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723,086,858.06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1,414,669,469.11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479,649,540.85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723,086,858.06</w:t>
            </w:r>
          </w:p>
        </w:tc>
      </w:tr>
    </w:tbl>
    <w:p>
      <w:pPr>
        <w:spacing w:line="240" w:lineRule="auto" w:before="10"/>
        <w:rPr>
          <w:rFonts w:ascii="Times New Roman" w:hAnsi="Times New Roman" w:cs="Times New Roman" w:eastAsia="Times New Roman" w:hint="default"/>
          <w:sz w:val="21"/>
          <w:szCs w:val="21"/>
        </w:rPr>
      </w:pPr>
    </w:p>
    <w:p>
      <w:pPr>
        <w:spacing w:before="35"/>
        <w:ind w:left="154" w:right="1092" w:firstLine="0"/>
        <w:jc w:val="left"/>
        <w:rPr>
          <w:rFonts w:ascii="宋体" w:hAnsi="宋体" w:cs="宋体" w:eastAsia="宋体" w:hint="default"/>
          <w:sz w:val="21"/>
          <w:szCs w:val="21"/>
        </w:rPr>
      </w:pPr>
      <w:bookmarkStart w:name="6、母公司现金流量表" w:id="164"/>
      <w:bookmarkEnd w:id="164"/>
      <w:r>
        <w:rPr/>
      </w:r>
      <w:r>
        <w:rPr>
          <w:rFonts w:ascii="宋体" w:hAnsi="宋体" w:cs="宋体" w:eastAsia="宋体" w:hint="default"/>
          <w:b/>
          <w:bCs/>
          <w:sz w:val="21"/>
          <w:szCs w:val="21"/>
        </w:rPr>
        <w:t>6</w:t>
      </w:r>
      <w:r>
        <w:rPr>
          <w:rFonts w:ascii="宋体" w:hAnsi="宋体" w:cs="宋体" w:eastAsia="宋体" w:hint="default"/>
          <w:b/>
          <w:bCs/>
          <w:sz w:val="21"/>
          <w:szCs w:val="21"/>
        </w:rPr>
        <w:t>、母公司现金流量表</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3"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215,313,816.26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416,740,616.02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23,470,348.24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30,302,584.66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238,784,164.50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447,043,200.68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126,300,939.39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130,134,266.44</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93,642,951.71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85,007,162.19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7,049,756.73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16,356,665.82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87,235,492.15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61,757,505.17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314,229,139.98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293,255,599.62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-75,444,975.48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153,787,601.06</w:t>
            </w:r>
          </w:p>
        </w:tc>
      </w:tr>
      <w:tr>
        <w:trPr>
          <w:trHeight w:val="403"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155,500,000.00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14,500.00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1,656.47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903,867.00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83,168,862.02</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1,509,627,776.93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798,352,007.53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1,748,298,295.42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799,270,374.53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63,976,047.91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249,972,071.11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110,404,600.00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113,221,035.93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437,425,043.29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144,757,298.00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1,095,228,443.27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1,054,908,786.18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1,707,034,134.47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1,562,859,191.22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41,264,160.95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-763,588,816.69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-10,615,646.19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330,000,000.00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510,000,000.00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33,340,000.00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18,020,000.00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363,340,000.00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517,404,353.81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480,000,000.00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14,178,228.01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16,464,900.24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32,075,685.64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33,353,563.96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306,253,913.65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529,818,464.20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57,086,086.35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-12,414,110.39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22,905,271.82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-622,215,326.02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256,117,399.57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878,332,725.59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279,022,671.39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256,117,399.57</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4"/>
        <w:rPr>
          <w:rFonts w:ascii="Times New Roman" w:hAnsi="Times New Roman" w:cs="Times New Roman" w:eastAsia="Times New Roman" w:hint="default"/>
          <w:sz w:val="3"/>
          <w:szCs w:val="3"/>
        </w:rPr>
      </w:pPr>
      <w:r>
        <w:rPr/>
        <w:pict>
          <v:group style="position:absolute;margin-left:147.800003pt;margin-top:444.420013pt;width:63pt;height:19.650pt;mso-position-horizontal-relative:page;mso-position-vertical-relative:page;z-index:-1153240" coordorigin="2956,8888" coordsize="1260,393">
            <v:shape style="position:absolute;left:2956;top:8888;width:1260;height:393" coordorigin="2956,8888" coordsize="1260,393" path="m2956,9281l4216,9281,4216,8888,2956,8888,2956,9281xe" filled="true" fillcolor="#ffffff" stroked="false">
              <v:path arrowok="t"/>
              <v:fill type="solid"/>
            </v:shape>
            <w10:wrap type="none"/>
          </v:group>
        </w:pict>
      </w: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p>
      <w:pPr>
        <w:spacing w:before="0"/>
        <w:ind w:left="140" w:right="5438" w:firstLine="0"/>
        <w:jc w:val="left"/>
        <w:rPr>
          <w:rFonts w:ascii="宋体" w:hAnsi="宋体" w:cs="宋体" w:eastAsia="宋体" w:hint="default"/>
          <w:sz w:val="21"/>
          <w:szCs w:val="21"/>
        </w:rPr>
      </w:pPr>
      <w:bookmarkStart w:name="7、合并所有者权益变动表" w:id="165"/>
      <w:bookmarkEnd w:id="165"/>
      <w:r>
        <w:rPr/>
      </w:r>
      <w:r>
        <w:rPr>
          <w:rFonts w:ascii="宋体" w:hAnsi="宋体" w:cs="宋体" w:eastAsia="宋体" w:hint="default"/>
          <w:b/>
          <w:bCs/>
          <w:sz w:val="21"/>
          <w:szCs w:val="21"/>
        </w:rPr>
        <w:t>7</w:t>
      </w:r>
      <w:r>
        <w:rPr>
          <w:rFonts w:ascii="宋体" w:hAnsi="宋体" w:cs="宋体" w:eastAsia="宋体" w:hint="default"/>
          <w:b/>
          <w:bCs/>
          <w:sz w:val="21"/>
          <w:szCs w:val="21"/>
        </w:rPr>
        <w:t>、合并所有者权益变动表</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140" w:right="5438"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6"/>
        <w:ind w:left="0" w:right="1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1492"/>
        <w:gridCol w:w="102"/>
        <w:gridCol w:w="1226"/>
        <w:gridCol w:w="236"/>
        <w:gridCol w:w="235"/>
        <w:gridCol w:w="238"/>
        <w:gridCol w:w="1495"/>
        <w:gridCol w:w="1316"/>
        <w:gridCol w:w="1317"/>
        <w:gridCol w:w="244"/>
        <w:gridCol w:w="1226"/>
        <w:gridCol w:w="386"/>
        <w:gridCol w:w="1586"/>
        <w:gridCol w:w="1316"/>
        <w:gridCol w:w="1587"/>
      </w:tblGrid>
      <w:tr>
        <w:trPr>
          <w:trHeight w:val="402" w:hRule="exact"/>
        </w:trPr>
        <w:tc>
          <w:tcPr>
            <w:tcW w:w="1492" w:type="dxa"/>
            <w:vMerge w:val="restart"/>
            <w:tcBorders>
              <w:top w:val="single" w:sz="4" w:space="0" w:color="000000"/>
              <w:left w:val="single" w:sz="4" w:space="0" w:color="000000"/>
              <w:right w:val="single" w:sz="4" w:space="0" w:color="000000"/>
            </w:tcBorders>
            <w:shd w:val="clear" w:color="auto" w:fill="D2D2D2"/>
          </w:tcPr>
          <w:p>
            <w:pPr/>
          </w:p>
        </w:tc>
        <w:tc>
          <w:tcPr>
            <w:tcW w:w="12511"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397" w:hRule="exact"/>
        </w:trPr>
        <w:tc>
          <w:tcPr>
            <w:tcW w:w="1492" w:type="dxa"/>
            <w:vMerge/>
            <w:tcBorders>
              <w:left w:val="single" w:sz="4" w:space="0" w:color="000000"/>
              <w:right w:val="single" w:sz="4" w:space="0" w:color="000000"/>
            </w:tcBorders>
            <w:shd w:val="clear" w:color="auto" w:fill="D2D2D2"/>
          </w:tcPr>
          <w:p>
            <w:pPr/>
          </w:p>
        </w:tc>
        <w:tc>
          <w:tcPr>
            <w:tcW w:w="9608"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316" w:type="dxa"/>
            <w:vMerge w:val="restart"/>
            <w:tcBorders>
              <w:top w:val="single" w:sz="4" w:space="0" w:color="000000"/>
              <w:left w:val="single" w:sz="4" w:space="0" w:color="000000"/>
              <w:right w:val="single" w:sz="4" w:space="0" w:color="000000"/>
            </w:tcBorders>
            <w:shd w:val="clear" w:color="auto" w:fill="D2D2D2"/>
          </w:tcPr>
          <w:p>
            <w:pPr/>
          </w:p>
        </w:tc>
        <w:tc>
          <w:tcPr>
            <w:tcW w:w="1587" w:type="dxa"/>
            <w:vMerge w:val="restart"/>
            <w:tcBorders>
              <w:top w:val="single" w:sz="4" w:space="0" w:color="000000"/>
              <w:left w:val="single" w:sz="4" w:space="0" w:color="000000"/>
              <w:right w:val="single" w:sz="4" w:space="0" w:color="000000"/>
            </w:tcBorders>
            <w:shd w:val="clear" w:color="auto" w:fill="D2D2D2"/>
          </w:tcPr>
          <w:p>
            <w:pPr/>
          </w:p>
        </w:tc>
      </w:tr>
      <w:tr>
        <w:trPr>
          <w:trHeight w:val="355" w:hRule="exact"/>
        </w:trPr>
        <w:tc>
          <w:tcPr>
            <w:tcW w:w="1492" w:type="dxa"/>
            <w:vMerge/>
            <w:tcBorders>
              <w:left w:val="single" w:sz="4" w:space="0" w:color="000000"/>
              <w:bottom w:val="nil" w:sz="6" w:space="0" w:color="auto"/>
              <w:right w:val="single" w:sz="4" w:space="0" w:color="000000"/>
            </w:tcBorders>
            <w:shd w:val="clear" w:color="auto" w:fill="D2D2D2"/>
          </w:tcPr>
          <w:p>
            <w:pPr/>
          </w:p>
        </w:tc>
        <w:tc>
          <w:tcPr>
            <w:tcW w:w="1328" w:type="dxa"/>
            <w:gridSpan w:val="2"/>
            <w:vMerge w:val="restart"/>
            <w:tcBorders>
              <w:top w:val="single" w:sz="4" w:space="0" w:color="000000"/>
              <w:left w:val="single" w:sz="4" w:space="0" w:color="000000"/>
              <w:right w:val="single" w:sz="4" w:space="0" w:color="000000"/>
            </w:tcBorders>
            <w:shd w:val="clear" w:color="auto" w:fill="D2D2D2"/>
          </w:tcPr>
          <w:p>
            <w:pPr/>
          </w:p>
        </w:tc>
        <w:tc>
          <w:tcPr>
            <w:tcW w:w="70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79" w:right="78"/>
              <w:jc w:val="left"/>
              <w:rPr>
                <w:rFonts w:ascii="宋体" w:hAnsi="宋体" w:cs="宋体" w:eastAsia="宋体" w:hint="default"/>
                <w:sz w:val="18"/>
                <w:szCs w:val="18"/>
              </w:rPr>
            </w:pPr>
            <w:r>
              <w:rPr>
                <w:rFonts w:ascii="宋体" w:hAnsi="宋体" w:cs="宋体" w:eastAsia="宋体" w:hint="default"/>
                <w:sz w:val="18"/>
                <w:szCs w:val="18"/>
              </w:rPr>
              <w:t>其他权 益工具</w:t>
            </w:r>
          </w:p>
        </w:tc>
        <w:tc>
          <w:tcPr>
            <w:tcW w:w="1495" w:type="dxa"/>
            <w:vMerge w:val="restart"/>
            <w:tcBorders>
              <w:top w:val="single" w:sz="4" w:space="0" w:color="000000"/>
              <w:left w:val="single" w:sz="4" w:space="0" w:color="000000"/>
              <w:right w:val="single" w:sz="4" w:space="0" w:color="000000"/>
            </w:tcBorders>
            <w:shd w:val="clear" w:color="auto" w:fill="D2D2D2"/>
          </w:tcPr>
          <w:p>
            <w:pPr/>
          </w:p>
        </w:tc>
        <w:tc>
          <w:tcPr>
            <w:tcW w:w="1316" w:type="dxa"/>
            <w:vMerge w:val="restart"/>
            <w:tcBorders>
              <w:top w:val="single" w:sz="4" w:space="0" w:color="000000"/>
              <w:left w:val="single" w:sz="4" w:space="0" w:color="000000"/>
              <w:right w:val="single" w:sz="4" w:space="0" w:color="000000"/>
            </w:tcBorders>
            <w:shd w:val="clear" w:color="auto" w:fill="D2D2D2"/>
          </w:tcPr>
          <w:p>
            <w:pPr/>
          </w:p>
        </w:tc>
        <w:tc>
          <w:tcPr>
            <w:tcW w:w="1317" w:type="dxa"/>
            <w:vMerge w:val="restart"/>
            <w:tcBorders>
              <w:top w:val="single" w:sz="4" w:space="0" w:color="000000"/>
              <w:left w:val="single" w:sz="4" w:space="0" w:color="000000"/>
              <w:right w:val="single" w:sz="4" w:space="0" w:color="000000"/>
            </w:tcBorders>
            <w:shd w:val="clear" w:color="auto" w:fill="D2D2D2"/>
          </w:tcPr>
          <w:p>
            <w:pPr/>
          </w:p>
        </w:tc>
        <w:tc>
          <w:tcPr>
            <w:tcW w:w="24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26" w:type="dxa"/>
            <w:vMerge w:val="restart"/>
            <w:tcBorders>
              <w:top w:val="single" w:sz="4" w:space="0" w:color="000000"/>
              <w:left w:val="single" w:sz="4" w:space="0" w:color="000000"/>
              <w:right w:val="single" w:sz="4" w:space="0" w:color="000000"/>
            </w:tcBorders>
            <w:shd w:val="clear" w:color="auto" w:fill="D2D2D2"/>
          </w:tcPr>
          <w:p>
            <w:pPr/>
          </w:p>
        </w:tc>
        <w:tc>
          <w:tcPr>
            <w:tcW w:w="38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98" w:right="96"/>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586" w:type="dxa"/>
            <w:vMerge w:val="restart"/>
            <w:tcBorders>
              <w:top w:val="single" w:sz="4" w:space="0" w:color="000000"/>
              <w:left w:val="single" w:sz="4" w:space="0" w:color="000000"/>
              <w:right w:val="single" w:sz="4" w:space="0" w:color="000000"/>
            </w:tcBorders>
            <w:shd w:val="clear" w:color="auto" w:fill="D2D2D2"/>
          </w:tcPr>
          <w:p>
            <w:pPr/>
          </w:p>
        </w:tc>
        <w:tc>
          <w:tcPr>
            <w:tcW w:w="1316" w:type="dxa"/>
            <w:vMerge/>
            <w:tcBorders>
              <w:left w:val="single" w:sz="4" w:space="0" w:color="000000"/>
              <w:right w:val="single" w:sz="4" w:space="0" w:color="000000"/>
            </w:tcBorders>
            <w:shd w:val="clear" w:color="auto" w:fill="D2D2D2"/>
          </w:tcPr>
          <w:p>
            <w:pPr/>
          </w:p>
        </w:tc>
        <w:tc>
          <w:tcPr>
            <w:tcW w:w="1587" w:type="dxa"/>
            <w:vMerge/>
            <w:tcBorders>
              <w:left w:val="single" w:sz="4" w:space="0" w:color="000000"/>
              <w:right w:val="single" w:sz="4" w:space="0" w:color="000000"/>
            </w:tcBorders>
            <w:shd w:val="clear" w:color="auto" w:fill="D2D2D2"/>
          </w:tcPr>
          <w:p>
            <w:pPr/>
          </w:p>
        </w:tc>
      </w:tr>
      <w:tr>
        <w:trPr>
          <w:trHeight w:val="235" w:hRule="exact"/>
        </w:trPr>
        <w:tc>
          <w:tcPr>
            <w:tcW w:w="14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28" w:type="dxa"/>
            <w:gridSpan w:val="2"/>
            <w:vMerge/>
            <w:tcBorders>
              <w:left w:val="single" w:sz="4" w:space="0" w:color="000000"/>
              <w:right w:val="single" w:sz="4" w:space="0" w:color="000000"/>
            </w:tcBorders>
            <w:shd w:val="clear" w:color="auto" w:fill="D2D2D2"/>
          </w:tcPr>
          <w:p>
            <w:pPr/>
          </w:p>
        </w:tc>
        <w:tc>
          <w:tcPr>
            <w:tcW w:w="709" w:type="dxa"/>
            <w:gridSpan w:val="3"/>
            <w:vMerge/>
            <w:tcBorders>
              <w:left w:val="single" w:sz="4" w:space="0" w:color="000000"/>
              <w:right w:val="single" w:sz="4" w:space="0" w:color="000000"/>
            </w:tcBorders>
            <w:shd w:val="clear" w:color="auto" w:fill="D2D2D2"/>
          </w:tcPr>
          <w:p>
            <w:pPr/>
          </w:p>
        </w:tc>
        <w:tc>
          <w:tcPr>
            <w:tcW w:w="1495" w:type="dxa"/>
            <w:vMerge/>
            <w:tcBorders>
              <w:left w:val="single" w:sz="4" w:space="0" w:color="000000"/>
              <w:right w:val="single" w:sz="4" w:space="0" w:color="000000"/>
            </w:tcBorders>
            <w:shd w:val="clear" w:color="auto" w:fill="D2D2D2"/>
          </w:tcPr>
          <w:p>
            <w:pPr/>
          </w:p>
        </w:tc>
        <w:tc>
          <w:tcPr>
            <w:tcW w:w="1316" w:type="dxa"/>
            <w:vMerge/>
            <w:tcBorders>
              <w:left w:val="single" w:sz="4" w:space="0" w:color="000000"/>
              <w:right w:val="single" w:sz="4" w:space="0" w:color="000000"/>
            </w:tcBorders>
            <w:shd w:val="clear" w:color="auto" w:fill="D2D2D2"/>
          </w:tcPr>
          <w:p>
            <w:pPr/>
          </w:p>
        </w:tc>
        <w:tc>
          <w:tcPr>
            <w:tcW w:w="1317" w:type="dxa"/>
            <w:vMerge/>
            <w:tcBorders>
              <w:left w:val="single" w:sz="4" w:space="0" w:color="000000"/>
              <w:right w:val="single" w:sz="4" w:space="0" w:color="000000"/>
            </w:tcBorders>
            <w:shd w:val="clear" w:color="auto" w:fill="D2D2D2"/>
          </w:tcPr>
          <w:p>
            <w:pPr/>
          </w:p>
        </w:tc>
        <w:tc>
          <w:tcPr>
            <w:tcW w:w="24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18"/>
              <w:ind w:left="26" w:right="25"/>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226" w:type="dxa"/>
            <w:vMerge/>
            <w:tcBorders>
              <w:left w:val="single" w:sz="4" w:space="0" w:color="000000"/>
              <w:right w:val="single" w:sz="4" w:space="0" w:color="000000"/>
            </w:tcBorders>
            <w:shd w:val="clear" w:color="auto" w:fill="D2D2D2"/>
          </w:tcPr>
          <w:p>
            <w:pPr/>
          </w:p>
        </w:tc>
        <w:tc>
          <w:tcPr>
            <w:tcW w:w="386" w:type="dxa"/>
            <w:vMerge/>
            <w:tcBorders>
              <w:left w:val="single" w:sz="4" w:space="0" w:color="000000"/>
              <w:right w:val="single" w:sz="4" w:space="0" w:color="000000"/>
            </w:tcBorders>
            <w:shd w:val="clear" w:color="auto" w:fill="D2D2D2"/>
          </w:tcPr>
          <w:p>
            <w:pPr/>
          </w:p>
        </w:tc>
        <w:tc>
          <w:tcPr>
            <w:tcW w:w="1586" w:type="dxa"/>
            <w:vMerge/>
            <w:tcBorders>
              <w:left w:val="single" w:sz="4" w:space="0" w:color="000000"/>
              <w:right w:val="single" w:sz="4" w:space="0" w:color="000000"/>
            </w:tcBorders>
            <w:shd w:val="clear" w:color="auto" w:fill="D2D2D2"/>
          </w:tcPr>
          <w:p>
            <w:pPr/>
          </w:p>
        </w:tc>
        <w:tc>
          <w:tcPr>
            <w:tcW w:w="1316" w:type="dxa"/>
            <w:vMerge/>
            <w:tcBorders>
              <w:left w:val="single" w:sz="4" w:space="0" w:color="000000"/>
              <w:bottom w:val="nil" w:sz="6" w:space="0" w:color="auto"/>
              <w:right w:val="single" w:sz="4" w:space="0" w:color="000000"/>
            </w:tcBorders>
            <w:shd w:val="clear" w:color="auto" w:fill="D2D2D2"/>
          </w:tcPr>
          <w:p>
            <w:pPr/>
          </w:p>
        </w:tc>
        <w:tc>
          <w:tcPr>
            <w:tcW w:w="1587" w:type="dxa"/>
            <w:vMerge/>
            <w:tcBorders>
              <w:left w:val="single" w:sz="4" w:space="0" w:color="000000"/>
              <w:bottom w:val="nil" w:sz="6" w:space="0" w:color="auto"/>
              <w:right w:val="single" w:sz="4" w:space="0" w:color="000000"/>
            </w:tcBorders>
            <w:shd w:val="clear" w:color="auto" w:fill="D2D2D2"/>
          </w:tcPr>
          <w:p>
            <w:pPr/>
          </w:p>
        </w:tc>
      </w:tr>
      <w:tr>
        <w:trPr>
          <w:trHeight w:val="198" w:hRule="exact"/>
        </w:trPr>
        <w:tc>
          <w:tcPr>
            <w:tcW w:w="1492" w:type="dxa"/>
            <w:vMerge/>
            <w:tcBorders>
              <w:left w:val="single" w:sz="4" w:space="0" w:color="000000"/>
              <w:bottom w:val="nil" w:sz="6" w:space="0" w:color="auto"/>
              <w:right w:val="single" w:sz="4" w:space="0" w:color="000000"/>
            </w:tcBorders>
            <w:shd w:val="clear" w:color="auto" w:fill="D2D2D2"/>
          </w:tcPr>
          <w:p>
            <w:pPr/>
          </w:p>
        </w:tc>
        <w:tc>
          <w:tcPr>
            <w:tcW w:w="1328" w:type="dxa"/>
            <w:gridSpan w:val="2"/>
            <w:vMerge/>
            <w:tcBorders>
              <w:left w:val="single" w:sz="4" w:space="0" w:color="000000"/>
              <w:bottom w:val="nil" w:sz="6" w:space="0" w:color="auto"/>
              <w:right w:val="single" w:sz="4" w:space="0" w:color="000000"/>
            </w:tcBorders>
            <w:shd w:val="clear" w:color="auto" w:fill="D2D2D2"/>
          </w:tcPr>
          <w:p>
            <w:pPr/>
          </w:p>
        </w:tc>
        <w:tc>
          <w:tcPr>
            <w:tcW w:w="709" w:type="dxa"/>
            <w:gridSpan w:val="3"/>
            <w:vMerge/>
            <w:tcBorders>
              <w:left w:val="single" w:sz="4" w:space="0" w:color="000000"/>
              <w:bottom w:val="single" w:sz="4" w:space="0" w:color="000000"/>
              <w:right w:val="single" w:sz="4" w:space="0" w:color="000000"/>
            </w:tcBorders>
            <w:shd w:val="clear" w:color="auto" w:fill="D2D2D2"/>
          </w:tcPr>
          <w:p>
            <w:pPr/>
          </w:p>
        </w:tc>
        <w:tc>
          <w:tcPr>
            <w:tcW w:w="1495" w:type="dxa"/>
            <w:vMerge/>
            <w:tcBorders>
              <w:left w:val="single" w:sz="4" w:space="0" w:color="000000"/>
              <w:bottom w:val="nil" w:sz="6" w:space="0" w:color="auto"/>
              <w:right w:val="single" w:sz="4" w:space="0" w:color="000000"/>
            </w:tcBorders>
            <w:shd w:val="clear" w:color="auto" w:fill="D2D2D2"/>
          </w:tcPr>
          <w:p>
            <w:pPr/>
          </w:p>
        </w:tc>
        <w:tc>
          <w:tcPr>
            <w:tcW w:w="1316" w:type="dxa"/>
            <w:vMerge/>
            <w:tcBorders>
              <w:left w:val="single" w:sz="4" w:space="0" w:color="000000"/>
              <w:bottom w:val="nil" w:sz="6" w:space="0" w:color="auto"/>
              <w:right w:val="single" w:sz="4" w:space="0" w:color="000000"/>
            </w:tcBorders>
            <w:shd w:val="clear" w:color="auto" w:fill="D2D2D2"/>
          </w:tcPr>
          <w:p>
            <w:pPr/>
          </w:p>
        </w:tc>
        <w:tc>
          <w:tcPr>
            <w:tcW w:w="1317" w:type="dxa"/>
            <w:vMerge/>
            <w:tcBorders>
              <w:left w:val="single" w:sz="4" w:space="0" w:color="000000"/>
              <w:bottom w:val="nil" w:sz="6" w:space="0" w:color="auto"/>
              <w:right w:val="single" w:sz="4" w:space="0" w:color="000000"/>
            </w:tcBorders>
            <w:shd w:val="clear" w:color="auto" w:fill="D2D2D2"/>
          </w:tcPr>
          <w:p>
            <w:pPr/>
          </w:p>
        </w:tc>
        <w:tc>
          <w:tcPr>
            <w:tcW w:w="244" w:type="dxa"/>
            <w:vMerge/>
            <w:tcBorders>
              <w:left w:val="single" w:sz="4" w:space="0" w:color="000000"/>
              <w:right w:val="single" w:sz="4" w:space="0" w:color="000000"/>
            </w:tcBorders>
            <w:shd w:val="clear" w:color="auto" w:fill="D2D2D2"/>
          </w:tcPr>
          <w:p>
            <w:pPr/>
          </w:p>
        </w:tc>
        <w:tc>
          <w:tcPr>
            <w:tcW w:w="1226" w:type="dxa"/>
            <w:vMerge/>
            <w:tcBorders>
              <w:left w:val="single" w:sz="4" w:space="0" w:color="000000"/>
              <w:bottom w:val="nil" w:sz="6" w:space="0" w:color="auto"/>
              <w:right w:val="single" w:sz="4" w:space="0" w:color="000000"/>
            </w:tcBorders>
            <w:shd w:val="clear" w:color="auto" w:fill="D2D2D2"/>
          </w:tcPr>
          <w:p>
            <w:pPr/>
          </w:p>
        </w:tc>
        <w:tc>
          <w:tcPr>
            <w:tcW w:w="386" w:type="dxa"/>
            <w:vMerge/>
            <w:tcBorders>
              <w:left w:val="single" w:sz="4" w:space="0" w:color="000000"/>
              <w:right w:val="single" w:sz="4" w:space="0" w:color="000000"/>
            </w:tcBorders>
            <w:shd w:val="clear" w:color="auto" w:fill="D2D2D2"/>
          </w:tcPr>
          <w:p>
            <w:pPr/>
          </w:p>
        </w:tc>
        <w:tc>
          <w:tcPr>
            <w:tcW w:w="1586" w:type="dxa"/>
            <w:vMerge/>
            <w:tcBorders>
              <w:left w:val="single" w:sz="4" w:space="0" w:color="000000"/>
              <w:bottom w:val="nil" w:sz="6" w:space="0" w:color="auto"/>
              <w:right w:val="single" w:sz="4" w:space="0" w:color="000000"/>
            </w:tcBorders>
            <w:shd w:val="clear" w:color="auto" w:fill="D2D2D2"/>
          </w:tcPr>
          <w:p>
            <w:pPr/>
          </w:p>
        </w:tc>
        <w:tc>
          <w:tcPr>
            <w:tcW w:w="13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1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58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58"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97" w:hRule="exact"/>
        </w:trPr>
        <w:tc>
          <w:tcPr>
            <w:tcW w:w="1492" w:type="dxa"/>
            <w:vMerge w:val="restart"/>
            <w:tcBorders>
              <w:top w:val="nil" w:sz="6" w:space="0" w:color="auto"/>
              <w:left w:val="single" w:sz="4" w:space="0" w:color="000000"/>
              <w:right w:val="single" w:sz="4" w:space="0" w:color="000000"/>
            </w:tcBorders>
            <w:shd w:val="clear" w:color="auto" w:fill="D2D2D2"/>
          </w:tcPr>
          <w:p>
            <w:pPr/>
          </w:p>
        </w:tc>
        <w:tc>
          <w:tcPr>
            <w:tcW w:w="1328"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23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4"/>
              <w:ind w:left="22" w:right="23"/>
              <w:jc w:val="both"/>
              <w:rPr>
                <w:rFonts w:ascii="宋体" w:hAnsi="宋体" w:cs="宋体" w:eastAsia="宋体" w:hint="default"/>
                <w:sz w:val="18"/>
                <w:szCs w:val="18"/>
              </w:rPr>
            </w:pPr>
            <w:r>
              <w:rPr>
                <w:rFonts w:ascii="宋体" w:hAnsi="宋体" w:cs="宋体" w:eastAsia="宋体" w:hint="default"/>
                <w:sz w:val="18"/>
                <w:szCs w:val="18"/>
              </w:rPr>
              <w:t>优 先 股</w:t>
            </w:r>
          </w:p>
        </w:tc>
        <w:tc>
          <w:tcPr>
            <w:tcW w:w="23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4"/>
              <w:ind w:left="22" w:right="20"/>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38" w:type="dxa"/>
            <w:tcBorders>
              <w:top w:val="single" w:sz="4" w:space="0" w:color="000000"/>
              <w:left w:val="single" w:sz="4" w:space="0" w:color="000000"/>
              <w:bottom w:val="nil" w:sz="6" w:space="0" w:color="auto"/>
              <w:right w:val="single" w:sz="4" w:space="0" w:color="000000"/>
            </w:tcBorders>
            <w:shd w:val="clear" w:color="auto" w:fill="D2D2D2"/>
          </w:tcPr>
          <w:p>
            <w:pPr/>
          </w:p>
        </w:tc>
        <w:tc>
          <w:tcPr>
            <w:tcW w:w="14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8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3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04"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31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1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4" w:type="dxa"/>
            <w:vMerge/>
            <w:tcBorders>
              <w:left w:val="single" w:sz="4" w:space="0" w:color="000000"/>
              <w:right w:val="single" w:sz="4" w:space="0" w:color="000000"/>
            </w:tcBorders>
            <w:shd w:val="clear" w:color="auto" w:fill="D2D2D2"/>
          </w:tcPr>
          <w:p>
            <w:pPr/>
          </w:p>
        </w:tc>
        <w:tc>
          <w:tcPr>
            <w:tcW w:w="12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4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86" w:type="dxa"/>
            <w:vMerge/>
            <w:tcBorders>
              <w:left w:val="single" w:sz="4" w:space="0" w:color="000000"/>
              <w:right w:val="single" w:sz="4" w:space="0" w:color="000000"/>
            </w:tcBorders>
            <w:shd w:val="clear" w:color="auto" w:fill="D2D2D2"/>
          </w:tcPr>
          <w:p>
            <w:pPr/>
          </w:p>
        </w:tc>
        <w:tc>
          <w:tcPr>
            <w:tcW w:w="158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38"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316" w:type="dxa"/>
            <w:vMerge/>
            <w:tcBorders>
              <w:left w:val="single" w:sz="4" w:space="0" w:color="000000"/>
              <w:bottom w:val="nil" w:sz="6" w:space="0" w:color="auto"/>
              <w:right w:val="single" w:sz="4" w:space="0" w:color="000000"/>
            </w:tcBorders>
            <w:shd w:val="clear" w:color="auto" w:fill="D2D2D2"/>
          </w:tcPr>
          <w:p>
            <w:pPr/>
          </w:p>
        </w:tc>
        <w:tc>
          <w:tcPr>
            <w:tcW w:w="1587" w:type="dxa"/>
            <w:vMerge/>
            <w:tcBorders>
              <w:left w:val="single" w:sz="4" w:space="0" w:color="000000"/>
              <w:bottom w:val="nil" w:sz="6" w:space="0" w:color="auto"/>
              <w:right w:val="single" w:sz="4" w:space="0" w:color="000000"/>
            </w:tcBorders>
            <w:shd w:val="clear" w:color="auto" w:fill="D2D2D2"/>
          </w:tcPr>
          <w:p>
            <w:pPr/>
          </w:p>
        </w:tc>
      </w:tr>
      <w:tr>
        <w:trPr>
          <w:trHeight w:val="196" w:hRule="exact"/>
        </w:trPr>
        <w:tc>
          <w:tcPr>
            <w:tcW w:w="1492" w:type="dxa"/>
            <w:vMerge/>
            <w:tcBorders>
              <w:left w:val="single" w:sz="4" w:space="0" w:color="000000"/>
              <w:right w:val="single" w:sz="4" w:space="0" w:color="000000"/>
            </w:tcBorders>
            <w:shd w:val="clear" w:color="auto" w:fill="D2D2D2"/>
          </w:tcPr>
          <w:p>
            <w:pPr/>
          </w:p>
        </w:tc>
        <w:tc>
          <w:tcPr>
            <w:tcW w:w="1328" w:type="dxa"/>
            <w:gridSpan w:val="2"/>
            <w:vMerge/>
            <w:tcBorders>
              <w:left w:val="single" w:sz="4" w:space="0" w:color="000000"/>
              <w:bottom w:val="nil" w:sz="6" w:space="0" w:color="auto"/>
              <w:right w:val="single" w:sz="4" w:space="0" w:color="000000"/>
            </w:tcBorders>
            <w:shd w:val="clear" w:color="auto" w:fill="D2D2D2"/>
          </w:tcPr>
          <w:p>
            <w:pPr/>
          </w:p>
        </w:tc>
        <w:tc>
          <w:tcPr>
            <w:tcW w:w="236" w:type="dxa"/>
            <w:vMerge/>
            <w:tcBorders>
              <w:left w:val="single" w:sz="4" w:space="0" w:color="000000"/>
              <w:right w:val="single" w:sz="4" w:space="0" w:color="000000"/>
            </w:tcBorders>
            <w:shd w:val="clear" w:color="auto" w:fill="D2D2D2"/>
          </w:tcPr>
          <w:p>
            <w:pPr/>
          </w:p>
        </w:tc>
        <w:tc>
          <w:tcPr>
            <w:tcW w:w="235" w:type="dxa"/>
            <w:vMerge/>
            <w:tcBorders>
              <w:left w:val="single" w:sz="4" w:space="0" w:color="000000"/>
              <w:right w:val="single" w:sz="4" w:space="0" w:color="000000"/>
            </w:tcBorders>
            <w:shd w:val="clear" w:color="auto" w:fill="D2D2D2"/>
          </w:tcPr>
          <w:p>
            <w:pPr/>
          </w:p>
        </w:tc>
        <w:tc>
          <w:tcPr>
            <w:tcW w:w="23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8"/>
              <w:ind w:left="22" w:right="23"/>
              <w:jc w:val="left"/>
              <w:rPr>
                <w:rFonts w:ascii="宋体" w:hAnsi="宋体" w:cs="宋体" w:eastAsia="宋体" w:hint="default"/>
                <w:sz w:val="18"/>
                <w:szCs w:val="18"/>
              </w:rPr>
            </w:pPr>
            <w:r>
              <w:rPr>
                <w:rFonts w:ascii="宋体" w:hAnsi="宋体" w:cs="宋体" w:eastAsia="宋体" w:hint="default"/>
                <w:sz w:val="18"/>
                <w:szCs w:val="18"/>
              </w:rPr>
              <w:t>其 他</w:t>
            </w:r>
          </w:p>
        </w:tc>
        <w:tc>
          <w:tcPr>
            <w:tcW w:w="1495" w:type="dxa"/>
            <w:vMerge/>
            <w:tcBorders>
              <w:left w:val="single" w:sz="4" w:space="0" w:color="000000"/>
              <w:bottom w:val="nil" w:sz="6" w:space="0" w:color="auto"/>
              <w:right w:val="single" w:sz="4" w:space="0" w:color="000000"/>
            </w:tcBorders>
            <w:shd w:val="clear" w:color="auto" w:fill="D2D2D2"/>
          </w:tcPr>
          <w:p>
            <w:pPr/>
          </w:p>
        </w:tc>
        <w:tc>
          <w:tcPr>
            <w:tcW w:w="1316" w:type="dxa"/>
            <w:vMerge/>
            <w:tcBorders>
              <w:left w:val="single" w:sz="4" w:space="0" w:color="000000"/>
              <w:bottom w:val="nil" w:sz="6" w:space="0" w:color="auto"/>
              <w:right w:val="single" w:sz="4" w:space="0" w:color="000000"/>
            </w:tcBorders>
            <w:shd w:val="clear" w:color="auto" w:fill="D2D2D2"/>
          </w:tcPr>
          <w:p>
            <w:pPr/>
          </w:p>
        </w:tc>
        <w:tc>
          <w:tcPr>
            <w:tcW w:w="1317" w:type="dxa"/>
            <w:vMerge/>
            <w:tcBorders>
              <w:left w:val="single" w:sz="4" w:space="0" w:color="000000"/>
              <w:bottom w:val="nil" w:sz="6" w:space="0" w:color="auto"/>
              <w:right w:val="single" w:sz="4" w:space="0" w:color="000000"/>
            </w:tcBorders>
            <w:shd w:val="clear" w:color="auto" w:fill="D2D2D2"/>
          </w:tcPr>
          <w:p>
            <w:pPr/>
          </w:p>
        </w:tc>
        <w:tc>
          <w:tcPr>
            <w:tcW w:w="244" w:type="dxa"/>
            <w:vMerge/>
            <w:tcBorders>
              <w:left w:val="single" w:sz="4" w:space="0" w:color="000000"/>
              <w:right w:val="single" w:sz="4" w:space="0" w:color="000000"/>
            </w:tcBorders>
            <w:shd w:val="clear" w:color="auto" w:fill="D2D2D2"/>
          </w:tcPr>
          <w:p>
            <w:pPr/>
          </w:p>
        </w:tc>
        <w:tc>
          <w:tcPr>
            <w:tcW w:w="1226" w:type="dxa"/>
            <w:vMerge/>
            <w:tcBorders>
              <w:left w:val="single" w:sz="4" w:space="0" w:color="000000"/>
              <w:bottom w:val="nil" w:sz="6" w:space="0" w:color="auto"/>
              <w:right w:val="single" w:sz="4" w:space="0" w:color="000000"/>
            </w:tcBorders>
            <w:shd w:val="clear" w:color="auto" w:fill="D2D2D2"/>
          </w:tcPr>
          <w:p>
            <w:pPr/>
          </w:p>
        </w:tc>
        <w:tc>
          <w:tcPr>
            <w:tcW w:w="386" w:type="dxa"/>
            <w:vMerge/>
            <w:tcBorders>
              <w:left w:val="single" w:sz="4" w:space="0" w:color="000000"/>
              <w:right w:val="single" w:sz="4" w:space="0" w:color="000000"/>
            </w:tcBorders>
            <w:shd w:val="clear" w:color="auto" w:fill="D2D2D2"/>
          </w:tcPr>
          <w:p>
            <w:pPr/>
          </w:p>
        </w:tc>
        <w:tc>
          <w:tcPr>
            <w:tcW w:w="1586" w:type="dxa"/>
            <w:vMerge/>
            <w:tcBorders>
              <w:left w:val="single" w:sz="4" w:space="0" w:color="000000"/>
              <w:bottom w:val="nil" w:sz="6" w:space="0" w:color="auto"/>
              <w:right w:val="single" w:sz="4" w:space="0" w:color="000000"/>
            </w:tcBorders>
            <w:shd w:val="clear" w:color="auto" w:fill="D2D2D2"/>
          </w:tcPr>
          <w:p>
            <w:pPr/>
          </w:p>
        </w:tc>
        <w:tc>
          <w:tcPr>
            <w:tcW w:w="1316" w:type="dxa"/>
            <w:vMerge w:val="restart"/>
            <w:tcBorders>
              <w:top w:val="nil" w:sz="6" w:space="0" w:color="auto"/>
              <w:left w:val="single" w:sz="4" w:space="0" w:color="000000"/>
              <w:right w:val="single" w:sz="4" w:space="0" w:color="000000"/>
            </w:tcBorders>
            <w:shd w:val="clear" w:color="auto" w:fill="D2D2D2"/>
          </w:tcPr>
          <w:p>
            <w:pPr/>
          </w:p>
        </w:tc>
        <w:tc>
          <w:tcPr>
            <w:tcW w:w="1587" w:type="dxa"/>
            <w:vMerge w:val="restart"/>
            <w:tcBorders>
              <w:top w:val="nil" w:sz="6" w:space="0" w:color="auto"/>
              <w:left w:val="single" w:sz="4" w:space="0" w:color="000000"/>
              <w:right w:val="single" w:sz="4" w:space="0" w:color="000000"/>
            </w:tcBorders>
            <w:shd w:val="clear" w:color="auto" w:fill="D2D2D2"/>
          </w:tcPr>
          <w:p>
            <w:pPr/>
          </w:p>
        </w:tc>
      </w:tr>
      <w:tr>
        <w:trPr>
          <w:trHeight w:val="491" w:hRule="exact"/>
        </w:trPr>
        <w:tc>
          <w:tcPr>
            <w:tcW w:w="1492" w:type="dxa"/>
            <w:vMerge/>
            <w:tcBorders>
              <w:left w:val="single" w:sz="4" w:space="0" w:color="000000"/>
              <w:right w:val="single" w:sz="4" w:space="0" w:color="000000"/>
            </w:tcBorders>
            <w:shd w:val="clear" w:color="auto" w:fill="D2D2D2"/>
          </w:tcPr>
          <w:p>
            <w:pPr/>
          </w:p>
        </w:tc>
        <w:tc>
          <w:tcPr>
            <w:tcW w:w="1328" w:type="dxa"/>
            <w:gridSpan w:val="2"/>
            <w:vMerge w:val="restart"/>
            <w:tcBorders>
              <w:top w:val="nil" w:sz="6" w:space="0" w:color="auto"/>
              <w:left w:val="single" w:sz="4" w:space="0" w:color="000000"/>
              <w:right w:val="single" w:sz="4" w:space="0" w:color="000000"/>
            </w:tcBorders>
            <w:shd w:val="clear" w:color="auto" w:fill="D2D2D2"/>
          </w:tcPr>
          <w:p>
            <w:pPr/>
          </w:p>
        </w:tc>
        <w:tc>
          <w:tcPr>
            <w:tcW w:w="236" w:type="dxa"/>
            <w:vMerge/>
            <w:tcBorders>
              <w:left w:val="single" w:sz="4" w:space="0" w:color="000000"/>
              <w:right w:val="single" w:sz="4" w:space="0" w:color="000000"/>
            </w:tcBorders>
            <w:shd w:val="clear" w:color="auto" w:fill="D2D2D2"/>
          </w:tcPr>
          <w:p>
            <w:pPr/>
          </w:p>
        </w:tc>
        <w:tc>
          <w:tcPr>
            <w:tcW w:w="235" w:type="dxa"/>
            <w:vMerge/>
            <w:tcBorders>
              <w:left w:val="single" w:sz="4" w:space="0" w:color="000000"/>
              <w:right w:val="single" w:sz="4" w:space="0" w:color="000000"/>
            </w:tcBorders>
            <w:shd w:val="clear" w:color="auto" w:fill="D2D2D2"/>
          </w:tcPr>
          <w:p>
            <w:pPr/>
          </w:p>
        </w:tc>
        <w:tc>
          <w:tcPr>
            <w:tcW w:w="238" w:type="dxa"/>
            <w:vMerge/>
            <w:tcBorders>
              <w:left w:val="single" w:sz="4" w:space="0" w:color="000000"/>
              <w:bottom w:val="nil" w:sz="6" w:space="0" w:color="auto"/>
              <w:right w:val="single" w:sz="4" w:space="0" w:color="000000"/>
            </w:tcBorders>
            <w:shd w:val="clear" w:color="auto" w:fill="D2D2D2"/>
          </w:tcPr>
          <w:p>
            <w:pPr/>
          </w:p>
        </w:tc>
        <w:tc>
          <w:tcPr>
            <w:tcW w:w="1495" w:type="dxa"/>
            <w:vMerge w:val="restart"/>
            <w:tcBorders>
              <w:top w:val="nil" w:sz="6" w:space="0" w:color="auto"/>
              <w:left w:val="single" w:sz="4" w:space="0" w:color="000000"/>
              <w:right w:val="single" w:sz="4" w:space="0" w:color="000000"/>
            </w:tcBorders>
            <w:shd w:val="clear" w:color="auto" w:fill="D2D2D2"/>
          </w:tcPr>
          <w:p>
            <w:pPr/>
          </w:p>
        </w:tc>
        <w:tc>
          <w:tcPr>
            <w:tcW w:w="1316" w:type="dxa"/>
            <w:vMerge w:val="restart"/>
            <w:tcBorders>
              <w:top w:val="nil" w:sz="6" w:space="0" w:color="auto"/>
              <w:left w:val="single" w:sz="4" w:space="0" w:color="000000"/>
              <w:right w:val="single" w:sz="4" w:space="0" w:color="000000"/>
            </w:tcBorders>
            <w:shd w:val="clear" w:color="auto" w:fill="D2D2D2"/>
          </w:tcPr>
          <w:p>
            <w:pPr/>
          </w:p>
        </w:tc>
        <w:tc>
          <w:tcPr>
            <w:tcW w:w="1317" w:type="dxa"/>
            <w:vMerge w:val="restart"/>
            <w:tcBorders>
              <w:top w:val="nil" w:sz="6" w:space="0" w:color="auto"/>
              <w:left w:val="single" w:sz="4" w:space="0" w:color="000000"/>
              <w:right w:val="single" w:sz="4" w:space="0" w:color="000000"/>
            </w:tcBorders>
            <w:shd w:val="clear" w:color="auto" w:fill="D2D2D2"/>
          </w:tcPr>
          <w:p>
            <w:pPr/>
          </w:p>
        </w:tc>
        <w:tc>
          <w:tcPr>
            <w:tcW w:w="244" w:type="dxa"/>
            <w:vMerge/>
            <w:tcBorders>
              <w:left w:val="single" w:sz="4" w:space="0" w:color="000000"/>
              <w:bottom w:val="nil" w:sz="6" w:space="0" w:color="auto"/>
              <w:right w:val="single" w:sz="4" w:space="0" w:color="000000"/>
            </w:tcBorders>
            <w:shd w:val="clear" w:color="auto" w:fill="D2D2D2"/>
          </w:tcPr>
          <w:p>
            <w:pPr/>
          </w:p>
        </w:tc>
        <w:tc>
          <w:tcPr>
            <w:tcW w:w="1226" w:type="dxa"/>
            <w:vMerge w:val="restart"/>
            <w:tcBorders>
              <w:top w:val="nil" w:sz="6" w:space="0" w:color="auto"/>
              <w:left w:val="single" w:sz="4" w:space="0" w:color="000000"/>
              <w:right w:val="single" w:sz="4" w:space="0" w:color="000000"/>
            </w:tcBorders>
            <w:shd w:val="clear" w:color="auto" w:fill="D2D2D2"/>
          </w:tcPr>
          <w:p>
            <w:pPr/>
          </w:p>
        </w:tc>
        <w:tc>
          <w:tcPr>
            <w:tcW w:w="386" w:type="dxa"/>
            <w:vMerge/>
            <w:tcBorders>
              <w:left w:val="single" w:sz="4" w:space="0" w:color="000000"/>
              <w:right w:val="single" w:sz="4" w:space="0" w:color="000000"/>
            </w:tcBorders>
            <w:shd w:val="clear" w:color="auto" w:fill="D2D2D2"/>
          </w:tcPr>
          <w:p>
            <w:pPr/>
          </w:p>
        </w:tc>
        <w:tc>
          <w:tcPr>
            <w:tcW w:w="1586" w:type="dxa"/>
            <w:vMerge w:val="restart"/>
            <w:tcBorders>
              <w:top w:val="nil" w:sz="6" w:space="0" w:color="auto"/>
              <w:left w:val="single" w:sz="4" w:space="0" w:color="000000"/>
              <w:right w:val="single" w:sz="4" w:space="0" w:color="000000"/>
            </w:tcBorders>
            <w:shd w:val="clear" w:color="auto" w:fill="D2D2D2"/>
          </w:tcPr>
          <w:p>
            <w:pPr/>
          </w:p>
        </w:tc>
        <w:tc>
          <w:tcPr>
            <w:tcW w:w="1316" w:type="dxa"/>
            <w:vMerge/>
            <w:tcBorders>
              <w:left w:val="single" w:sz="4" w:space="0" w:color="000000"/>
              <w:right w:val="single" w:sz="4" w:space="0" w:color="000000"/>
            </w:tcBorders>
            <w:shd w:val="clear" w:color="auto" w:fill="D2D2D2"/>
          </w:tcPr>
          <w:p>
            <w:pPr/>
          </w:p>
        </w:tc>
        <w:tc>
          <w:tcPr>
            <w:tcW w:w="1587" w:type="dxa"/>
            <w:vMerge/>
            <w:tcBorders>
              <w:left w:val="single" w:sz="4" w:space="0" w:color="000000"/>
              <w:right w:val="single" w:sz="4" w:space="0" w:color="000000"/>
            </w:tcBorders>
            <w:shd w:val="clear" w:color="auto" w:fill="D2D2D2"/>
          </w:tcPr>
          <w:p>
            <w:pPr/>
          </w:p>
        </w:tc>
      </w:tr>
      <w:tr>
        <w:trPr>
          <w:trHeight w:val="295" w:hRule="exact"/>
        </w:trPr>
        <w:tc>
          <w:tcPr>
            <w:tcW w:w="1492" w:type="dxa"/>
            <w:vMerge/>
            <w:tcBorders>
              <w:left w:val="single" w:sz="4" w:space="0" w:color="000000"/>
              <w:bottom w:val="single" w:sz="4" w:space="0" w:color="000000"/>
              <w:right w:val="single" w:sz="4" w:space="0" w:color="000000"/>
            </w:tcBorders>
            <w:shd w:val="clear" w:color="auto" w:fill="D2D2D2"/>
          </w:tcPr>
          <w:p>
            <w:pPr/>
          </w:p>
        </w:tc>
        <w:tc>
          <w:tcPr>
            <w:tcW w:w="1328" w:type="dxa"/>
            <w:gridSpan w:val="2"/>
            <w:vMerge/>
            <w:tcBorders>
              <w:left w:val="single" w:sz="4" w:space="0" w:color="000000"/>
              <w:bottom w:val="single" w:sz="4" w:space="0" w:color="000000"/>
              <w:right w:val="single" w:sz="4" w:space="0" w:color="000000"/>
            </w:tcBorders>
            <w:shd w:val="clear" w:color="auto" w:fill="D2D2D2"/>
          </w:tcPr>
          <w:p>
            <w:pPr/>
          </w:p>
        </w:tc>
        <w:tc>
          <w:tcPr>
            <w:tcW w:w="236" w:type="dxa"/>
            <w:vMerge/>
            <w:tcBorders>
              <w:left w:val="single" w:sz="4" w:space="0" w:color="000000"/>
              <w:bottom w:val="single" w:sz="4" w:space="0" w:color="000000"/>
              <w:right w:val="single" w:sz="4" w:space="0" w:color="000000"/>
            </w:tcBorders>
            <w:shd w:val="clear" w:color="auto" w:fill="D2D2D2"/>
          </w:tcPr>
          <w:p>
            <w:pPr/>
          </w:p>
        </w:tc>
        <w:tc>
          <w:tcPr>
            <w:tcW w:w="235" w:type="dxa"/>
            <w:vMerge/>
            <w:tcBorders>
              <w:left w:val="single" w:sz="4" w:space="0" w:color="000000"/>
              <w:bottom w:val="single" w:sz="4" w:space="0" w:color="000000"/>
              <w:right w:val="single" w:sz="4" w:space="0" w:color="000000"/>
            </w:tcBorders>
            <w:shd w:val="clear" w:color="auto" w:fill="D2D2D2"/>
          </w:tcPr>
          <w:p>
            <w:pPr/>
          </w:p>
        </w:tc>
        <w:tc>
          <w:tcPr>
            <w:tcW w:w="238" w:type="dxa"/>
            <w:tcBorders>
              <w:top w:val="nil" w:sz="6" w:space="0" w:color="auto"/>
              <w:left w:val="single" w:sz="4" w:space="0" w:color="000000"/>
              <w:bottom w:val="single" w:sz="4" w:space="0" w:color="000000"/>
              <w:right w:val="single" w:sz="4" w:space="0" w:color="000000"/>
            </w:tcBorders>
            <w:shd w:val="clear" w:color="auto" w:fill="D2D2D2"/>
          </w:tcPr>
          <w:p>
            <w:pPr/>
          </w:p>
        </w:tc>
        <w:tc>
          <w:tcPr>
            <w:tcW w:w="1495" w:type="dxa"/>
            <w:vMerge/>
            <w:tcBorders>
              <w:left w:val="single" w:sz="4" w:space="0" w:color="000000"/>
              <w:bottom w:val="single" w:sz="4" w:space="0" w:color="000000"/>
              <w:right w:val="single" w:sz="4" w:space="0" w:color="000000"/>
            </w:tcBorders>
            <w:shd w:val="clear" w:color="auto" w:fill="D2D2D2"/>
          </w:tcPr>
          <w:p>
            <w:pPr/>
          </w:p>
        </w:tc>
        <w:tc>
          <w:tcPr>
            <w:tcW w:w="1316" w:type="dxa"/>
            <w:vMerge/>
            <w:tcBorders>
              <w:left w:val="single" w:sz="4" w:space="0" w:color="000000"/>
              <w:bottom w:val="single" w:sz="4" w:space="0" w:color="000000"/>
              <w:right w:val="single" w:sz="4" w:space="0" w:color="000000"/>
            </w:tcBorders>
            <w:shd w:val="clear" w:color="auto" w:fill="D2D2D2"/>
          </w:tcPr>
          <w:p>
            <w:pPr/>
          </w:p>
        </w:tc>
        <w:tc>
          <w:tcPr>
            <w:tcW w:w="1317" w:type="dxa"/>
            <w:vMerge/>
            <w:tcBorders>
              <w:left w:val="single" w:sz="4" w:space="0" w:color="000000"/>
              <w:bottom w:val="single" w:sz="4" w:space="0" w:color="000000"/>
              <w:right w:val="single" w:sz="4" w:space="0" w:color="000000"/>
            </w:tcBorders>
            <w:shd w:val="clear" w:color="auto" w:fill="D2D2D2"/>
          </w:tcPr>
          <w:p>
            <w:pPr/>
          </w:p>
        </w:tc>
        <w:tc>
          <w:tcPr>
            <w:tcW w:w="24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26" w:type="dxa"/>
            <w:vMerge/>
            <w:tcBorders>
              <w:left w:val="single" w:sz="4" w:space="0" w:color="000000"/>
              <w:bottom w:val="single" w:sz="4" w:space="0" w:color="000000"/>
              <w:right w:val="single" w:sz="4" w:space="0" w:color="000000"/>
            </w:tcBorders>
            <w:shd w:val="clear" w:color="auto" w:fill="D2D2D2"/>
          </w:tcPr>
          <w:p>
            <w:pPr/>
          </w:p>
        </w:tc>
        <w:tc>
          <w:tcPr>
            <w:tcW w:w="386" w:type="dxa"/>
            <w:vMerge/>
            <w:tcBorders>
              <w:left w:val="single" w:sz="4" w:space="0" w:color="000000"/>
              <w:bottom w:val="single" w:sz="4" w:space="0" w:color="000000"/>
              <w:right w:val="single" w:sz="4" w:space="0" w:color="000000"/>
            </w:tcBorders>
            <w:shd w:val="clear" w:color="auto" w:fill="D2D2D2"/>
          </w:tcPr>
          <w:p>
            <w:pPr/>
          </w:p>
        </w:tc>
        <w:tc>
          <w:tcPr>
            <w:tcW w:w="1586" w:type="dxa"/>
            <w:vMerge/>
            <w:tcBorders>
              <w:left w:val="single" w:sz="4" w:space="0" w:color="000000"/>
              <w:bottom w:val="single" w:sz="4" w:space="0" w:color="000000"/>
              <w:right w:val="single" w:sz="4" w:space="0" w:color="000000"/>
            </w:tcBorders>
            <w:shd w:val="clear" w:color="auto" w:fill="D2D2D2"/>
          </w:tcPr>
          <w:p>
            <w:pPr/>
          </w:p>
        </w:tc>
        <w:tc>
          <w:tcPr>
            <w:tcW w:w="1316" w:type="dxa"/>
            <w:vMerge/>
            <w:tcBorders>
              <w:left w:val="single" w:sz="4" w:space="0" w:color="000000"/>
              <w:bottom w:val="single" w:sz="4" w:space="0" w:color="000000"/>
              <w:right w:val="single" w:sz="4" w:space="0" w:color="000000"/>
            </w:tcBorders>
            <w:shd w:val="clear" w:color="auto" w:fill="D2D2D2"/>
          </w:tcPr>
          <w:p>
            <w:pPr/>
          </w:p>
        </w:tc>
        <w:tc>
          <w:tcPr>
            <w:tcW w:w="158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28"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sz w:val="18"/>
              </w:rPr>
              <w:t>711,157,430.00</w:t>
            </w:r>
          </w:p>
        </w:tc>
        <w:tc>
          <w:tcPr>
            <w:tcW w:w="236" w:type="dxa"/>
            <w:tcBorders>
              <w:top w:val="single" w:sz="45" w:space="0" w:color="D2D2D2"/>
              <w:left w:val="single" w:sz="4" w:space="0" w:color="000000"/>
              <w:bottom w:val="single" w:sz="4" w:space="0" w:color="000000"/>
              <w:right w:val="single" w:sz="4" w:space="0" w:color="000000"/>
            </w:tcBorders>
          </w:tcPr>
          <w:p>
            <w:pPr/>
          </w:p>
        </w:tc>
        <w:tc>
          <w:tcPr>
            <w:tcW w:w="235" w:type="dxa"/>
            <w:tcBorders>
              <w:top w:val="single" w:sz="45" w:space="0" w:color="D2D2D2"/>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1,697,217,647.72</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1" w:right="0"/>
              <w:jc w:val="center"/>
              <w:rPr>
                <w:rFonts w:ascii="宋体" w:hAnsi="宋体" w:cs="宋体" w:eastAsia="宋体" w:hint="default"/>
                <w:sz w:val="18"/>
                <w:szCs w:val="18"/>
              </w:rPr>
            </w:pPr>
            <w:r>
              <w:rPr>
                <w:rFonts w:ascii="宋体"/>
                <w:sz w:val="18"/>
              </w:rPr>
              <w:t>49,750,916.92</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3,620,711.39</w:t>
            </w: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30,930,203.91</w:t>
            </w: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270,836,329.97</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8,819,716.08</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2,672,831,122.15</w:t>
            </w:r>
          </w:p>
        </w:tc>
      </w:tr>
      <w:tr>
        <w:trPr>
          <w:trHeight w:val="714" w:hRule="exact"/>
        </w:trPr>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30" w:firstLine="360"/>
              <w:jc w:val="left"/>
              <w:rPr>
                <w:rFonts w:ascii="宋体" w:hAnsi="宋体" w:cs="宋体" w:eastAsia="宋体" w:hint="default"/>
                <w:sz w:val="18"/>
                <w:szCs w:val="18"/>
              </w:rPr>
            </w:pPr>
            <w:r>
              <w:rPr>
                <w:rFonts w:ascii="宋体" w:hAnsi="宋体" w:cs="宋体" w:eastAsia="宋体" w:hint="default"/>
                <w:sz w:val="18"/>
                <w:szCs w:val="18"/>
              </w:rPr>
              <w:t>加：会计政策 变更</w:t>
            </w:r>
          </w:p>
        </w:tc>
        <w:tc>
          <w:tcPr>
            <w:tcW w:w="1328" w:type="dxa"/>
            <w:gridSpan w:val="2"/>
            <w:tcBorders>
              <w:top w:val="single" w:sz="4" w:space="0" w:color="000000"/>
              <w:left w:val="single" w:sz="13" w:space="0" w:color="D2D2D2"/>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前期差错</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更正</w:t>
            </w:r>
          </w:p>
        </w:tc>
        <w:tc>
          <w:tcPr>
            <w:tcW w:w="1328" w:type="dxa"/>
            <w:gridSpan w:val="2"/>
            <w:tcBorders>
              <w:top w:val="single" w:sz="4" w:space="0" w:color="000000"/>
              <w:left w:val="single" w:sz="13" w:space="0" w:color="D2D2D2"/>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30" w:firstLine="720"/>
              <w:jc w:val="left"/>
              <w:rPr>
                <w:rFonts w:ascii="宋体" w:hAnsi="宋体" w:cs="宋体" w:eastAsia="宋体" w:hint="default"/>
                <w:sz w:val="18"/>
                <w:szCs w:val="18"/>
              </w:rPr>
            </w:pPr>
            <w:r>
              <w:rPr>
                <w:rFonts w:ascii="宋体" w:hAnsi="宋体" w:cs="宋体" w:eastAsia="宋体" w:hint="default"/>
                <w:sz w:val="18"/>
                <w:szCs w:val="18"/>
              </w:rPr>
              <w:t>同一控制 下企业合并</w:t>
            </w:r>
          </w:p>
        </w:tc>
        <w:tc>
          <w:tcPr>
            <w:tcW w:w="1328" w:type="dxa"/>
            <w:gridSpan w:val="2"/>
            <w:tcBorders>
              <w:top w:val="single" w:sz="4" w:space="0" w:color="000000"/>
              <w:left w:val="single" w:sz="13" w:space="0" w:color="D2D2D2"/>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28" w:type="dxa"/>
            <w:gridSpan w:val="2"/>
            <w:tcBorders>
              <w:top w:val="single" w:sz="4" w:space="0" w:color="000000"/>
              <w:left w:val="single" w:sz="13" w:space="0" w:color="D2D2D2"/>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28"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sz w:val="18"/>
              </w:rPr>
              <w:t>711,157,430.00</w:t>
            </w: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1,697,217,647.72</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1" w:right="0"/>
              <w:jc w:val="center"/>
              <w:rPr>
                <w:rFonts w:ascii="宋体" w:hAnsi="宋体" w:cs="宋体" w:eastAsia="宋体" w:hint="default"/>
                <w:sz w:val="18"/>
                <w:szCs w:val="18"/>
              </w:rPr>
            </w:pPr>
            <w:r>
              <w:rPr>
                <w:rFonts w:ascii="宋体"/>
                <w:sz w:val="18"/>
              </w:rPr>
              <w:t>49,750,916.92</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3,620,711.39</w:t>
            </w: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30,930,203.91</w:t>
            </w: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270,836,329.97</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8,819,716.08</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2,672,831,122.15</w:t>
            </w:r>
          </w:p>
        </w:tc>
      </w:tr>
      <w:tr>
        <w:trPr>
          <w:trHeight w:val="1026" w:hRule="exact"/>
        </w:trPr>
        <w:tc>
          <w:tcPr>
            <w:tcW w:w="1492" w:type="dxa"/>
            <w:tcBorders>
              <w:top w:val="single" w:sz="4" w:space="0" w:color="000000"/>
              <w:left w:val="single" w:sz="4" w:space="0" w:color="000000"/>
              <w:bottom w:val="single" w:sz="4" w:space="0" w:color="000000"/>
              <w:right w:val="single" w:sz="10" w:space="0" w:color="FFFFFF"/>
            </w:tcBorders>
            <w:shd w:val="clear" w:color="auto" w:fill="D2D2D2"/>
          </w:tcPr>
          <w:p>
            <w:pPr>
              <w:pStyle w:val="TableParagraph"/>
              <w:spacing w:line="316" w:lineRule="auto" w:before="52"/>
              <w:ind w:left="11" w:right="21"/>
              <w:jc w:val="left"/>
              <w:rPr>
                <w:rFonts w:ascii="宋体" w:hAnsi="宋体" w:cs="宋体" w:eastAsia="宋体" w:hint="default"/>
                <w:sz w:val="18"/>
                <w:szCs w:val="18"/>
              </w:rPr>
            </w:pPr>
            <w:r>
              <w:rPr>
                <w:rFonts w:ascii="宋体" w:hAnsi="宋体" w:cs="宋体" w:eastAsia="宋体" w:hint="default"/>
                <w:sz w:val="18"/>
                <w:szCs w:val="18"/>
              </w:rPr>
              <w:t>三、本期增减变动 </w:t>
            </w:r>
            <w:r>
              <w:rPr>
                <w:rFonts w:ascii="宋体" w:hAnsi="宋体" w:cs="宋体" w:eastAsia="宋体" w:hint="default"/>
                <w:spacing w:val="-9"/>
                <w:sz w:val="18"/>
                <w:szCs w:val="18"/>
              </w:rPr>
              <w:t>金额（减少以“－</w:t>
            </w:r>
            <w:r>
              <w:rPr>
                <w:rFonts w:ascii="宋体" w:hAnsi="宋体" w:cs="宋体" w:eastAsia="宋体" w:hint="default"/>
                <w:sz w:val="18"/>
                <w:szCs w:val="18"/>
              </w:rPr>
              <w:t> 号填列）</w:t>
            </w:r>
          </w:p>
        </w:tc>
        <w:tc>
          <w:tcPr>
            <w:tcW w:w="102" w:type="dxa"/>
            <w:tcBorders>
              <w:top w:val="single" w:sz="4" w:space="0" w:color="000000"/>
              <w:left w:val="single" w:sz="23" w:space="0" w:color="FFFFFF"/>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5" w:right="0"/>
              <w:jc w:val="left"/>
              <w:rPr>
                <w:rFonts w:ascii="宋体" w:hAnsi="宋体" w:cs="宋体" w:eastAsia="宋体" w:hint="default"/>
                <w:sz w:val="18"/>
                <w:szCs w:val="18"/>
              </w:rPr>
            </w:pPr>
            <w:r>
              <w:rPr>
                <w:rFonts w:ascii="宋体" w:hAnsi="宋体" w:cs="宋体" w:eastAsia="宋体" w:hint="default"/>
                <w:sz w:val="18"/>
                <w:szCs w:val="18"/>
              </w:rPr>
              <w:t>”</w:t>
            </w:r>
          </w:p>
        </w:tc>
        <w:tc>
          <w:tcPr>
            <w:tcW w:w="1226"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8" w:right="0"/>
              <w:jc w:val="left"/>
              <w:rPr>
                <w:rFonts w:ascii="宋体" w:hAnsi="宋体" w:cs="宋体" w:eastAsia="宋体" w:hint="default"/>
                <w:sz w:val="18"/>
                <w:szCs w:val="18"/>
              </w:rPr>
            </w:pPr>
            <w:r>
              <w:rPr>
                <w:rFonts w:ascii="宋体"/>
                <w:sz w:val="18"/>
              </w:rPr>
              <w:t>60,840,820.00</w:t>
            </w: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948,253,056.99</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sz w:val="18"/>
              </w:rPr>
              <w:t>-49,750,916.92</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2"/>
              <w:jc w:val="right"/>
              <w:rPr>
                <w:rFonts w:ascii="宋体" w:hAnsi="宋体" w:cs="宋体" w:eastAsia="宋体" w:hint="default"/>
                <w:sz w:val="18"/>
                <w:szCs w:val="18"/>
              </w:rPr>
            </w:pPr>
            <w:r>
              <w:rPr>
                <w:rFonts w:ascii="宋体"/>
                <w:sz w:val="18"/>
              </w:rPr>
              <w:t>-23,941,730.57</w:t>
            </w: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-1,519,318,758.40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-12,287,419.97</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-496,703,115.03</w:t>
            </w:r>
          </w:p>
        </w:tc>
      </w:tr>
      <w:tr>
        <w:trPr>
          <w:trHeight w:val="714" w:hRule="exact"/>
        </w:trPr>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30"/>
              <w:jc w:val="left"/>
              <w:rPr>
                <w:rFonts w:ascii="宋体" w:hAnsi="宋体" w:cs="宋体" w:eastAsia="宋体" w:hint="default"/>
                <w:sz w:val="18"/>
                <w:szCs w:val="18"/>
              </w:rPr>
            </w:pPr>
            <w:r>
              <w:rPr>
                <w:rFonts w:ascii="宋体" w:hAnsi="宋体" w:cs="宋体" w:eastAsia="宋体" w:hint="default"/>
                <w:sz w:val="18"/>
                <w:szCs w:val="18"/>
              </w:rPr>
              <w:t>（一）综合收益总 额</w:t>
            </w:r>
          </w:p>
        </w:tc>
        <w:tc>
          <w:tcPr>
            <w:tcW w:w="1328" w:type="dxa"/>
            <w:gridSpan w:val="2"/>
            <w:tcBorders>
              <w:top w:val="single" w:sz="4" w:space="0" w:color="000000"/>
              <w:left w:val="single" w:sz="13" w:space="0" w:color="D2D2D2"/>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-1,532,403,059.92</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3,531,416.50</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-1,528,871,643.42</w:t>
            </w:r>
          </w:p>
        </w:tc>
      </w:tr>
    </w:tbl>
    <w:p>
      <w:pPr>
        <w:spacing w:after="0" w:line="240" w:lineRule="auto"/>
        <w:jc w:val="right"/>
        <w:rPr>
          <w:rFonts w:ascii="宋体" w:hAnsi="宋体" w:cs="宋体" w:eastAsia="宋体" w:hint="default"/>
          <w:sz w:val="18"/>
          <w:szCs w:val="18"/>
        </w:rPr>
        <w:sectPr>
          <w:headerReference w:type="default" r:id="rId34"/>
          <w:footerReference w:type="default" r:id="rId35"/>
          <w:pgSz w:w="16840" w:h="11910" w:orient="landscape"/>
          <w:pgMar w:header="867" w:footer="979" w:top="1060" w:bottom="1160" w:left="1300" w:right="1300"/>
          <w:pgNumType w:start="133"/>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1515"/>
        <w:gridCol w:w="1316"/>
        <w:gridCol w:w="236"/>
        <w:gridCol w:w="235"/>
        <w:gridCol w:w="238"/>
        <w:gridCol w:w="1495"/>
        <w:gridCol w:w="1316"/>
        <w:gridCol w:w="1317"/>
        <w:gridCol w:w="244"/>
        <w:gridCol w:w="1226"/>
        <w:gridCol w:w="386"/>
        <w:gridCol w:w="1586"/>
        <w:gridCol w:w="1316"/>
        <w:gridCol w:w="1587"/>
      </w:tblGrid>
      <w:tr>
        <w:trPr>
          <w:trHeight w:val="729" w:hRule="exact"/>
        </w:trPr>
        <w:tc>
          <w:tcPr>
            <w:tcW w:w="1515"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0"/>
              <w:jc w:val="left"/>
              <w:rPr>
                <w:rFonts w:ascii="宋体" w:hAnsi="宋体" w:cs="宋体" w:eastAsia="宋体" w:hint="default"/>
                <w:sz w:val="18"/>
                <w:szCs w:val="18"/>
              </w:rPr>
            </w:pPr>
            <w:r>
              <w:rPr>
                <w:rFonts w:ascii="宋体" w:hAnsi="宋体" w:cs="宋体" w:eastAsia="宋体" w:hint="default"/>
                <w:sz w:val="18"/>
                <w:szCs w:val="18"/>
              </w:rPr>
              <w:t>（二）所有者投入 和减少资本</w:t>
            </w:r>
          </w:p>
        </w:tc>
        <w:tc>
          <w:tcPr>
            <w:tcW w:w="131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60,840,820.00</w:t>
            </w:r>
          </w:p>
        </w:tc>
        <w:tc>
          <w:tcPr>
            <w:tcW w:w="236" w:type="dxa"/>
            <w:tcBorders>
              <w:top w:val="single" w:sz="15" w:space="0" w:color="000000"/>
              <w:left w:val="single" w:sz="4" w:space="0" w:color="000000"/>
              <w:bottom w:val="single" w:sz="4" w:space="0" w:color="000000"/>
              <w:right w:val="single" w:sz="4" w:space="0" w:color="000000"/>
            </w:tcBorders>
          </w:tcPr>
          <w:p>
            <w:pPr/>
          </w:p>
        </w:tc>
        <w:tc>
          <w:tcPr>
            <w:tcW w:w="235" w:type="dxa"/>
            <w:tcBorders>
              <w:top w:val="single" w:sz="15" w:space="0" w:color="000000"/>
              <w:left w:val="single" w:sz="4" w:space="0" w:color="000000"/>
              <w:bottom w:val="single" w:sz="4" w:space="0" w:color="000000"/>
              <w:right w:val="single" w:sz="4" w:space="0" w:color="000000"/>
            </w:tcBorders>
          </w:tcPr>
          <w:p>
            <w:pPr/>
          </w:p>
        </w:tc>
        <w:tc>
          <w:tcPr>
            <w:tcW w:w="238" w:type="dxa"/>
            <w:tcBorders>
              <w:top w:val="single" w:sz="15" w:space="0" w:color="000000"/>
              <w:left w:val="single" w:sz="4" w:space="0" w:color="000000"/>
              <w:bottom w:val="single" w:sz="4" w:space="0" w:color="000000"/>
              <w:right w:val="single" w:sz="4" w:space="0" w:color="000000"/>
            </w:tcBorders>
          </w:tcPr>
          <w:p>
            <w:pPr/>
          </w:p>
        </w:tc>
        <w:tc>
          <w:tcPr>
            <w:tcW w:w="149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948,923,113.40</w:t>
            </w:r>
          </w:p>
        </w:tc>
        <w:tc>
          <w:tcPr>
            <w:tcW w:w="131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sz w:val="18"/>
              </w:rPr>
              <w:t>-49,750,916.92</w:t>
            </w:r>
          </w:p>
        </w:tc>
        <w:tc>
          <w:tcPr>
            <w:tcW w:w="131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sz w:val="18"/>
              </w:rPr>
              <w:t>-23,941,730.57</w:t>
            </w:r>
          </w:p>
        </w:tc>
        <w:tc>
          <w:tcPr>
            <w:tcW w:w="244" w:type="dxa"/>
            <w:tcBorders>
              <w:top w:val="single" w:sz="15" w:space="0" w:color="000000"/>
              <w:left w:val="single" w:sz="4" w:space="0" w:color="000000"/>
              <w:bottom w:val="single" w:sz="4" w:space="0" w:color="000000"/>
              <w:right w:val="single" w:sz="4" w:space="0" w:color="000000"/>
            </w:tcBorders>
          </w:tcPr>
          <w:p>
            <w:pPr/>
          </w:p>
        </w:tc>
        <w:tc>
          <w:tcPr>
            <w:tcW w:w="1226" w:type="dxa"/>
            <w:tcBorders>
              <w:top w:val="single" w:sz="15" w:space="0" w:color="000000"/>
              <w:left w:val="single" w:sz="4" w:space="0" w:color="000000"/>
              <w:bottom w:val="single" w:sz="4" w:space="0" w:color="000000"/>
              <w:right w:val="single" w:sz="4" w:space="0" w:color="000000"/>
            </w:tcBorders>
          </w:tcPr>
          <w:p>
            <w:pPr/>
          </w:p>
        </w:tc>
        <w:tc>
          <w:tcPr>
            <w:tcW w:w="386" w:type="dxa"/>
            <w:tcBorders>
              <w:top w:val="single" w:sz="15" w:space="0" w:color="000000"/>
              <w:left w:val="single" w:sz="4" w:space="0" w:color="000000"/>
              <w:bottom w:val="single" w:sz="4" w:space="0" w:color="000000"/>
              <w:right w:val="single" w:sz="4" w:space="0" w:color="000000"/>
            </w:tcBorders>
          </w:tcPr>
          <w:p>
            <w:pPr/>
          </w:p>
        </w:tc>
        <w:tc>
          <w:tcPr>
            <w:tcW w:w="158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23,941,730.57</w:t>
            </w:r>
          </w:p>
        </w:tc>
        <w:tc>
          <w:tcPr>
            <w:tcW w:w="131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-15,818,836.47</w:t>
            </w:r>
          </w:p>
        </w:tc>
        <w:tc>
          <w:tcPr>
            <w:tcW w:w="158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1,043,696,013.85</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1</w:t>
            </w:r>
            <w:r>
              <w:rPr>
                <w:rFonts w:ascii="宋体" w:hAnsi="宋体" w:cs="宋体" w:eastAsia="宋体" w:hint="default"/>
                <w:spacing w:val="-8"/>
                <w:sz w:val="18"/>
                <w:szCs w:val="18"/>
              </w:rPr>
              <w:t>．所有者投入的普</w:t>
            </w:r>
            <w:r>
              <w:rPr>
                <w:rFonts w:ascii="宋体" w:hAnsi="宋体" w:cs="宋体" w:eastAsia="宋体" w:hint="default"/>
                <w:sz w:val="18"/>
                <w:szCs w:val="18"/>
              </w:rPr>
              <w:t> 通股</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64,020,004.00</w:t>
            </w: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959,019,696.00</w:t>
            </w: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1,023,039,700.00</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2</w:t>
            </w:r>
            <w:r>
              <w:rPr>
                <w:rFonts w:ascii="宋体" w:hAnsi="宋体" w:cs="宋体" w:eastAsia="宋体" w:hint="default"/>
                <w:spacing w:val="-8"/>
                <w:sz w:val="18"/>
                <w:szCs w:val="18"/>
              </w:rPr>
              <w:t>．其他权益工具持</w:t>
            </w:r>
            <w:r>
              <w:rPr>
                <w:rFonts w:ascii="宋体" w:hAnsi="宋体" w:cs="宋体" w:eastAsia="宋体" w:hint="default"/>
                <w:sz w:val="18"/>
                <w:szCs w:val="18"/>
              </w:rPr>
              <w:t> 有者投入资本</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-3,179,184.00</w:t>
            </w: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-28,741,503.31</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sz w:val="18"/>
              </w:rPr>
              <w:t>-49,750,916.92</w:t>
            </w: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17,830,229.61</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3</w:t>
            </w:r>
            <w:r>
              <w:rPr>
                <w:rFonts w:ascii="宋体" w:hAnsi="宋体" w:cs="宋体" w:eastAsia="宋体" w:hint="default"/>
                <w:spacing w:val="-8"/>
                <w:sz w:val="18"/>
                <w:szCs w:val="18"/>
              </w:rPr>
              <w:t>．股份支付计入所</w:t>
            </w:r>
            <w:r>
              <w:rPr>
                <w:rFonts w:ascii="宋体" w:hAnsi="宋体" w:cs="宋体" w:eastAsia="宋体" w:hint="default"/>
                <w:sz w:val="18"/>
                <w:szCs w:val="18"/>
              </w:rPr>
              <w:t> 有者权益的金额</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9,040,577.66</w:t>
            </w: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9,040,577.66</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9,604,343.05</w:t>
            </w: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-23,941,730.57</w:t>
            </w: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23,941,730.57</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-15,818,836.47</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-6,214,493.42</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-10,857,429.05</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-10,857,429.05</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．提取盈余公积</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2</w:t>
            </w:r>
            <w:r>
              <w:rPr>
                <w:rFonts w:ascii="宋体" w:hAnsi="宋体" w:cs="宋体" w:eastAsia="宋体" w:hint="default"/>
                <w:spacing w:val="-8"/>
                <w:sz w:val="18"/>
                <w:szCs w:val="18"/>
              </w:rPr>
              <w:t>．提取一般风险准</w:t>
            </w:r>
            <w:r>
              <w:rPr>
                <w:rFonts w:ascii="宋体" w:hAnsi="宋体" w:cs="宋体" w:eastAsia="宋体" w:hint="default"/>
                <w:sz w:val="18"/>
                <w:szCs w:val="18"/>
              </w:rPr>
              <w:t> 备</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3</w:t>
            </w:r>
            <w:r>
              <w:rPr>
                <w:rFonts w:ascii="宋体" w:hAnsi="宋体" w:cs="宋体" w:eastAsia="宋体" w:hint="default"/>
                <w:spacing w:val="-8"/>
                <w:sz w:val="18"/>
                <w:szCs w:val="18"/>
              </w:rPr>
              <w:t>．对所有者（或股</w:t>
            </w:r>
            <w:r>
              <w:rPr>
                <w:rFonts w:ascii="宋体" w:hAnsi="宋体" w:cs="宋体" w:eastAsia="宋体" w:hint="default"/>
                <w:sz w:val="18"/>
                <w:szCs w:val="18"/>
              </w:rPr>
              <w:t> 东）的分配</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-10,857,429.05</w:t>
            </w: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-10,857,429.05</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0"/>
              <w:jc w:val="left"/>
              <w:rPr>
                <w:rFonts w:ascii="宋体" w:hAnsi="宋体" w:cs="宋体" w:eastAsia="宋体" w:hint="default"/>
                <w:sz w:val="18"/>
                <w:szCs w:val="18"/>
              </w:rPr>
            </w:pPr>
            <w:r>
              <w:rPr>
                <w:rFonts w:ascii="宋体" w:hAnsi="宋体" w:cs="宋体" w:eastAsia="宋体" w:hint="default"/>
                <w:sz w:val="18"/>
                <w:szCs w:val="18"/>
              </w:rPr>
              <w:t>（四）所有者权益 内部结转</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1</w:t>
            </w:r>
            <w:r>
              <w:rPr>
                <w:rFonts w:ascii="宋体" w:hAnsi="宋体" w:cs="宋体" w:eastAsia="宋体" w:hint="default"/>
                <w:spacing w:val="-8"/>
                <w:sz w:val="18"/>
                <w:szCs w:val="18"/>
              </w:rPr>
              <w:t>．资本公积转增资</w:t>
            </w:r>
            <w:r>
              <w:rPr>
                <w:rFonts w:ascii="宋体" w:hAnsi="宋体" w:cs="宋体" w:eastAsia="宋体" w:hint="default"/>
                <w:sz w:val="18"/>
                <w:szCs w:val="18"/>
              </w:rPr>
              <w:t> 本（或股本）</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2</w:t>
            </w:r>
            <w:r>
              <w:rPr>
                <w:rFonts w:ascii="宋体" w:hAnsi="宋体" w:cs="宋体" w:eastAsia="宋体" w:hint="default"/>
                <w:spacing w:val="-8"/>
                <w:sz w:val="18"/>
                <w:szCs w:val="18"/>
              </w:rPr>
              <w:t>．盈余公积转增资</w:t>
            </w:r>
            <w:r>
              <w:rPr>
                <w:rFonts w:ascii="宋体" w:hAnsi="宋体" w:cs="宋体" w:eastAsia="宋体" w:hint="default"/>
                <w:sz w:val="18"/>
                <w:szCs w:val="18"/>
              </w:rPr>
              <w:t> 本（或股本）</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3</w:t>
            </w:r>
            <w:r>
              <w:rPr>
                <w:rFonts w:ascii="宋体" w:hAnsi="宋体" w:cs="宋体" w:eastAsia="宋体" w:hint="default"/>
                <w:spacing w:val="-8"/>
                <w:sz w:val="18"/>
                <w:szCs w:val="18"/>
              </w:rPr>
              <w:t>．盈余公积弥补亏</w:t>
            </w:r>
            <w:r>
              <w:rPr>
                <w:rFonts w:ascii="宋体" w:hAnsi="宋体" w:cs="宋体" w:eastAsia="宋体" w:hint="default"/>
                <w:sz w:val="18"/>
                <w:szCs w:val="18"/>
              </w:rPr>
              <w:t> 损</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714"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4</w:t>
            </w:r>
            <w:r>
              <w:rPr>
                <w:rFonts w:ascii="宋体" w:hAnsi="宋体" w:cs="宋体" w:eastAsia="宋体" w:hint="default"/>
                <w:spacing w:val="-8"/>
                <w:sz w:val="18"/>
                <w:szCs w:val="18"/>
              </w:rPr>
              <w:t>．设定受益计划变</w:t>
            </w:r>
            <w:r>
              <w:rPr>
                <w:rFonts w:ascii="宋体" w:hAnsi="宋体" w:cs="宋体" w:eastAsia="宋体" w:hint="default"/>
                <w:sz w:val="18"/>
                <w:szCs w:val="18"/>
              </w:rPr>
              <w:t> 动额结转留存收益</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1515"/>
        <w:gridCol w:w="1316"/>
        <w:gridCol w:w="236"/>
        <w:gridCol w:w="235"/>
        <w:gridCol w:w="238"/>
        <w:gridCol w:w="1495"/>
        <w:gridCol w:w="1316"/>
        <w:gridCol w:w="1317"/>
        <w:gridCol w:w="244"/>
        <w:gridCol w:w="1226"/>
        <w:gridCol w:w="386"/>
        <w:gridCol w:w="1586"/>
        <w:gridCol w:w="1316"/>
        <w:gridCol w:w="1587"/>
      </w:tblGrid>
      <w:tr>
        <w:trPr>
          <w:trHeight w:val="416" w:hRule="exact"/>
        </w:trPr>
        <w:tc>
          <w:tcPr>
            <w:tcW w:w="1515"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．其他</w:t>
            </w:r>
          </w:p>
        </w:tc>
        <w:tc>
          <w:tcPr>
            <w:tcW w:w="1316" w:type="dxa"/>
            <w:tcBorders>
              <w:top w:val="single" w:sz="15" w:space="0" w:color="000000"/>
              <w:left w:val="single" w:sz="4" w:space="0" w:color="000000"/>
              <w:bottom w:val="single" w:sz="4" w:space="0" w:color="000000"/>
              <w:right w:val="single" w:sz="4" w:space="0" w:color="000000"/>
            </w:tcBorders>
          </w:tcPr>
          <w:p>
            <w:pPr/>
          </w:p>
        </w:tc>
        <w:tc>
          <w:tcPr>
            <w:tcW w:w="236" w:type="dxa"/>
            <w:tcBorders>
              <w:top w:val="single" w:sz="15" w:space="0" w:color="000000"/>
              <w:left w:val="single" w:sz="4" w:space="0" w:color="000000"/>
              <w:bottom w:val="single" w:sz="4" w:space="0" w:color="000000"/>
              <w:right w:val="single" w:sz="4" w:space="0" w:color="000000"/>
            </w:tcBorders>
          </w:tcPr>
          <w:p>
            <w:pPr/>
          </w:p>
        </w:tc>
        <w:tc>
          <w:tcPr>
            <w:tcW w:w="235" w:type="dxa"/>
            <w:tcBorders>
              <w:top w:val="single" w:sz="15" w:space="0" w:color="000000"/>
              <w:left w:val="single" w:sz="4" w:space="0" w:color="000000"/>
              <w:bottom w:val="single" w:sz="4" w:space="0" w:color="000000"/>
              <w:right w:val="single" w:sz="4" w:space="0" w:color="000000"/>
            </w:tcBorders>
          </w:tcPr>
          <w:p>
            <w:pPr/>
          </w:p>
        </w:tc>
        <w:tc>
          <w:tcPr>
            <w:tcW w:w="238" w:type="dxa"/>
            <w:tcBorders>
              <w:top w:val="single" w:sz="15" w:space="0" w:color="000000"/>
              <w:left w:val="single" w:sz="4" w:space="0" w:color="000000"/>
              <w:bottom w:val="single" w:sz="4" w:space="0" w:color="000000"/>
              <w:right w:val="single" w:sz="4" w:space="0" w:color="000000"/>
            </w:tcBorders>
          </w:tcPr>
          <w:p>
            <w:pPr/>
          </w:p>
        </w:tc>
        <w:tc>
          <w:tcPr>
            <w:tcW w:w="1495" w:type="dxa"/>
            <w:tcBorders>
              <w:top w:val="single" w:sz="15" w:space="0" w:color="000000"/>
              <w:left w:val="single" w:sz="4" w:space="0" w:color="000000"/>
              <w:bottom w:val="single" w:sz="4" w:space="0" w:color="000000"/>
              <w:right w:val="single" w:sz="4" w:space="0" w:color="000000"/>
            </w:tcBorders>
          </w:tcPr>
          <w:p>
            <w:pPr/>
          </w:p>
        </w:tc>
        <w:tc>
          <w:tcPr>
            <w:tcW w:w="1316" w:type="dxa"/>
            <w:tcBorders>
              <w:top w:val="single" w:sz="15" w:space="0" w:color="000000"/>
              <w:left w:val="single" w:sz="4" w:space="0" w:color="000000"/>
              <w:bottom w:val="single" w:sz="4" w:space="0" w:color="000000"/>
              <w:right w:val="single" w:sz="4" w:space="0" w:color="000000"/>
            </w:tcBorders>
          </w:tcPr>
          <w:p>
            <w:pPr/>
          </w:p>
        </w:tc>
        <w:tc>
          <w:tcPr>
            <w:tcW w:w="1317" w:type="dxa"/>
            <w:tcBorders>
              <w:top w:val="single" w:sz="15" w:space="0" w:color="000000"/>
              <w:left w:val="single" w:sz="4" w:space="0" w:color="000000"/>
              <w:bottom w:val="single" w:sz="4" w:space="0" w:color="000000"/>
              <w:right w:val="single" w:sz="4" w:space="0" w:color="000000"/>
            </w:tcBorders>
          </w:tcPr>
          <w:p>
            <w:pPr/>
          </w:p>
        </w:tc>
        <w:tc>
          <w:tcPr>
            <w:tcW w:w="244" w:type="dxa"/>
            <w:tcBorders>
              <w:top w:val="single" w:sz="15" w:space="0" w:color="000000"/>
              <w:left w:val="single" w:sz="4" w:space="0" w:color="000000"/>
              <w:bottom w:val="single" w:sz="4" w:space="0" w:color="000000"/>
              <w:right w:val="single" w:sz="4" w:space="0" w:color="000000"/>
            </w:tcBorders>
          </w:tcPr>
          <w:p>
            <w:pPr/>
          </w:p>
        </w:tc>
        <w:tc>
          <w:tcPr>
            <w:tcW w:w="1226" w:type="dxa"/>
            <w:tcBorders>
              <w:top w:val="single" w:sz="15" w:space="0" w:color="000000"/>
              <w:left w:val="single" w:sz="4" w:space="0" w:color="000000"/>
              <w:bottom w:val="single" w:sz="4" w:space="0" w:color="000000"/>
              <w:right w:val="single" w:sz="4" w:space="0" w:color="000000"/>
            </w:tcBorders>
          </w:tcPr>
          <w:p>
            <w:pPr/>
          </w:p>
        </w:tc>
        <w:tc>
          <w:tcPr>
            <w:tcW w:w="386" w:type="dxa"/>
            <w:tcBorders>
              <w:top w:val="single" w:sz="15" w:space="0" w:color="000000"/>
              <w:left w:val="single" w:sz="4" w:space="0" w:color="000000"/>
              <w:bottom w:val="single" w:sz="4" w:space="0" w:color="000000"/>
              <w:right w:val="single" w:sz="4" w:space="0" w:color="000000"/>
            </w:tcBorders>
          </w:tcPr>
          <w:p>
            <w:pPr/>
          </w:p>
        </w:tc>
        <w:tc>
          <w:tcPr>
            <w:tcW w:w="1586" w:type="dxa"/>
            <w:tcBorders>
              <w:top w:val="single" w:sz="15" w:space="0" w:color="000000"/>
              <w:left w:val="single" w:sz="4" w:space="0" w:color="000000"/>
              <w:bottom w:val="single" w:sz="4" w:space="0" w:color="000000"/>
              <w:right w:val="single" w:sz="4" w:space="0" w:color="000000"/>
            </w:tcBorders>
          </w:tcPr>
          <w:p>
            <w:pPr/>
          </w:p>
        </w:tc>
        <w:tc>
          <w:tcPr>
            <w:tcW w:w="1316" w:type="dxa"/>
            <w:tcBorders>
              <w:top w:val="single" w:sz="15" w:space="0" w:color="000000"/>
              <w:left w:val="single" w:sz="4" w:space="0" w:color="000000"/>
              <w:bottom w:val="single" w:sz="4" w:space="0" w:color="000000"/>
              <w:right w:val="single" w:sz="4" w:space="0" w:color="000000"/>
            </w:tcBorders>
          </w:tcPr>
          <w:p>
            <w:pPr/>
          </w:p>
        </w:tc>
        <w:tc>
          <w:tcPr>
            <w:tcW w:w="158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．本期提取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．本期使用</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-670,056.41</w:t>
            </w: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-670,056.41</w:t>
            </w:r>
          </w:p>
        </w:tc>
      </w:tr>
      <w:tr>
        <w:trPr>
          <w:trHeight w:val="402" w:hRule="exact"/>
        </w:trPr>
        <w:tc>
          <w:tcPr>
            <w:tcW w:w="1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sz w:val="18"/>
              </w:rPr>
              <w:t>771,998,250.00</w:t>
            </w:r>
          </w:p>
        </w:tc>
        <w:tc>
          <w:tcPr>
            <w:tcW w:w="236"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2,645,470,704.71</w:t>
            </w:r>
          </w:p>
        </w:tc>
        <w:tc>
          <w:tcPr>
            <w:tcW w:w="131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-20,321,019.18</w:t>
            </w:r>
          </w:p>
        </w:tc>
        <w:tc>
          <w:tcPr>
            <w:tcW w:w="24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30,930,203.91</w:t>
            </w:r>
          </w:p>
        </w:tc>
        <w:tc>
          <w:tcPr>
            <w:tcW w:w="386"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-1,248,482,428.43</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-3,467,703.89</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2,176,128,007.12</w:t>
            </w:r>
          </w:p>
        </w:tc>
      </w:tr>
    </w:tbl>
    <w:p>
      <w:pPr>
        <w:spacing w:before="51"/>
        <w:ind w:left="140" w:right="5438"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1610"/>
        <w:gridCol w:w="1328"/>
        <w:gridCol w:w="293"/>
        <w:gridCol w:w="293"/>
        <w:gridCol w:w="296"/>
        <w:gridCol w:w="1496"/>
        <w:gridCol w:w="1315"/>
        <w:gridCol w:w="1137"/>
        <w:gridCol w:w="491"/>
        <w:gridCol w:w="1226"/>
        <w:gridCol w:w="491"/>
        <w:gridCol w:w="1316"/>
        <w:gridCol w:w="1225"/>
        <w:gridCol w:w="1497"/>
      </w:tblGrid>
      <w:tr>
        <w:trPr>
          <w:trHeight w:val="402" w:hRule="exact"/>
        </w:trPr>
        <w:tc>
          <w:tcPr>
            <w:tcW w:w="1610" w:type="dxa"/>
            <w:vMerge w:val="restart"/>
            <w:tcBorders>
              <w:top w:val="single" w:sz="4" w:space="0" w:color="000000"/>
              <w:left w:val="single" w:sz="4" w:space="0" w:color="000000"/>
              <w:right w:val="single" w:sz="4" w:space="0" w:color="000000"/>
            </w:tcBorders>
            <w:shd w:val="clear" w:color="auto" w:fill="D2D2D2"/>
          </w:tcPr>
          <w:p>
            <w:pPr/>
          </w:p>
        </w:tc>
        <w:tc>
          <w:tcPr>
            <w:tcW w:w="12405"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610" w:type="dxa"/>
            <w:vMerge/>
            <w:tcBorders>
              <w:left w:val="single" w:sz="4" w:space="0" w:color="000000"/>
              <w:right w:val="single" w:sz="4" w:space="0" w:color="000000"/>
            </w:tcBorders>
            <w:shd w:val="clear" w:color="auto" w:fill="D2D2D2"/>
          </w:tcPr>
          <w:p>
            <w:pPr/>
          </w:p>
        </w:tc>
        <w:tc>
          <w:tcPr>
            <w:tcW w:w="968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25" w:type="dxa"/>
            <w:vMerge w:val="restart"/>
            <w:tcBorders>
              <w:top w:val="single" w:sz="4" w:space="0" w:color="000000"/>
              <w:left w:val="single" w:sz="4" w:space="0" w:color="000000"/>
              <w:right w:val="single" w:sz="4" w:space="0" w:color="000000"/>
            </w:tcBorders>
            <w:shd w:val="clear" w:color="auto" w:fill="D2D2D2"/>
          </w:tcPr>
          <w:p>
            <w:pPr/>
          </w:p>
        </w:tc>
        <w:tc>
          <w:tcPr>
            <w:tcW w:w="1497" w:type="dxa"/>
            <w:vMerge w:val="restart"/>
            <w:tcBorders>
              <w:top w:val="single" w:sz="4" w:space="0" w:color="000000"/>
              <w:left w:val="single" w:sz="4" w:space="0" w:color="000000"/>
              <w:right w:val="single" w:sz="4" w:space="0" w:color="000000"/>
            </w:tcBorders>
            <w:shd w:val="clear" w:color="auto" w:fill="D2D2D2"/>
          </w:tcPr>
          <w:p>
            <w:pPr/>
          </w:p>
        </w:tc>
      </w:tr>
      <w:tr>
        <w:trPr>
          <w:trHeight w:val="272" w:hRule="exact"/>
        </w:trPr>
        <w:tc>
          <w:tcPr>
            <w:tcW w:w="1610" w:type="dxa"/>
            <w:vMerge/>
            <w:tcBorders>
              <w:left w:val="single" w:sz="4" w:space="0" w:color="000000"/>
              <w:bottom w:val="nil" w:sz="6" w:space="0" w:color="auto"/>
              <w:right w:val="single" w:sz="4" w:space="0" w:color="000000"/>
            </w:tcBorders>
            <w:shd w:val="clear" w:color="auto" w:fill="D2D2D2"/>
          </w:tcPr>
          <w:p>
            <w:pPr/>
          </w:p>
        </w:tc>
        <w:tc>
          <w:tcPr>
            <w:tcW w:w="1328" w:type="dxa"/>
            <w:vMerge w:val="restart"/>
            <w:tcBorders>
              <w:top w:val="single" w:sz="4" w:space="0" w:color="000000"/>
              <w:left w:val="single" w:sz="4" w:space="0" w:color="000000"/>
              <w:right w:val="single" w:sz="4" w:space="0" w:color="000000"/>
            </w:tcBorders>
            <w:shd w:val="clear" w:color="auto" w:fill="D2D2D2"/>
          </w:tcPr>
          <w:p>
            <w:pPr/>
          </w:p>
        </w:tc>
        <w:tc>
          <w:tcPr>
            <w:tcW w:w="8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55" w:right="74" w:hanging="180"/>
              <w:jc w:val="left"/>
              <w:rPr>
                <w:rFonts w:ascii="宋体" w:hAnsi="宋体" w:cs="宋体" w:eastAsia="宋体" w:hint="default"/>
                <w:sz w:val="18"/>
                <w:szCs w:val="18"/>
              </w:rPr>
            </w:pPr>
            <w:r>
              <w:rPr>
                <w:rFonts w:ascii="宋体" w:hAnsi="宋体" w:cs="宋体" w:eastAsia="宋体" w:hint="default"/>
                <w:sz w:val="18"/>
                <w:szCs w:val="18"/>
              </w:rPr>
              <w:t>其他权益 工具</w:t>
            </w:r>
          </w:p>
        </w:tc>
        <w:tc>
          <w:tcPr>
            <w:tcW w:w="1496" w:type="dxa"/>
            <w:vMerge w:val="restart"/>
            <w:tcBorders>
              <w:top w:val="single" w:sz="4" w:space="0" w:color="000000"/>
              <w:left w:val="single" w:sz="4" w:space="0" w:color="000000"/>
              <w:right w:val="single" w:sz="4" w:space="0" w:color="000000"/>
            </w:tcBorders>
            <w:shd w:val="clear" w:color="auto" w:fill="D2D2D2"/>
          </w:tcPr>
          <w:p>
            <w:pPr/>
          </w:p>
        </w:tc>
        <w:tc>
          <w:tcPr>
            <w:tcW w:w="1315" w:type="dxa"/>
            <w:vMerge w:val="restart"/>
            <w:tcBorders>
              <w:top w:val="single" w:sz="4" w:space="0" w:color="000000"/>
              <w:left w:val="single" w:sz="4" w:space="0" w:color="000000"/>
              <w:right w:val="single" w:sz="4" w:space="0" w:color="000000"/>
            </w:tcBorders>
            <w:shd w:val="clear" w:color="auto" w:fill="D2D2D2"/>
          </w:tcPr>
          <w:p>
            <w:pPr/>
          </w:p>
        </w:tc>
        <w:tc>
          <w:tcPr>
            <w:tcW w:w="1137" w:type="dxa"/>
            <w:vMerge w:val="restart"/>
            <w:tcBorders>
              <w:top w:val="single" w:sz="4" w:space="0" w:color="000000"/>
              <w:left w:val="single" w:sz="4" w:space="0" w:color="000000"/>
              <w:right w:val="single" w:sz="4" w:space="0" w:color="000000"/>
            </w:tcBorders>
            <w:shd w:val="clear" w:color="auto" w:fill="D2D2D2"/>
          </w:tcPr>
          <w:p>
            <w:pPr/>
          </w:p>
        </w:tc>
        <w:tc>
          <w:tcPr>
            <w:tcW w:w="491" w:type="dxa"/>
            <w:vMerge w:val="restart"/>
            <w:tcBorders>
              <w:top w:val="single" w:sz="4" w:space="0" w:color="000000"/>
              <w:left w:val="single" w:sz="4" w:space="0" w:color="000000"/>
              <w:right w:val="single" w:sz="4" w:space="0" w:color="000000"/>
            </w:tcBorders>
            <w:shd w:val="clear" w:color="auto" w:fill="D2D2D2"/>
          </w:tcPr>
          <w:p>
            <w:pPr/>
          </w:p>
        </w:tc>
        <w:tc>
          <w:tcPr>
            <w:tcW w:w="1226" w:type="dxa"/>
            <w:vMerge w:val="restart"/>
            <w:tcBorders>
              <w:top w:val="single" w:sz="4" w:space="0" w:color="000000"/>
              <w:left w:val="single" w:sz="4" w:space="0" w:color="000000"/>
              <w:right w:val="single" w:sz="4" w:space="0" w:color="000000"/>
            </w:tcBorders>
            <w:shd w:val="clear" w:color="auto" w:fill="D2D2D2"/>
          </w:tcPr>
          <w:p>
            <w:pPr/>
          </w:p>
        </w:tc>
        <w:tc>
          <w:tcPr>
            <w:tcW w:w="491" w:type="dxa"/>
            <w:vMerge w:val="restart"/>
            <w:tcBorders>
              <w:top w:val="single" w:sz="4" w:space="0" w:color="000000"/>
              <w:left w:val="single" w:sz="4" w:space="0" w:color="000000"/>
              <w:right w:val="single" w:sz="4" w:space="0" w:color="000000"/>
            </w:tcBorders>
            <w:shd w:val="clear" w:color="auto" w:fill="D2D2D2"/>
          </w:tcPr>
          <w:p>
            <w:pPr/>
          </w:p>
        </w:tc>
        <w:tc>
          <w:tcPr>
            <w:tcW w:w="1316" w:type="dxa"/>
            <w:vMerge w:val="restart"/>
            <w:tcBorders>
              <w:top w:val="single" w:sz="4" w:space="0" w:color="000000"/>
              <w:left w:val="single" w:sz="4" w:space="0" w:color="000000"/>
              <w:right w:val="single" w:sz="4" w:space="0" w:color="000000"/>
            </w:tcBorders>
            <w:shd w:val="clear" w:color="auto" w:fill="D2D2D2"/>
          </w:tcPr>
          <w:p>
            <w:pPr/>
          </w:p>
        </w:tc>
        <w:tc>
          <w:tcPr>
            <w:tcW w:w="1225" w:type="dxa"/>
            <w:vMerge/>
            <w:tcBorders>
              <w:left w:val="single" w:sz="4" w:space="0" w:color="000000"/>
              <w:right w:val="single" w:sz="4" w:space="0" w:color="000000"/>
            </w:tcBorders>
            <w:shd w:val="clear" w:color="auto" w:fill="D2D2D2"/>
          </w:tcPr>
          <w:p>
            <w:pPr/>
          </w:p>
        </w:tc>
        <w:tc>
          <w:tcPr>
            <w:tcW w:w="1497" w:type="dxa"/>
            <w:vMerge/>
            <w:tcBorders>
              <w:left w:val="single" w:sz="4" w:space="0" w:color="000000"/>
              <w:right w:val="single" w:sz="4" w:space="0" w:color="000000"/>
            </w:tcBorders>
            <w:shd w:val="clear" w:color="auto" w:fill="D2D2D2"/>
          </w:tcPr>
          <w:p>
            <w:pPr/>
          </w:p>
        </w:tc>
      </w:tr>
      <w:tr>
        <w:trPr>
          <w:trHeight w:val="90" w:hRule="exact"/>
        </w:trPr>
        <w:tc>
          <w:tcPr>
            <w:tcW w:w="16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28" w:type="dxa"/>
            <w:vMerge/>
            <w:tcBorders>
              <w:left w:val="single" w:sz="4" w:space="0" w:color="000000"/>
              <w:right w:val="single" w:sz="4" w:space="0" w:color="000000"/>
            </w:tcBorders>
            <w:shd w:val="clear" w:color="auto" w:fill="D2D2D2"/>
          </w:tcPr>
          <w:p>
            <w:pPr/>
          </w:p>
        </w:tc>
        <w:tc>
          <w:tcPr>
            <w:tcW w:w="882" w:type="dxa"/>
            <w:gridSpan w:val="3"/>
            <w:vMerge/>
            <w:tcBorders>
              <w:left w:val="single" w:sz="4" w:space="0" w:color="000000"/>
              <w:right w:val="single" w:sz="4" w:space="0" w:color="000000"/>
            </w:tcBorders>
            <w:shd w:val="clear" w:color="auto" w:fill="D2D2D2"/>
          </w:tcPr>
          <w:p>
            <w:pPr/>
          </w:p>
        </w:tc>
        <w:tc>
          <w:tcPr>
            <w:tcW w:w="1496" w:type="dxa"/>
            <w:vMerge/>
            <w:tcBorders>
              <w:left w:val="single" w:sz="4" w:space="0" w:color="000000"/>
              <w:right w:val="single" w:sz="4" w:space="0" w:color="000000"/>
            </w:tcBorders>
            <w:shd w:val="clear" w:color="auto" w:fill="D2D2D2"/>
          </w:tcPr>
          <w:p>
            <w:pPr/>
          </w:p>
        </w:tc>
        <w:tc>
          <w:tcPr>
            <w:tcW w:w="1315" w:type="dxa"/>
            <w:vMerge/>
            <w:tcBorders>
              <w:left w:val="single" w:sz="4" w:space="0" w:color="000000"/>
              <w:right w:val="single" w:sz="4" w:space="0" w:color="000000"/>
            </w:tcBorders>
            <w:shd w:val="clear" w:color="auto" w:fill="D2D2D2"/>
          </w:tcPr>
          <w:p>
            <w:pPr/>
          </w:p>
        </w:tc>
        <w:tc>
          <w:tcPr>
            <w:tcW w:w="1137" w:type="dxa"/>
            <w:vMerge/>
            <w:tcBorders>
              <w:left w:val="single" w:sz="4" w:space="0" w:color="000000"/>
              <w:right w:val="single" w:sz="4" w:space="0" w:color="000000"/>
            </w:tcBorders>
            <w:shd w:val="clear" w:color="auto" w:fill="D2D2D2"/>
          </w:tcPr>
          <w:p>
            <w:pPr/>
          </w:p>
        </w:tc>
        <w:tc>
          <w:tcPr>
            <w:tcW w:w="491" w:type="dxa"/>
            <w:vMerge/>
            <w:tcBorders>
              <w:left w:val="single" w:sz="4" w:space="0" w:color="000000"/>
              <w:right w:val="single" w:sz="4" w:space="0" w:color="000000"/>
            </w:tcBorders>
            <w:shd w:val="clear" w:color="auto" w:fill="D2D2D2"/>
          </w:tcPr>
          <w:p>
            <w:pPr/>
          </w:p>
        </w:tc>
        <w:tc>
          <w:tcPr>
            <w:tcW w:w="1226" w:type="dxa"/>
            <w:vMerge/>
            <w:tcBorders>
              <w:left w:val="single" w:sz="4" w:space="0" w:color="000000"/>
              <w:right w:val="single" w:sz="4" w:space="0" w:color="000000"/>
            </w:tcBorders>
            <w:shd w:val="clear" w:color="auto" w:fill="D2D2D2"/>
          </w:tcPr>
          <w:p>
            <w:pPr/>
          </w:p>
        </w:tc>
        <w:tc>
          <w:tcPr>
            <w:tcW w:w="491" w:type="dxa"/>
            <w:vMerge/>
            <w:tcBorders>
              <w:left w:val="single" w:sz="4" w:space="0" w:color="000000"/>
              <w:bottom w:val="nil" w:sz="6" w:space="0" w:color="auto"/>
              <w:right w:val="single" w:sz="4" w:space="0" w:color="000000"/>
            </w:tcBorders>
            <w:shd w:val="clear" w:color="auto" w:fill="D2D2D2"/>
          </w:tcPr>
          <w:p>
            <w:pPr/>
          </w:p>
        </w:tc>
        <w:tc>
          <w:tcPr>
            <w:tcW w:w="1316" w:type="dxa"/>
            <w:vMerge/>
            <w:tcBorders>
              <w:left w:val="single" w:sz="4" w:space="0" w:color="000000"/>
              <w:right w:val="single" w:sz="4" w:space="0" w:color="000000"/>
            </w:tcBorders>
            <w:shd w:val="clear" w:color="auto" w:fill="D2D2D2"/>
          </w:tcPr>
          <w:p>
            <w:pPr/>
          </w:p>
        </w:tc>
        <w:tc>
          <w:tcPr>
            <w:tcW w:w="1225" w:type="dxa"/>
            <w:vMerge/>
            <w:tcBorders>
              <w:left w:val="single" w:sz="4" w:space="0" w:color="000000"/>
              <w:right w:val="single" w:sz="4" w:space="0" w:color="000000"/>
            </w:tcBorders>
            <w:shd w:val="clear" w:color="auto" w:fill="D2D2D2"/>
          </w:tcPr>
          <w:p>
            <w:pPr/>
          </w:p>
        </w:tc>
        <w:tc>
          <w:tcPr>
            <w:tcW w:w="1497" w:type="dxa"/>
            <w:vMerge/>
            <w:tcBorders>
              <w:left w:val="single" w:sz="4" w:space="0" w:color="000000"/>
              <w:right w:val="single" w:sz="4" w:space="0" w:color="000000"/>
            </w:tcBorders>
            <w:shd w:val="clear" w:color="auto" w:fill="D2D2D2"/>
          </w:tcPr>
          <w:p>
            <w:pPr/>
          </w:p>
        </w:tc>
      </w:tr>
      <w:tr>
        <w:trPr>
          <w:trHeight w:val="134" w:hRule="exact"/>
        </w:trPr>
        <w:tc>
          <w:tcPr>
            <w:tcW w:w="1610" w:type="dxa"/>
            <w:vMerge/>
            <w:tcBorders>
              <w:left w:val="single" w:sz="4" w:space="0" w:color="000000"/>
              <w:right w:val="single" w:sz="4" w:space="0" w:color="000000"/>
            </w:tcBorders>
            <w:shd w:val="clear" w:color="auto" w:fill="D2D2D2"/>
          </w:tcPr>
          <w:p>
            <w:pPr/>
          </w:p>
        </w:tc>
        <w:tc>
          <w:tcPr>
            <w:tcW w:w="1328" w:type="dxa"/>
            <w:vMerge/>
            <w:tcBorders>
              <w:left w:val="single" w:sz="4" w:space="0" w:color="000000"/>
              <w:right w:val="single" w:sz="4" w:space="0" w:color="000000"/>
            </w:tcBorders>
            <w:shd w:val="clear" w:color="auto" w:fill="D2D2D2"/>
          </w:tcPr>
          <w:p>
            <w:pPr/>
          </w:p>
        </w:tc>
        <w:tc>
          <w:tcPr>
            <w:tcW w:w="882" w:type="dxa"/>
            <w:gridSpan w:val="3"/>
            <w:vMerge/>
            <w:tcBorders>
              <w:left w:val="single" w:sz="4" w:space="0" w:color="000000"/>
              <w:right w:val="single" w:sz="4" w:space="0" w:color="000000"/>
            </w:tcBorders>
            <w:shd w:val="clear" w:color="auto" w:fill="D2D2D2"/>
          </w:tcPr>
          <w:p>
            <w:pPr/>
          </w:p>
        </w:tc>
        <w:tc>
          <w:tcPr>
            <w:tcW w:w="1496" w:type="dxa"/>
            <w:vMerge/>
            <w:tcBorders>
              <w:left w:val="single" w:sz="4" w:space="0" w:color="000000"/>
              <w:right w:val="single" w:sz="4" w:space="0" w:color="000000"/>
            </w:tcBorders>
            <w:shd w:val="clear" w:color="auto" w:fill="D2D2D2"/>
          </w:tcPr>
          <w:p>
            <w:pPr/>
          </w:p>
        </w:tc>
        <w:tc>
          <w:tcPr>
            <w:tcW w:w="1315" w:type="dxa"/>
            <w:vMerge/>
            <w:tcBorders>
              <w:left w:val="single" w:sz="4" w:space="0" w:color="000000"/>
              <w:right w:val="single" w:sz="4" w:space="0" w:color="000000"/>
            </w:tcBorders>
            <w:shd w:val="clear" w:color="auto" w:fill="D2D2D2"/>
          </w:tcPr>
          <w:p>
            <w:pPr/>
          </w:p>
        </w:tc>
        <w:tc>
          <w:tcPr>
            <w:tcW w:w="1137" w:type="dxa"/>
            <w:vMerge/>
            <w:tcBorders>
              <w:left w:val="single" w:sz="4" w:space="0" w:color="000000"/>
              <w:right w:val="single" w:sz="4" w:space="0" w:color="000000"/>
            </w:tcBorders>
            <w:shd w:val="clear" w:color="auto" w:fill="D2D2D2"/>
          </w:tcPr>
          <w:p>
            <w:pPr/>
          </w:p>
        </w:tc>
        <w:tc>
          <w:tcPr>
            <w:tcW w:w="491" w:type="dxa"/>
            <w:vMerge/>
            <w:tcBorders>
              <w:left w:val="single" w:sz="4" w:space="0" w:color="000000"/>
              <w:bottom w:val="nil" w:sz="6" w:space="0" w:color="auto"/>
              <w:right w:val="single" w:sz="4" w:space="0" w:color="000000"/>
            </w:tcBorders>
            <w:shd w:val="clear" w:color="auto" w:fill="D2D2D2"/>
          </w:tcPr>
          <w:p>
            <w:pPr/>
          </w:p>
        </w:tc>
        <w:tc>
          <w:tcPr>
            <w:tcW w:w="1226" w:type="dxa"/>
            <w:vMerge/>
            <w:tcBorders>
              <w:left w:val="single" w:sz="4" w:space="0" w:color="000000"/>
              <w:right w:val="single" w:sz="4" w:space="0" w:color="000000"/>
            </w:tcBorders>
            <w:shd w:val="clear" w:color="auto" w:fill="D2D2D2"/>
          </w:tcPr>
          <w:p>
            <w:pPr/>
          </w:p>
        </w:tc>
        <w:tc>
          <w:tcPr>
            <w:tcW w:w="49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9" w:right="59"/>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1316" w:type="dxa"/>
            <w:vMerge/>
            <w:tcBorders>
              <w:left w:val="single" w:sz="4" w:space="0" w:color="000000"/>
              <w:right w:val="single" w:sz="4" w:space="0" w:color="000000"/>
            </w:tcBorders>
            <w:shd w:val="clear" w:color="auto" w:fill="D2D2D2"/>
          </w:tcPr>
          <w:p>
            <w:pPr/>
          </w:p>
        </w:tc>
        <w:tc>
          <w:tcPr>
            <w:tcW w:w="1225" w:type="dxa"/>
            <w:vMerge/>
            <w:tcBorders>
              <w:left w:val="single" w:sz="4" w:space="0" w:color="000000"/>
              <w:bottom w:val="nil" w:sz="6" w:space="0" w:color="auto"/>
              <w:right w:val="single" w:sz="4" w:space="0" w:color="000000"/>
            </w:tcBorders>
            <w:shd w:val="clear" w:color="auto" w:fill="D2D2D2"/>
          </w:tcPr>
          <w:p>
            <w:pPr/>
          </w:p>
        </w:tc>
        <w:tc>
          <w:tcPr>
            <w:tcW w:w="1497" w:type="dxa"/>
            <w:vMerge/>
            <w:tcBorders>
              <w:left w:val="single" w:sz="4" w:space="0" w:color="000000"/>
              <w:bottom w:val="nil" w:sz="6" w:space="0" w:color="auto"/>
              <w:right w:val="single" w:sz="4" w:space="0" w:color="000000"/>
            </w:tcBorders>
            <w:shd w:val="clear" w:color="auto" w:fill="D2D2D2"/>
          </w:tcPr>
          <w:p>
            <w:pPr/>
          </w:p>
        </w:tc>
      </w:tr>
      <w:tr>
        <w:trPr>
          <w:trHeight w:val="176" w:hRule="exact"/>
        </w:trPr>
        <w:tc>
          <w:tcPr>
            <w:tcW w:w="1610" w:type="dxa"/>
            <w:vMerge/>
            <w:tcBorders>
              <w:left w:val="single" w:sz="4" w:space="0" w:color="000000"/>
              <w:bottom w:val="nil" w:sz="6" w:space="0" w:color="auto"/>
              <w:right w:val="single" w:sz="4" w:space="0" w:color="000000"/>
            </w:tcBorders>
            <w:shd w:val="clear" w:color="auto" w:fill="D2D2D2"/>
          </w:tcPr>
          <w:p>
            <w:pPr/>
          </w:p>
        </w:tc>
        <w:tc>
          <w:tcPr>
            <w:tcW w:w="1328" w:type="dxa"/>
            <w:vMerge/>
            <w:tcBorders>
              <w:left w:val="single" w:sz="4" w:space="0" w:color="000000"/>
              <w:bottom w:val="nil" w:sz="6" w:space="0" w:color="auto"/>
              <w:right w:val="single" w:sz="4" w:space="0" w:color="000000"/>
            </w:tcBorders>
            <w:shd w:val="clear" w:color="auto" w:fill="D2D2D2"/>
          </w:tcPr>
          <w:p>
            <w:pPr/>
          </w:p>
        </w:tc>
        <w:tc>
          <w:tcPr>
            <w:tcW w:w="882" w:type="dxa"/>
            <w:gridSpan w:val="3"/>
            <w:vMerge/>
            <w:tcBorders>
              <w:left w:val="single" w:sz="4" w:space="0" w:color="000000"/>
              <w:bottom w:val="single" w:sz="4" w:space="0" w:color="000000"/>
              <w:right w:val="single" w:sz="4" w:space="0" w:color="000000"/>
            </w:tcBorders>
            <w:shd w:val="clear" w:color="auto" w:fill="D2D2D2"/>
          </w:tcPr>
          <w:p>
            <w:pPr/>
          </w:p>
        </w:tc>
        <w:tc>
          <w:tcPr>
            <w:tcW w:w="1496" w:type="dxa"/>
            <w:vMerge/>
            <w:tcBorders>
              <w:left w:val="single" w:sz="4" w:space="0" w:color="000000"/>
              <w:bottom w:val="nil" w:sz="6" w:space="0" w:color="auto"/>
              <w:right w:val="single" w:sz="4" w:space="0" w:color="000000"/>
            </w:tcBorders>
            <w:shd w:val="clear" w:color="auto" w:fill="D2D2D2"/>
          </w:tcPr>
          <w:p>
            <w:pPr/>
          </w:p>
        </w:tc>
        <w:tc>
          <w:tcPr>
            <w:tcW w:w="1315" w:type="dxa"/>
            <w:vMerge/>
            <w:tcBorders>
              <w:left w:val="single" w:sz="4" w:space="0" w:color="000000"/>
              <w:bottom w:val="nil" w:sz="6" w:space="0" w:color="auto"/>
              <w:right w:val="single" w:sz="4" w:space="0" w:color="000000"/>
            </w:tcBorders>
            <w:shd w:val="clear" w:color="auto" w:fill="D2D2D2"/>
          </w:tcPr>
          <w:p>
            <w:pPr/>
          </w:p>
        </w:tc>
        <w:tc>
          <w:tcPr>
            <w:tcW w:w="1137" w:type="dxa"/>
            <w:vMerge/>
            <w:tcBorders>
              <w:left w:val="single" w:sz="4" w:space="0" w:color="000000"/>
              <w:bottom w:val="nil" w:sz="6" w:space="0" w:color="auto"/>
              <w:right w:val="single" w:sz="4" w:space="0" w:color="000000"/>
            </w:tcBorders>
            <w:shd w:val="clear" w:color="auto" w:fill="D2D2D2"/>
          </w:tcPr>
          <w:p>
            <w:pPr/>
          </w:p>
        </w:tc>
        <w:tc>
          <w:tcPr>
            <w:tcW w:w="49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3"/>
              <w:ind w:left="59" w:right="59"/>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226" w:type="dxa"/>
            <w:vMerge/>
            <w:tcBorders>
              <w:left w:val="single" w:sz="4" w:space="0" w:color="000000"/>
              <w:bottom w:val="nil" w:sz="6" w:space="0" w:color="auto"/>
              <w:right w:val="single" w:sz="4" w:space="0" w:color="000000"/>
            </w:tcBorders>
            <w:shd w:val="clear" w:color="auto" w:fill="D2D2D2"/>
          </w:tcPr>
          <w:p>
            <w:pPr/>
          </w:p>
        </w:tc>
        <w:tc>
          <w:tcPr>
            <w:tcW w:w="491" w:type="dxa"/>
            <w:vMerge/>
            <w:tcBorders>
              <w:left w:val="single" w:sz="4" w:space="0" w:color="000000"/>
              <w:right w:val="single" w:sz="4" w:space="0" w:color="000000"/>
            </w:tcBorders>
            <w:shd w:val="clear" w:color="auto" w:fill="D2D2D2"/>
          </w:tcPr>
          <w:p>
            <w:pPr/>
          </w:p>
        </w:tc>
        <w:tc>
          <w:tcPr>
            <w:tcW w:w="1316" w:type="dxa"/>
            <w:vMerge/>
            <w:tcBorders>
              <w:left w:val="single" w:sz="4" w:space="0" w:color="000000"/>
              <w:bottom w:val="nil" w:sz="6" w:space="0" w:color="auto"/>
              <w:right w:val="single" w:sz="4" w:space="0" w:color="000000"/>
            </w:tcBorders>
            <w:shd w:val="clear" w:color="auto" w:fill="D2D2D2"/>
          </w:tcPr>
          <w:p>
            <w:pPr/>
          </w:p>
        </w:tc>
        <w:tc>
          <w:tcPr>
            <w:tcW w:w="122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9"/>
              <w:ind w:left="67"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4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9"/>
              <w:ind w:left="11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97" w:hRule="exact"/>
        </w:trPr>
        <w:tc>
          <w:tcPr>
            <w:tcW w:w="1610" w:type="dxa"/>
            <w:vMerge w:val="restart"/>
            <w:tcBorders>
              <w:top w:val="nil" w:sz="6" w:space="0" w:color="auto"/>
              <w:left w:val="single" w:sz="4" w:space="0" w:color="000000"/>
              <w:right w:val="single" w:sz="4" w:space="0" w:color="000000"/>
            </w:tcBorders>
            <w:shd w:val="clear" w:color="auto" w:fill="D2D2D2"/>
          </w:tcPr>
          <w:p>
            <w:pPr/>
          </w:p>
        </w:tc>
        <w:tc>
          <w:tcPr>
            <w:tcW w:w="13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29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51" w:right="49"/>
              <w:jc w:val="both"/>
              <w:rPr>
                <w:rFonts w:ascii="宋体" w:hAnsi="宋体" w:cs="宋体" w:eastAsia="宋体" w:hint="default"/>
                <w:sz w:val="18"/>
                <w:szCs w:val="18"/>
              </w:rPr>
            </w:pPr>
            <w:r>
              <w:rPr>
                <w:rFonts w:ascii="宋体" w:hAnsi="宋体" w:cs="宋体" w:eastAsia="宋体" w:hint="default"/>
                <w:sz w:val="18"/>
                <w:szCs w:val="18"/>
              </w:rPr>
              <w:t>优 先 股</w:t>
            </w:r>
          </w:p>
        </w:tc>
        <w:tc>
          <w:tcPr>
            <w:tcW w:w="29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51" w:right="49"/>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4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38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3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0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3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491" w:type="dxa"/>
            <w:vMerge/>
            <w:tcBorders>
              <w:left w:val="single" w:sz="4" w:space="0" w:color="000000"/>
              <w:right w:val="single" w:sz="4" w:space="0" w:color="000000"/>
            </w:tcBorders>
            <w:shd w:val="clear" w:color="auto" w:fill="D2D2D2"/>
          </w:tcPr>
          <w:p>
            <w:pPr/>
          </w:p>
        </w:tc>
        <w:tc>
          <w:tcPr>
            <w:tcW w:w="12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4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491" w:type="dxa"/>
            <w:vMerge/>
            <w:tcBorders>
              <w:left w:val="single" w:sz="4" w:space="0" w:color="000000"/>
              <w:right w:val="single" w:sz="4" w:space="0" w:color="000000"/>
            </w:tcBorders>
            <w:shd w:val="clear" w:color="auto" w:fill="D2D2D2"/>
          </w:tcPr>
          <w:p>
            <w:pPr/>
          </w:p>
        </w:tc>
        <w:tc>
          <w:tcPr>
            <w:tcW w:w="131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25" w:type="dxa"/>
            <w:vMerge/>
            <w:tcBorders>
              <w:left w:val="single" w:sz="4" w:space="0" w:color="000000"/>
              <w:bottom w:val="nil" w:sz="6" w:space="0" w:color="auto"/>
              <w:right w:val="single" w:sz="4" w:space="0" w:color="000000"/>
            </w:tcBorders>
            <w:shd w:val="clear" w:color="auto" w:fill="D2D2D2"/>
          </w:tcPr>
          <w:p>
            <w:pPr/>
          </w:p>
        </w:tc>
        <w:tc>
          <w:tcPr>
            <w:tcW w:w="1497" w:type="dxa"/>
            <w:vMerge/>
            <w:tcBorders>
              <w:left w:val="single" w:sz="4" w:space="0" w:color="000000"/>
              <w:bottom w:val="nil" w:sz="6" w:space="0" w:color="auto"/>
              <w:right w:val="single" w:sz="4" w:space="0" w:color="000000"/>
            </w:tcBorders>
            <w:shd w:val="clear" w:color="auto" w:fill="D2D2D2"/>
          </w:tcPr>
          <w:p>
            <w:pPr/>
          </w:p>
        </w:tc>
      </w:tr>
      <w:tr>
        <w:trPr>
          <w:trHeight w:val="196" w:hRule="exact"/>
        </w:trPr>
        <w:tc>
          <w:tcPr>
            <w:tcW w:w="1610" w:type="dxa"/>
            <w:vMerge/>
            <w:tcBorders>
              <w:left w:val="single" w:sz="4" w:space="0" w:color="000000"/>
              <w:right w:val="single" w:sz="4" w:space="0" w:color="000000"/>
            </w:tcBorders>
            <w:shd w:val="clear" w:color="auto" w:fill="D2D2D2"/>
          </w:tcPr>
          <w:p>
            <w:pPr/>
          </w:p>
        </w:tc>
        <w:tc>
          <w:tcPr>
            <w:tcW w:w="1328" w:type="dxa"/>
            <w:vMerge/>
            <w:tcBorders>
              <w:left w:val="single" w:sz="4" w:space="0" w:color="000000"/>
              <w:bottom w:val="nil" w:sz="6" w:space="0" w:color="auto"/>
              <w:right w:val="single" w:sz="4" w:space="0" w:color="000000"/>
            </w:tcBorders>
            <w:shd w:val="clear" w:color="auto" w:fill="D2D2D2"/>
          </w:tcPr>
          <w:p>
            <w:pPr/>
          </w:p>
        </w:tc>
        <w:tc>
          <w:tcPr>
            <w:tcW w:w="293" w:type="dxa"/>
            <w:vMerge/>
            <w:tcBorders>
              <w:left w:val="single" w:sz="4" w:space="0" w:color="000000"/>
              <w:right w:val="single" w:sz="4" w:space="0" w:color="000000"/>
            </w:tcBorders>
            <w:shd w:val="clear" w:color="auto" w:fill="D2D2D2"/>
          </w:tcPr>
          <w:p>
            <w:pPr/>
          </w:p>
        </w:tc>
        <w:tc>
          <w:tcPr>
            <w:tcW w:w="293" w:type="dxa"/>
            <w:vMerge/>
            <w:tcBorders>
              <w:left w:val="single" w:sz="4" w:space="0" w:color="000000"/>
              <w:right w:val="single" w:sz="4" w:space="0" w:color="000000"/>
            </w:tcBorders>
            <w:shd w:val="clear" w:color="auto" w:fill="D2D2D2"/>
          </w:tcPr>
          <w:p>
            <w:pPr/>
          </w:p>
        </w:tc>
        <w:tc>
          <w:tcPr>
            <w:tcW w:w="29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6"/>
              <w:ind w:left="53" w:right="50"/>
              <w:jc w:val="left"/>
              <w:rPr>
                <w:rFonts w:ascii="宋体" w:hAnsi="宋体" w:cs="宋体" w:eastAsia="宋体" w:hint="default"/>
                <w:sz w:val="18"/>
                <w:szCs w:val="18"/>
              </w:rPr>
            </w:pPr>
            <w:r>
              <w:rPr>
                <w:rFonts w:ascii="宋体" w:hAnsi="宋体" w:cs="宋体" w:eastAsia="宋体" w:hint="default"/>
                <w:sz w:val="18"/>
                <w:szCs w:val="18"/>
              </w:rPr>
              <w:t>其 他</w:t>
            </w:r>
          </w:p>
        </w:tc>
        <w:tc>
          <w:tcPr>
            <w:tcW w:w="1496" w:type="dxa"/>
            <w:vMerge/>
            <w:tcBorders>
              <w:left w:val="single" w:sz="4" w:space="0" w:color="000000"/>
              <w:bottom w:val="nil" w:sz="6" w:space="0" w:color="auto"/>
              <w:right w:val="single" w:sz="4" w:space="0" w:color="000000"/>
            </w:tcBorders>
            <w:shd w:val="clear" w:color="auto" w:fill="D2D2D2"/>
          </w:tcPr>
          <w:p>
            <w:pPr/>
          </w:p>
        </w:tc>
        <w:tc>
          <w:tcPr>
            <w:tcW w:w="1315" w:type="dxa"/>
            <w:vMerge/>
            <w:tcBorders>
              <w:left w:val="single" w:sz="4" w:space="0" w:color="000000"/>
              <w:bottom w:val="nil" w:sz="6" w:space="0" w:color="auto"/>
              <w:right w:val="single" w:sz="4" w:space="0" w:color="000000"/>
            </w:tcBorders>
            <w:shd w:val="clear" w:color="auto" w:fill="D2D2D2"/>
          </w:tcPr>
          <w:p>
            <w:pPr/>
          </w:p>
        </w:tc>
        <w:tc>
          <w:tcPr>
            <w:tcW w:w="1137" w:type="dxa"/>
            <w:vMerge/>
            <w:tcBorders>
              <w:left w:val="single" w:sz="4" w:space="0" w:color="000000"/>
              <w:bottom w:val="nil" w:sz="6" w:space="0" w:color="auto"/>
              <w:right w:val="single" w:sz="4" w:space="0" w:color="000000"/>
            </w:tcBorders>
            <w:shd w:val="clear" w:color="auto" w:fill="D2D2D2"/>
          </w:tcPr>
          <w:p>
            <w:pPr/>
          </w:p>
        </w:tc>
        <w:tc>
          <w:tcPr>
            <w:tcW w:w="491" w:type="dxa"/>
            <w:vMerge/>
            <w:tcBorders>
              <w:left w:val="single" w:sz="4" w:space="0" w:color="000000"/>
              <w:right w:val="single" w:sz="4" w:space="0" w:color="000000"/>
            </w:tcBorders>
            <w:shd w:val="clear" w:color="auto" w:fill="D2D2D2"/>
          </w:tcPr>
          <w:p>
            <w:pPr/>
          </w:p>
        </w:tc>
        <w:tc>
          <w:tcPr>
            <w:tcW w:w="1226" w:type="dxa"/>
            <w:vMerge/>
            <w:tcBorders>
              <w:left w:val="single" w:sz="4" w:space="0" w:color="000000"/>
              <w:bottom w:val="nil" w:sz="6" w:space="0" w:color="auto"/>
              <w:right w:val="single" w:sz="4" w:space="0" w:color="000000"/>
            </w:tcBorders>
            <w:shd w:val="clear" w:color="auto" w:fill="D2D2D2"/>
          </w:tcPr>
          <w:p>
            <w:pPr/>
          </w:p>
        </w:tc>
        <w:tc>
          <w:tcPr>
            <w:tcW w:w="491" w:type="dxa"/>
            <w:vMerge/>
            <w:tcBorders>
              <w:left w:val="single" w:sz="4" w:space="0" w:color="000000"/>
              <w:right w:val="single" w:sz="4" w:space="0" w:color="000000"/>
            </w:tcBorders>
            <w:shd w:val="clear" w:color="auto" w:fill="D2D2D2"/>
          </w:tcPr>
          <w:p>
            <w:pPr/>
          </w:p>
        </w:tc>
        <w:tc>
          <w:tcPr>
            <w:tcW w:w="1316" w:type="dxa"/>
            <w:vMerge/>
            <w:tcBorders>
              <w:left w:val="single" w:sz="4" w:space="0" w:color="000000"/>
              <w:bottom w:val="nil" w:sz="6" w:space="0" w:color="auto"/>
              <w:right w:val="single" w:sz="4" w:space="0" w:color="000000"/>
            </w:tcBorders>
            <w:shd w:val="clear" w:color="auto" w:fill="D2D2D2"/>
          </w:tcPr>
          <w:p>
            <w:pPr/>
          </w:p>
        </w:tc>
        <w:tc>
          <w:tcPr>
            <w:tcW w:w="1225" w:type="dxa"/>
            <w:vMerge w:val="restart"/>
            <w:tcBorders>
              <w:top w:val="nil" w:sz="6" w:space="0" w:color="auto"/>
              <w:left w:val="single" w:sz="4" w:space="0" w:color="000000"/>
              <w:right w:val="single" w:sz="4" w:space="0" w:color="000000"/>
            </w:tcBorders>
            <w:shd w:val="clear" w:color="auto" w:fill="D2D2D2"/>
          </w:tcPr>
          <w:p>
            <w:pPr/>
          </w:p>
        </w:tc>
        <w:tc>
          <w:tcPr>
            <w:tcW w:w="1497" w:type="dxa"/>
            <w:vMerge w:val="restart"/>
            <w:tcBorders>
              <w:top w:val="nil" w:sz="6" w:space="0" w:color="auto"/>
              <w:left w:val="single" w:sz="4" w:space="0" w:color="000000"/>
              <w:right w:val="single" w:sz="4" w:space="0" w:color="000000"/>
            </w:tcBorders>
            <w:shd w:val="clear" w:color="auto" w:fill="D2D2D2"/>
          </w:tcPr>
          <w:p>
            <w:pPr/>
          </w:p>
        </w:tc>
      </w:tr>
      <w:tr>
        <w:trPr>
          <w:trHeight w:val="156" w:hRule="exact"/>
        </w:trPr>
        <w:tc>
          <w:tcPr>
            <w:tcW w:w="1610" w:type="dxa"/>
            <w:vMerge/>
            <w:tcBorders>
              <w:left w:val="single" w:sz="4" w:space="0" w:color="000000"/>
              <w:right w:val="single" w:sz="4" w:space="0" w:color="000000"/>
            </w:tcBorders>
            <w:shd w:val="clear" w:color="auto" w:fill="D2D2D2"/>
          </w:tcPr>
          <w:p>
            <w:pPr/>
          </w:p>
        </w:tc>
        <w:tc>
          <w:tcPr>
            <w:tcW w:w="1328" w:type="dxa"/>
            <w:vMerge w:val="restart"/>
            <w:tcBorders>
              <w:top w:val="nil" w:sz="6" w:space="0" w:color="auto"/>
              <w:left w:val="single" w:sz="4" w:space="0" w:color="000000"/>
              <w:right w:val="single" w:sz="4" w:space="0" w:color="000000"/>
            </w:tcBorders>
            <w:shd w:val="clear" w:color="auto" w:fill="D2D2D2"/>
          </w:tcPr>
          <w:p>
            <w:pPr/>
          </w:p>
        </w:tc>
        <w:tc>
          <w:tcPr>
            <w:tcW w:w="293" w:type="dxa"/>
            <w:vMerge/>
            <w:tcBorders>
              <w:left w:val="single" w:sz="4" w:space="0" w:color="000000"/>
              <w:right w:val="single" w:sz="4" w:space="0" w:color="000000"/>
            </w:tcBorders>
            <w:shd w:val="clear" w:color="auto" w:fill="D2D2D2"/>
          </w:tcPr>
          <w:p>
            <w:pPr/>
          </w:p>
        </w:tc>
        <w:tc>
          <w:tcPr>
            <w:tcW w:w="293" w:type="dxa"/>
            <w:vMerge/>
            <w:tcBorders>
              <w:left w:val="single" w:sz="4" w:space="0" w:color="000000"/>
              <w:right w:val="single" w:sz="4" w:space="0" w:color="000000"/>
            </w:tcBorders>
            <w:shd w:val="clear" w:color="auto" w:fill="D2D2D2"/>
          </w:tcPr>
          <w:p>
            <w:pPr/>
          </w:p>
        </w:tc>
        <w:tc>
          <w:tcPr>
            <w:tcW w:w="296" w:type="dxa"/>
            <w:vMerge/>
            <w:tcBorders>
              <w:left w:val="single" w:sz="4" w:space="0" w:color="000000"/>
              <w:right w:val="single" w:sz="4" w:space="0" w:color="000000"/>
            </w:tcBorders>
            <w:shd w:val="clear" w:color="auto" w:fill="D2D2D2"/>
          </w:tcPr>
          <w:p>
            <w:pPr/>
          </w:p>
        </w:tc>
        <w:tc>
          <w:tcPr>
            <w:tcW w:w="1496" w:type="dxa"/>
            <w:vMerge w:val="restart"/>
            <w:tcBorders>
              <w:top w:val="nil" w:sz="6" w:space="0" w:color="auto"/>
              <w:left w:val="single" w:sz="4" w:space="0" w:color="000000"/>
              <w:right w:val="single" w:sz="4" w:space="0" w:color="000000"/>
            </w:tcBorders>
            <w:shd w:val="clear" w:color="auto" w:fill="D2D2D2"/>
          </w:tcPr>
          <w:p>
            <w:pPr/>
          </w:p>
        </w:tc>
        <w:tc>
          <w:tcPr>
            <w:tcW w:w="1315" w:type="dxa"/>
            <w:vMerge w:val="restart"/>
            <w:tcBorders>
              <w:top w:val="nil" w:sz="6" w:space="0" w:color="auto"/>
              <w:left w:val="single" w:sz="4" w:space="0" w:color="000000"/>
              <w:right w:val="single" w:sz="4" w:space="0" w:color="000000"/>
            </w:tcBorders>
            <w:shd w:val="clear" w:color="auto" w:fill="D2D2D2"/>
          </w:tcPr>
          <w:p>
            <w:pPr/>
          </w:p>
        </w:tc>
        <w:tc>
          <w:tcPr>
            <w:tcW w:w="1137" w:type="dxa"/>
            <w:vMerge w:val="restart"/>
            <w:tcBorders>
              <w:top w:val="nil" w:sz="6" w:space="0" w:color="auto"/>
              <w:left w:val="single" w:sz="4" w:space="0" w:color="000000"/>
              <w:right w:val="single" w:sz="4" w:space="0" w:color="000000"/>
            </w:tcBorders>
            <w:shd w:val="clear" w:color="auto" w:fill="D2D2D2"/>
          </w:tcPr>
          <w:p>
            <w:pPr/>
          </w:p>
        </w:tc>
        <w:tc>
          <w:tcPr>
            <w:tcW w:w="491" w:type="dxa"/>
            <w:vMerge/>
            <w:tcBorders>
              <w:left w:val="single" w:sz="4" w:space="0" w:color="000000"/>
              <w:bottom w:val="nil" w:sz="6" w:space="0" w:color="auto"/>
              <w:right w:val="single" w:sz="4" w:space="0" w:color="000000"/>
            </w:tcBorders>
            <w:shd w:val="clear" w:color="auto" w:fill="D2D2D2"/>
          </w:tcPr>
          <w:p>
            <w:pPr/>
          </w:p>
        </w:tc>
        <w:tc>
          <w:tcPr>
            <w:tcW w:w="1226" w:type="dxa"/>
            <w:vMerge w:val="restart"/>
            <w:tcBorders>
              <w:top w:val="nil" w:sz="6" w:space="0" w:color="auto"/>
              <w:left w:val="single" w:sz="4" w:space="0" w:color="000000"/>
              <w:right w:val="single" w:sz="4" w:space="0" w:color="000000"/>
            </w:tcBorders>
            <w:shd w:val="clear" w:color="auto" w:fill="D2D2D2"/>
          </w:tcPr>
          <w:p>
            <w:pPr/>
          </w:p>
        </w:tc>
        <w:tc>
          <w:tcPr>
            <w:tcW w:w="491" w:type="dxa"/>
            <w:vMerge/>
            <w:tcBorders>
              <w:left w:val="single" w:sz="4" w:space="0" w:color="000000"/>
              <w:right w:val="single" w:sz="4" w:space="0" w:color="000000"/>
            </w:tcBorders>
            <w:shd w:val="clear" w:color="auto" w:fill="D2D2D2"/>
          </w:tcPr>
          <w:p>
            <w:pPr/>
          </w:p>
        </w:tc>
        <w:tc>
          <w:tcPr>
            <w:tcW w:w="1316" w:type="dxa"/>
            <w:vMerge w:val="restart"/>
            <w:tcBorders>
              <w:top w:val="nil" w:sz="6" w:space="0" w:color="auto"/>
              <w:left w:val="single" w:sz="4" w:space="0" w:color="000000"/>
              <w:right w:val="single" w:sz="4" w:space="0" w:color="000000"/>
            </w:tcBorders>
            <w:shd w:val="clear" w:color="auto" w:fill="D2D2D2"/>
          </w:tcPr>
          <w:p>
            <w:pPr/>
          </w:p>
        </w:tc>
        <w:tc>
          <w:tcPr>
            <w:tcW w:w="1225" w:type="dxa"/>
            <w:vMerge/>
            <w:tcBorders>
              <w:left w:val="single" w:sz="4" w:space="0" w:color="000000"/>
              <w:right w:val="single" w:sz="4" w:space="0" w:color="000000"/>
            </w:tcBorders>
            <w:shd w:val="clear" w:color="auto" w:fill="D2D2D2"/>
          </w:tcPr>
          <w:p>
            <w:pPr/>
          </w:p>
        </w:tc>
        <w:tc>
          <w:tcPr>
            <w:tcW w:w="1497" w:type="dxa"/>
            <w:vMerge/>
            <w:tcBorders>
              <w:left w:val="single" w:sz="4" w:space="0" w:color="000000"/>
              <w:right w:val="single" w:sz="4" w:space="0" w:color="000000"/>
            </w:tcBorders>
            <w:shd w:val="clear" w:color="auto" w:fill="D2D2D2"/>
          </w:tcPr>
          <w:p>
            <w:pPr/>
          </w:p>
        </w:tc>
      </w:tr>
      <w:tr>
        <w:trPr>
          <w:trHeight w:val="156" w:hRule="exact"/>
        </w:trPr>
        <w:tc>
          <w:tcPr>
            <w:tcW w:w="1610" w:type="dxa"/>
            <w:vMerge/>
            <w:tcBorders>
              <w:left w:val="single" w:sz="4" w:space="0" w:color="000000"/>
              <w:right w:val="single" w:sz="4" w:space="0" w:color="000000"/>
            </w:tcBorders>
            <w:shd w:val="clear" w:color="auto" w:fill="D2D2D2"/>
          </w:tcPr>
          <w:p>
            <w:pPr/>
          </w:p>
        </w:tc>
        <w:tc>
          <w:tcPr>
            <w:tcW w:w="1328" w:type="dxa"/>
            <w:vMerge/>
            <w:tcBorders>
              <w:left w:val="single" w:sz="4" w:space="0" w:color="000000"/>
              <w:right w:val="single" w:sz="4" w:space="0" w:color="000000"/>
            </w:tcBorders>
            <w:shd w:val="clear" w:color="auto" w:fill="D2D2D2"/>
          </w:tcPr>
          <w:p>
            <w:pPr/>
          </w:p>
        </w:tc>
        <w:tc>
          <w:tcPr>
            <w:tcW w:w="293" w:type="dxa"/>
            <w:vMerge/>
            <w:tcBorders>
              <w:left w:val="single" w:sz="4" w:space="0" w:color="000000"/>
              <w:right w:val="single" w:sz="4" w:space="0" w:color="000000"/>
            </w:tcBorders>
            <w:shd w:val="clear" w:color="auto" w:fill="D2D2D2"/>
          </w:tcPr>
          <w:p>
            <w:pPr/>
          </w:p>
        </w:tc>
        <w:tc>
          <w:tcPr>
            <w:tcW w:w="293" w:type="dxa"/>
            <w:vMerge/>
            <w:tcBorders>
              <w:left w:val="single" w:sz="4" w:space="0" w:color="000000"/>
              <w:right w:val="single" w:sz="4" w:space="0" w:color="000000"/>
            </w:tcBorders>
            <w:shd w:val="clear" w:color="auto" w:fill="D2D2D2"/>
          </w:tcPr>
          <w:p>
            <w:pPr/>
          </w:p>
        </w:tc>
        <w:tc>
          <w:tcPr>
            <w:tcW w:w="296" w:type="dxa"/>
            <w:vMerge/>
            <w:tcBorders>
              <w:left w:val="single" w:sz="4" w:space="0" w:color="000000"/>
              <w:right w:val="single" w:sz="4" w:space="0" w:color="000000"/>
            </w:tcBorders>
            <w:shd w:val="clear" w:color="auto" w:fill="D2D2D2"/>
          </w:tcPr>
          <w:p>
            <w:pPr/>
          </w:p>
        </w:tc>
        <w:tc>
          <w:tcPr>
            <w:tcW w:w="1496" w:type="dxa"/>
            <w:vMerge/>
            <w:tcBorders>
              <w:left w:val="single" w:sz="4" w:space="0" w:color="000000"/>
              <w:right w:val="single" w:sz="4" w:space="0" w:color="000000"/>
            </w:tcBorders>
            <w:shd w:val="clear" w:color="auto" w:fill="D2D2D2"/>
          </w:tcPr>
          <w:p>
            <w:pPr/>
          </w:p>
        </w:tc>
        <w:tc>
          <w:tcPr>
            <w:tcW w:w="1315" w:type="dxa"/>
            <w:vMerge/>
            <w:tcBorders>
              <w:left w:val="single" w:sz="4" w:space="0" w:color="000000"/>
              <w:right w:val="single" w:sz="4" w:space="0" w:color="000000"/>
            </w:tcBorders>
            <w:shd w:val="clear" w:color="auto" w:fill="D2D2D2"/>
          </w:tcPr>
          <w:p>
            <w:pPr/>
          </w:p>
        </w:tc>
        <w:tc>
          <w:tcPr>
            <w:tcW w:w="1137" w:type="dxa"/>
            <w:vMerge/>
            <w:tcBorders>
              <w:left w:val="single" w:sz="4" w:space="0" w:color="000000"/>
              <w:right w:val="single" w:sz="4" w:space="0" w:color="000000"/>
            </w:tcBorders>
            <w:shd w:val="clear" w:color="auto" w:fill="D2D2D2"/>
          </w:tcPr>
          <w:p>
            <w:pPr/>
          </w:p>
        </w:tc>
        <w:tc>
          <w:tcPr>
            <w:tcW w:w="491" w:type="dxa"/>
            <w:vMerge w:val="restart"/>
            <w:tcBorders>
              <w:top w:val="nil" w:sz="6" w:space="0" w:color="auto"/>
              <w:left w:val="single" w:sz="4" w:space="0" w:color="000000"/>
              <w:right w:val="single" w:sz="4" w:space="0" w:color="000000"/>
            </w:tcBorders>
            <w:shd w:val="clear" w:color="auto" w:fill="D2D2D2"/>
          </w:tcPr>
          <w:p>
            <w:pPr/>
          </w:p>
        </w:tc>
        <w:tc>
          <w:tcPr>
            <w:tcW w:w="1226" w:type="dxa"/>
            <w:vMerge/>
            <w:tcBorders>
              <w:left w:val="single" w:sz="4" w:space="0" w:color="000000"/>
              <w:right w:val="single" w:sz="4" w:space="0" w:color="000000"/>
            </w:tcBorders>
            <w:shd w:val="clear" w:color="auto" w:fill="D2D2D2"/>
          </w:tcPr>
          <w:p>
            <w:pPr/>
          </w:p>
        </w:tc>
        <w:tc>
          <w:tcPr>
            <w:tcW w:w="491" w:type="dxa"/>
            <w:vMerge/>
            <w:tcBorders>
              <w:left w:val="single" w:sz="4" w:space="0" w:color="000000"/>
              <w:bottom w:val="nil" w:sz="6" w:space="0" w:color="auto"/>
              <w:right w:val="single" w:sz="4" w:space="0" w:color="000000"/>
            </w:tcBorders>
            <w:shd w:val="clear" w:color="auto" w:fill="D2D2D2"/>
          </w:tcPr>
          <w:p>
            <w:pPr/>
          </w:p>
        </w:tc>
        <w:tc>
          <w:tcPr>
            <w:tcW w:w="1316" w:type="dxa"/>
            <w:vMerge/>
            <w:tcBorders>
              <w:left w:val="single" w:sz="4" w:space="0" w:color="000000"/>
              <w:right w:val="single" w:sz="4" w:space="0" w:color="000000"/>
            </w:tcBorders>
            <w:shd w:val="clear" w:color="auto" w:fill="D2D2D2"/>
          </w:tcPr>
          <w:p>
            <w:pPr/>
          </w:p>
        </w:tc>
        <w:tc>
          <w:tcPr>
            <w:tcW w:w="1225" w:type="dxa"/>
            <w:vMerge/>
            <w:tcBorders>
              <w:left w:val="single" w:sz="4" w:space="0" w:color="000000"/>
              <w:right w:val="single" w:sz="4" w:space="0" w:color="000000"/>
            </w:tcBorders>
            <w:shd w:val="clear" w:color="auto" w:fill="D2D2D2"/>
          </w:tcPr>
          <w:p>
            <w:pPr/>
          </w:p>
        </w:tc>
        <w:tc>
          <w:tcPr>
            <w:tcW w:w="1497" w:type="dxa"/>
            <w:vMerge/>
            <w:tcBorders>
              <w:left w:val="single" w:sz="4" w:space="0" w:color="000000"/>
              <w:right w:val="single" w:sz="4" w:space="0" w:color="000000"/>
            </w:tcBorders>
            <w:shd w:val="clear" w:color="auto" w:fill="D2D2D2"/>
          </w:tcPr>
          <w:p>
            <w:pPr/>
          </w:p>
        </w:tc>
      </w:tr>
      <w:tr>
        <w:trPr>
          <w:trHeight w:val="200" w:hRule="exact"/>
        </w:trPr>
        <w:tc>
          <w:tcPr>
            <w:tcW w:w="1610" w:type="dxa"/>
            <w:vMerge/>
            <w:tcBorders>
              <w:left w:val="single" w:sz="4" w:space="0" w:color="000000"/>
              <w:right w:val="single" w:sz="4" w:space="0" w:color="000000"/>
            </w:tcBorders>
            <w:shd w:val="clear" w:color="auto" w:fill="D2D2D2"/>
          </w:tcPr>
          <w:p>
            <w:pPr/>
          </w:p>
        </w:tc>
        <w:tc>
          <w:tcPr>
            <w:tcW w:w="1328" w:type="dxa"/>
            <w:vMerge/>
            <w:tcBorders>
              <w:left w:val="single" w:sz="4" w:space="0" w:color="000000"/>
              <w:right w:val="single" w:sz="4" w:space="0" w:color="000000"/>
            </w:tcBorders>
            <w:shd w:val="clear" w:color="auto" w:fill="D2D2D2"/>
          </w:tcPr>
          <w:p>
            <w:pPr/>
          </w:p>
        </w:tc>
        <w:tc>
          <w:tcPr>
            <w:tcW w:w="293" w:type="dxa"/>
            <w:vMerge/>
            <w:tcBorders>
              <w:left w:val="single" w:sz="4" w:space="0" w:color="000000"/>
              <w:right w:val="single" w:sz="4" w:space="0" w:color="000000"/>
            </w:tcBorders>
            <w:shd w:val="clear" w:color="auto" w:fill="D2D2D2"/>
          </w:tcPr>
          <w:p>
            <w:pPr/>
          </w:p>
        </w:tc>
        <w:tc>
          <w:tcPr>
            <w:tcW w:w="293" w:type="dxa"/>
            <w:vMerge/>
            <w:tcBorders>
              <w:left w:val="single" w:sz="4" w:space="0" w:color="000000"/>
              <w:right w:val="single" w:sz="4" w:space="0" w:color="000000"/>
            </w:tcBorders>
            <w:shd w:val="clear" w:color="auto" w:fill="D2D2D2"/>
          </w:tcPr>
          <w:p>
            <w:pPr/>
          </w:p>
        </w:tc>
        <w:tc>
          <w:tcPr>
            <w:tcW w:w="296" w:type="dxa"/>
            <w:vMerge/>
            <w:tcBorders>
              <w:left w:val="single" w:sz="4" w:space="0" w:color="000000"/>
              <w:bottom w:val="nil" w:sz="6" w:space="0" w:color="auto"/>
              <w:right w:val="single" w:sz="4" w:space="0" w:color="000000"/>
            </w:tcBorders>
            <w:shd w:val="clear" w:color="auto" w:fill="D2D2D2"/>
          </w:tcPr>
          <w:p>
            <w:pPr/>
          </w:p>
        </w:tc>
        <w:tc>
          <w:tcPr>
            <w:tcW w:w="1496" w:type="dxa"/>
            <w:vMerge/>
            <w:tcBorders>
              <w:left w:val="single" w:sz="4" w:space="0" w:color="000000"/>
              <w:right w:val="single" w:sz="4" w:space="0" w:color="000000"/>
            </w:tcBorders>
            <w:shd w:val="clear" w:color="auto" w:fill="D2D2D2"/>
          </w:tcPr>
          <w:p>
            <w:pPr/>
          </w:p>
        </w:tc>
        <w:tc>
          <w:tcPr>
            <w:tcW w:w="1315" w:type="dxa"/>
            <w:vMerge/>
            <w:tcBorders>
              <w:left w:val="single" w:sz="4" w:space="0" w:color="000000"/>
              <w:right w:val="single" w:sz="4" w:space="0" w:color="000000"/>
            </w:tcBorders>
            <w:shd w:val="clear" w:color="auto" w:fill="D2D2D2"/>
          </w:tcPr>
          <w:p>
            <w:pPr/>
          </w:p>
        </w:tc>
        <w:tc>
          <w:tcPr>
            <w:tcW w:w="1137" w:type="dxa"/>
            <w:vMerge/>
            <w:tcBorders>
              <w:left w:val="single" w:sz="4" w:space="0" w:color="000000"/>
              <w:right w:val="single" w:sz="4" w:space="0" w:color="000000"/>
            </w:tcBorders>
            <w:shd w:val="clear" w:color="auto" w:fill="D2D2D2"/>
          </w:tcPr>
          <w:p>
            <w:pPr/>
          </w:p>
        </w:tc>
        <w:tc>
          <w:tcPr>
            <w:tcW w:w="491" w:type="dxa"/>
            <w:vMerge/>
            <w:tcBorders>
              <w:left w:val="single" w:sz="4" w:space="0" w:color="000000"/>
              <w:right w:val="single" w:sz="4" w:space="0" w:color="000000"/>
            </w:tcBorders>
            <w:shd w:val="clear" w:color="auto" w:fill="D2D2D2"/>
          </w:tcPr>
          <w:p>
            <w:pPr/>
          </w:p>
        </w:tc>
        <w:tc>
          <w:tcPr>
            <w:tcW w:w="1226" w:type="dxa"/>
            <w:vMerge/>
            <w:tcBorders>
              <w:left w:val="single" w:sz="4" w:space="0" w:color="000000"/>
              <w:right w:val="single" w:sz="4" w:space="0" w:color="000000"/>
            </w:tcBorders>
            <w:shd w:val="clear" w:color="auto" w:fill="D2D2D2"/>
          </w:tcPr>
          <w:p>
            <w:pPr/>
          </w:p>
        </w:tc>
        <w:tc>
          <w:tcPr>
            <w:tcW w:w="491" w:type="dxa"/>
            <w:vMerge w:val="restart"/>
            <w:tcBorders>
              <w:top w:val="nil" w:sz="6" w:space="0" w:color="auto"/>
              <w:left w:val="single" w:sz="4" w:space="0" w:color="000000"/>
              <w:right w:val="single" w:sz="4" w:space="0" w:color="000000"/>
            </w:tcBorders>
            <w:shd w:val="clear" w:color="auto" w:fill="D2D2D2"/>
          </w:tcPr>
          <w:p>
            <w:pPr/>
          </w:p>
        </w:tc>
        <w:tc>
          <w:tcPr>
            <w:tcW w:w="1316" w:type="dxa"/>
            <w:vMerge/>
            <w:tcBorders>
              <w:left w:val="single" w:sz="4" w:space="0" w:color="000000"/>
              <w:right w:val="single" w:sz="4" w:space="0" w:color="000000"/>
            </w:tcBorders>
            <w:shd w:val="clear" w:color="auto" w:fill="D2D2D2"/>
          </w:tcPr>
          <w:p>
            <w:pPr/>
          </w:p>
        </w:tc>
        <w:tc>
          <w:tcPr>
            <w:tcW w:w="1225" w:type="dxa"/>
            <w:vMerge/>
            <w:tcBorders>
              <w:left w:val="single" w:sz="4" w:space="0" w:color="000000"/>
              <w:right w:val="single" w:sz="4" w:space="0" w:color="000000"/>
            </w:tcBorders>
            <w:shd w:val="clear" w:color="auto" w:fill="D2D2D2"/>
          </w:tcPr>
          <w:p>
            <w:pPr/>
          </w:p>
        </w:tc>
        <w:tc>
          <w:tcPr>
            <w:tcW w:w="1497" w:type="dxa"/>
            <w:vMerge/>
            <w:tcBorders>
              <w:left w:val="single" w:sz="4" w:space="0" w:color="000000"/>
              <w:right w:val="single" w:sz="4" w:space="0" w:color="000000"/>
            </w:tcBorders>
            <w:shd w:val="clear" w:color="auto" w:fill="D2D2D2"/>
          </w:tcPr>
          <w:p>
            <w:pPr/>
          </w:p>
        </w:tc>
      </w:tr>
      <w:tr>
        <w:trPr>
          <w:trHeight w:val="161" w:hRule="exact"/>
        </w:trPr>
        <w:tc>
          <w:tcPr>
            <w:tcW w:w="1610" w:type="dxa"/>
            <w:vMerge/>
            <w:tcBorders>
              <w:left w:val="single" w:sz="4" w:space="0" w:color="000000"/>
              <w:bottom w:val="single" w:sz="4" w:space="0" w:color="000000"/>
              <w:right w:val="single" w:sz="4" w:space="0" w:color="000000"/>
            </w:tcBorders>
            <w:shd w:val="clear" w:color="auto" w:fill="D2D2D2"/>
          </w:tcPr>
          <w:p>
            <w:pPr/>
          </w:p>
        </w:tc>
        <w:tc>
          <w:tcPr>
            <w:tcW w:w="1328" w:type="dxa"/>
            <w:vMerge/>
            <w:tcBorders>
              <w:left w:val="single" w:sz="4" w:space="0" w:color="000000"/>
              <w:bottom w:val="single" w:sz="4" w:space="0" w:color="000000"/>
              <w:right w:val="single" w:sz="4" w:space="0" w:color="000000"/>
            </w:tcBorders>
            <w:shd w:val="clear" w:color="auto" w:fill="D2D2D2"/>
          </w:tcPr>
          <w:p>
            <w:pPr/>
          </w:p>
        </w:tc>
        <w:tc>
          <w:tcPr>
            <w:tcW w:w="293" w:type="dxa"/>
            <w:vMerge/>
            <w:tcBorders>
              <w:left w:val="single" w:sz="4" w:space="0" w:color="000000"/>
              <w:bottom w:val="single" w:sz="4" w:space="0" w:color="000000"/>
              <w:right w:val="single" w:sz="4" w:space="0" w:color="000000"/>
            </w:tcBorders>
            <w:shd w:val="clear" w:color="auto" w:fill="D2D2D2"/>
          </w:tcPr>
          <w:p>
            <w:pPr/>
          </w:p>
        </w:tc>
        <w:tc>
          <w:tcPr>
            <w:tcW w:w="293" w:type="dxa"/>
            <w:vMerge/>
            <w:tcBorders>
              <w:left w:val="single" w:sz="4" w:space="0" w:color="000000"/>
              <w:bottom w:val="single" w:sz="4" w:space="0" w:color="000000"/>
              <w:right w:val="single" w:sz="4" w:space="0" w:color="000000"/>
            </w:tcBorders>
            <w:shd w:val="clear" w:color="auto" w:fill="D2D2D2"/>
          </w:tcPr>
          <w:p>
            <w:pPr/>
          </w:p>
        </w:tc>
        <w:tc>
          <w:tcPr>
            <w:tcW w:w="2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496" w:type="dxa"/>
            <w:vMerge/>
            <w:tcBorders>
              <w:left w:val="single" w:sz="4" w:space="0" w:color="000000"/>
              <w:bottom w:val="single" w:sz="4" w:space="0" w:color="000000"/>
              <w:right w:val="single" w:sz="4" w:space="0" w:color="000000"/>
            </w:tcBorders>
            <w:shd w:val="clear" w:color="auto" w:fill="D2D2D2"/>
          </w:tcPr>
          <w:p>
            <w:pPr/>
          </w:p>
        </w:tc>
        <w:tc>
          <w:tcPr>
            <w:tcW w:w="1315" w:type="dxa"/>
            <w:vMerge/>
            <w:tcBorders>
              <w:left w:val="single" w:sz="4" w:space="0" w:color="000000"/>
              <w:bottom w:val="single" w:sz="4" w:space="0" w:color="000000"/>
              <w:right w:val="single" w:sz="4" w:space="0" w:color="000000"/>
            </w:tcBorders>
            <w:shd w:val="clear" w:color="auto" w:fill="D2D2D2"/>
          </w:tcPr>
          <w:p>
            <w:pPr/>
          </w:p>
        </w:tc>
        <w:tc>
          <w:tcPr>
            <w:tcW w:w="1137" w:type="dxa"/>
            <w:vMerge/>
            <w:tcBorders>
              <w:left w:val="single" w:sz="4" w:space="0" w:color="000000"/>
              <w:bottom w:val="single" w:sz="4" w:space="0" w:color="000000"/>
              <w:right w:val="single" w:sz="4" w:space="0" w:color="000000"/>
            </w:tcBorders>
            <w:shd w:val="clear" w:color="auto" w:fill="D2D2D2"/>
          </w:tcPr>
          <w:p>
            <w:pPr/>
          </w:p>
        </w:tc>
        <w:tc>
          <w:tcPr>
            <w:tcW w:w="491" w:type="dxa"/>
            <w:vMerge/>
            <w:tcBorders>
              <w:left w:val="single" w:sz="4" w:space="0" w:color="000000"/>
              <w:bottom w:val="single" w:sz="4" w:space="0" w:color="000000"/>
              <w:right w:val="single" w:sz="4" w:space="0" w:color="000000"/>
            </w:tcBorders>
            <w:shd w:val="clear" w:color="auto" w:fill="D2D2D2"/>
          </w:tcPr>
          <w:p>
            <w:pPr/>
          </w:p>
        </w:tc>
        <w:tc>
          <w:tcPr>
            <w:tcW w:w="1226" w:type="dxa"/>
            <w:vMerge/>
            <w:tcBorders>
              <w:left w:val="single" w:sz="4" w:space="0" w:color="000000"/>
              <w:bottom w:val="single" w:sz="4" w:space="0" w:color="000000"/>
              <w:right w:val="single" w:sz="4" w:space="0" w:color="000000"/>
            </w:tcBorders>
            <w:shd w:val="clear" w:color="auto" w:fill="D2D2D2"/>
          </w:tcPr>
          <w:p>
            <w:pPr/>
          </w:p>
        </w:tc>
        <w:tc>
          <w:tcPr>
            <w:tcW w:w="491" w:type="dxa"/>
            <w:vMerge/>
            <w:tcBorders>
              <w:left w:val="single" w:sz="4" w:space="0" w:color="000000"/>
              <w:bottom w:val="single" w:sz="4" w:space="0" w:color="000000"/>
              <w:right w:val="single" w:sz="4" w:space="0" w:color="000000"/>
            </w:tcBorders>
            <w:shd w:val="clear" w:color="auto" w:fill="D2D2D2"/>
          </w:tcPr>
          <w:p>
            <w:pPr/>
          </w:p>
        </w:tc>
        <w:tc>
          <w:tcPr>
            <w:tcW w:w="1316" w:type="dxa"/>
            <w:vMerge/>
            <w:tcBorders>
              <w:left w:val="single" w:sz="4" w:space="0" w:color="000000"/>
              <w:bottom w:val="single" w:sz="4" w:space="0" w:color="000000"/>
              <w:right w:val="single" w:sz="4" w:space="0" w:color="000000"/>
            </w:tcBorders>
            <w:shd w:val="clear" w:color="auto" w:fill="D2D2D2"/>
          </w:tcPr>
          <w:p>
            <w:pPr/>
          </w:p>
        </w:tc>
        <w:tc>
          <w:tcPr>
            <w:tcW w:w="1225" w:type="dxa"/>
            <w:vMerge/>
            <w:tcBorders>
              <w:left w:val="single" w:sz="4" w:space="0" w:color="000000"/>
              <w:bottom w:val="single" w:sz="4" w:space="0" w:color="000000"/>
              <w:right w:val="single" w:sz="4" w:space="0" w:color="000000"/>
            </w:tcBorders>
            <w:shd w:val="clear" w:color="auto" w:fill="D2D2D2"/>
          </w:tcPr>
          <w:p>
            <w:pPr/>
          </w:p>
        </w:tc>
        <w:tc>
          <w:tcPr>
            <w:tcW w:w="149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sz w:val="18"/>
              </w:rPr>
              <w:t>284,752,577.00</w:t>
            </w: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2,111,116,384.53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93,999,854.10</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49,625.00</w:t>
            </w: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25,074,881.83</w:t>
            </w: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210,556,472.09</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7,300,774.55</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2,544,850,860.90</w:t>
            </w:r>
          </w:p>
        </w:tc>
      </w:tr>
      <w:tr>
        <w:trPr>
          <w:trHeight w:val="714"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pacing w:val="-8"/>
                <w:sz w:val="18"/>
                <w:szCs w:val="18"/>
              </w:rPr>
              <w:t>加：会计政策变</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更</w:t>
            </w:r>
          </w:p>
        </w:tc>
        <w:tc>
          <w:tcPr>
            <w:tcW w:w="1328" w:type="dxa"/>
            <w:tcBorders>
              <w:top w:val="single" w:sz="4" w:space="0" w:color="000000"/>
              <w:left w:val="single" w:sz="13" w:space="0" w:color="D2D2D2"/>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42" w:right="0"/>
              <w:jc w:val="left"/>
              <w:rPr>
                <w:rFonts w:ascii="宋体" w:hAnsi="宋体" w:cs="宋体" w:eastAsia="宋体" w:hint="default"/>
                <w:sz w:val="18"/>
                <w:szCs w:val="18"/>
              </w:rPr>
            </w:pPr>
            <w:r>
              <w:rPr>
                <w:rFonts w:ascii="宋体" w:hAnsi="宋体" w:cs="宋体" w:eastAsia="宋体" w:hint="default"/>
                <w:sz w:val="18"/>
                <w:szCs w:val="18"/>
              </w:rPr>
              <w:t>前期差错</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更正</w:t>
            </w:r>
          </w:p>
        </w:tc>
        <w:tc>
          <w:tcPr>
            <w:tcW w:w="1328" w:type="dxa"/>
            <w:tcBorders>
              <w:top w:val="single" w:sz="4" w:space="0" w:color="000000"/>
              <w:left w:val="single" w:sz="13" w:space="0" w:color="D2D2D2"/>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35" w:firstLine="720"/>
              <w:jc w:val="left"/>
              <w:rPr>
                <w:rFonts w:ascii="宋体" w:hAnsi="宋体" w:cs="宋体" w:eastAsia="宋体" w:hint="default"/>
                <w:sz w:val="18"/>
                <w:szCs w:val="18"/>
              </w:rPr>
            </w:pPr>
            <w:r>
              <w:rPr>
                <w:rFonts w:ascii="宋体" w:hAnsi="宋体" w:cs="宋体" w:eastAsia="宋体" w:hint="default"/>
                <w:sz w:val="18"/>
                <w:szCs w:val="18"/>
              </w:rPr>
              <w:t>同一控制 下企业合并</w:t>
            </w:r>
          </w:p>
        </w:tc>
        <w:tc>
          <w:tcPr>
            <w:tcW w:w="1328" w:type="dxa"/>
            <w:tcBorders>
              <w:top w:val="single" w:sz="4" w:space="0" w:color="000000"/>
              <w:left w:val="single" w:sz="13" w:space="0" w:color="D2D2D2"/>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28" w:type="dxa"/>
            <w:tcBorders>
              <w:top w:val="single" w:sz="4" w:space="0" w:color="000000"/>
              <w:left w:val="single" w:sz="13" w:space="0" w:color="D2D2D2"/>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sz w:val="18"/>
              </w:rPr>
              <w:t>284,752,577.00</w:t>
            </w: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2,111,116,384.53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93,999,854.10</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49,625.00</w:t>
            </w: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25,074,881.83</w:t>
            </w: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210,556,472.09</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7,300,774.55</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2,544,850,860.90</w:t>
            </w:r>
          </w:p>
        </w:tc>
      </w:tr>
      <w:tr>
        <w:trPr>
          <w:trHeight w:val="403" w:hRule="exact"/>
        </w:trPr>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pacing w:val="-6"/>
                <w:sz w:val="18"/>
                <w:szCs w:val="18"/>
              </w:rPr>
              <w:t>三、本期增减变动金</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sz w:val="18"/>
              </w:rPr>
              <w:t>426,404,853.00</w:t>
            </w: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-413,898,736.81</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-44,248,937.18</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3,571,086.39</w:t>
            </w: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center"/>
              <w:rPr>
                <w:rFonts w:ascii="宋体" w:hAnsi="宋体" w:cs="宋体" w:eastAsia="宋体" w:hint="default"/>
                <w:sz w:val="18"/>
                <w:szCs w:val="18"/>
              </w:rPr>
            </w:pPr>
            <w:r>
              <w:rPr>
                <w:rFonts w:ascii="宋体"/>
                <w:sz w:val="18"/>
              </w:rPr>
              <w:t>5,855,322.08</w:t>
            </w: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center"/>
              <w:rPr>
                <w:rFonts w:ascii="宋体" w:hAnsi="宋体" w:cs="宋体" w:eastAsia="宋体" w:hint="default"/>
                <w:sz w:val="18"/>
                <w:szCs w:val="18"/>
              </w:rPr>
            </w:pPr>
            <w:r>
              <w:rPr>
                <w:rFonts w:ascii="宋体"/>
                <w:sz w:val="18"/>
              </w:rPr>
              <w:t>60,279,857.88</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1,518,941.53</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127,980,261.25</w:t>
            </w:r>
          </w:p>
        </w:tc>
      </w:tr>
    </w:tbl>
    <w:p>
      <w:pPr>
        <w:spacing w:after="0" w:line="240" w:lineRule="auto"/>
        <w:jc w:val="righ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1622"/>
        <w:gridCol w:w="1316"/>
        <w:gridCol w:w="293"/>
        <w:gridCol w:w="293"/>
        <w:gridCol w:w="296"/>
        <w:gridCol w:w="1496"/>
        <w:gridCol w:w="1315"/>
        <w:gridCol w:w="1137"/>
        <w:gridCol w:w="491"/>
        <w:gridCol w:w="1226"/>
        <w:gridCol w:w="491"/>
        <w:gridCol w:w="1316"/>
        <w:gridCol w:w="1225"/>
        <w:gridCol w:w="1497"/>
      </w:tblGrid>
      <w:tr>
        <w:trPr>
          <w:trHeight w:val="689" w:hRule="exact"/>
        </w:trPr>
        <w:tc>
          <w:tcPr>
            <w:tcW w:w="1622"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22" w:right="20"/>
              <w:jc w:val="left"/>
              <w:rPr>
                <w:rFonts w:ascii="宋体" w:hAnsi="宋体" w:cs="宋体" w:eastAsia="宋体" w:hint="default"/>
                <w:sz w:val="18"/>
                <w:szCs w:val="18"/>
              </w:rPr>
            </w:pPr>
            <w:r>
              <w:rPr>
                <w:rFonts w:ascii="宋体" w:hAnsi="宋体" w:cs="宋体" w:eastAsia="宋体" w:hint="default"/>
                <w:spacing w:val="-6"/>
                <w:sz w:val="18"/>
                <w:szCs w:val="18"/>
              </w:rPr>
              <w:t>额（减少以“－”号</w:t>
            </w:r>
            <w:r>
              <w:rPr>
                <w:rFonts w:ascii="宋体" w:hAnsi="宋体" w:cs="宋体" w:eastAsia="宋体" w:hint="default"/>
                <w:sz w:val="18"/>
                <w:szCs w:val="18"/>
              </w:rPr>
              <w:t> 填列）</w:t>
            </w:r>
          </w:p>
        </w:tc>
        <w:tc>
          <w:tcPr>
            <w:tcW w:w="1316" w:type="dxa"/>
            <w:tcBorders>
              <w:top w:val="single" w:sz="15" w:space="0" w:color="000000"/>
              <w:left w:val="single" w:sz="4" w:space="0" w:color="000000"/>
              <w:bottom w:val="single" w:sz="4" w:space="0" w:color="000000"/>
              <w:right w:val="single" w:sz="4" w:space="0" w:color="000000"/>
            </w:tcBorders>
          </w:tcPr>
          <w:p>
            <w:pPr/>
          </w:p>
        </w:tc>
        <w:tc>
          <w:tcPr>
            <w:tcW w:w="293" w:type="dxa"/>
            <w:tcBorders>
              <w:top w:val="single" w:sz="15" w:space="0" w:color="000000"/>
              <w:left w:val="single" w:sz="4" w:space="0" w:color="000000"/>
              <w:bottom w:val="single" w:sz="4" w:space="0" w:color="000000"/>
              <w:right w:val="single" w:sz="4" w:space="0" w:color="000000"/>
            </w:tcBorders>
          </w:tcPr>
          <w:p>
            <w:pPr/>
          </w:p>
        </w:tc>
        <w:tc>
          <w:tcPr>
            <w:tcW w:w="293" w:type="dxa"/>
            <w:tcBorders>
              <w:top w:val="single" w:sz="15" w:space="0" w:color="000000"/>
              <w:left w:val="single" w:sz="4" w:space="0" w:color="000000"/>
              <w:bottom w:val="single" w:sz="4" w:space="0" w:color="000000"/>
              <w:right w:val="single" w:sz="4" w:space="0" w:color="000000"/>
            </w:tcBorders>
          </w:tcPr>
          <w:p>
            <w:pPr/>
          </w:p>
        </w:tc>
        <w:tc>
          <w:tcPr>
            <w:tcW w:w="296" w:type="dxa"/>
            <w:tcBorders>
              <w:top w:val="single" w:sz="15" w:space="0" w:color="000000"/>
              <w:left w:val="single" w:sz="4" w:space="0" w:color="000000"/>
              <w:bottom w:val="single" w:sz="4" w:space="0" w:color="000000"/>
              <w:right w:val="single" w:sz="4" w:space="0" w:color="000000"/>
            </w:tcBorders>
          </w:tcPr>
          <w:p>
            <w:pPr/>
          </w:p>
        </w:tc>
        <w:tc>
          <w:tcPr>
            <w:tcW w:w="1496" w:type="dxa"/>
            <w:tcBorders>
              <w:top w:val="single" w:sz="15" w:space="0" w:color="000000"/>
              <w:left w:val="single" w:sz="4" w:space="0" w:color="000000"/>
              <w:bottom w:val="single" w:sz="4" w:space="0" w:color="000000"/>
              <w:right w:val="single" w:sz="4" w:space="0" w:color="000000"/>
            </w:tcBorders>
          </w:tcPr>
          <w:p>
            <w:pPr/>
          </w:p>
        </w:tc>
        <w:tc>
          <w:tcPr>
            <w:tcW w:w="1315" w:type="dxa"/>
            <w:tcBorders>
              <w:top w:val="single" w:sz="15" w:space="0" w:color="000000"/>
              <w:left w:val="single" w:sz="4" w:space="0" w:color="000000"/>
              <w:bottom w:val="single" w:sz="4" w:space="0" w:color="000000"/>
              <w:right w:val="single" w:sz="4" w:space="0" w:color="000000"/>
            </w:tcBorders>
          </w:tcPr>
          <w:p>
            <w:pPr/>
          </w:p>
        </w:tc>
        <w:tc>
          <w:tcPr>
            <w:tcW w:w="1137" w:type="dxa"/>
            <w:tcBorders>
              <w:top w:val="single" w:sz="15" w:space="0" w:color="000000"/>
              <w:left w:val="single" w:sz="4" w:space="0" w:color="000000"/>
              <w:bottom w:val="single" w:sz="4" w:space="0" w:color="000000"/>
              <w:right w:val="single" w:sz="4" w:space="0" w:color="000000"/>
            </w:tcBorders>
          </w:tcPr>
          <w:p>
            <w:pPr/>
          </w:p>
        </w:tc>
        <w:tc>
          <w:tcPr>
            <w:tcW w:w="491" w:type="dxa"/>
            <w:tcBorders>
              <w:top w:val="single" w:sz="15" w:space="0" w:color="000000"/>
              <w:left w:val="single" w:sz="4" w:space="0" w:color="000000"/>
              <w:bottom w:val="single" w:sz="4" w:space="0" w:color="000000"/>
              <w:right w:val="single" w:sz="4" w:space="0" w:color="000000"/>
            </w:tcBorders>
          </w:tcPr>
          <w:p>
            <w:pPr/>
          </w:p>
        </w:tc>
        <w:tc>
          <w:tcPr>
            <w:tcW w:w="1226" w:type="dxa"/>
            <w:tcBorders>
              <w:top w:val="single" w:sz="15" w:space="0" w:color="000000"/>
              <w:left w:val="single" w:sz="4" w:space="0" w:color="000000"/>
              <w:bottom w:val="single" w:sz="4" w:space="0" w:color="000000"/>
              <w:right w:val="single" w:sz="4" w:space="0" w:color="000000"/>
            </w:tcBorders>
          </w:tcPr>
          <w:p>
            <w:pPr/>
          </w:p>
        </w:tc>
        <w:tc>
          <w:tcPr>
            <w:tcW w:w="491" w:type="dxa"/>
            <w:tcBorders>
              <w:top w:val="single" w:sz="15" w:space="0" w:color="000000"/>
              <w:left w:val="single" w:sz="4" w:space="0" w:color="000000"/>
              <w:bottom w:val="single" w:sz="4" w:space="0" w:color="000000"/>
              <w:right w:val="single" w:sz="4" w:space="0" w:color="000000"/>
            </w:tcBorders>
          </w:tcPr>
          <w:p>
            <w:pPr/>
          </w:p>
        </w:tc>
        <w:tc>
          <w:tcPr>
            <w:tcW w:w="1316" w:type="dxa"/>
            <w:tcBorders>
              <w:top w:val="single" w:sz="15" w:space="0" w:color="000000"/>
              <w:left w:val="single" w:sz="4" w:space="0" w:color="000000"/>
              <w:bottom w:val="single" w:sz="4" w:space="0" w:color="000000"/>
              <w:right w:val="single" w:sz="4" w:space="0" w:color="000000"/>
            </w:tcBorders>
          </w:tcPr>
          <w:p>
            <w:pPr/>
          </w:p>
        </w:tc>
        <w:tc>
          <w:tcPr>
            <w:tcW w:w="1225" w:type="dxa"/>
            <w:tcBorders>
              <w:top w:val="single" w:sz="15" w:space="0" w:color="000000"/>
              <w:left w:val="single" w:sz="4" w:space="0" w:color="000000"/>
              <w:bottom w:val="single" w:sz="4" w:space="0" w:color="000000"/>
              <w:right w:val="single" w:sz="4" w:space="0" w:color="000000"/>
            </w:tcBorders>
          </w:tcPr>
          <w:p>
            <w:pPr/>
          </w:p>
        </w:tc>
        <w:tc>
          <w:tcPr>
            <w:tcW w:w="1497"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6"/>
                <w:sz w:val="18"/>
                <w:szCs w:val="18"/>
              </w:rPr>
              <w:t>（一）综合收益总额</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sz w:val="18"/>
              </w:rPr>
              <w:t>3,571,086.39</w:t>
            </w: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center"/>
              <w:rPr>
                <w:rFonts w:ascii="宋体" w:hAnsi="宋体" w:cs="宋体" w:eastAsia="宋体" w:hint="default"/>
                <w:sz w:val="18"/>
                <w:szCs w:val="18"/>
              </w:rPr>
            </w:pPr>
            <w:r>
              <w:rPr>
                <w:rFonts w:ascii="宋体"/>
                <w:sz w:val="18"/>
              </w:rPr>
              <w:t>77,527,103.03</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3,565,201.76</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84,663,391.18</w:t>
            </w: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6"/>
                <w:sz w:val="18"/>
                <w:szCs w:val="18"/>
              </w:rPr>
              <w:t>（二）所有者投入和</w:t>
            </w:r>
            <w:r>
              <w:rPr>
                <w:rFonts w:ascii="宋体" w:hAnsi="宋体" w:cs="宋体" w:eastAsia="宋体" w:hint="default"/>
                <w:sz w:val="18"/>
                <w:szCs w:val="18"/>
              </w:rPr>
              <w:t> 减少资本</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-724,008.00</w:t>
            </w: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13,230,124.19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sz w:val="18"/>
              </w:rPr>
              <w:t>-44,248,937.18</w:t>
            </w: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98,739.77</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56,853,793.14</w:t>
            </w: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．所有者投入的普 通股</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．其他权益工具持 有者投入资本</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-724,008.00</w:t>
            </w: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-9,941,638.19</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sz w:val="18"/>
              </w:rPr>
              <w:t>-44,248,937.18</w:t>
            </w: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33,583,290.99</w:t>
            </w: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．股份支付计入所 有者权益的金额</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23,171,762.38</w:t>
            </w: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98,739.77</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23,270,502.15</w:t>
            </w: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5,855,322.08</w:t>
            </w: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-17,247,245.15</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-2,145,000.00</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-13,536,923.07</w:t>
            </w: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．提取盈余公积</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5,855,322.08</w:t>
            </w: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center"/>
              <w:rPr>
                <w:rFonts w:ascii="宋体" w:hAnsi="宋体" w:cs="宋体" w:eastAsia="宋体" w:hint="default"/>
                <w:sz w:val="18"/>
                <w:szCs w:val="18"/>
              </w:rPr>
            </w:pPr>
            <w:r>
              <w:rPr>
                <w:rFonts w:ascii="宋体"/>
                <w:sz w:val="18"/>
              </w:rPr>
              <w:t>-5,855,322.08</w:t>
            </w: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．提取一般风险准 备</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．对所有者（或股 东）的分配</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sz w:val="18"/>
              </w:rPr>
              <w:t>-11,391,923.07</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-2,145,000.00</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-13,536,923.07</w:t>
            </w: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6"/>
                <w:sz w:val="18"/>
                <w:szCs w:val="18"/>
              </w:rPr>
              <w:t>（四）所有者权益内</w:t>
            </w:r>
            <w:r>
              <w:rPr>
                <w:rFonts w:ascii="宋体" w:hAnsi="宋体" w:cs="宋体" w:eastAsia="宋体" w:hint="default"/>
                <w:sz w:val="18"/>
                <w:szCs w:val="18"/>
              </w:rPr>
              <w:t> 部结转</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427,128,861.00</w:t>
            </w: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-427,128,861.00</w:t>
            </w: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．资本公积转增资 本（或股本）</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427,128,861.00</w:t>
            </w: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-427,128,861.00</w:t>
            </w: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．盈余公积转增资 本（或股本）</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．盈余公积弥补亏</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24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1622"/>
        <w:gridCol w:w="1316"/>
        <w:gridCol w:w="293"/>
        <w:gridCol w:w="293"/>
        <w:gridCol w:w="296"/>
        <w:gridCol w:w="1496"/>
        <w:gridCol w:w="1315"/>
        <w:gridCol w:w="1137"/>
        <w:gridCol w:w="491"/>
        <w:gridCol w:w="1226"/>
        <w:gridCol w:w="491"/>
        <w:gridCol w:w="1316"/>
        <w:gridCol w:w="1225"/>
        <w:gridCol w:w="1497"/>
      </w:tblGrid>
      <w:tr>
        <w:trPr>
          <w:trHeight w:val="377" w:hRule="exact"/>
        </w:trPr>
        <w:tc>
          <w:tcPr>
            <w:tcW w:w="1622"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损</w:t>
            </w:r>
          </w:p>
        </w:tc>
        <w:tc>
          <w:tcPr>
            <w:tcW w:w="1316" w:type="dxa"/>
            <w:tcBorders>
              <w:top w:val="single" w:sz="15" w:space="0" w:color="000000"/>
              <w:left w:val="single" w:sz="4" w:space="0" w:color="000000"/>
              <w:bottom w:val="single" w:sz="4" w:space="0" w:color="000000"/>
              <w:right w:val="single" w:sz="4" w:space="0" w:color="000000"/>
            </w:tcBorders>
          </w:tcPr>
          <w:p>
            <w:pPr/>
          </w:p>
        </w:tc>
        <w:tc>
          <w:tcPr>
            <w:tcW w:w="293" w:type="dxa"/>
            <w:tcBorders>
              <w:top w:val="single" w:sz="15" w:space="0" w:color="000000"/>
              <w:left w:val="single" w:sz="4" w:space="0" w:color="000000"/>
              <w:bottom w:val="single" w:sz="4" w:space="0" w:color="000000"/>
              <w:right w:val="single" w:sz="4" w:space="0" w:color="000000"/>
            </w:tcBorders>
          </w:tcPr>
          <w:p>
            <w:pPr/>
          </w:p>
        </w:tc>
        <w:tc>
          <w:tcPr>
            <w:tcW w:w="293" w:type="dxa"/>
            <w:tcBorders>
              <w:top w:val="single" w:sz="15" w:space="0" w:color="000000"/>
              <w:left w:val="single" w:sz="4" w:space="0" w:color="000000"/>
              <w:bottom w:val="single" w:sz="4" w:space="0" w:color="000000"/>
              <w:right w:val="single" w:sz="4" w:space="0" w:color="000000"/>
            </w:tcBorders>
          </w:tcPr>
          <w:p>
            <w:pPr/>
          </w:p>
        </w:tc>
        <w:tc>
          <w:tcPr>
            <w:tcW w:w="296" w:type="dxa"/>
            <w:tcBorders>
              <w:top w:val="single" w:sz="15" w:space="0" w:color="000000"/>
              <w:left w:val="single" w:sz="4" w:space="0" w:color="000000"/>
              <w:bottom w:val="single" w:sz="4" w:space="0" w:color="000000"/>
              <w:right w:val="single" w:sz="4" w:space="0" w:color="000000"/>
            </w:tcBorders>
          </w:tcPr>
          <w:p>
            <w:pPr/>
          </w:p>
        </w:tc>
        <w:tc>
          <w:tcPr>
            <w:tcW w:w="1496" w:type="dxa"/>
            <w:tcBorders>
              <w:top w:val="single" w:sz="15" w:space="0" w:color="000000"/>
              <w:left w:val="single" w:sz="4" w:space="0" w:color="000000"/>
              <w:bottom w:val="single" w:sz="4" w:space="0" w:color="000000"/>
              <w:right w:val="single" w:sz="4" w:space="0" w:color="000000"/>
            </w:tcBorders>
          </w:tcPr>
          <w:p>
            <w:pPr/>
          </w:p>
        </w:tc>
        <w:tc>
          <w:tcPr>
            <w:tcW w:w="1315" w:type="dxa"/>
            <w:tcBorders>
              <w:top w:val="single" w:sz="15" w:space="0" w:color="000000"/>
              <w:left w:val="single" w:sz="4" w:space="0" w:color="000000"/>
              <w:bottom w:val="single" w:sz="4" w:space="0" w:color="000000"/>
              <w:right w:val="single" w:sz="4" w:space="0" w:color="000000"/>
            </w:tcBorders>
          </w:tcPr>
          <w:p>
            <w:pPr/>
          </w:p>
        </w:tc>
        <w:tc>
          <w:tcPr>
            <w:tcW w:w="1137" w:type="dxa"/>
            <w:tcBorders>
              <w:top w:val="single" w:sz="15" w:space="0" w:color="000000"/>
              <w:left w:val="single" w:sz="4" w:space="0" w:color="000000"/>
              <w:bottom w:val="single" w:sz="4" w:space="0" w:color="000000"/>
              <w:right w:val="single" w:sz="4" w:space="0" w:color="000000"/>
            </w:tcBorders>
          </w:tcPr>
          <w:p>
            <w:pPr/>
          </w:p>
        </w:tc>
        <w:tc>
          <w:tcPr>
            <w:tcW w:w="491" w:type="dxa"/>
            <w:tcBorders>
              <w:top w:val="single" w:sz="15" w:space="0" w:color="000000"/>
              <w:left w:val="single" w:sz="4" w:space="0" w:color="000000"/>
              <w:bottom w:val="single" w:sz="4" w:space="0" w:color="000000"/>
              <w:right w:val="single" w:sz="4" w:space="0" w:color="000000"/>
            </w:tcBorders>
          </w:tcPr>
          <w:p>
            <w:pPr/>
          </w:p>
        </w:tc>
        <w:tc>
          <w:tcPr>
            <w:tcW w:w="1226" w:type="dxa"/>
            <w:tcBorders>
              <w:top w:val="single" w:sz="15" w:space="0" w:color="000000"/>
              <w:left w:val="single" w:sz="4" w:space="0" w:color="000000"/>
              <w:bottom w:val="single" w:sz="4" w:space="0" w:color="000000"/>
              <w:right w:val="single" w:sz="4" w:space="0" w:color="000000"/>
            </w:tcBorders>
          </w:tcPr>
          <w:p>
            <w:pPr/>
          </w:p>
        </w:tc>
        <w:tc>
          <w:tcPr>
            <w:tcW w:w="491" w:type="dxa"/>
            <w:tcBorders>
              <w:top w:val="single" w:sz="15" w:space="0" w:color="000000"/>
              <w:left w:val="single" w:sz="4" w:space="0" w:color="000000"/>
              <w:bottom w:val="single" w:sz="4" w:space="0" w:color="000000"/>
              <w:right w:val="single" w:sz="4" w:space="0" w:color="000000"/>
            </w:tcBorders>
          </w:tcPr>
          <w:p>
            <w:pPr/>
          </w:p>
        </w:tc>
        <w:tc>
          <w:tcPr>
            <w:tcW w:w="1316" w:type="dxa"/>
            <w:tcBorders>
              <w:top w:val="single" w:sz="15" w:space="0" w:color="000000"/>
              <w:left w:val="single" w:sz="4" w:space="0" w:color="000000"/>
              <w:bottom w:val="single" w:sz="4" w:space="0" w:color="000000"/>
              <w:right w:val="single" w:sz="4" w:space="0" w:color="000000"/>
            </w:tcBorders>
          </w:tcPr>
          <w:p>
            <w:pPr/>
          </w:p>
        </w:tc>
        <w:tc>
          <w:tcPr>
            <w:tcW w:w="1225" w:type="dxa"/>
            <w:tcBorders>
              <w:top w:val="single" w:sz="15" w:space="0" w:color="000000"/>
              <w:left w:val="single" w:sz="4" w:space="0" w:color="000000"/>
              <w:bottom w:val="single" w:sz="4" w:space="0" w:color="000000"/>
              <w:right w:val="single" w:sz="4" w:space="0" w:color="000000"/>
            </w:tcBorders>
          </w:tcPr>
          <w:p>
            <w:pPr/>
          </w:p>
        </w:tc>
        <w:tc>
          <w:tcPr>
            <w:tcW w:w="1497"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57"/>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．设定受益计划变 动额结转留存收益</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．其他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．本期提取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．本期使用</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16"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137"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22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sz w:val="18"/>
              </w:rPr>
              <w:t>711,157,430.00</w:t>
            </w:r>
          </w:p>
        </w:tc>
        <w:tc>
          <w:tcPr>
            <w:tcW w:w="293" w:type="dxa"/>
            <w:tcBorders>
              <w:top w:val="single" w:sz="4" w:space="0" w:color="000000"/>
              <w:left w:val="single" w:sz="4" w:space="0" w:color="000000"/>
              <w:bottom w:val="single" w:sz="4" w:space="0" w:color="000000"/>
              <w:right w:val="single" w:sz="4" w:space="0" w:color="000000"/>
            </w:tcBorders>
          </w:tcPr>
          <w:p>
            <w:pPr/>
          </w:p>
        </w:tc>
        <w:tc>
          <w:tcPr>
            <w:tcW w:w="293" w:type="dxa"/>
            <w:tcBorders>
              <w:top w:val="single" w:sz="4" w:space="0" w:color="000000"/>
              <w:left w:val="single" w:sz="4" w:space="0" w:color="000000"/>
              <w:bottom w:val="single" w:sz="4" w:space="0" w:color="000000"/>
              <w:right w:val="single" w:sz="4" w:space="0" w:color="000000"/>
            </w:tcBorders>
          </w:tcPr>
          <w:p>
            <w:pPr/>
          </w:p>
        </w:tc>
        <w:tc>
          <w:tcPr>
            <w:tcW w:w="2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1,697,217,647.72</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2" w:right="0"/>
              <w:jc w:val="left"/>
              <w:rPr>
                <w:rFonts w:ascii="宋体" w:hAnsi="宋体" w:cs="宋体" w:eastAsia="宋体" w:hint="default"/>
                <w:sz w:val="18"/>
                <w:szCs w:val="18"/>
              </w:rPr>
            </w:pPr>
            <w:r>
              <w:rPr>
                <w:rFonts w:ascii="宋体"/>
                <w:sz w:val="18"/>
              </w:rPr>
              <w:t>49,750,916.92</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sz w:val="18"/>
              </w:rPr>
              <w:t>3,620,711.39</w:t>
            </w:r>
          </w:p>
        </w:tc>
        <w:tc>
          <w:tcPr>
            <w:tcW w:w="49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30,930,203.91</w:t>
            </w:r>
          </w:p>
        </w:tc>
        <w:tc>
          <w:tcPr>
            <w:tcW w:w="491"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270,836,329.97</w:t>
            </w:r>
          </w:p>
        </w:tc>
        <w:tc>
          <w:tcPr>
            <w:tcW w:w="1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2" w:right="0"/>
              <w:jc w:val="left"/>
              <w:rPr>
                <w:rFonts w:ascii="宋体" w:hAnsi="宋体" w:cs="宋体" w:eastAsia="宋体" w:hint="default"/>
                <w:sz w:val="18"/>
                <w:szCs w:val="18"/>
              </w:rPr>
            </w:pPr>
            <w:r>
              <w:rPr>
                <w:rFonts w:ascii="宋体"/>
                <w:sz w:val="18"/>
              </w:rPr>
              <w:t>8,819,716.08</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sz w:val="18"/>
              </w:rPr>
              <w:t>2,672,831,122.15</w:t>
            </w:r>
          </w:p>
        </w:tc>
      </w:tr>
    </w:tbl>
    <w:p>
      <w:pPr>
        <w:spacing w:line="240" w:lineRule="auto" w:before="10"/>
        <w:rPr>
          <w:rFonts w:ascii="Times New Roman" w:hAnsi="Times New Roman" w:cs="Times New Roman" w:eastAsia="Times New Roman" w:hint="default"/>
          <w:sz w:val="21"/>
          <w:szCs w:val="21"/>
        </w:rPr>
      </w:pPr>
    </w:p>
    <w:p>
      <w:pPr>
        <w:spacing w:before="35"/>
        <w:ind w:left="140" w:right="5438" w:firstLine="0"/>
        <w:jc w:val="left"/>
        <w:rPr>
          <w:rFonts w:ascii="宋体" w:hAnsi="宋体" w:cs="宋体" w:eastAsia="宋体" w:hint="default"/>
          <w:sz w:val="21"/>
          <w:szCs w:val="21"/>
        </w:rPr>
      </w:pPr>
      <w:bookmarkStart w:name="8、母公司所有者权益变动表" w:id="166"/>
      <w:bookmarkEnd w:id="166"/>
      <w:r>
        <w:rPr/>
      </w:r>
      <w:r>
        <w:rPr>
          <w:rFonts w:ascii="宋体" w:hAnsi="宋体" w:cs="宋体" w:eastAsia="宋体" w:hint="default"/>
          <w:b/>
          <w:bCs/>
          <w:sz w:val="21"/>
          <w:szCs w:val="21"/>
        </w:rPr>
        <w:t>8</w:t>
      </w:r>
      <w:r>
        <w:rPr>
          <w:rFonts w:ascii="宋体" w:hAnsi="宋体" w:cs="宋体" w:eastAsia="宋体" w:hint="default"/>
          <w:b/>
          <w:bCs/>
          <w:sz w:val="21"/>
          <w:szCs w:val="21"/>
        </w:rPr>
        <w:t>、母公司所有者权益变动表</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140" w:right="5438"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6"/>
        <w:ind w:left="0" w:right="1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1682"/>
        <w:gridCol w:w="1327"/>
        <w:gridCol w:w="568"/>
        <w:gridCol w:w="566"/>
        <w:gridCol w:w="569"/>
        <w:gridCol w:w="1496"/>
        <w:gridCol w:w="1317"/>
        <w:gridCol w:w="1315"/>
        <w:gridCol w:w="764"/>
        <w:gridCol w:w="1226"/>
        <w:gridCol w:w="1585"/>
        <w:gridCol w:w="1587"/>
      </w:tblGrid>
      <w:tr>
        <w:trPr>
          <w:trHeight w:val="397" w:hRule="exact"/>
        </w:trPr>
        <w:tc>
          <w:tcPr>
            <w:tcW w:w="1682" w:type="dxa"/>
            <w:vMerge w:val="restart"/>
            <w:tcBorders>
              <w:top w:val="single" w:sz="4" w:space="0" w:color="000000"/>
              <w:left w:val="single" w:sz="4" w:space="0" w:color="000000"/>
              <w:right w:val="single" w:sz="4" w:space="0" w:color="000000"/>
            </w:tcBorders>
            <w:shd w:val="clear" w:color="auto" w:fill="D2D2D2"/>
          </w:tcPr>
          <w:p>
            <w:pPr/>
          </w:p>
        </w:tc>
        <w:tc>
          <w:tcPr>
            <w:tcW w:w="1232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188" w:hRule="exact"/>
        </w:trPr>
        <w:tc>
          <w:tcPr>
            <w:tcW w:w="1682" w:type="dxa"/>
            <w:vMerge/>
            <w:tcBorders>
              <w:left w:val="single" w:sz="4" w:space="0" w:color="000000"/>
              <w:bottom w:val="nil" w:sz="6" w:space="0" w:color="auto"/>
              <w:right w:val="single" w:sz="4" w:space="0" w:color="000000"/>
            </w:tcBorders>
            <w:shd w:val="clear" w:color="auto" w:fill="D2D2D2"/>
          </w:tcPr>
          <w:p>
            <w:pPr/>
          </w:p>
        </w:tc>
        <w:tc>
          <w:tcPr>
            <w:tcW w:w="1327" w:type="dxa"/>
            <w:vMerge w:val="restart"/>
            <w:tcBorders>
              <w:top w:val="single" w:sz="4" w:space="0" w:color="000000"/>
              <w:left w:val="single" w:sz="4" w:space="0" w:color="000000"/>
              <w:right w:val="single" w:sz="4" w:space="0" w:color="000000"/>
            </w:tcBorders>
            <w:shd w:val="clear" w:color="auto" w:fill="D2D2D2"/>
          </w:tcPr>
          <w:p>
            <w:pPr/>
          </w:p>
        </w:tc>
        <w:tc>
          <w:tcPr>
            <w:tcW w:w="170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0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96" w:type="dxa"/>
            <w:vMerge w:val="restart"/>
            <w:tcBorders>
              <w:top w:val="single" w:sz="4" w:space="0" w:color="000000"/>
              <w:left w:val="single" w:sz="4" w:space="0" w:color="000000"/>
              <w:right w:val="single" w:sz="4" w:space="0" w:color="000000"/>
            </w:tcBorders>
            <w:shd w:val="clear" w:color="auto" w:fill="D2D2D2"/>
          </w:tcPr>
          <w:p>
            <w:pPr/>
          </w:p>
        </w:tc>
        <w:tc>
          <w:tcPr>
            <w:tcW w:w="1317" w:type="dxa"/>
            <w:vMerge w:val="restart"/>
            <w:tcBorders>
              <w:top w:val="single" w:sz="4" w:space="0" w:color="000000"/>
              <w:left w:val="single" w:sz="4" w:space="0" w:color="000000"/>
              <w:right w:val="single" w:sz="4" w:space="0" w:color="000000"/>
            </w:tcBorders>
            <w:shd w:val="clear" w:color="auto" w:fill="D2D2D2"/>
          </w:tcPr>
          <w:p>
            <w:pPr/>
          </w:p>
        </w:tc>
        <w:tc>
          <w:tcPr>
            <w:tcW w:w="1315" w:type="dxa"/>
            <w:vMerge w:val="restart"/>
            <w:tcBorders>
              <w:top w:val="single" w:sz="4" w:space="0" w:color="000000"/>
              <w:left w:val="single" w:sz="4" w:space="0" w:color="000000"/>
              <w:right w:val="single" w:sz="4" w:space="0" w:color="FFFFFF"/>
            </w:tcBorders>
            <w:shd w:val="clear" w:color="auto" w:fill="D2D2D2"/>
          </w:tcPr>
          <w:p>
            <w:pPr/>
          </w:p>
        </w:tc>
        <w:tc>
          <w:tcPr>
            <w:tcW w:w="764" w:type="dxa"/>
            <w:tcBorders>
              <w:top w:val="single" w:sz="4" w:space="0" w:color="000000"/>
              <w:left w:val="single" w:sz="4" w:space="0" w:color="FFFFFF"/>
              <w:bottom w:val="nil" w:sz="6" w:space="0" w:color="auto"/>
              <w:right w:val="single" w:sz="4" w:space="0" w:color="000000"/>
            </w:tcBorders>
            <w:shd w:val="clear" w:color="auto" w:fill="D2D2D2"/>
          </w:tcPr>
          <w:p>
            <w:pPr/>
          </w:p>
        </w:tc>
        <w:tc>
          <w:tcPr>
            <w:tcW w:w="1226" w:type="dxa"/>
            <w:vMerge w:val="restart"/>
            <w:tcBorders>
              <w:top w:val="single" w:sz="4" w:space="0" w:color="000000"/>
              <w:left w:val="single" w:sz="4" w:space="0" w:color="000000"/>
              <w:right w:val="single" w:sz="4" w:space="0" w:color="000000"/>
            </w:tcBorders>
            <w:shd w:val="clear" w:color="auto" w:fill="D2D2D2"/>
          </w:tcPr>
          <w:p>
            <w:pPr/>
          </w:p>
        </w:tc>
        <w:tc>
          <w:tcPr>
            <w:tcW w:w="1585" w:type="dxa"/>
            <w:vMerge w:val="restart"/>
            <w:tcBorders>
              <w:top w:val="single" w:sz="4" w:space="0" w:color="000000"/>
              <w:left w:val="single" w:sz="4" w:space="0" w:color="000000"/>
              <w:right w:val="single" w:sz="4" w:space="0" w:color="000000"/>
            </w:tcBorders>
            <w:shd w:val="clear" w:color="auto" w:fill="D2D2D2"/>
          </w:tcPr>
          <w:p>
            <w:pPr/>
          </w:p>
        </w:tc>
        <w:tc>
          <w:tcPr>
            <w:tcW w:w="1587" w:type="dxa"/>
            <w:vMerge w:val="restart"/>
            <w:tcBorders>
              <w:top w:val="single" w:sz="4" w:space="0" w:color="000000"/>
              <w:left w:val="single" w:sz="4" w:space="0" w:color="000000"/>
              <w:right w:val="single" w:sz="4" w:space="0" w:color="000000"/>
            </w:tcBorders>
            <w:shd w:val="clear" w:color="auto" w:fill="D2D2D2"/>
          </w:tcPr>
          <w:p>
            <w:pPr/>
          </w:p>
        </w:tc>
      </w:tr>
      <w:tr>
        <w:trPr>
          <w:trHeight w:val="187" w:hRule="exact"/>
        </w:trPr>
        <w:tc>
          <w:tcPr>
            <w:tcW w:w="168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27" w:type="dxa"/>
            <w:vMerge/>
            <w:tcBorders>
              <w:left w:val="single" w:sz="4" w:space="0" w:color="000000"/>
              <w:bottom w:val="single" w:sz="14" w:space="0" w:color="FFFFFF"/>
              <w:right w:val="single" w:sz="4" w:space="0" w:color="000000"/>
            </w:tcBorders>
            <w:shd w:val="clear" w:color="auto" w:fill="D2D2D2"/>
          </w:tcPr>
          <w:p>
            <w:pPr/>
          </w:p>
        </w:tc>
        <w:tc>
          <w:tcPr>
            <w:tcW w:w="1703" w:type="dxa"/>
            <w:gridSpan w:val="3"/>
            <w:vMerge/>
            <w:tcBorders>
              <w:left w:val="single" w:sz="4" w:space="0" w:color="000000"/>
              <w:bottom w:val="single" w:sz="14" w:space="0" w:color="FFFFFF"/>
              <w:right w:val="single" w:sz="4" w:space="0" w:color="000000"/>
            </w:tcBorders>
            <w:shd w:val="clear" w:color="auto" w:fill="D2D2D2"/>
          </w:tcPr>
          <w:p>
            <w:pPr/>
          </w:p>
        </w:tc>
        <w:tc>
          <w:tcPr>
            <w:tcW w:w="1496" w:type="dxa"/>
            <w:vMerge/>
            <w:tcBorders>
              <w:left w:val="single" w:sz="4" w:space="0" w:color="000000"/>
              <w:bottom w:val="single" w:sz="14" w:space="0" w:color="FFFFFF"/>
              <w:right w:val="single" w:sz="4" w:space="0" w:color="000000"/>
            </w:tcBorders>
            <w:shd w:val="clear" w:color="auto" w:fill="D2D2D2"/>
          </w:tcPr>
          <w:p>
            <w:pPr/>
          </w:p>
        </w:tc>
        <w:tc>
          <w:tcPr>
            <w:tcW w:w="1317" w:type="dxa"/>
            <w:vMerge/>
            <w:tcBorders>
              <w:left w:val="single" w:sz="4" w:space="0" w:color="000000"/>
              <w:bottom w:val="single" w:sz="14" w:space="0" w:color="FFFFFF"/>
              <w:right w:val="single" w:sz="4" w:space="0" w:color="000000"/>
            </w:tcBorders>
            <w:shd w:val="clear" w:color="auto" w:fill="D2D2D2"/>
          </w:tcPr>
          <w:p>
            <w:pPr/>
          </w:p>
        </w:tc>
        <w:tc>
          <w:tcPr>
            <w:tcW w:w="1315" w:type="dxa"/>
            <w:vMerge/>
            <w:tcBorders>
              <w:left w:val="single" w:sz="4" w:space="0" w:color="000000"/>
              <w:bottom w:val="single" w:sz="14" w:space="0" w:color="FFFFFF"/>
              <w:right w:val="single" w:sz="4" w:space="0" w:color="FFFFFF"/>
            </w:tcBorders>
            <w:shd w:val="clear" w:color="auto" w:fill="D2D2D2"/>
          </w:tcPr>
          <w:p>
            <w:pPr/>
          </w:p>
        </w:tc>
        <w:tc>
          <w:tcPr>
            <w:tcW w:w="764" w:type="dxa"/>
            <w:vMerge w:val="restart"/>
            <w:tcBorders>
              <w:top w:val="nil" w:sz="6" w:space="0" w:color="auto"/>
              <w:left w:val="single" w:sz="4" w:space="0" w:color="FFFFFF"/>
              <w:right w:val="single" w:sz="4" w:space="0" w:color="000000"/>
            </w:tcBorders>
            <w:shd w:val="clear" w:color="auto" w:fill="D2D2D2"/>
          </w:tcPr>
          <w:p>
            <w:pPr>
              <w:pStyle w:val="TableParagraph"/>
              <w:spacing w:line="316" w:lineRule="auto" w:before="74"/>
              <w:ind w:left="288" w:right="104"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226" w:type="dxa"/>
            <w:vMerge/>
            <w:tcBorders>
              <w:left w:val="single" w:sz="4" w:space="0" w:color="000000"/>
              <w:bottom w:val="nil" w:sz="6" w:space="0" w:color="auto"/>
              <w:right w:val="single" w:sz="4" w:space="0" w:color="000000"/>
            </w:tcBorders>
            <w:shd w:val="clear" w:color="auto" w:fill="D2D2D2"/>
          </w:tcPr>
          <w:p>
            <w:pPr/>
          </w:p>
        </w:tc>
        <w:tc>
          <w:tcPr>
            <w:tcW w:w="1585" w:type="dxa"/>
            <w:vMerge/>
            <w:tcBorders>
              <w:left w:val="single" w:sz="4" w:space="0" w:color="000000"/>
              <w:bottom w:val="nil" w:sz="6" w:space="0" w:color="auto"/>
              <w:right w:val="single" w:sz="4" w:space="0" w:color="000000"/>
            </w:tcBorders>
            <w:shd w:val="clear" w:color="auto" w:fill="D2D2D2"/>
          </w:tcPr>
          <w:p>
            <w:pPr/>
          </w:p>
        </w:tc>
        <w:tc>
          <w:tcPr>
            <w:tcW w:w="1587" w:type="dxa"/>
            <w:vMerge/>
            <w:tcBorders>
              <w:left w:val="single" w:sz="4" w:space="0" w:color="000000"/>
              <w:bottom w:val="nil" w:sz="6" w:space="0" w:color="auto"/>
              <w:right w:val="single" w:sz="4" w:space="0" w:color="000000"/>
            </w:tcBorders>
            <w:shd w:val="clear" w:color="auto" w:fill="D2D2D2"/>
          </w:tcPr>
          <w:p>
            <w:pPr/>
          </w:p>
        </w:tc>
      </w:tr>
      <w:tr>
        <w:trPr>
          <w:trHeight w:val="187" w:hRule="exact"/>
        </w:trPr>
        <w:tc>
          <w:tcPr>
            <w:tcW w:w="1682" w:type="dxa"/>
            <w:vMerge/>
            <w:tcBorders>
              <w:left w:val="single" w:sz="4" w:space="0" w:color="000000"/>
              <w:bottom w:val="nil" w:sz="6" w:space="0" w:color="auto"/>
              <w:right w:val="single" w:sz="4" w:space="0" w:color="000000"/>
            </w:tcBorders>
            <w:shd w:val="clear" w:color="auto" w:fill="D2D2D2"/>
          </w:tcPr>
          <w:p>
            <w:pPr/>
          </w:p>
        </w:tc>
        <w:tc>
          <w:tcPr>
            <w:tcW w:w="1327"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25"/>
              <w:ind w:left="12"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568" w:type="dxa"/>
            <w:vMerge w:val="restart"/>
            <w:tcBorders>
              <w:top w:val="single" w:sz="14" w:space="0" w:color="FFFFFF"/>
              <w:left w:val="single" w:sz="4" w:space="0" w:color="000000"/>
              <w:right w:val="single" w:sz="4" w:space="0" w:color="000000"/>
            </w:tcBorders>
            <w:shd w:val="clear" w:color="auto" w:fill="D2D2D2"/>
          </w:tcPr>
          <w:p>
            <w:pPr>
              <w:pStyle w:val="TableParagraph"/>
              <w:spacing w:line="316" w:lineRule="auto" w:before="69"/>
              <w:ind w:left="188" w:right="97"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66" w:type="dxa"/>
            <w:vMerge w:val="restart"/>
            <w:tcBorders>
              <w:top w:val="single" w:sz="14" w:space="0" w:color="FFFFFF"/>
              <w:left w:val="single" w:sz="4" w:space="0" w:color="000000"/>
              <w:right w:val="single" w:sz="4" w:space="0" w:color="000000"/>
            </w:tcBorders>
            <w:shd w:val="clear" w:color="auto" w:fill="D2D2D2"/>
          </w:tcPr>
          <w:p>
            <w:pPr>
              <w:pStyle w:val="TableParagraph"/>
              <w:spacing w:line="316" w:lineRule="auto" w:before="69"/>
              <w:ind w:left="188" w:right="96"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69" w:type="dxa"/>
            <w:tcBorders>
              <w:top w:val="single" w:sz="14" w:space="0" w:color="FFFFFF"/>
              <w:left w:val="single" w:sz="4" w:space="0" w:color="000000"/>
              <w:bottom w:val="nil" w:sz="6" w:space="0" w:color="auto"/>
              <w:right w:val="single" w:sz="4" w:space="0" w:color="000000"/>
            </w:tcBorders>
            <w:shd w:val="clear" w:color="auto" w:fill="D2D2D2"/>
          </w:tcPr>
          <w:p>
            <w:pPr/>
          </w:p>
        </w:tc>
        <w:tc>
          <w:tcPr>
            <w:tcW w:w="1496"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25"/>
              <w:ind w:left="38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317"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25"/>
              <w:ind w:left="20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315" w:type="dxa"/>
            <w:vMerge w:val="restart"/>
            <w:tcBorders>
              <w:top w:val="single" w:sz="14" w:space="0" w:color="FFFFFF"/>
              <w:left w:val="single" w:sz="4" w:space="0" w:color="000000"/>
              <w:right w:val="single" w:sz="4" w:space="0" w:color="FFFFFF"/>
            </w:tcBorders>
            <w:shd w:val="clear" w:color="auto" w:fill="D2D2D2"/>
          </w:tcPr>
          <w:p>
            <w:pPr>
              <w:pStyle w:val="TableParagraph"/>
              <w:spacing w:line="240" w:lineRule="auto" w:before="25"/>
              <w:ind w:left="11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764" w:type="dxa"/>
            <w:vMerge/>
            <w:tcBorders>
              <w:left w:val="single" w:sz="4" w:space="0" w:color="FFFFFF"/>
              <w:right w:val="single" w:sz="4" w:space="0" w:color="000000"/>
            </w:tcBorders>
            <w:shd w:val="clear" w:color="auto" w:fill="D2D2D2"/>
          </w:tcPr>
          <w:p>
            <w:pPr/>
          </w:p>
        </w:tc>
        <w:tc>
          <w:tcPr>
            <w:tcW w:w="12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2"/>
              <w:ind w:left="24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8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2"/>
              <w:ind w:left="337"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8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2"/>
              <w:ind w:left="158"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96" w:hRule="exact"/>
        </w:trPr>
        <w:tc>
          <w:tcPr>
            <w:tcW w:w="1682" w:type="dxa"/>
            <w:vMerge w:val="restart"/>
            <w:tcBorders>
              <w:top w:val="nil" w:sz="6" w:space="0" w:color="auto"/>
              <w:left w:val="single" w:sz="4" w:space="0" w:color="000000"/>
              <w:right w:val="single" w:sz="4" w:space="0" w:color="000000"/>
            </w:tcBorders>
            <w:shd w:val="clear" w:color="auto" w:fill="D2D2D2"/>
          </w:tcPr>
          <w:p>
            <w:pPr/>
          </w:p>
        </w:tc>
        <w:tc>
          <w:tcPr>
            <w:tcW w:w="1327" w:type="dxa"/>
            <w:vMerge/>
            <w:tcBorders>
              <w:left w:val="single" w:sz="4" w:space="0" w:color="000000"/>
              <w:bottom w:val="nil" w:sz="6" w:space="0" w:color="auto"/>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left="9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96" w:type="dxa"/>
            <w:vMerge/>
            <w:tcBorders>
              <w:left w:val="single" w:sz="4" w:space="0" w:color="000000"/>
              <w:bottom w:val="nil" w:sz="6" w:space="0" w:color="auto"/>
              <w:right w:val="single" w:sz="4" w:space="0" w:color="000000"/>
            </w:tcBorders>
            <w:shd w:val="clear" w:color="auto" w:fill="D2D2D2"/>
          </w:tcPr>
          <w:p>
            <w:pPr/>
          </w:p>
        </w:tc>
        <w:tc>
          <w:tcPr>
            <w:tcW w:w="1317" w:type="dxa"/>
            <w:vMerge/>
            <w:tcBorders>
              <w:left w:val="single" w:sz="4" w:space="0" w:color="000000"/>
              <w:bottom w:val="nil" w:sz="6" w:space="0" w:color="auto"/>
              <w:right w:val="single" w:sz="4" w:space="0" w:color="000000"/>
            </w:tcBorders>
            <w:shd w:val="clear" w:color="auto" w:fill="D2D2D2"/>
          </w:tcPr>
          <w:p>
            <w:pPr/>
          </w:p>
        </w:tc>
        <w:tc>
          <w:tcPr>
            <w:tcW w:w="1315" w:type="dxa"/>
            <w:vMerge/>
            <w:tcBorders>
              <w:left w:val="single" w:sz="4" w:space="0" w:color="000000"/>
              <w:bottom w:val="nil" w:sz="6" w:space="0" w:color="auto"/>
              <w:right w:val="single" w:sz="4" w:space="0" w:color="FFFFFF"/>
            </w:tcBorders>
            <w:shd w:val="clear" w:color="auto" w:fill="D2D2D2"/>
          </w:tcPr>
          <w:p>
            <w:pPr/>
          </w:p>
        </w:tc>
        <w:tc>
          <w:tcPr>
            <w:tcW w:w="764" w:type="dxa"/>
            <w:vMerge/>
            <w:tcBorders>
              <w:left w:val="single" w:sz="4" w:space="0" w:color="FFFFFF"/>
              <w:right w:val="single" w:sz="4" w:space="0" w:color="000000"/>
            </w:tcBorders>
            <w:shd w:val="clear" w:color="auto" w:fill="D2D2D2"/>
          </w:tcPr>
          <w:p>
            <w:pPr/>
          </w:p>
        </w:tc>
        <w:tc>
          <w:tcPr>
            <w:tcW w:w="1226" w:type="dxa"/>
            <w:vMerge/>
            <w:tcBorders>
              <w:left w:val="single" w:sz="4" w:space="0" w:color="000000"/>
              <w:bottom w:val="nil" w:sz="6" w:space="0" w:color="auto"/>
              <w:right w:val="single" w:sz="4" w:space="0" w:color="000000"/>
            </w:tcBorders>
            <w:shd w:val="clear" w:color="auto" w:fill="D2D2D2"/>
          </w:tcPr>
          <w:p>
            <w:pPr/>
          </w:p>
        </w:tc>
        <w:tc>
          <w:tcPr>
            <w:tcW w:w="1585" w:type="dxa"/>
            <w:vMerge/>
            <w:tcBorders>
              <w:left w:val="single" w:sz="4" w:space="0" w:color="000000"/>
              <w:bottom w:val="nil" w:sz="6" w:space="0" w:color="auto"/>
              <w:right w:val="single" w:sz="4" w:space="0" w:color="000000"/>
            </w:tcBorders>
            <w:shd w:val="clear" w:color="auto" w:fill="D2D2D2"/>
          </w:tcPr>
          <w:p>
            <w:pPr/>
          </w:p>
        </w:tc>
        <w:tc>
          <w:tcPr>
            <w:tcW w:w="1587" w:type="dxa"/>
            <w:vMerge/>
            <w:tcBorders>
              <w:left w:val="single" w:sz="4" w:space="0" w:color="000000"/>
              <w:bottom w:val="nil" w:sz="6" w:space="0" w:color="auto"/>
              <w:right w:val="single" w:sz="4" w:space="0" w:color="000000"/>
            </w:tcBorders>
            <w:shd w:val="clear" w:color="auto" w:fill="D2D2D2"/>
          </w:tcPr>
          <w:p>
            <w:pPr/>
          </w:p>
        </w:tc>
      </w:tr>
      <w:tr>
        <w:trPr>
          <w:trHeight w:val="179" w:hRule="exact"/>
        </w:trPr>
        <w:tc>
          <w:tcPr>
            <w:tcW w:w="1682" w:type="dxa"/>
            <w:vMerge/>
            <w:tcBorders>
              <w:left w:val="single" w:sz="4" w:space="0" w:color="000000"/>
              <w:right w:val="single" w:sz="4" w:space="0" w:color="000000"/>
            </w:tcBorders>
            <w:shd w:val="clear" w:color="auto" w:fill="D2D2D2"/>
          </w:tcPr>
          <w:p>
            <w:pPr/>
          </w:p>
        </w:tc>
        <w:tc>
          <w:tcPr>
            <w:tcW w:w="1327" w:type="dxa"/>
            <w:vMerge w:val="restart"/>
            <w:tcBorders>
              <w:top w:val="nil" w:sz="6" w:space="0" w:color="auto"/>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1496" w:type="dxa"/>
            <w:vMerge w:val="restart"/>
            <w:tcBorders>
              <w:top w:val="nil" w:sz="6" w:space="0" w:color="auto"/>
              <w:left w:val="single" w:sz="4" w:space="0" w:color="000000"/>
              <w:right w:val="single" w:sz="4" w:space="0" w:color="000000"/>
            </w:tcBorders>
            <w:shd w:val="clear" w:color="auto" w:fill="D2D2D2"/>
          </w:tcPr>
          <w:p>
            <w:pPr/>
          </w:p>
        </w:tc>
        <w:tc>
          <w:tcPr>
            <w:tcW w:w="1317" w:type="dxa"/>
            <w:vMerge w:val="restart"/>
            <w:tcBorders>
              <w:top w:val="nil" w:sz="6" w:space="0" w:color="auto"/>
              <w:left w:val="single" w:sz="4" w:space="0" w:color="000000"/>
              <w:right w:val="single" w:sz="4" w:space="0" w:color="000000"/>
            </w:tcBorders>
            <w:shd w:val="clear" w:color="auto" w:fill="D2D2D2"/>
          </w:tcPr>
          <w:p>
            <w:pPr/>
          </w:p>
        </w:tc>
        <w:tc>
          <w:tcPr>
            <w:tcW w:w="1315" w:type="dxa"/>
            <w:vMerge w:val="restart"/>
            <w:tcBorders>
              <w:top w:val="nil" w:sz="6" w:space="0" w:color="auto"/>
              <w:left w:val="single" w:sz="4" w:space="0" w:color="000000"/>
              <w:right w:val="single" w:sz="4" w:space="0" w:color="FFFFFF"/>
            </w:tcBorders>
            <w:shd w:val="clear" w:color="auto" w:fill="D2D2D2"/>
          </w:tcPr>
          <w:p>
            <w:pPr/>
          </w:p>
        </w:tc>
        <w:tc>
          <w:tcPr>
            <w:tcW w:w="764" w:type="dxa"/>
            <w:vMerge/>
            <w:tcBorders>
              <w:left w:val="single" w:sz="4" w:space="0" w:color="FFFFFF"/>
              <w:bottom w:val="nil" w:sz="6" w:space="0" w:color="auto"/>
              <w:right w:val="single" w:sz="4" w:space="0" w:color="000000"/>
            </w:tcBorders>
            <w:shd w:val="clear" w:color="auto" w:fill="D2D2D2"/>
          </w:tcPr>
          <w:p>
            <w:pPr/>
          </w:p>
        </w:tc>
        <w:tc>
          <w:tcPr>
            <w:tcW w:w="1226" w:type="dxa"/>
            <w:vMerge w:val="restart"/>
            <w:tcBorders>
              <w:top w:val="nil" w:sz="6" w:space="0" w:color="auto"/>
              <w:left w:val="single" w:sz="4" w:space="0" w:color="000000"/>
              <w:right w:val="single" w:sz="4" w:space="0" w:color="000000"/>
            </w:tcBorders>
            <w:shd w:val="clear" w:color="auto" w:fill="D2D2D2"/>
          </w:tcPr>
          <w:p>
            <w:pPr/>
          </w:p>
        </w:tc>
        <w:tc>
          <w:tcPr>
            <w:tcW w:w="1585" w:type="dxa"/>
            <w:vMerge w:val="restart"/>
            <w:tcBorders>
              <w:top w:val="nil" w:sz="6" w:space="0" w:color="auto"/>
              <w:left w:val="single" w:sz="4" w:space="0" w:color="000000"/>
              <w:right w:val="single" w:sz="4" w:space="0" w:color="000000"/>
            </w:tcBorders>
            <w:shd w:val="clear" w:color="auto" w:fill="D2D2D2"/>
          </w:tcPr>
          <w:p>
            <w:pPr/>
          </w:p>
        </w:tc>
        <w:tc>
          <w:tcPr>
            <w:tcW w:w="1587" w:type="dxa"/>
            <w:vMerge w:val="restart"/>
            <w:tcBorders>
              <w:top w:val="nil" w:sz="6" w:space="0" w:color="auto"/>
              <w:left w:val="single" w:sz="4" w:space="0" w:color="000000"/>
              <w:right w:val="single" w:sz="4" w:space="0" w:color="000000"/>
            </w:tcBorders>
            <w:shd w:val="clear" w:color="auto" w:fill="D2D2D2"/>
          </w:tcPr>
          <w:p>
            <w:pPr/>
          </w:p>
        </w:tc>
      </w:tr>
      <w:tr>
        <w:trPr>
          <w:trHeight w:val="184" w:hRule="exact"/>
        </w:trPr>
        <w:tc>
          <w:tcPr>
            <w:tcW w:w="1682" w:type="dxa"/>
            <w:vMerge/>
            <w:tcBorders>
              <w:left w:val="single" w:sz="4" w:space="0" w:color="000000"/>
              <w:bottom w:val="single" w:sz="4" w:space="0" w:color="000000"/>
              <w:right w:val="single" w:sz="4" w:space="0" w:color="000000"/>
            </w:tcBorders>
            <w:shd w:val="clear" w:color="auto" w:fill="D2D2D2"/>
          </w:tcPr>
          <w:p>
            <w:pPr/>
          </w:p>
        </w:tc>
        <w:tc>
          <w:tcPr>
            <w:tcW w:w="1327" w:type="dxa"/>
            <w:vMerge/>
            <w:tcBorders>
              <w:left w:val="single" w:sz="4" w:space="0" w:color="000000"/>
              <w:bottom w:val="single" w:sz="4" w:space="0" w:color="000000"/>
              <w:right w:val="single" w:sz="4" w:space="0" w:color="000000"/>
            </w:tcBorders>
            <w:shd w:val="clear" w:color="auto" w:fill="D2D2D2"/>
          </w:tcPr>
          <w:p>
            <w:pPr/>
          </w:p>
        </w:tc>
        <w:tc>
          <w:tcPr>
            <w:tcW w:w="568"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569" w:type="dxa"/>
            <w:tcBorders>
              <w:top w:val="nil" w:sz="6" w:space="0" w:color="auto"/>
              <w:left w:val="single" w:sz="4" w:space="0" w:color="000000"/>
              <w:bottom w:val="single" w:sz="4" w:space="0" w:color="000000"/>
              <w:right w:val="single" w:sz="4" w:space="0" w:color="000000"/>
            </w:tcBorders>
            <w:shd w:val="clear" w:color="auto" w:fill="D2D2D2"/>
          </w:tcPr>
          <w:p>
            <w:pPr/>
          </w:p>
        </w:tc>
        <w:tc>
          <w:tcPr>
            <w:tcW w:w="1496" w:type="dxa"/>
            <w:vMerge/>
            <w:tcBorders>
              <w:left w:val="single" w:sz="4" w:space="0" w:color="000000"/>
              <w:bottom w:val="single" w:sz="4" w:space="0" w:color="000000"/>
              <w:right w:val="single" w:sz="4" w:space="0" w:color="000000"/>
            </w:tcBorders>
            <w:shd w:val="clear" w:color="auto" w:fill="D2D2D2"/>
          </w:tcPr>
          <w:p>
            <w:pPr/>
          </w:p>
        </w:tc>
        <w:tc>
          <w:tcPr>
            <w:tcW w:w="1317" w:type="dxa"/>
            <w:vMerge/>
            <w:tcBorders>
              <w:left w:val="single" w:sz="4" w:space="0" w:color="000000"/>
              <w:bottom w:val="single" w:sz="4" w:space="0" w:color="000000"/>
              <w:right w:val="single" w:sz="4" w:space="0" w:color="000000"/>
            </w:tcBorders>
            <w:shd w:val="clear" w:color="auto" w:fill="D2D2D2"/>
          </w:tcPr>
          <w:p>
            <w:pPr/>
          </w:p>
        </w:tc>
        <w:tc>
          <w:tcPr>
            <w:tcW w:w="1315" w:type="dxa"/>
            <w:vMerge/>
            <w:tcBorders>
              <w:left w:val="single" w:sz="4" w:space="0" w:color="000000"/>
              <w:bottom w:val="single" w:sz="4" w:space="0" w:color="000000"/>
              <w:right w:val="single" w:sz="4" w:space="0" w:color="FFFFFF"/>
            </w:tcBorders>
            <w:shd w:val="clear" w:color="auto" w:fill="D2D2D2"/>
          </w:tcPr>
          <w:p>
            <w:pPr/>
          </w:p>
        </w:tc>
        <w:tc>
          <w:tcPr>
            <w:tcW w:w="764" w:type="dxa"/>
            <w:tcBorders>
              <w:top w:val="nil" w:sz="6" w:space="0" w:color="auto"/>
              <w:left w:val="single" w:sz="4" w:space="0" w:color="FFFFFF"/>
              <w:bottom w:val="single" w:sz="4" w:space="0" w:color="000000"/>
              <w:right w:val="single" w:sz="4" w:space="0" w:color="000000"/>
            </w:tcBorders>
            <w:shd w:val="clear" w:color="auto" w:fill="D2D2D2"/>
          </w:tcPr>
          <w:p>
            <w:pPr/>
          </w:p>
        </w:tc>
        <w:tc>
          <w:tcPr>
            <w:tcW w:w="1226" w:type="dxa"/>
            <w:vMerge/>
            <w:tcBorders>
              <w:left w:val="single" w:sz="4" w:space="0" w:color="000000"/>
              <w:bottom w:val="single" w:sz="4" w:space="0" w:color="000000"/>
              <w:right w:val="single" w:sz="4" w:space="0" w:color="000000"/>
            </w:tcBorders>
            <w:shd w:val="clear" w:color="auto" w:fill="D2D2D2"/>
          </w:tcPr>
          <w:p>
            <w:pPr/>
          </w:p>
        </w:tc>
        <w:tc>
          <w:tcPr>
            <w:tcW w:w="1585" w:type="dxa"/>
            <w:vMerge/>
            <w:tcBorders>
              <w:left w:val="single" w:sz="4" w:space="0" w:color="000000"/>
              <w:bottom w:val="single" w:sz="4" w:space="0" w:color="000000"/>
              <w:right w:val="single" w:sz="4" w:space="0" w:color="000000"/>
            </w:tcBorders>
            <w:shd w:val="clear" w:color="auto" w:fill="D2D2D2"/>
          </w:tcPr>
          <w:p>
            <w:pPr/>
          </w:p>
        </w:tc>
        <w:tc>
          <w:tcPr>
            <w:tcW w:w="158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711,157,430.00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sz w:val="18"/>
              </w:rPr>
              <w:t>1,682,512,603.03</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49,750,916.92</w:t>
            </w:r>
          </w:p>
        </w:tc>
        <w:tc>
          <w:tcPr>
            <w:tcW w:w="1315"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3,868,196.13</w:t>
            </w:r>
          </w:p>
        </w:tc>
        <w:tc>
          <w:tcPr>
            <w:tcW w:w="764" w:type="dxa"/>
            <w:tcBorders>
              <w:top w:val="single" w:sz="4" w:space="0" w:color="000000"/>
              <w:left w:val="single" w:sz="4" w:space="0" w:color="FFFFFF"/>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30,930,203.91</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231,514,159.79</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center"/>
              <w:rPr>
                <w:rFonts w:ascii="宋体" w:hAnsi="宋体" w:cs="宋体" w:eastAsia="宋体" w:hint="default"/>
                <w:sz w:val="18"/>
                <w:szCs w:val="18"/>
              </w:rPr>
            </w:pPr>
            <w:r>
              <w:rPr>
                <w:rFonts w:ascii="宋体"/>
                <w:sz w:val="18"/>
              </w:rPr>
              <w:t>2,610,231,675.94</w:t>
            </w:r>
          </w:p>
        </w:tc>
      </w:tr>
      <w:tr>
        <w:trPr>
          <w:trHeight w:val="714" w:hRule="exact"/>
        </w:trPr>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加：会计政策变</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更</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FFFFFF"/>
            </w:tcBorders>
          </w:tcPr>
          <w:p>
            <w:pPr/>
          </w:p>
        </w:tc>
        <w:tc>
          <w:tcPr>
            <w:tcW w:w="764" w:type="dxa"/>
            <w:tcBorders>
              <w:top w:val="single" w:sz="4" w:space="0" w:color="000000"/>
              <w:left w:val="single" w:sz="4" w:space="0" w:color="FFFFFF"/>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前期差错更</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正</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FFFFFF"/>
            </w:tcBorders>
          </w:tcPr>
          <w:p>
            <w:pPr/>
          </w:p>
        </w:tc>
        <w:tc>
          <w:tcPr>
            <w:tcW w:w="764" w:type="dxa"/>
            <w:tcBorders>
              <w:top w:val="single" w:sz="4" w:space="0" w:color="000000"/>
              <w:left w:val="single" w:sz="4" w:space="0" w:color="FFFFFF"/>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0"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FFFFFF"/>
            </w:tcBorders>
          </w:tcPr>
          <w:p>
            <w:pPr/>
          </w:p>
        </w:tc>
        <w:tc>
          <w:tcPr>
            <w:tcW w:w="764" w:type="dxa"/>
            <w:tcBorders>
              <w:top w:val="single" w:sz="4" w:space="0" w:color="000000"/>
              <w:left w:val="single" w:sz="4" w:space="0" w:color="FFFFFF"/>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711,157,430.00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sz w:val="18"/>
              </w:rPr>
              <w:t>1,682,512,603.03</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49,750,916.92</w:t>
            </w:r>
          </w:p>
        </w:tc>
        <w:tc>
          <w:tcPr>
            <w:tcW w:w="1315"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3,868,196.13</w:t>
            </w:r>
          </w:p>
        </w:tc>
        <w:tc>
          <w:tcPr>
            <w:tcW w:w="764" w:type="dxa"/>
            <w:tcBorders>
              <w:top w:val="single" w:sz="4" w:space="0" w:color="000000"/>
              <w:left w:val="single" w:sz="4" w:space="0" w:color="FFFFFF"/>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30,930,203.91</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231,514,159.79</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center"/>
              <w:rPr>
                <w:rFonts w:ascii="宋体" w:hAnsi="宋体" w:cs="宋体" w:eastAsia="宋体" w:hint="default"/>
                <w:sz w:val="18"/>
                <w:szCs w:val="18"/>
              </w:rPr>
            </w:pPr>
            <w:r>
              <w:rPr>
                <w:rFonts w:ascii="宋体"/>
                <w:sz w:val="18"/>
              </w:rPr>
              <w:t>2,610,231,675.94</w:t>
            </w:r>
          </w:p>
        </w:tc>
      </w:tr>
    </w:tbl>
    <w:p>
      <w:pPr>
        <w:spacing w:after="0" w:line="240" w:lineRule="auto"/>
        <w:jc w:val="center"/>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r>
        <w:rPr/>
        <w:pict>
          <v:group style="position:absolute;margin-left:156.139999pt;margin-top:331.720001pt;width:65.3pt;height:28pt;mso-position-horizontal-relative:page;mso-position-vertical-relative:page;z-index:-1153216" coordorigin="3123,6634" coordsize="1306,560">
            <v:group style="position:absolute;left:3123;top:6634;width:1306;height:156" coordorigin="3123,6634" coordsize="1306,156">
              <v:shape style="position:absolute;left:3123;top:6634;width:1306;height:156" coordorigin="3123,6634" coordsize="1306,156" path="m3123,6790l4428,6790,4428,6634,3123,6634,3123,6790xe" filled="true" fillcolor="#ffffff" stroked="false">
                <v:path arrowok="t"/>
                <v:fill type="solid"/>
              </v:shape>
            </v:group>
            <v:group style="position:absolute;left:3134;top:6790;width:2;height:393" coordorigin="3134,6790" coordsize="2,393">
              <v:shape style="position:absolute;left:3134;top:6790;width:2;height:393" coordorigin="3134,6790" coordsize="0,393" path="m3134,6790l3134,7183e" filled="false" stroked="true" strokeweight="1.140pt" strokecolor="#ffffff">
                <v:path arrowok="t"/>
              </v:shape>
            </v:group>
            <v:group style="position:absolute;left:3146;top:6790;width:1260;height:393" coordorigin="3146,6790" coordsize="1260,393">
              <v:shape style="position:absolute;left:3146;top:6790;width:1260;height:393" coordorigin="3146,6790" coordsize="1260,393" path="m3146,7183l4406,7183,4406,6790,3146,6790,3146,7183xe" filled="true" fillcolor="#ffffff" stroked="false">
                <v:path arrowok="t"/>
                <v:fill type="solid"/>
              </v:shape>
            </v:group>
            <w10:wrap type="none"/>
          </v:group>
        </w:pict>
      </w:r>
    </w:p>
    <w:tbl>
      <w:tblPr>
        <w:tblW w:w="0" w:type="auto"/>
        <w:jc w:val="left"/>
        <w:tblInd w:w="107" w:type="dxa"/>
        <w:tblLayout w:type="fixed"/>
        <w:tblCellMar>
          <w:top w:w="0" w:type="dxa"/>
          <w:left w:w="0" w:type="dxa"/>
          <w:bottom w:w="0" w:type="dxa"/>
          <w:right w:w="0" w:type="dxa"/>
        </w:tblCellMar>
        <w:tblLook w:val="01E0"/>
      </w:tblPr>
      <w:tblGrid>
        <w:gridCol w:w="1694"/>
        <w:gridCol w:w="1327"/>
        <w:gridCol w:w="568"/>
        <w:gridCol w:w="566"/>
        <w:gridCol w:w="569"/>
        <w:gridCol w:w="1496"/>
        <w:gridCol w:w="1317"/>
        <w:gridCol w:w="1315"/>
        <w:gridCol w:w="764"/>
        <w:gridCol w:w="1226"/>
        <w:gridCol w:w="1585"/>
        <w:gridCol w:w="1587"/>
      </w:tblGrid>
      <w:tr>
        <w:trPr>
          <w:trHeight w:val="1041" w:hRule="exact"/>
        </w:trPr>
        <w:tc>
          <w:tcPr>
            <w:tcW w:w="1694"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38"/>
              <w:jc w:val="both"/>
              <w:rPr>
                <w:rFonts w:ascii="宋体" w:hAnsi="宋体" w:cs="宋体" w:eastAsia="宋体" w:hint="default"/>
                <w:sz w:val="18"/>
                <w:szCs w:val="18"/>
              </w:rPr>
            </w:pPr>
            <w:r>
              <w:rPr>
                <w:rFonts w:ascii="宋体" w:hAnsi="宋体" w:cs="宋体" w:eastAsia="宋体" w:hint="default"/>
                <w:sz w:val="18"/>
                <w:szCs w:val="18"/>
              </w:rPr>
              <w:t>三、本期增减变动金 额（减少以“－”号 填列）</w:t>
            </w:r>
          </w:p>
        </w:tc>
        <w:tc>
          <w:tcPr>
            <w:tcW w:w="1327" w:type="dxa"/>
            <w:tcBorders>
              <w:top w:val="single" w:sz="15"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60,840,820.00</w:t>
            </w:r>
          </w:p>
        </w:tc>
        <w:tc>
          <w:tcPr>
            <w:tcW w:w="568"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69" w:type="dxa"/>
            <w:tcBorders>
              <w:top w:val="single" w:sz="15" w:space="0" w:color="000000"/>
              <w:left w:val="single" w:sz="4" w:space="0" w:color="000000"/>
              <w:bottom w:val="single" w:sz="4" w:space="0" w:color="000000"/>
              <w:right w:val="single" w:sz="4" w:space="0" w:color="000000"/>
            </w:tcBorders>
          </w:tcPr>
          <w:p>
            <w:pPr/>
          </w:p>
        </w:tc>
        <w:tc>
          <w:tcPr>
            <w:tcW w:w="149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938,887,174.12</w:t>
            </w:r>
          </w:p>
        </w:tc>
        <w:tc>
          <w:tcPr>
            <w:tcW w:w="131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2"/>
              <w:jc w:val="right"/>
              <w:rPr>
                <w:rFonts w:ascii="宋体" w:hAnsi="宋体" w:cs="宋体" w:eastAsia="宋体" w:hint="default"/>
                <w:sz w:val="18"/>
                <w:szCs w:val="18"/>
              </w:rPr>
            </w:pPr>
            <w:r>
              <w:rPr>
                <w:rFonts w:ascii="宋体"/>
                <w:sz w:val="18"/>
              </w:rPr>
              <w:t>-49,750,916.92</w:t>
            </w:r>
          </w:p>
        </w:tc>
        <w:tc>
          <w:tcPr>
            <w:tcW w:w="131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sz w:val="18"/>
              </w:rPr>
              <w:t>-24,051,739.14</w:t>
            </w:r>
          </w:p>
        </w:tc>
        <w:tc>
          <w:tcPr>
            <w:tcW w:w="764" w:type="dxa"/>
            <w:tcBorders>
              <w:top w:val="single" w:sz="15" w:space="0" w:color="000000"/>
              <w:left w:val="single" w:sz="4" w:space="0" w:color="000000"/>
              <w:bottom w:val="single" w:sz="4" w:space="0" w:color="000000"/>
              <w:right w:val="single" w:sz="4" w:space="0" w:color="000000"/>
            </w:tcBorders>
          </w:tcPr>
          <w:p>
            <w:pPr/>
          </w:p>
        </w:tc>
        <w:tc>
          <w:tcPr>
            <w:tcW w:w="1226" w:type="dxa"/>
            <w:tcBorders>
              <w:top w:val="single" w:sz="15" w:space="0" w:color="000000"/>
              <w:left w:val="single" w:sz="4" w:space="0" w:color="000000"/>
              <w:bottom w:val="single" w:sz="4" w:space="0" w:color="000000"/>
              <w:right w:val="single" w:sz="4" w:space="0" w:color="000000"/>
            </w:tcBorders>
          </w:tcPr>
          <w:p>
            <w:pPr/>
          </w:p>
        </w:tc>
        <w:tc>
          <w:tcPr>
            <w:tcW w:w="158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-1,530,631,199.50</w:t>
            </w:r>
          </w:p>
        </w:tc>
        <w:tc>
          <w:tcPr>
            <w:tcW w:w="158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-505,204,027.60</w:t>
            </w: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-24,051,739.14</w:t>
            </w: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-1,519,773,770.45</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-1,543,825,509.59</w:t>
            </w:r>
          </w:p>
        </w:tc>
      </w:tr>
      <w:tr>
        <w:trPr>
          <w:trHeight w:val="714"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39"/>
              <w:jc w:val="left"/>
              <w:rPr>
                <w:rFonts w:ascii="宋体" w:hAnsi="宋体" w:cs="宋体" w:eastAsia="宋体" w:hint="default"/>
                <w:sz w:val="18"/>
                <w:szCs w:val="18"/>
              </w:rPr>
            </w:pPr>
            <w:r>
              <w:rPr>
                <w:rFonts w:ascii="宋体" w:hAnsi="宋体" w:cs="宋体" w:eastAsia="宋体" w:hint="default"/>
                <w:sz w:val="18"/>
                <w:szCs w:val="18"/>
              </w:rPr>
              <w:t>（二）所有者投入和 减少资本</w:t>
            </w:r>
          </w:p>
        </w:tc>
        <w:tc>
          <w:tcPr>
            <w:tcW w:w="1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60,840,820.00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938,887,174.12</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宋体" w:hAnsi="宋体" w:cs="宋体" w:eastAsia="宋体" w:hint="default"/>
                <w:sz w:val="18"/>
                <w:szCs w:val="18"/>
              </w:rPr>
            </w:pPr>
            <w:r>
              <w:rPr>
                <w:rFonts w:ascii="宋体"/>
                <w:sz w:val="18"/>
              </w:rPr>
              <w:t>-49,750,916.92</w:t>
            </w: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宋体" w:hAnsi="宋体" w:cs="宋体" w:eastAsia="宋体" w:hint="default"/>
                <w:sz w:val="18"/>
                <w:szCs w:val="18"/>
              </w:rPr>
            </w:pPr>
            <w:r>
              <w:rPr>
                <w:rFonts w:ascii="宋体"/>
                <w:sz w:val="18"/>
              </w:rPr>
              <w:t>1,049,478,911.04</w:t>
            </w:r>
          </w:p>
        </w:tc>
      </w:tr>
      <w:tr>
        <w:trPr>
          <w:trHeight w:val="714"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
              <w:jc w:val="left"/>
              <w:rPr>
                <w:rFonts w:ascii="宋体" w:hAnsi="宋体" w:cs="宋体" w:eastAsia="宋体" w:hint="default"/>
                <w:sz w:val="18"/>
                <w:szCs w:val="18"/>
              </w:rPr>
            </w:pPr>
            <w:r>
              <w:rPr>
                <w:rFonts w:ascii="宋体" w:hAnsi="宋体" w:cs="宋体" w:eastAsia="宋体" w:hint="default"/>
                <w:spacing w:val="-7"/>
                <w:sz w:val="18"/>
                <w:szCs w:val="18"/>
              </w:rPr>
              <w:t>1</w:t>
            </w:r>
            <w:r>
              <w:rPr>
                <w:rFonts w:ascii="宋体" w:hAnsi="宋体" w:cs="宋体" w:eastAsia="宋体" w:hint="default"/>
                <w:spacing w:val="-7"/>
                <w:sz w:val="18"/>
                <w:szCs w:val="18"/>
              </w:rPr>
              <w:t>．所有者投入的普通</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股</w:t>
            </w:r>
          </w:p>
        </w:tc>
        <w:tc>
          <w:tcPr>
            <w:tcW w:w="1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64,020,004.00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959,019,696.00</w:t>
            </w: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1,023,039,700.00</w:t>
            </w:r>
          </w:p>
        </w:tc>
      </w:tr>
      <w:tr>
        <w:trPr>
          <w:trHeight w:val="714"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
              <w:jc w:val="left"/>
              <w:rPr>
                <w:rFonts w:ascii="宋体" w:hAnsi="宋体" w:cs="宋体" w:eastAsia="宋体" w:hint="default"/>
                <w:sz w:val="18"/>
                <w:szCs w:val="18"/>
              </w:rPr>
            </w:pPr>
            <w:r>
              <w:rPr>
                <w:rFonts w:ascii="宋体" w:hAnsi="宋体" w:cs="宋体" w:eastAsia="宋体" w:hint="default"/>
                <w:spacing w:val="-7"/>
                <w:sz w:val="18"/>
                <w:szCs w:val="18"/>
              </w:rPr>
              <w:t>2</w:t>
            </w:r>
            <w:r>
              <w:rPr>
                <w:rFonts w:ascii="宋体" w:hAnsi="宋体" w:cs="宋体" w:eastAsia="宋体" w:hint="default"/>
                <w:spacing w:val="-7"/>
                <w:sz w:val="18"/>
                <w:szCs w:val="18"/>
              </w:rPr>
              <w:t>．其他权益工具持有</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者投入资本</w:t>
            </w:r>
          </w:p>
        </w:tc>
        <w:tc>
          <w:tcPr>
            <w:tcW w:w="1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-3,179,184.00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-28,741,503.31</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宋体" w:hAnsi="宋体" w:cs="宋体" w:eastAsia="宋体" w:hint="default"/>
                <w:sz w:val="18"/>
                <w:szCs w:val="18"/>
              </w:rPr>
            </w:pPr>
            <w:r>
              <w:rPr>
                <w:rFonts w:ascii="宋体"/>
                <w:sz w:val="18"/>
              </w:rPr>
              <w:t>-49,750,916.92</w:t>
            </w: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17,830,229.61</w:t>
            </w:r>
          </w:p>
        </w:tc>
      </w:tr>
      <w:tr>
        <w:trPr>
          <w:trHeight w:val="714"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
              <w:jc w:val="left"/>
              <w:rPr>
                <w:rFonts w:ascii="宋体" w:hAnsi="宋体" w:cs="宋体" w:eastAsia="宋体" w:hint="default"/>
                <w:sz w:val="18"/>
                <w:szCs w:val="18"/>
              </w:rPr>
            </w:pPr>
            <w:r>
              <w:rPr>
                <w:rFonts w:ascii="宋体" w:hAnsi="宋体" w:cs="宋体" w:eastAsia="宋体" w:hint="default"/>
                <w:spacing w:val="-7"/>
                <w:sz w:val="18"/>
                <w:szCs w:val="18"/>
              </w:rPr>
              <w:t>3</w:t>
            </w:r>
            <w:r>
              <w:rPr>
                <w:rFonts w:ascii="宋体" w:hAnsi="宋体" w:cs="宋体" w:eastAsia="宋体" w:hint="default"/>
                <w:spacing w:val="-7"/>
                <w:sz w:val="18"/>
                <w:szCs w:val="18"/>
              </w:rPr>
              <w:t>．股份支付计入所有</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者权益的金额</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9,040,577.66</w:t>
            </w: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9,040,577.66</w:t>
            </w: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-431,596.23</w:t>
            </w: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-431,596.23</w:t>
            </w: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-10,857,429.05</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-10,857,429.05</w:t>
            </w: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．提取盈余公积</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0"/>
              <w:jc w:val="left"/>
              <w:rPr>
                <w:rFonts w:ascii="宋体" w:hAnsi="宋体" w:cs="宋体" w:eastAsia="宋体" w:hint="default"/>
                <w:sz w:val="18"/>
                <w:szCs w:val="18"/>
              </w:rPr>
            </w:pPr>
            <w:r>
              <w:rPr>
                <w:rFonts w:ascii="宋体" w:hAnsi="宋体" w:cs="宋体" w:eastAsia="宋体" w:hint="default"/>
                <w:spacing w:val="-16"/>
                <w:sz w:val="18"/>
                <w:szCs w:val="18"/>
              </w:rPr>
              <w:t>2</w:t>
            </w:r>
            <w:r>
              <w:rPr>
                <w:rFonts w:ascii="宋体" w:hAnsi="宋体" w:cs="宋体" w:eastAsia="宋体" w:hint="default"/>
                <w:spacing w:val="-16"/>
                <w:sz w:val="18"/>
                <w:szCs w:val="18"/>
              </w:rPr>
              <w:t>．对所有者（或股东</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的分配</w:t>
            </w:r>
          </w:p>
        </w:tc>
        <w:tc>
          <w:tcPr>
            <w:tcW w:w="1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-10,857,429.05</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-10,857,429.05</w:t>
            </w: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39"/>
              <w:jc w:val="left"/>
              <w:rPr>
                <w:rFonts w:ascii="宋体" w:hAnsi="宋体" w:cs="宋体" w:eastAsia="宋体" w:hint="default"/>
                <w:sz w:val="18"/>
                <w:szCs w:val="18"/>
              </w:rPr>
            </w:pPr>
            <w:r>
              <w:rPr>
                <w:rFonts w:ascii="宋体" w:hAnsi="宋体" w:cs="宋体" w:eastAsia="宋体" w:hint="default"/>
                <w:sz w:val="18"/>
                <w:szCs w:val="18"/>
              </w:rPr>
              <w:t>（四）所有者权益内 部结转</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1</w:t>
            </w:r>
            <w:r>
              <w:rPr>
                <w:rFonts w:ascii="宋体" w:hAnsi="宋体" w:cs="宋体" w:eastAsia="宋体" w:hint="default"/>
                <w:spacing w:val="-7"/>
                <w:sz w:val="18"/>
                <w:szCs w:val="18"/>
              </w:rPr>
              <w:t>．资本公积转增资本</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2</w:t>
            </w:r>
            <w:r>
              <w:rPr>
                <w:rFonts w:ascii="宋体" w:hAnsi="宋体" w:cs="宋体" w:eastAsia="宋体" w:hint="default"/>
                <w:spacing w:val="-7"/>
                <w:sz w:val="18"/>
                <w:szCs w:val="18"/>
              </w:rPr>
              <w:t>．盈余公积转增资本</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7"/>
                <w:sz w:val="18"/>
                <w:szCs w:val="18"/>
              </w:rPr>
              <w:t>3</w:t>
            </w:r>
            <w:r>
              <w:rPr>
                <w:rFonts w:ascii="宋体" w:hAnsi="宋体" w:cs="宋体" w:eastAsia="宋体" w:hint="default"/>
                <w:spacing w:val="-7"/>
                <w:sz w:val="18"/>
                <w:szCs w:val="18"/>
              </w:rPr>
              <w:t>．盈余公积弥补亏损</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pacing w:val="-7"/>
                <w:sz w:val="18"/>
                <w:szCs w:val="18"/>
              </w:rPr>
              <w:t>4</w:t>
            </w:r>
            <w:r>
              <w:rPr>
                <w:rFonts w:ascii="宋体" w:hAnsi="宋体" w:cs="宋体" w:eastAsia="宋体" w:hint="default"/>
                <w:spacing w:val="-7"/>
                <w:sz w:val="18"/>
                <w:szCs w:val="18"/>
              </w:rPr>
              <w:t>．设定受益计划变动</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20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1694"/>
        <w:gridCol w:w="1327"/>
        <w:gridCol w:w="568"/>
        <w:gridCol w:w="566"/>
        <w:gridCol w:w="569"/>
        <w:gridCol w:w="1496"/>
        <w:gridCol w:w="1317"/>
        <w:gridCol w:w="1315"/>
        <w:gridCol w:w="764"/>
        <w:gridCol w:w="1226"/>
        <w:gridCol w:w="1585"/>
        <w:gridCol w:w="1587"/>
      </w:tblGrid>
      <w:tr>
        <w:trPr>
          <w:trHeight w:val="377" w:hRule="exact"/>
        </w:trPr>
        <w:tc>
          <w:tcPr>
            <w:tcW w:w="1694"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额结转留存收益</w:t>
            </w:r>
          </w:p>
        </w:tc>
        <w:tc>
          <w:tcPr>
            <w:tcW w:w="1327" w:type="dxa"/>
            <w:tcBorders>
              <w:top w:val="single" w:sz="15" w:space="0" w:color="000000"/>
              <w:left w:val="single" w:sz="13" w:space="0" w:color="D2D2D2"/>
              <w:bottom w:val="single" w:sz="4" w:space="0" w:color="000000"/>
              <w:right w:val="single" w:sz="4" w:space="0" w:color="000000"/>
            </w:tcBorders>
          </w:tcPr>
          <w:p>
            <w:pPr/>
          </w:p>
        </w:tc>
        <w:tc>
          <w:tcPr>
            <w:tcW w:w="568"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69" w:type="dxa"/>
            <w:tcBorders>
              <w:top w:val="single" w:sz="15" w:space="0" w:color="000000"/>
              <w:left w:val="single" w:sz="4" w:space="0" w:color="000000"/>
              <w:bottom w:val="single" w:sz="4" w:space="0" w:color="000000"/>
              <w:right w:val="single" w:sz="4" w:space="0" w:color="000000"/>
            </w:tcBorders>
          </w:tcPr>
          <w:p>
            <w:pPr/>
          </w:p>
        </w:tc>
        <w:tc>
          <w:tcPr>
            <w:tcW w:w="1496" w:type="dxa"/>
            <w:tcBorders>
              <w:top w:val="single" w:sz="15" w:space="0" w:color="000000"/>
              <w:left w:val="single" w:sz="4" w:space="0" w:color="000000"/>
              <w:bottom w:val="single" w:sz="4" w:space="0" w:color="000000"/>
              <w:right w:val="single" w:sz="4" w:space="0" w:color="000000"/>
            </w:tcBorders>
          </w:tcPr>
          <w:p>
            <w:pPr/>
          </w:p>
        </w:tc>
        <w:tc>
          <w:tcPr>
            <w:tcW w:w="1317" w:type="dxa"/>
            <w:tcBorders>
              <w:top w:val="single" w:sz="15" w:space="0" w:color="000000"/>
              <w:left w:val="single" w:sz="4" w:space="0" w:color="000000"/>
              <w:bottom w:val="single" w:sz="4" w:space="0" w:color="000000"/>
              <w:right w:val="single" w:sz="4" w:space="0" w:color="000000"/>
            </w:tcBorders>
          </w:tcPr>
          <w:p>
            <w:pPr/>
          </w:p>
        </w:tc>
        <w:tc>
          <w:tcPr>
            <w:tcW w:w="1315" w:type="dxa"/>
            <w:tcBorders>
              <w:top w:val="single" w:sz="15" w:space="0" w:color="000000"/>
              <w:left w:val="single" w:sz="4" w:space="0" w:color="000000"/>
              <w:bottom w:val="single" w:sz="4" w:space="0" w:color="000000"/>
              <w:right w:val="single" w:sz="4" w:space="0" w:color="000000"/>
            </w:tcBorders>
          </w:tcPr>
          <w:p>
            <w:pPr/>
          </w:p>
        </w:tc>
        <w:tc>
          <w:tcPr>
            <w:tcW w:w="764" w:type="dxa"/>
            <w:tcBorders>
              <w:top w:val="single" w:sz="15" w:space="0" w:color="000000"/>
              <w:left w:val="single" w:sz="4" w:space="0" w:color="000000"/>
              <w:bottom w:val="single" w:sz="4" w:space="0" w:color="000000"/>
              <w:right w:val="single" w:sz="4" w:space="0" w:color="000000"/>
            </w:tcBorders>
          </w:tcPr>
          <w:p>
            <w:pPr/>
          </w:p>
        </w:tc>
        <w:tc>
          <w:tcPr>
            <w:tcW w:w="1226" w:type="dxa"/>
            <w:tcBorders>
              <w:top w:val="single" w:sz="15" w:space="0" w:color="000000"/>
              <w:left w:val="single" w:sz="4" w:space="0" w:color="000000"/>
              <w:bottom w:val="single" w:sz="4" w:space="0" w:color="000000"/>
              <w:right w:val="single" w:sz="4" w:space="0" w:color="000000"/>
            </w:tcBorders>
          </w:tcPr>
          <w:p>
            <w:pPr/>
          </w:p>
        </w:tc>
        <w:tc>
          <w:tcPr>
            <w:tcW w:w="1585" w:type="dxa"/>
            <w:tcBorders>
              <w:top w:val="single" w:sz="15" w:space="0" w:color="000000"/>
              <w:left w:val="single" w:sz="4" w:space="0" w:color="000000"/>
              <w:bottom w:val="single" w:sz="4" w:space="0" w:color="000000"/>
              <w:right w:val="single" w:sz="4" w:space="0" w:color="000000"/>
            </w:tcBorders>
          </w:tcPr>
          <w:p>
            <w:pPr/>
          </w:p>
        </w:tc>
        <w:tc>
          <w:tcPr>
            <w:tcW w:w="1587"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．其他</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．本期提取</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．本期使用</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27"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771,998,250.00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sz w:val="18"/>
              </w:rPr>
              <w:t>2,621,399,777.15</w:t>
            </w:r>
          </w:p>
        </w:tc>
        <w:tc>
          <w:tcPr>
            <w:tcW w:w="1317"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-20,183,543.01</w:t>
            </w:r>
          </w:p>
        </w:tc>
        <w:tc>
          <w:tcPr>
            <w:tcW w:w="764"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30,930,203.91</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-1,299,117,039.71</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3" w:right="0"/>
              <w:jc w:val="left"/>
              <w:rPr>
                <w:rFonts w:ascii="宋体" w:hAnsi="宋体" w:cs="宋体" w:eastAsia="宋体" w:hint="default"/>
                <w:sz w:val="18"/>
                <w:szCs w:val="18"/>
              </w:rPr>
            </w:pPr>
            <w:r>
              <w:rPr>
                <w:rFonts w:ascii="宋体"/>
                <w:sz w:val="18"/>
              </w:rPr>
              <w:t>2,105,027,648.34</w:t>
            </w:r>
          </w:p>
        </w:tc>
      </w:tr>
    </w:tbl>
    <w:p>
      <w:pPr>
        <w:spacing w:before="51"/>
        <w:ind w:left="140" w:right="5438"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1834"/>
        <w:gridCol w:w="1328"/>
        <w:gridCol w:w="720"/>
        <w:gridCol w:w="720"/>
        <w:gridCol w:w="722"/>
        <w:gridCol w:w="1495"/>
        <w:gridCol w:w="1317"/>
        <w:gridCol w:w="1136"/>
        <w:gridCol w:w="692"/>
        <w:gridCol w:w="1226"/>
        <w:gridCol w:w="1315"/>
        <w:gridCol w:w="1497"/>
      </w:tblGrid>
      <w:tr>
        <w:trPr>
          <w:trHeight w:val="398" w:hRule="exact"/>
        </w:trPr>
        <w:tc>
          <w:tcPr>
            <w:tcW w:w="18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6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1" w:hRule="exact"/>
        </w:trPr>
        <w:tc>
          <w:tcPr>
            <w:tcW w:w="18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28" w:type="dxa"/>
            <w:tcBorders>
              <w:top w:val="single" w:sz="4" w:space="0" w:color="000000"/>
              <w:left w:val="single" w:sz="4" w:space="0" w:color="000000"/>
              <w:bottom w:val="nil" w:sz="6" w:space="0" w:color="auto"/>
              <w:right w:val="single" w:sz="4" w:space="0" w:color="000000"/>
            </w:tcBorders>
            <w:shd w:val="clear" w:color="auto" w:fill="D2D2D2"/>
          </w:tcPr>
          <w:p>
            <w:pPr/>
          </w:p>
        </w:tc>
        <w:tc>
          <w:tcPr>
            <w:tcW w:w="216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3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95"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6" w:type="dxa"/>
            <w:tcBorders>
              <w:top w:val="single" w:sz="4" w:space="0" w:color="000000"/>
              <w:left w:val="single" w:sz="4" w:space="0" w:color="000000"/>
              <w:bottom w:val="nil" w:sz="6" w:space="0" w:color="auto"/>
              <w:right w:val="single" w:sz="4" w:space="0" w:color="000000"/>
            </w:tcBorders>
            <w:shd w:val="clear" w:color="auto" w:fill="D2D2D2"/>
          </w:tcPr>
          <w:p>
            <w:pPr/>
          </w:p>
        </w:tc>
        <w:tc>
          <w:tcPr>
            <w:tcW w:w="6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250" w:right="71"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226"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5" w:type="dxa"/>
            <w:tcBorders>
              <w:top w:val="single" w:sz="4" w:space="0" w:color="000000"/>
              <w:left w:val="single" w:sz="4" w:space="0" w:color="000000"/>
              <w:bottom w:val="nil" w:sz="6" w:space="0" w:color="auto"/>
              <w:right w:val="single" w:sz="4" w:space="0" w:color="000000"/>
            </w:tcBorders>
            <w:shd w:val="clear" w:color="auto" w:fill="D2D2D2"/>
          </w:tcPr>
          <w:p>
            <w:pPr/>
          </w:p>
        </w:tc>
        <w:tc>
          <w:tcPr>
            <w:tcW w:w="149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834" w:type="dxa"/>
            <w:vMerge/>
            <w:tcBorders>
              <w:left w:val="single" w:sz="4" w:space="0" w:color="000000"/>
              <w:bottom w:val="nil" w:sz="6" w:space="0" w:color="auto"/>
              <w:right w:val="single" w:sz="4" w:space="0" w:color="000000"/>
            </w:tcBorders>
            <w:shd w:val="clear" w:color="auto" w:fill="D2D2D2"/>
          </w:tcPr>
          <w:p>
            <w:pPr/>
          </w:p>
        </w:tc>
        <w:tc>
          <w:tcPr>
            <w:tcW w:w="13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2162" w:type="dxa"/>
            <w:gridSpan w:val="3"/>
            <w:vMerge/>
            <w:tcBorders>
              <w:left w:val="single" w:sz="4" w:space="0" w:color="000000"/>
              <w:bottom w:val="single" w:sz="4" w:space="0" w:color="000000"/>
              <w:right w:val="single" w:sz="4" w:space="0" w:color="000000"/>
            </w:tcBorders>
            <w:shd w:val="clear" w:color="auto" w:fill="D2D2D2"/>
          </w:tcPr>
          <w:p>
            <w:pPr/>
          </w:p>
        </w:tc>
        <w:tc>
          <w:tcPr>
            <w:tcW w:w="14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31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0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3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692" w:type="dxa"/>
            <w:vMerge/>
            <w:tcBorders>
              <w:left w:val="single" w:sz="4" w:space="0" w:color="000000"/>
              <w:right w:val="single" w:sz="4" w:space="0" w:color="000000"/>
            </w:tcBorders>
            <w:shd w:val="clear" w:color="auto" w:fill="D2D2D2"/>
          </w:tcPr>
          <w:p>
            <w:pPr/>
          </w:p>
        </w:tc>
        <w:tc>
          <w:tcPr>
            <w:tcW w:w="12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4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3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1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00" w:hRule="exact"/>
        </w:trPr>
        <w:tc>
          <w:tcPr>
            <w:tcW w:w="1834" w:type="dxa"/>
            <w:vMerge w:val="restart"/>
            <w:tcBorders>
              <w:top w:val="nil" w:sz="6" w:space="0" w:color="auto"/>
              <w:left w:val="single" w:sz="4" w:space="0" w:color="000000"/>
              <w:right w:val="single" w:sz="4" w:space="0" w:color="000000"/>
            </w:tcBorders>
            <w:shd w:val="clear" w:color="auto" w:fill="D2D2D2"/>
          </w:tcPr>
          <w:p>
            <w:pPr/>
          </w:p>
        </w:tc>
        <w:tc>
          <w:tcPr>
            <w:tcW w:w="1328" w:type="dxa"/>
            <w:vMerge/>
            <w:tcBorders>
              <w:left w:val="single" w:sz="4" w:space="0" w:color="000000"/>
              <w:bottom w:val="nil" w:sz="6" w:space="0" w:color="auto"/>
              <w:right w:val="single" w:sz="4" w:space="0" w:color="000000"/>
            </w:tcBorders>
            <w:shd w:val="clear" w:color="auto" w:fill="D2D2D2"/>
          </w:tcPr>
          <w:p>
            <w:pPr/>
          </w:p>
        </w:tc>
        <w:tc>
          <w:tcPr>
            <w:tcW w:w="7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84"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7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84"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72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7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95" w:type="dxa"/>
            <w:vMerge/>
            <w:tcBorders>
              <w:left w:val="single" w:sz="4" w:space="0" w:color="000000"/>
              <w:bottom w:val="nil" w:sz="6" w:space="0" w:color="auto"/>
              <w:right w:val="single" w:sz="4" w:space="0" w:color="000000"/>
            </w:tcBorders>
            <w:shd w:val="clear" w:color="auto" w:fill="D2D2D2"/>
          </w:tcPr>
          <w:p>
            <w:pPr/>
          </w:p>
        </w:tc>
        <w:tc>
          <w:tcPr>
            <w:tcW w:w="1317" w:type="dxa"/>
            <w:vMerge/>
            <w:tcBorders>
              <w:left w:val="single" w:sz="4" w:space="0" w:color="000000"/>
              <w:bottom w:val="nil" w:sz="6" w:space="0" w:color="auto"/>
              <w:right w:val="single" w:sz="4" w:space="0" w:color="000000"/>
            </w:tcBorders>
            <w:shd w:val="clear" w:color="auto" w:fill="D2D2D2"/>
          </w:tcPr>
          <w:p>
            <w:pPr/>
          </w:p>
        </w:tc>
        <w:tc>
          <w:tcPr>
            <w:tcW w:w="1136" w:type="dxa"/>
            <w:vMerge/>
            <w:tcBorders>
              <w:left w:val="single" w:sz="4" w:space="0" w:color="000000"/>
              <w:bottom w:val="nil" w:sz="6" w:space="0" w:color="auto"/>
              <w:right w:val="single" w:sz="4" w:space="0" w:color="000000"/>
            </w:tcBorders>
            <w:shd w:val="clear" w:color="auto" w:fill="D2D2D2"/>
          </w:tcPr>
          <w:p>
            <w:pPr/>
          </w:p>
        </w:tc>
        <w:tc>
          <w:tcPr>
            <w:tcW w:w="692" w:type="dxa"/>
            <w:vMerge/>
            <w:tcBorders>
              <w:left w:val="single" w:sz="4" w:space="0" w:color="000000"/>
              <w:right w:val="single" w:sz="4" w:space="0" w:color="000000"/>
            </w:tcBorders>
            <w:shd w:val="clear" w:color="auto" w:fill="D2D2D2"/>
          </w:tcPr>
          <w:p>
            <w:pPr/>
          </w:p>
        </w:tc>
        <w:tc>
          <w:tcPr>
            <w:tcW w:w="1226" w:type="dxa"/>
            <w:vMerge/>
            <w:tcBorders>
              <w:left w:val="single" w:sz="4" w:space="0" w:color="000000"/>
              <w:bottom w:val="nil" w:sz="6" w:space="0" w:color="auto"/>
              <w:right w:val="single" w:sz="4" w:space="0" w:color="000000"/>
            </w:tcBorders>
            <w:shd w:val="clear" w:color="auto" w:fill="D2D2D2"/>
          </w:tcPr>
          <w:p>
            <w:pPr/>
          </w:p>
        </w:tc>
        <w:tc>
          <w:tcPr>
            <w:tcW w:w="1315" w:type="dxa"/>
            <w:vMerge/>
            <w:tcBorders>
              <w:left w:val="single" w:sz="4" w:space="0" w:color="000000"/>
              <w:bottom w:val="nil" w:sz="6" w:space="0" w:color="auto"/>
              <w:right w:val="single" w:sz="4" w:space="0" w:color="000000"/>
            </w:tcBorders>
            <w:shd w:val="clear" w:color="auto" w:fill="D2D2D2"/>
          </w:tcPr>
          <w:p>
            <w:pPr/>
          </w:p>
        </w:tc>
        <w:tc>
          <w:tcPr>
            <w:tcW w:w="1497"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834" w:type="dxa"/>
            <w:vMerge/>
            <w:tcBorders>
              <w:left w:val="single" w:sz="4" w:space="0" w:color="000000"/>
              <w:bottom w:val="single" w:sz="4" w:space="0" w:color="000000"/>
              <w:right w:val="single" w:sz="4" w:space="0" w:color="000000"/>
            </w:tcBorders>
            <w:shd w:val="clear" w:color="auto" w:fill="D2D2D2"/>
          </w:tcPr>
          <w:p>
            <w:pPr/>
          </w:p>
        </w:tc>
        <w:tc>
          <w:tcPr>
            <w:tcW w:w="1328" w:type="dxa"/>
            <w:tcBorders>
              <w:top w:val="nil" w:sz="6" w:space="0" w:color="auto"/>
              <w:left w:val="single" w:sz="4" w:space="0" w:color="000000"/>
              <w:bottom w:val="single" w:sz="4" w:space="0" w:color="000000"/>
              <w:right w:val="single" w:sz="4" w:space="0" w:color="000000"/>
            </w:tcBorders>
            <w:shd w:val="clear" w:color="auto" w:fill="D2D2D2"/>
          </w:tcPr>
          <w:p>
            <w:pPr/>
          </w:p>
        </w:tc>
        <w:tc>
          <w:tcPr>
            <w:tcW w:w="720" w:type="dxa"/>
            <w:vMerge/>
            <w:tcBorders>
              <w:left w:val="single" w:sz="4" w:space="0" w:color="000000"/>
              <w:bottom w:val="single" w:sz="4" w:space="0" w:color="000000"/>
              <w:right w:val="single" w:sz="4" w:space="0" w:color="000000"/>
            </w:tcBorders>
            <w:shd w:val="clear" w:color="auto" w:fill="D2D2D2"/>
          </w:tcPr>
          <w:p>
            <w:pPr/>
          </w:p>
        </w:tc>
        <w:tc>
          <w:tcPr>
            <w:tcW w:w="720" w:type="dxa"/>
            <w:vMerge/>
            <w:tcBorders>
              <w:left w:val="single" w:sz="4" w:space="0" w:color="000000"/>
              <w:bottom w:val="single" w:sz="4" w:space="0" w:color="000000"/>
              <w:right w:val="single" w:sz="4" w:space="0" w:color="000000"/>
            </w:tcBorders>
            <w:shd w:val="clear" w:color="auto" w:fill="D2D2D2"/>
          </w:tcPr>
          <w:p>
            <w:pPr/>
          </w:p>
        </w:tc>
        <w:tc>
          <w:tcPr>
            <w:tcW w:w="722" w:type="dxa"/>
            <w:vMerge/>
            <w:tcBorders>
              <w:left w:val="single" w:sz="4" w:space="0" w:color="000000"/>
              <w:bottom w:val="single" w:sz="4" w:space="0" w:color="000000"/>
              <w:right w:val="single" w:sz="4" w:space="0" w:color="000000"/>
            </w:tcBorders>
            <w:shd w:val="clear" w:color="auto" w:fill="D2D2D2"/>
          </w:tcPr>
          <w:p>
            <w:pPr/>
          </w:p>
        </w:tc>
        <w:tc>
          <w:tcPr>
            <w:tcW w:w="14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6" w:type="dxa"/>
            <w:tcBorders>
              <w:top w:val="nil" w:sz="6" w:space="0" w:color="auto"/>
              <w:left w:val="single" w:sz="4" w:space="0" w:color="000000"/>
              <w:bottom w:val="single" w:sz="4" w:space="0" w:color="000000"/>
              <w:right w:val="single" w:sz="4" w:space="0" w:color="000000"/>
            </w:tcBorders>
            <w:shd w:val="clear" w:color="auto" w:fill="D2D2D2"/>
          </w:tcPr>
          <w:p>
            <w:pPr/>
          </w:p>
        </w:tc>
        <w:tc>
          <w:tcPr>
            <w:tcW w:w="692" w:type="dxa"/>
            <w:vMerge/>
            <w:tcBorders>
              <w:left w:val="single" w:sz="4" w:space="0" w:color="000000"/>
              <w:bottom w:val="single" w:sz="4" w:space="0" w:color="000000"/>
              <w:right w:val="single" w:sz="4" w:space="0" w:color="000000"/>
            </w:tcBorders>
            <w:shd w:val="clear" w:color="auto" w:fill="D2D2D2"/>
          </w:tcPr>
          <w:p>
            <w:pPr/>
          </w:p>
        </w:tc>
        <w:tc>
          <w:tcPr>
            <w:tcW w:w="122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5" w:type="dxa"/>
            <w:tcBorders>
              <w:top w:val="nil" w:sz="6" w:space="0" w:color="auto"/>
              <w:left w:val="single" w:sz="4" w:space="0" w:color="000000"/>
              <w:bottom w:val="single" w:sz="4" w:space="0" w:color="000000"/>
              <w:right w:val="single" w:sz="4" w:space="0" w:color="000000"/>
            </w:tcBorders>
            <w:shd w:val="clear" w:color="auto" w:fill="D2D2D2"/>
          </w:tcPr>
          <w:p>
            <w:pPr/>
          </w:p>
        </w:tc>
        <w:tc>
          <w:tcPr>
            <w:tcW w:w="149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284,752,577.00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2,096,312,600.07</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93,999,854.10</w:t>
            </w: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22" w:space="0" w:color="D2D2D2"/>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25,074,881.83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190,208,184.16</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2,502,348,388.96</w:t>
            </w:r>
          </w:p>
        </w:tc>
      </w:tr>
      <w:tr>
        <w:trPr>
          <w:trHeight w:val="402"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
              <w:jc w:val="right"/>
              <w:rPr>
                <w:rFonts w:ascii="宋体" w:hAnsi="宋体" w:cs="宋体" w:eastAsia="宋体" w:hint="default"/>
                <w:sz w:val="18"/>
                <w:szCs w:val="18"/>
              </w:rPr>
            </w:pPr>
            <w:r>
              <w:rPr>
                <w:rFonts w:ascii="宋体" w:hAnsi="宋体" w:cs="宋体" w:eastAsia="宋体" w:hint="default"/>
                <w:sz w:val="18"/>
                <w:szCs w:val="18"/>
              </w:rPr>
              <w:t>加：会计政策变更</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
              <w:jc w:val="right"/>
              <w:rPr>
                <w:rFonts w:ascii="宋体" w:hAnsi="宋体" w:cs="宋体" w:eastAsia="宋体" w:hint="default"/>
                <w:sz w:val="18"/>
                <w:szCs w:val="18"/>
              </w:rPr>
            </w:pPr>
            <w:r>
              <w:rPr>
                <w:rFonts w:ascii="宋体" w:hAnsi="宋体" w:cs="宋体" w:eastAsia="宋体" w:hint="default"/>
                <w:sz w:val="18"/>
                <w:szCs w:val="18"/>
              </w:rPr>
              <w:t>前期差错更正</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284,752,577.00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2,096,312,600.07</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93,999,854.10</w:t>
            </w: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25,074,881.83</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190,208,184.16</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2,502,348,388.96</w:t>
            </w:r>
          </w:p>
        </w:tc>
      </w:tr>
      <w:tr>
        <w:trPr>
          <w:trHeight w:val="714"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三、本期增减变动金额</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pacing w:val="-9"/>
                <w:sz w:val="18"/>
                <w:szCs w:val="18"/>
              </w:rPr>
              <w:t>（减少以“－”号填列</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196" w:lineRule="exact"/>
              <w:ind w:left="27" w:right="0"/>
              <w:jc w:val="left"/>
              <w:rPr>
                <w:rFonts w:ascii="宋体" w:hAnsi="宋体" w:cs="宋体" w:eastAsia="宋体" w:hint="default"/>
                <w:sz w:val="18"/>
                <w:szCs w:val="18"/>
              </w:rPr>
            </w:pPr>
            <w:r>
              <w:rPr>
                <w:rFonts w:ascii="宋体"/>
                <w:sz w:val="18"/>
              </w:rPr>
              <w:t>426,404,853.00</w:t>
            </w:r>
          </w:p>
          <w:p>
            <w:pPr>
              <w:pStyle w:val="TableParagraph"/>
              <w:spacing w:line="196" w:lineRule="exact"/>
              <w:ind w:left="-118"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
              <w:ind w:right="0"/>
              <w:jc w:val="left"/>
              <w:rPr>
                <w:rFonts w:ascii="宋体" w:hAnsi="宋体" w:cs="宋体" w:eastAsia="宋体" w:hint="default"/>
                <w:sz w:val="11"/>
                <w:szCs w:val="11"/>
              </w:rPr>
            </w:pPr>
          </w:p>
          <w:p>
            <w:pPr>
              <w:pStyle w:val="TableParagraph"/>
              <w:spacing w:line="560" w:lineRule="exact"/>
              <w:ind w:left="4" w:right="-38"/>
              <w:jc w:val="left"/>
              <w:rPr>
                <w:rFonts w:ascii="宋体" w:hAnsi="宋体" w:cs="宋体" w:eastAsia="宋体" w:hint="default"/>
                <w:sz w:val="20"/>
                <w:szCs w:val="20"/>
              </w:rPr>
            </w:pPr>
            <w:r>
              <w:rPr>
                <w:rFonts w:ascii="宋体" w:hAnsi="宋体" w:cs="宋体" w:eastAsia="宋体" w:hint="default"/>
                <w:position w:val="-10"/>
                <w:sz w:val="20"/>
                <w:szCs w:val="20"/>
              </w:rPr>
              <w:pict>
                <v:group style="width:65.3500pt;height:28.05pt;mso-position-horizontal-relative:char;mso-position-vertical-relative:line" coordorigin="0,0" coordsize="1307,561">
                  <v:group style="position:absolute;left:11;top:11;width:2;height:393" coordorigin="11,11" coordsize="2,393">
                    <v:shape style="position:absolute;left:11;top:11;width:2;height:393" coordorigin="11,11" coordsize="0,393" path="m11,11l11,404e" filled="false" stroked="true" strokeweight="1.140pt" strokecolor="#ffffff">
                      <v:path arrowok="t"/>
                    </v:shape>
                  </v:group>
                  <v:group style="position:absolute;left:0;top:404;width:1307;height:156" coordorigin="0,404" coordsize="1307,156">
                    <v:shape style="position:absolute;left:0;top:404;width:1307;height:156" coordorigin="0,404" coordsize="1307,156" path="m0,560l1307,560,1307,404,0,404,0,560xe" filled="true" fillcolor="#ffffff" stroked="false">
                      <v:path arrowok="t"/>
                      <v:fill type="solid"/>
                    </v:shape>
                  </v:group>
                  <v:group style="position:absolute;left:23;top:11;width:1260;height:393" coordorigin="23,11" coordsize="1260,393">
                    <v:shape style="position:absolute;left:23;top:11;width:1260;height:393" coordorigin="23,11" coordsize="1260,393" path="m23,404l1283,404,1283,11,23,11,23,404xe" filled="true" fillcolor="#ffffff" stroked="false">
                      <v:path arrowok="t"/>
                      <v:fill type="solid"/>
                    </v:shape>
                  </v:group>
                </v:group>
              </w:pict>
            </w:r>
            <w:r>
              <w:rPr>
                <w:rFonts w:ascii="宋体" w:hAnsi="宋体" w:cs="宋体" w:eastAsia="宋体" w:hint="default"/>
                <w:position w:val="-10"/>
                <w:sz w:val="20"/>
                <w:szCs w:val="20"/>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-413,799,997.04</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-44,248,937.18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sz w:val="18"/>
              </w:rPr>
              <w:t>3,868,196.13</w:t>
            </w: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8" w:right="0"/>
              <w:jc w:val="center"/>
              <w:rPr>
                <w:rFonts w:ascii="宋体" w:hAnsi="宋体" w:cs="宋体" w:eastAsia="宋体" w:hint="default"/>
                <w:sz w:val="18"/>
                <w:szCs w:val="18"/>
              </w:rPr>
            </w:pPr>
            <w:r>
              <w:rPr>
                <w:rFonts w:ascii="宋体"/>
                <w:sz w:val="18"/>
              </w:rPr>
              <w:t>5,855,322.08</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9" w:right="0"/>
              <w:jc w:val="center"/>
              <w:rPr>
                <w:rFonts w:ascii="宋体" w:hAnsi="宋体" w:cs="宋体" w:eastAsia="宋体" w:hint="default"/>
                <w:sz w:val="18"/>
                <w:szCs w:val="18"/>
              </w:rPr>
            </w:pPr>
            <w:r>
              <w:rPr>
                <w:rFonts w:ascii="宋体"/>
                <w:sz w:val="18"/>
              </w:rPr>
              <w:t>41,305,975.63</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107,883,286.98</w:t>
            </w:r>
          </w:p>
        </w:tc>
      </w:tr>
      <w:tr>
        <w:trPr>
          <w:trHeight w:val="402"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3,868,196.13</w:t>
            </w: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sz w:val="18"/>
              </w:rPr>
              <w:t>58,553,220.78</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62,421,416.91</w:t>
            </w:r>
          </w:p>
        </w:tc>
      </w:tr>
      <w:tr>
        <w:trPr>
          <w:trHeight w:val="714"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2"/>
              <w:jc w:val="left"/>
              <w:rPr>
                <w:rFonts w:ascii="宋体" w:hAnsi="宋体" w:cs="宋体" w:eastAsia="宋体" w:hint="default"/>
                <w:sz w:val="18"/>
                <w:szCs w:val="18"/>
              </w:rPr>
            </w:pPr>
            <w:r>
              <w:rPr>
                <w:rFonts w:ascii="宋体" w:hAnsi="宋体" w:cs="宋体" w:eastAsia="宋体" w:hint="default"/>
                <w:sz w:val="18"/>
                <w:szCs w:val="18"/>
              </w:rPr>
              <w:t>（二）所有者投入和减 少资本</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-724,008.00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13,328,863.96</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-44,248,937.18</w:t>
            </w: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56,853,793.14</w:t>
            </w:r>
          </w:p>
        </w:tc>
      </w:tr>
      <w:tr>
        <w:trPr>
          <w:trHeight w:val="402"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89"/>
                <w:sz w:val="18"/>
                <w:szCs w:val="18"/>
              </w:rPr>
              <w:t>．</w:t>
            </w:r>
            <w:r>
              <w:rPr>
                <w:rFonts w:ascii="宋体" w:hAnsi="宋体" w:cs="宋体" w:eastAsia="宋体" w:hint="default"/>
                <w:sz w:val="18"/>
                <w:szCs w:val="18"/>
              </w:rPr>
              <w:t>所有者投入的普通股</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89"/>
                <w:sz w:val="18"/>
                <w:szCs w:val="18"/>
              </w:rPr>
              <w:t>．</w:t>
            </w:r>
            <w:r>
              <w:rPr>
                <w:rFonts w:ascii="宋体" w:hAnsi="宋体" w:cs="宋体" w:eastAsia="宋体" w:hint="default"/>
                <w:sz w:val="18"/>
                <w:szCs w:val="18"/>
              </w:rPr>
              <w:t>其他权益工具持有者</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-724,008.00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-9,941,638.19</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-44,248,937.18</w:t>
            </w: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33,583,290.99</w:t>
            </w:r>
          </w:p>
        </w:tc>
      </w:tr>
    </w:tbl>
    <w:p>
      <w:pPr>
        <w:spacing w:after="0" w:line="240" w:lineRule="auto"/>
        <w:jc w:val="righ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4"/>
        <w:rPr>
          <w:rFonts w:ascii="Times New Roman" w:hAnsi="Times New Roman" w:cs="Times New Roman" w:eastAsia="Times New Roman" w:hint="default"/>
          <w:sz w:val="3"/>
          <w:szCs w:val="3"/>
        </w:rPr>
      </w:pPr>
      <w:r>
        <w:rPr/>
        <w:pict>
          <v:group style="position:absolute;margin-left:163.699997pt;margin-top:171.320007pt;width:65.3500pt;height:28pt;mso-position-horizontal-relative:page;mso-position-vertical-relative:page;z-index:-1153168" coordorigin="3274,3426" coordsize="1307,560">
            <v:group style="position:absolute;left:3274;top:3426;width:1307;height:156" coordorigin="3274,3426" coordsize="1307,156">
              <v:shape style="position:absolute;left:3274;top:3426;width:1307;height:156" coordorigin="3274,3426" coordsize="1307,156" path="m3274,3582l4581,3582,4581,3426,3274,3426,3274,3582xe" filled="true" fillcolor="#ffffff" stroked="false">
                <v:path arrowok="t"/>
                <v:fill type="solid"/>
              </v:shape>
            </v:group>
            <v:group style="position:absolute;left:3285;top:3582;width:2;height:393" coordorigin="3285,3582" coordsize="2,393">
              <v:shape style="position:absolute;left:3285;top:3582;width:2;height:393" coordorigin="3285,3582" coordsize="0,393" path="m3285,3582l3285,3975e" filled="false" stroked="true" strokeweight="1.140pt" strokecolor="#ffffff">
                <v:path arrowok="t"/>
              </v:shape>
            </v:group>
            <v:group style="position:absolute;left:3297;top:3582;width:1260;height:393" coordorigin="3297,3582" coordsize="1260,393">
              <v:shape style="position:absolute;left:3297;top:3582;width:1260;height:393" coordorigin="3297,3582" coordsize="1260,393" path="m3297,3975l4557,3975,4557,3582,3297,3582,3297,3975xe" filled="true" fillcolor="#ffffff" stroked="false">
                <v:path arrowok="t"/>
                <v:fill type="solid"/>
              </v:shape>
            </v:group>
            <w10:wrap type="none"/>
          </v:group>
        </w:pict>
      </w:r>
    </w:p>
    <w:tbl>
      <w:tblPr>
        <w:tblW w:w="0" w:type="auto"/>
        <w:jc w:val="left"/>
        <w:tblInd w:w="107" w:type="dxa"/>
        <w:tblLayout w:type="fixed"/>
        <w:tblCellMar>
          <w:top w:w="0" w:type="dxa"/>
          <w:left w:w="0" w:type="dxa"/>
          <w:bottom w:w="0" w:type="dxa"/>
          <w:right w:w="0" w:type="dxa"/>
        </w:tblCellMar>
        <w:tblLook w:val="01E0"/>
      </w:tblPr>
      <w:tblGrid>
        <w:gridCol w:w="1845"/>
        <w:gridCol w:w="1328"/>
        <w:gridCol w:w="720"/>
        <w:gridCol w:w="720"/>
        <w:gridCol w:w="722"/>
        <w:gridCol w:w="1495"/>
        <w:gridCol w:w="1317"/>
        <w:gridCol w:w="1136"/>
        <w:gridCol w:w="692"/>
        <w:gridCol w:w="1226"/>
        <w:gridCol w:w="1315"/>
        <w:gridCol w:w="1497"/>
      </w:tblGrid>
      <w:tr>
        <w:trPr>
          <w:trHeight w:val="377" w:hRule="exact"/>
        </w:trPr>
        <w:tc>
          <w:tcPr>
            <w:tcW w:w="1845" w:type="dxa"/>
            <w:tcBorders>
              <w:top w:val="single" w:sz="15"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投入资本</w:t>
            </w:r>
          </w:p>
        </w:tc>
        <w:tc>
          <w:tcPr>
            <w:tcW w:w="1328" w:type="dxa"/>
            <w:tcBorders>
              <w:top w:val="single" w:sz="15" w:space="0" w:color="000000"/>
              <w:left w:val="single" w:sz="9" w:space="0" w:color="D2D2D2"/>
              <w:bottom w:val="single" w:sz="4" w:space="0" w:color="000000"/>
              <w:right w:val="single" w:sz="4" w:space="0" w:color="000000"/>
            </w:tcBorders>
          </w:tcPr>
          <w:p>
            <w:pPr/>
          </w:p>
        </w:tc>
        <w:tc>
          <w:tcPr>
            <w:tcW w:w="720" w:type="dxa"/>
            <w:tcBorders>
              <w:top w:val="single" w:sz="15" w:space="0" w:color="000000"/>
              <w:left w:val="single" w:sz="4" w:space="0" w:color="000000"/>
              <w:bottom w:val="single" w:sz="4" w:space="0" w:color="000000"/>
              <w:right w:val="single" w:sz="4" w:space="0" w:color="000000"/>
            </w:tcBorders>
          </w:tcPr>
          <w:p>
            <w:pPr/>
          </w:p>
        </w:tc>
        <w:tc>
          <w:tcPr>
            <w:tcW w:w="720" w:type="dxa"/>
            <w:tcBorders>
              <w:top w:val="single" w:sz="15" w:space="0" w:color="000000"/>
              <w:left w:val="single" w:sz="4" w:space="0" w:color="000000"/>
              <w:bottom w:val="single" w:sz="4" w:space="0" w:color="000000"/>
              <w:right w:val="single" w:sz="4" w:space="0" w:color="000000"/>
            </w:tcBorders>
          </w:tcPr>
          <w:p>
            <w:pPr/>
          </w:p>
        </w:tc>
        <w:tc>
          <w:tcPr>
            <w:tcW w:w="722" w:type="dxa"/>
            <w:tcBorders>
              <w:top w:val="single" w:sz="15" w:space="0" w:color="000000"/>
              <w:left w:val="single" w:sz="4" w:space="0" w:color="000000"/>
              <w:bottom w:val="single" w:sz="4" w:space="0" w:color="000000"/>
              <w:right w:val="single" w:sz="4" w:space="0" w:color="000000"/>
            </w:tcBorders>
          </w:tcPr>
          <w:p>
            <w:pPr/>
          </w:p>
        </w:tc>
        <w:tc>
          <w:tcPr>
            <w:tcW w:w="1495" w:type="dxa"/>
            <w:tcBorders>
              <w:top w:val="single" w:sz="15" w:space="0" w:color="000000"/>
              <w:left w:val="single" w:sz="4" w:space="0" w:color="000000"/>
              <w:bottom w:val="single" w:sz="4" w:space="0" w:color="000000"/>
              <w:right w:val="single" w:sz="4" w:space="0" w:color="000000"/>
            </w:tcBorders>
          </w:tcPr>
          <w:p>
            <w:pPr/>
          </w:p>
        </w:tc>
        <w:tc>
          <w:tcPr>
            <w:tcW w:w="1317" w:type="dxa"/>
            <w:tcBorders>
              <w:top w:val="single" w:sz="15" w:space="0" w:color="000000"/>
              <w:left w:val="single" w:sz="4" w:space="0" w:color="000000"/>
              <w:bottom w:val="single" w:sz="4" w:space="0" w:color="000000"/>
              <w:right w:val="single" w:sz="4" w:space="0" w:color="000000"/>
            </w:tcBorders>
          </w:tcPr>
          <w:p>
            <w:pPr/>
          </w:p>
        </w:tc>
        <w:tc>
          <w:tcPr>
            <w:tcW w:w="1136" w:type="dxa"/>
            <w:tcBorders>
              <w:top w:val="single" w:sz="15" w:space="0" w:color="000000"/>
              <w:left w:val="single" w:sz="4" w:space="0" w:color="000000"/>
              <w:bottom w:val="single" w:sz="4" w:space="0" w:color="000000"/>
              <w:right w:val="single" w:sz="4" w:space="0" w:color="000000"/>
            </w:tcBorders>
          </w:tcPr>
          <w:p>
            <w:pPr/>
          </w:p>
        </w:tc>
        <w:tc>
          <w:tcPr>
            <w:tcW w:w="692" w:type="dxa"/>
            <w:tcBorders>
              <w:top w:val="single" w:sz="15" w:space="0" w:color="000000"/>
              <w:left w:val="single" w:sz="4" w:space="0" w:color="000000"/>
              <w:bottom w:val="single" w:sz="4" w:space="0" w:color="000000"/>
              <w:right w:val="single" w:sz="4" w:space="0" w:color="000000"/>
            </w:tcBorders>
          </w:tcPr>
          <w:p>
            <w:pPr/>
          </w:p>
        </w:tc>
        <w:tc>
          <w:tcPr>
            <w:tcW w:w="1226" w:type="dxa"/>
            <w:tcBorders>
              <w:top w:val="single" w:sz="15" w:space="0" w:color="000000"/>
              <w:left w:val="single" w:sz="4" w:space="0" w:color="000000"/>
              <w:bottom w:val="single" w:sz="4" w:space="0" w:color="000000"/>
              <w:right w:val="single" w:sz="4" w:space="0" w:color="000000"/>
            </w:tcBorders>
          </w:tcPr>
          <w:p>
            <w:pPr/>
          </w:p>
        </w:tc>
        <w:tc>
          <w:tcPr>
            <w:tcW w:w="1315" w:type="dxa"/>
            <w:tcBorders>
              <w:top w:val="single" w:sz="15" w:space="0" w:color="000000"/>
              <w:left w:val="single" w:sz="4" w:space="0" w:color="000000"/>
              <w:bottom w:val="single" w:sz="4" w:space="0" w:color="000000"/>
              <w:right w:val="single" w:sz="4" w:space="0" w:color="000000"/>
            </w:tcBorders>
          </w:tcPr>
          <w:p>
            <w:pPr/>
          </w:p>
        </w:tc>
        <w:tc>
          <w:tcPr>
            <w:tcW w:w="1497"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9"/>
              <w:jc w:val="left"/>
              <w:rPr>
                <w:rFonts w:ascii="宋体" w:hAnsi="宋体" w:cs="宋体" w:eastAsia="宋体" w:hint="default"/>
                <w:sz w:val="18"/>
                <w:szCs w:val="18"/>
              </w:rPr>
            </w:pPr>
            <w:r>
              <w:rPr>
                <w:rFonts w:ascii="宋体" w:hAnsi="宋体" w:cs="宋体" w:eastAsia="宋体" w:hint="default"/>
                <w:spacing w:val="-9"/>
                <w:sz w:val="18"/>
                <w:szCs w:val="18"/>
              </w:rPr>
              <w:t>3</w:t>
            </w:r>
            <w:r>
              <w:rPr>
                <w:rFonts w:ascii="宋体" w:hAnsi="宋体" w:cs="宋体" w:eastAsia="宋体" w:hint="default"/>
                <w:spacing w:val="-9"/>
                <w:sz w:val="18"/>
                <w:szCs w:val="18"/>
              </w:rPr>
              <w:t>．股份支付计入所有者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权益的金额</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23,270,502.15</w:t>
            </w: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23,270,502.15</w:t>
            </w: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center"/>
              <w:rPr>
                <w:rFonts w:ascii="宋体" w:hAnsi="宋体" w:cs="宋体" w:eastAsia="宋体" w:hint="default"/>
                <w:sz w:val="18"/>
                <w:szCs w:val="18"/>
              </w:rPr>
            </w:pPr>
            <w:r>
              <w:rPr>
                <w:rFonts w:ascii="宋体"/>
                <w:sz w:val="18"/>
              </w:rPr>
              <w:t>5,855,322.08</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-17,247,245.15</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-11,391,923.07</w:t>
            </w: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．提取盈余公积</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center"/>
              <w:rPr>
                <w:rFonts w:ascii="宋体" w:hAnsi="宋体" w:cs="宋体" w:eastAsia="宋体" w:hint="default"/>
                <w:sz w:val="18"/>
                <w:szCs w:val="18"/>
              </w:rPr>
            </w:pPr>
            <w:r>
              <w:rPr>
                <w:rFonts w:ascii="宋体"/>
                <w:sz w:val="18"/>
              </w:rPr>
              <w:t>5,855,322.08</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sz w:val="18"/>
              </w:rPr>
              <w:t>-5,855,322.08</w:t>
            </w: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02"/>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．对所有者（或股东 的分配</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sz w:val="18"/>
              </w:rPr>
              <w:t>-11,391,923.07</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-11,391,923.07</w:t>
            </w: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2"/>
              <w:jc w:val="left"/>
              <w:rPr>
                <w:rFonts w:ascii="宋体" w:hAnsi="宋体" w:cs="宋体" w:eastAsia="宋体" w:hint="default"/>
                <w:sz w:val="18"/>
                <w:szCs w:val="18"/>
              </w:rPr>
            </w:pPr>
            <w:r>
              <w:rPr>
                <w:rFonts w:ascii="宋体" w:hAnsi="宋体" w:cs="宋体" w:eastAsia="宋体" w:hint="default"/>
                <w:sz w:val="18"/>
                <w:szCs w:val="18"/>
              </w:rPr>
              <w:t>（四）所有者权益内部 结转</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427,128,861.00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-427,128,861.00</w:t>
            </w: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．资本公积转增资本</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427,128,861.00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-427,128,861.00</w:t>
            </w: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．盈余公积转增资本</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．盈余公积弥补亏损</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9"/>
              <w:jc w:val="left"/>
              <w:rPr>
                <w:rFonts w:ascii="宋体" w:hAnsi="宋体" w:cs="宋体" w:eastAsia="宋体" w:hint="default"/>
                <w:sz w:val="18"/>
                <w:szCs w:val="18"/>
              </w:rPr>
            </w:pPr>
            <w:r>
              <w:rPr>
                <w:rFonts w:ascii="宋体" w:hAnsi="宋体" w:cs="宋体" w:eastAsia="宋体" w:hint="default"/>
                <w:spacing w:val="-9"/>
                <w:sz w:val="18"/>
                <w:szCs w:val="18"/>
              </w:rPr>
              <w:t>4</w:t>
            </w:r>
            <w:r>
              <w:rPr>
                <w:rFonts w:ascii="宋体" w:hAnsi="宋体" w:cs="宋体" w:eastAsia="宋体" w:hint="default"/>
                <w:spacing w:val="-9"/>
                <w:sz w:val="18"/>
                <w:szCs w:val="18"/>
              </w:rPr>
              <w:t>．设定受益计划变动额</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结转留存收益</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．其他</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．本期提取</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．本期使用</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28" w:type="dxa"/>
            <w:tcBorders>
              <w:top w:val="single" w:sz="4" w:space="0" w:color="000000"/>
              <w:left w:val="single" w:sz="9" w:space="0" w:color="D2D2D2"/>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317"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2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711,157,430.00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1,682,512,603.03</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2" w:right="0"/>
              <w:jc w:val="left"/>
              <w:rPr>
                <w:rFonts w:ascii="宋体" w:hAnsi="宋体" w:cs="宋体" w:eastAsia="宋体" w:hint="default"/>
                <w:sz w:val="18"/>
                <w:szCs w:val="18"/>
              </w:rPr>
            </w:pPr>
            <w:r>
              <w:rPr>
                <w:rFonts w:ascii="宋体"/>
                <w:sz w:val="18"/>
              </w:rPr>
              <w:t>49,750,916.92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3,868,196.13</w:t>
            </w:r>
          </w:p>
        </w:tc>
        <w:tc>
          <w:tcPr>
            <w:tcW w:w="692"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30,930,203.91</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231,514,159.79</w:t>
            </w:r>
          </w:p>
        </w:tc>
        <w:tc>
          <w:tcPr>
            <w:tcW w:w="1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2,610,231,675.94</w:t>
            </w:r>
          </w:p>
        </w:tc>
      </w:tr>
    </w:tbl>
    <w:p>
      <w:pPr>
        <w:spacing w:after="0" w:line="240" w:lineRule="auto"/>
        <w:jc w:val="right"/>
        <w:rPr>
          <w:rFonts w:ascii="宋体" w:hAnsi="宋体" w:cs="宋体" w:eastAsia="宋体" w:hint="default"/>
          <w:sz w:val="18"/>
          <w:szCs w:val="18"/>
        </w:rPr>
        <w:sectPr>
          <w:pgSz w:w="16840" w:h="11910" w:orient="landscape"/>
          <w:pgMar w:header="867" w:footer="979" w:top="1060" w:bottom="1160" w:left="1300" w:right="1300"/>
        </w:sectPr>
      </w:pPr>
    </w:p>
    <w:p>
      <w:pPr>
        <w:spacing w:line="240" w:lineRule="auto" w:before="5"/>
        <w:rPr>
          <w:rFonts w:ascii="Times New Roman" w:hAnsi="Times New Roman" w:cs="Times New Roman" w:eastAsia="Times New Roman" w:hint="default"/>
          <w:sz w:val="22"/>
          <w:szCs w:val="22"/>
        </w:rPr>
      </w:pPr>
    </w:p>
    <w:p>
      <w:pPr>
        <w:pStyle w:val="Heading2"/>
        <w:spacing w:line="240" w:lineRule="auto"/>
        <w:ind w:right="0"/>
        <w:jc w:val="both"/>
        <w:rPr>
          <w:b w:val="0"/>
          <w:bCs w:val="0"/>
        </w:rPr>
      </w:pPr>
      <w:bookmarkStart w:name="三、公司基本情况" w:id="167"/>
      <w:bookmarkEnd w:id="167"/>
      <w:r>
        <w:rPr>
          <w:b w:val="0"/>
          <w:bCs w:val="0"/>
        </w:rPr>
      </w:r>
      <w:r>
        <w:rPr/>
        <w:t>三、公司基本情况</w:t>
      </w:r>
      <w:r>
        <w:rPr>
          <w:b w:val="0"/>
          <w:bCs w:val="0"/>
        </w:rPr>
      </w:r>
    </w:p>
    <w:p>
      <w:pPr>
        <w:spacing w:line="240" w:lineRule="auto" w:before="10"/>
        <w:rPr>
          <w:rFonts w:ascii="宋体" w:hAnsi="宋体" w:cs="宋体" w:eastAsia="宋体" w:hint="default"/>
          <w:b/>
          <w:bCs/>
          <w:sz w:val="28"/>
          <w:szCs w:val="28"/>
        </w:rPr>
      </w:pPr>
    </w:p>
    <w:p>
      <w:pPr>
        <w:pStyle w:val="BodyText"/>
        <w:spacing w:line="357" w:lineRule="auto"/>
        <w:ind w:right="1128" w:firstLine="480"/>
        <w:jc w:val="both"/>
        <w:rPr>
          <w:rFonts w:ascii="宋体" w:hAnsi="宋体" w:cs="宋体" w:eastAsia="宋体" w:hint="default"/>
        </w:rPr>
      </w:pPr>
      <w:r>
        <w:rPr/>
        <w:t>中文在线数字出版集团股份有限公司（以下简称本公司，在包含子公司时统称本集团） 是经董事会、股东大会审议通过，由北京中文在线数字出版股份有限公司名称变更而来。北 </w:t>
      </w:r>
      <w:r>
        <w:rPr>
          <w:spacing w:val="3"/>
        </w:rPr>
        <w:t>京中文在线数字出版股份有限公司是根据北京中文在线文化发展有限公司全体股东于</w:t>
      </w:r>
      <w:r>
        <w:rPr>
          <w:spacing w:val="32"/>
        </w:rPr>
        <w:t> </w:t>
      </w:r>
      <w:r>
        <w:rPr>
          <w:rFonts w:ascii="宋体" w:hAnsi="宋体" w:cs="宋体" w:eastAsia="宋体" w:hint="default"/>
        </w:rPr>
        <w:t>2011</w:t>
      </w:r>
    </w:p>
    <w:p>
      <w:pPr>
        <w:pStyle w:val="BodyText"/>
        <w:spacing w:line="240" w:lineRule="auto" w:before="36"/>
        <w:ind w:right="0"/>
        <w:jc w:val="both"/>
      </w:pPr>
      <w:r>
        <w:rPr/>
        <w:t>年</w:t>
      </w:r>
      <w:r>
        <w:rPr>
          <w:spacing w:val="-51"/>
        </w:rPr>
        <w:t> </w:t>
      </w:r>
      <w:r>
        <w:rPr>
          <w:rFonts w:ascii="宋体" w:hAnsi="宋体" w:cs="宋体" w:eastAsia="宋体" w:hint="default"/>
        </w:rPr>
        <w:t>3</w:t>
      </w:r>
      <w:r>
        <w:rPr>
          <w:rFonts w:ascii="宋体" w:hAnsi="宋体" w:cs="宋体" w:eastAsia="宋体" w:hint="default"/>
          <w:spacing w:val="-50"/>
        </w:rPr>
        <w:t> </w:t>
      </w:r>
      <w:r>
        <w:rPr/>
        <w:t>月</w:t>
      </w:r>
      <w:r>
        <w:rPr>
          <w:spacing w:val="-51"/>
        </w:rPr>
        <w:t> </w:t>
      </w:r>
      <w:r>
        <w:rPr>
          <w:rFonts w:ascii="宋体" w:hAnsi="宋体" w:cs="宋体" w:eastAsia="宋体" w:hint="default"/>
        </w:rPr>
        <w:t>8</w:t>
      </w:r>
      <w:r>
        <w:rPr>
          <w:rFonts w:ascii="宋体" w:hAnsi="宋体" w:cs="宋体" w:eastAsia="宋体" w:hint="default"/>
          <w:spacing w:val="-51"/>
        </w:rPr>
        <w:t> </w:t>
      </w:r>
      <w:r>
        <w:rPr/>
        <w:t>日签署的《北京中文在线数字出版股份有限公司发起人协议》及公司章程的约定，</w:t>
      </w:r>
    </w:p>
    <w:p>
      <w:pPr>
        <w:pStyle w:val="BodyText"/>
        <w:spacing w:line="240" w:lineRule="auto" w:before="154"/>
        <w:ind w:right="0"/>
        <w:jc w:val="both"/>
      </w:pPr>
      <w:r>
        <w:rPr/>
        <w:t>以北京中文在线文化发展有限公司截止</w:t>
      </w:r>
      <w:r>
        <w:rPr>
          <w:spacing w:val="-74"/>
        </w:rPr>
        <w:t> </w:t>
      </w:r>
      <w:r>
        <w:rPr>
          <w:rFonts w:ascii="宋体" w:hAnsi="宋体" w:cs="宋体" w:eastAsia="宋体" w:hint="default"/>
        </w:rPr>
        <w:t>2010</w:t>
      </w:r>
      <w:r>
        <w:rPr>
          <w:rFonts w:ascii="宋体" w:hAnsi="宋体" w:cs="宋体" w:eastAsia="宋体" w:hint="default"/>
          <w:spacing w:val="-76"/>
        </w:rPr>
        <w:t> </w:t>
      </w:r>
      <w:r>
        <w:rPr/>
        <w:t>年</w:t>
      </w:r>
      <w:r>
        <w:rPr>
          <w:spacing w:val="-75"/>
        </w:rPr>
        <w:t> </w:t>
      </w:r>
      <w:r>
        <w:rPr>
          <w:rFonts w:ascii="宋体" w:hAnsi="宋体" w:cs="宋体" w:eastAsia="宋体" w:hint="default"/>
        </w:rPr>
        <w:t>12</w:t>
      </w:r>
      <w:r>
        <w:rPr>
          <w:rFonts w:ascii="宋体" w:hAnsi="宋体" w:cs="宋体" w:eastAsia="宋体" w:hint="default"/>
          <w:spacing w:val="-75"/>
        </w:rPr>
        <w:t> </w:t>
      </w:r>
      <w:r>
        <w:rPr/>
        <w:t>月</w:t>
      </w:r>
      <w:r>
        <w:rPr>
          <w:spacing w:val="-75"/>
        </w:rPr>
        <w:t> </w:t>
      </w:r>
      <w:r>
        <w:rPr>
          <w:rFonts w:ascii="宋体" w:hAnsi="宋体" w:cs="宋体" w:eastAsia="宋体" w:hint="default"/>
        </w:rPr>
        <w:t>31</w:t>
      </w:r>
      <w:r>
        <w:rPr>
          <w:rFonts w:ascii="宋体" w:hAnsi="宋体" w:cs="宋体" w:eastAsia="宋体" w:hint="default"/>
          <w:spacing w:val="-76"/>
        </w:rPr>
        <w:t> </w:t>
      </w:r>
      <w:r>
        <w:rPr/>
        <w:t>日经审计后的净资产折合股份整体变</w:t>
      </w:r>
    </w:p>
    <w:p>
      <w:pPr>
        <w:pStyle w:val="BodyText"/>
        <w:spacing w:line="240" w:lineRule="auto" w:before="154"/>
        <w:ind w:right="0"/>
        <w:jc w:val="both"/>
      </w:pPr>
      <w:r>
        <w:rPr>
          <w:spacing w:val="-14"/>
        </w:rPr>
        <w:t>更设立的，于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w:t>
      </w:r>
      <w:r>
        <w:rPr>
          <w:rFonts w:ascii="宋体" w:hAnsi="宋体" w:cs="宋体" w:eastAsia="宋体" w:hint="default"/>
          <w:spacing w:val="-60"/>
        </w:rPr>
        <w:t> </w:t>
      </w:r>
      <w:r>
        <w:rPr/>
        <w:t>日取得北京市工商行政管理局核发的</w:t>
      </w:r>
      <w:r>
        <w:rPr>
          <w:spacing w:val="-60"/>
        </w:rPr>
        <w:t> </w:t>
      </w:r>
      <w:r>
        <w:rPr>
          <w:rFonts w:ascii="宋体" w:hAnsi="宋体" w:cs="宋体" w:eastAsia="宋体" w:hint="default"/>
        </w:rPr>
        <w:t>110108001876442</w:t>
      </w:r>
      <w:r>
        <w:rPr>
          <w:rFonts w:ascii="宋体" w:hAnsi="宋体" w:cs="宋体" w:eastAsia="宋体" w:hint="default"/>
          <w:spacing w:val="-60"/>
        </w:rPr>
        <w:t> </w:t>
      </w:r>
      <w:r>
        <w:rPr/>
        <w:t>号企业法</w:t>
      </w:r>
    </w:p>
    <w:p>
      <w:pPr>
        <w:pStyle w:val="BodyText"/>
        <w:spacing w:line="240" w:lineRule="auto" w:before="154"/>
        <w:ind w:right="0"/>
        <w:jc w:val="both"/>
      </w:pPr>
      <w:r>
        <w:rPr/>
        <w:t>人营业执照，注册资本为人民币 </w:t>
      </w:r>
      <w:r>
        <w:rPr>
          <w:rFonts w:ascii="宋体" w:hAnsi="宋体" w:cs="宋体" w:eastAsia="宋体" w:hint="default"/>
        </w:rPr>
        <w:t>9,000</w:t>
      </w:r>
      <w:r>
        <w:rPr>
          <w:rFonts w:ascii="宋体" w:hAnsi="宋体" w:cs="宋体" w:eastAsia="宋体" w:hint="default"/>
          <w:spacing w:val="-82"/>
        </w:rPr>
        <w:t> </w:t>
      </w:r>
      <w:r>
        <w:rPr/>
        <w:t>万元。法定代表人：童之磊。本公司住所：北京市东</w:t>
      </w:r>
    </w:p>
    <w:p>
      <w:pPr>
        <w:pStyle w:val="BodyText"/>
        <w:spacing w:line="240" w:lineRule="auto" w:before="155"/>
        <w:ind w:right="0"/>
        <w:jc w:val="both"/>
      </w:pPr>
      <w:r>
        <w:rPr/>
        <w:t>城区东总布胡同</w:t>
      </w:r>
      <w:r>
        <w:rPr>
          <w:spacing w:val="-60"/>
        </w:rPr>
        <w:t> </w:t>
      </w:r>
      <w:r>
        <w:rPr>
          <w:rFonts w:ascii="宋体" w:hAnsi="宋体" w:cs="宋体" w:eastAsia="宋体" w:hint="default"/>
        </w:rPr>
        <w:t>58</w:t>
      </w:r>
      <w:r>
        <w:rPr>
          <w:rFonts w:ascii="宋体" w:hAnsi="宋体" w:cs="宋体" w:eastAsia="宋体" w:hint="default"/>
          <w:spacing w:val="-60"/>
        </w:rPr>
        <w:t> </w:t>
      </w:r>
      <w:r>
        <w:rPr/>
        <w:t>号天润财富中心</w:t>
      </w:r>
      <w:r>
        <w:rPr>
          <w:spacing w:val="-60"/>
        </w:rPr>
        <w:t> </w:t>
      </w:r>
      <w:r>
        <w:rPr>
          <w:rFonts w:ascii="宋体" w:hAnsi="宋体" w:cs="宋体" w:eastAsia="宋体" w:hint="default"/>
        </w:rPr>
        <w:t>13</w:t>
      </w:r>
      <w:r>
        <w:rPr>
          <w:rFonts w:ascii="宋体" w:hAnsi="宋体" w:cs="宋体" w:eastAsia="宋体" w:hint="default"/>
          <w:spacing w:val="-60"/>
        </w:rPr>
        <w:t> </w:t>
      </w:r>
      <w:r>
        <w:rPr/>
        <w:t>层</w:t>
      </w:r>
      <w:r>
        <w:rPr>
          <w:spacing w:val="-60"/>
        </w:rPr>
        <w:t> </w:t>
      </w:r>
      <w:r>
        <w:rPr>
          <w:rFonts w:ascii="宋体" w:hAnsi="宋体" w:cs="宋体" w:eastAsia="宋体" w:hint="default"/>
        </w:rPr>
        <w:t>1301</w:t>
      </w:r>
      <w:r>
        <w:rPr>
          <w:rFonts w:ascii="宋体" w:hAnsi="宋体" w:cs="宋体" w:eastAsia="宋体" w:hint="default"/>
          <w:spacing w:val="-60"/>
        </w:rPr>
        <w:t> </w:t>
      </w:r>
      <w:r>
        <w:rPr/>
        <w:t>单元。</w:t>
      </w:r>
    </w:p>
    <w:p>
      <w:pPr>
        <w:spacing w:line="240" w:lineRule="auto" w:before="4"/>
        <w:rPr>
          <w:rFonts w:ascii="宋体" w:hAnsi="宋体" w:cs="宋体" w:eastAsia="宋体" w:hint="default"/>
          <w:sz w:val="19"/>
          <w:szCs w:val="19"/>
        </w:rPr>
      </w:pPr>
    </w:p>
    <w:p>
      <w:pPr>
        <w:pStyle w:val="BodyText"/>
        <w:spacing w:line="240" w:lineRule="auto"/>
        <w:ind w:left="634" w:right="1092"/>
        <w:jc w:val="left"/>
      </w:pPr>
      <w:r>
        <w:rPr/>
        <w:t>根据本公司</w:t>
      </w:r>
      <w:r>
        <w:rPr>
          <w:spacing w:val="-62"/>
        </w:rPr>
        <w:t> </w:t>
      </w:r>
      <w:r>
        <w:rPr>
          <w:rFonts w:ascii="宋体" w:hAnsi="宋体" w:cs="宋体" w:eastAsia="宋体" w:hint="default"/>
        </w:rPr>
        <w:t>2012</w:t>
      </w:r>
      <w:r>
        <w:rPr>
          <w:rFonts w:ascii="宋体" w:hAnsi="宋体" w:cs="宋体" w:eastAsia="宋体" w:hint="default"/>
          <w:spacing w:val="-62"/>
        </w:rPr>
        <w:t> </w:t>
      </w:r>
      <w:r>
        <w:rPr/>
        <w:t>年</w:t>
      </w:r>
      <w:r>
        <w:rPr>
          <w:spacing w:val="-62"/>
        </w:rPr>
        <w:t> </w:t>
      </w:r>
      <w:r>
        <w:rPr>
          <w:rFonts w:ascii="宋体" w:hAnsi="宋体" w:cs="宋体" w:eastAsia="宋体" w:hint="default"/>
        </w:rPr>
        <w:t>1</w:t>
      </w:r>
      <w:r>
        <w:rPr>
          <w:rFonts w:ascii="宋体" w:hAnsi="宋体" w:cs="宋体" w:eastAsia="宋体" w:hint="default"/>
          <w:spacing w:val="-62"/>
        </w:rPr>
        <w:t> </w:t>
      </w:r>
      <w:r>
        <w:rPr/>
        <w:t>月</w:t>
      </w:r>
      <w:r>
        <w:rPr>
          <w:spacing w:val="-62"/>
        </w:rPr>
        <w:t> </w:t>
      </w:r>
      <w:r>
        <w:rPr>
          <w:rFonts w:ascii="宋体" w:hAnsi="宋体" w:cs="宋体" w:eastAsia="宋体" w:hint="default"/>
        </w:rPr>
        <w:t>18</w:t>
      </w:r>
      <w:r>
        <w:rPr>
          <w:rFonts w:ascii="宋体" w:hAnsi="宋体" w:cs="宋体" w:eastAsia="宋体" w:hint="default"/>
          <w:spacing w:val="-62"/>
        </w:rPr>
        <w:t> </w:t>
      </w:r>
      <w:r>
        <w:rPr/>
        <w:t>日第一次临时股东大会审议，</w:t>
      </w:r>
      <w:r>
        <w:rPr>
          <w:rFonts w:ascii="宋体" w:hAnsi="宋体" w:cs="宋体" w:eastAsia="宋体" w:hint="default"/>
        </w:rPr>
        <w:t>2014</w:t>
      </w:r>
      <w:r>
        <w:rPr>
          <w:rFonts w:ascii="宋体" w:hAnsi="宋体" w:cs="宋体" w:eastAsia="宋体" w:hint="default"/>
          <w:spacing w:val="-62"/>
        </w:rPr>
        <w:t> </w:t>
      </w:r>
      <w:r>
        <w:rPr/>
        <w:t>年</w:t>
      </w:r>
      <w:r>
        <w:rPr>
          <w:spacing w:val="-62"/>
        </w:rPr>
        <w:t> </w:t>
      </w:r>
      <w:r>
        <w:rPr>
          <w:rFonts w:ascii="宋体" w:hAnsi="宋体" w:cs="宋体" w:eastAsia="宋体" w:hint="default"/>
        </w:rPr>
        <w:t>4</w:t>
      </w:r>
      <w:r>
        <w:rPr>
          <w:rFonts w:ascii="宋体" w:hAnsi="宋体" w:cs="宋体" w:eastAsia="宋体" w:hint="default"/>
          <w:spacing w:val="-62"/>
        </w:rPr>
        <w:t> </w:t>
      </w:r>
      <w:r>
        <w:rPr/>
        <w:t>月</w:t>
      </w:r>
      <w:r>
        <w:rPr>
          <w:spacing w:val="-62"/>
        </w:rPr>
        <w:t> </w:t>
      </w:r>
      <w:r>
        <w:rPr>
          <w:rFonts w:ascii="宋体" w:hAnsi="宋体" w:cs="宋体" w:eastAsia="宋体" w:hint="default"/>
        </w:rPr>
        <w:t>9</w:t>
      </w:r>
      <w:r>
        <w:rPr>
          <w:rFonts w:ascii="宋体" w:hAnsi="宋体" w:cs="宋体" w:eastAsia="宋体" w:hint="default"/>
          <w:spacing w:val="-62"/>
        </w:rPr>
        <w:t> </w:t>
      </w:r>
      <w:r>
        <w:rPr/>
        <w:t>日第三次临时股</w:t>
      </w:r>
    </w:p>
    <w:p>
      <w:pPr>
        <w:pStyle w:val="BodyText"/>
        <w:spacing w:line="357" w:lineRule="auto" w:before="154"/>
        <w:ind w:right="1130"/>
        <w:jc w:val="both"/>
      </w:pPr>
      <w:r>
        <w:rPr/>
        <w:t>东大会审议和</w:t>
      </w:r>
      <w:r>
        <w:rPr>
          <w:spacing w:val="-56"/>
        </w:rPr>
        <w:t> </w:t>
      </w:r>
      <w:r>
        <w:rPr>
          <w:rFonts w:ascii="宋体" w:hAnsi="宋体" w:cs="宋体" w:eastAsia="宋体" w:hint="default"/>
        </w:rPr>
        <w:t>2014</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23</w:t>
      </w:r>
      <w:r>
        <w:rPr>
          <w:rFonts w:ascii="宋体" w:hAnsi="宋体" w:cs="宋体" w:eastAsia="宋体" w:hint="default"/>
          <w:spacing w:val="-56"/>
        </w:rPr>
        <w:t> </w:t>
      </w:r>
      <w:r>
        <w:rPr>
          <w:spacing w:val="-4"/>
        </w:rPr>
        <w:t>日第七次临时股东大会审议，经中国证券监督管理委员会《关</w:t>
      </w:r>
      <w:r>
        <w:rPr/>
        <w:t> </w:t>
      </w:r>
      <w:r>
        <w:rPr>
          <w:spacing w:val="-5"/>
        </w:rPr>
        <w:t>于核准北京中文在线数字出版股份有限公司首次公开发行股票的批复》（证监许可［</w:t>
      </w:r>
      <w:r>
        <w:rPr>
          <w:rFonts w:ascii="宋体" w:hAnsi="宋体" w:cs="宋体" w:eastAsia="宋体" w:hint="default"/>
          <w:spacing w:val="-5"/>
        </w:rPr>
        <w:t>2015</w:t>
      </w:r>
      <w:r>
        <w:rPr>
          <w:spacing w:val="-5"/>
        </w:rPr>
        <w:t>］</w:t>
      </w:r>
      <w:r>
        <w:rPr>
          <w:rFonts w:ascii="宋体" w:hAnsi="宋体" w:cs="宋体" w:eastAsia="宋体" w:hint="default"/>
          <w:spacing w:val="-5"/>
        </w:rPr>
        <w:t>23</w:t>
      </w:r>
      <w:r>
        <w:rPr>
          <w:rFonts w:ascii="宋体" w:hAnsi="宋体" w:cs="宋体" w:eastAsia="宋体" w:hint="default"/>
          <w:spacing w:val="-103"/>
        </w:rPr>
        <w:t> </w:t>
      </w:r>
      <w:r>
        <w:rPr/>
        <w:t>号）核准，本公司获准公开发行人民币普通股（</w:t>
      </w:r>
      <w:r>
        <w:rPr>
          <w:rFonts w:ascii="宋体" w:hAnsi="宋体" w:cs="宋体" w:eastAsia="宋体" w:hint="default"/>
        </w:rPr>
        <w:t>A</w:t>
      </w:r>
      <w:r>
        <w:rPr>
          <w:rFonts w:ascii="宋体" w:hAnsi="宋体" w:cs="宋体" w:eastAsia="宋体" w:hint="default"/>
          <w:spacing w:val="-51"/>
        </w:rPr>
        <w:t> </w:t>
      </w:r>
      <w:r>
        <w:rPr/>
        <w:t>股）</w:t>
      </w:r>
      <w:r>
        <w:rPr>
          <w:rFonts w:ascii="宋体" w:hAnsi="宋体" w:cs="宋体" w:eastAsia="宋体" w:hint="default"/>
        </w:rPr>
        <w:t>30,000,000</w:t>
      </w:r>
      <w:r>
        <w:rPr>
          <w:rFonts w:ascii="宋体" w:hAnsi="宋体" w:cs="宋体" w:eastAsia="宋体" w:hint="default"/>
          <w:spacing w:val="-51"/>
        </w:rPr>
        <w:t> </w:t>
      </w:r>
      <w:r>
        <w:rPr/>
        <w:t>股，每股面值</w:t>
      </w:r>
      <w:r>
        <w:rPr>
          <w:spacing w:val="-50"/>
        </w:rPr>
        <w:t> </w:t>
      </w:r>
      <w:r>
        <w:rPr>
          <w:rFonts w:ascii="宋体" w:hAnsi="宋体" w:cs="宋体" w:eastAsia="宋体" w:hint="default"/>
        </w:rPr>
        <w:t>1</w:t>
      </w:r>
      <w:r>
        <w:rPr>
          <w:rFonts w:ascii="宋体" w:hAnsi="宋体" w:cs="宋体" w:eastAsia="宋体" w:hint="default"/>
          <w:spacing w:val="-51"/>
        </w:rPr>
        <w:t> </w:t>
      </w:r>
      <w:r>
        <w:rPr/>
        <w:t>元，发行 价为人民币</w:t>
      </w:r>
      <w:r>
        <w:rPr>
          <w:spacing w:val="-54"/>
        </w:rPr>
        <w:t> </w:t>
      </w:r>
      <w:r>
        <w:rPr>
          <w:rFonts w:ascii="宋体" w:hAnsi="宋体" w:cs="宋体" w:eastAsia="宋体" w:hint="default"/>
        </w:rPr>
        <w:t>6.81</w:t>
      </w:r>
      <w:r>
        <w:rPr>
          <w:rFonts w:ascii="宋体" w:hAnsi="宋体" w:cs="宋体" w:eastAsia="宋体" w:hint="default"/>
          <w:spacing w:val="-54"/>
        </w:rPr>
        <w:t> </w:t>
      </w:r>
      <w:r>
        <w:rPr/>
        <w:t>元，本次发行后本公司股本变更为</w:t>
      </w:r>
      <w:r>
        <w:rPr>
          <w:spacing w:val="-54"/>
        </w:rPr>
        <w:t> </w:t>
      </w:r>
      <w:r>
        <w:rPr>
          <w:rFonts w:ascii="宋体" w:hAnsi="宋体" w:cs="宋体" w:eastAsia="宋体" w:hint="default"/>
        </w:rPr>
        <w:t>120,000,000</w:t>
      </w:r>
      <w:r>
        <w:rPr>
          <w:rFonts w:ascii="宋体" w:hAnsi="宋体" w:cs="宋体" w:eastAsia="宋体" w:hint="default"/>
          <w:spacing w:val="-54"/>
        </w:rPr>
        <w:t> </w:t>
      </w:r>
      <w:r>
        <w:rPr/>
        <w:t>股。本公司股票于</w:t>
      </w:r>
      <w:r>
        <w:rPr>
          <w:spacing w:val="-54"/>
        </w:rPr>
        <w:t> </w:t>
      </w:r>
      <w:r>
        <w:rPr>
          <w:rFonts w:ascii="宋体" w:hAnsi="宋体" w:cs="宋体" w:eastAsia="宋体" w:hint="default"/>
        </w:rPr>
        <w:t>2015</w:t>
      </w:r>
      <w:r>
        <w:rPr>
          <w:rFonts w:ascii="宋体" w:hAnsi="宋体" w:cs="宋体" w:eastAsia="宋体" w:hint="default"/>
          <w:spacing w:val="-54"/>
        </w:rPr>
        <w:t> </w:t>
      </w:r>
      <w:r>
        <w:rPr/>
        <w:t>年</w:t>
      </w:r>
    </w:p>
    <w:p>
      <w:pPr>
        <w:pStyle w:val="BodyText"/>
        <w:spacing w:line="240" w:lineRule="auto" w:before="38"/>
        <w:ind w:right="0"/>
        <w:jc w:val="both"/>
      </w:pP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日在深圳证券交易所上市，股票代码为</w:t>
      </w:r>
      <w:r>
        <w:rPr>
          <w:spacing w:val="-60"/>
        </w:rPr>
        <w:t> </w:t>
      </w:r>
      <w:r>
        <w:rPr>
          <w:rFonts w:ascii="宋体" w:hAnsi="宋体" w:cs="宋体" w:eastAsia="宋体" w:hint="default"/>
        </w:rPr>
        <w:t>300364</w:t>
      </w:r>
      <w:r>
        <w:rPr/>
        <w:t>。</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根据本公司</w:t>
      </w:r>
      <w:r>
        <w:rPr>
          <w:spacing w:val="-52"/>
        </w:rPr>
        <w:t> </w:t>
      </w:r>
      <w:r>
        <w:rPr>
          <w:rFonts w:ascii="宋体" w:hAnsi="宋体" w:cs="宋体" w:eastAsia="宋体" w:hint="default"/>
        </w:rPr>
        <w:t>2016</w:t>
      </w:r>
      <w:r>
        <w:rPr>
          <w:rFonts w:ascii="宋体" w:hAnsi="宋体" w:cs="宋体" w:eastAsia="宋体" w:hint="default"/>
          <w:spacing w:val="-52"/>
        </w:rPr>
        <w:t> </w:t>
      </w:r>
      <w:r>
        <w:rPr/>
        <w:t>年</w:t>
      </w:r>
      <w:r>
        <w:rPr>
          <w:spacing w:val="-51"/>
        </w:rPr>
        <w:t> </w:t>
      </w:r>
      <w:r>
        <w:rPr>
          <w:rFonts w:ascii="宋体" w:hAnsi="宋体" w:cs="宋体" w:eastAsia="宋体" w:hint="default"/>
        </w:rPr>
        <w:t>4</w:t>
      </w:r>
      <w:r>
        <w:rPr>
          <w:rFonts w:ascii="宋体" w:hAnsi="宋体" w:cs="宋体" w:eastAsia="宋体" w:hint="default"/>
          <w:spacing w:val="-52"/>
        </w:rPr>
        <w:t> </w:t>
      </w:r>
      <w:r>
        <w:rPr/>
        <w:t>月</w:t>
      </w:r>
      <w:r>
        <w:rPr>
          <w:spacing w:val="-52"/>
        </w:rPr>
        <w:t> </w:t>
      </w:r>
      <w:r>
        <w:rPr>
          <w:rFonts w:ascii="宋体" w:hAnsi="宋体" w:cs="宋体" w:eastAsia="宋体" w:hint="default"/>
        </w:rPr>
        <w:t>28</w:t>
      </w:r>
      <w:r>
        <w:rPr>
          <w:rFonts w:ascii="宋体" w:hAnsi="宋体" w:cs="宋体" w:eastAsia="宋体" w:hint="default"/>
          <w:spacing w:val="-52"/>
        </w:rPr>
        <w:t> </w:t>
      </w:r>
      <w:r>
        <w:rPr/>
        <w:t>日第一次股东会决议、</w:t>
      </w:r>
      <w:r>
        <w:rPr>
          <w:rFonts w:ascii="宋体" w:hAnsi="宋体" w:cs="宋体" w:eastAsia="宋体" w:hint="default"/>
        </w:rPr>
        <w:t>2016</w:t>
      </w:r>
      <w:r>
        <w:rPr>
          <w:rFonts w:ascii="宋体" w:hAnsi="宋体" w:cs="宋体" w:eastAsia="宋体" w:hint="default"/>
          <w:spacing w:val="-52"/>
        </w:rPr>
        <w:t> </w:t>
      </w:r>
      <w:r>
        <w:rPr/>
        <w:t>年</w:t>
      </w:r>
      <w:r>
        <w:rPr>
          <w:spacing w:val="-52"/>
        </w:rPr>
        <w:t> </w:t>
      </w:r>
      <w:r>
        <w:rPr>
          <w:rFonts w:ascii="宋体" w:hAnsi="宋体" w:cs="宋体" w:eastAsia="宋体" w:hint="default"/>
        </w:rPr>
        <w:t>4</w:t>
      </w:r>
      <w:r>
        <w:rPr>
          <w:rFonts w:ascii="宋体" w:hAnsi="宋体" w:cs="宋体" w:eastAsia="宋体" w:hint="default"/>
          <w:spacing w:val="-51"/>
        </w:rPr>
        <w:t> </w:t>
      </w:r>
      <w:r>
        <w:rPr/>
        <w:t>月</w:t>
      </w:r>
      <w:r>
        <w:rPr>
          <w:spacing w:val="-50"/>
        </w:rPr>
        <w:t> </w:t>
      </w:r>
      <w:r>
        <w:rPr>
          <w:rFonts w:ascii="宋体" w:hAnsi="宋体" w:cs="宋体" w:eastAsia="宋体" w:hint="default"/>
        </w:rPr>
        <w:t>29</w:t>
      </w:r>
      <w:r>
        <w:rPr>
          <w:rFonts w:ascii="宋体" w:hAnsi="宋体" w:cs="宋体" w:eastAsia="宋体" w:hint="default"/>
          <w:spacing w:val="-52"/>
        </w:rPr>
        <w:t> </w:t>
      </w:r>
      <w:r>
        <w:rPr/>
        <w:t>日第二届董事会第三</w:t>
      </w:r>
    </w:p>
    <w:p>
      <w:pPr>
        <w:pStyle w:val="BodyText"/>
        <w:spacing w:line="240" w:lineRule="auto" w:before="154"/>
        <w:ind w:right="0"/>
        <w:jc w:val="both"/>
      </w:pPr>
      <w:r>
        <w:rPr/>
        <w:t>十次会议决议规定，同意授予激励对象限制性股票。截止</w:t>
      </w:r>
      <w:r>
        <w:rPr>
          <w:spacing w:val="-54"/>
        </w:rPr>
        <w:t> </w:t>
      </w:r>
      <w:r>
        <w:rPr>
          <w:rFonts w:ascii="宋体" w:hAnsi="宋体" w:cs="宋体" w:eastAsia="宋体" w:hint="default"/>
        </w:rPr>
        <w:t>2016</w:t>
      </w:r>
      <w:r>
        <w:rPr>
          <w:rFonts w:ascii="宋体" w:hAnsi="宋体" w:cs="宋体" w:eastAsia="宋体" w:hint="default"/>
          <w:spacing w:val="-54"/>
        </w:rPr>
        <w:t> </w:t>
      </w:r>
      <w:r>
        <w:rPr/>
        <w:t>年</w:t>
      </w:r>
      <w:r>
        <w:rPr>
          <w:spacing w:val="-53"/>
        </w:rPr>
        <w:t> </w:t>
      </w:r>
      <w:r>
        <w:rPr>
          <w:rFonts w:ascii="宋体" w:hAnsi="宋体" w:cs="宋体" w:eastAsia="宋体" w:hint="default"/>
        </w:rPr>
        <w:t>5</w:t>
      </w:r>
      <w:r>
        <w:rPr>
          <w:rFonts w:ascii="宋体" w:hAnsi="宋体" w:cs="宋体" w:eastAsia="宋体" w:hint="default"/>
          <w:spacing w:val="-54"/>
        </w:rPr>
        <w:t> </w:t>
      </w:r>
      <w:r>
        <w:rPr/>
        <w:t>月</w:t>
      </w:r>
      <w:r>
        <w:rPr>
          <w:spacing w:val="-54"/>
        </w:rPr>
        <w:t> </w:t>
      </w:r>
      <w:r>
        <w:rPr>
          <w:rFonts w:ascii="宋体" w:hAnsi="宋体" w:cs="宋体" w:eastAsia="宋体" w:hint="default"/>
        </w:rPr>
        <w:t>25</w:t>
      </w:r>
      <w:r>
        <w:rPr>
          <w:rFonts w:ascii="宋体" w:hAnsi="宋体" w:cs="宋体" w:eastAsia="宋体" w:hint="default"/>
          <w:spacing w:val="-54"/>
        </w:rPr>
        <w:t> </w:t>
      </w:r>
      <w:r>
        <w:rPr/>
        <w:t>日，激励对象按每</w:t>
      </w:r>
    </w:p>
    <w:p>
      <w:pPr>
        <w:pStyle w:val="BodyText"/>
        <w:spacing w:line="240" w:lineRule="auto" w:before="154"/>
        <w:ind w:right="0"/>
        <w:jc w:val="both"/>
        <w:rPr>
          <w:rFonts w:ascii="宋体" w:hAnsi="宋体" w:cs="宋体" w:eastAsia="宋体" w:hint="default"/>
        </w:rPr>
      </w:pPr>
      <w:r>
        <w:rPr/>
        <w:t>股限制性股票授予价格</w:t>
      </w:r>
      <w:r>
        <w:rPr>
          <w:spacing w:val="-41"/>
        </w:rPr>
        <w:t> </w:t>
      </w:r>
      <w:r>
        <w:rPr>
          <w:rFonts w:ascii="宋体" w:hAnsi="宋体" w:cs="宋体" w:eastAsia="宋体" w:hint="default"/>
        </w:rPr>
        <w:t>49.78</w:t>
      </w:r>
      <w:r>
        <w:rPr>
          <w:rFonts w:ascii="宋体" w:hAnsi="宋体" w:cs="宋体" w:eastAsia="宋体" w:hint="default"/>
          <w:spacing w:val="-40"/>
        </w:rPr>
        <w:t> </w:t>
      </w:r>
      <w:r>
        <w:rPr/>
        <w:t>元共认购</w:t>
      </w:r>
      <w:r>
        <w:rPr>
          <w:spacing w:val="-41"/>
        </w:rPr>
        <w:t> </w:t>
      </w:r>
      <w:r>
        <w:rPr>
          <w:rFonts w:ascii="宋体" w:hAnsi="宋体" w:cs="宋体" w:eastAsia="宋体" w:hint="default"/>
        </w:rPr>
        <w:t>174.7</w:t>
      </w:r>
      <w:r>
        <w:rPr>
          <w:rFonts w:ascii="宋体" w:hAnsi="宋体" w:cs="宋体" w:eastAsia="宋体" w:hint="default"/>
          <w:spacing w:val="-41"/>
        </w:rPr>
        <w:t> </w:t>
      </w:r>
      <w:r>
        <w:rPr/>
        <w:t>万股限制性股票。本公司股本由</w:t>
      </w:r>
      <w:r>
        <w:rPr>
          <w:spacing w:val="-41"/>
        </w:rPr>
        <w:t> </w:t>
      </w:r>
      <w:r>
        <w:rPr>
          <w:rFonts w:ascii="宋体" w:hAnsi="宋体" w:cs="宋体" w:eastAsia="宋体" w:hint="default"/>
        </w:rPr>
        <w:t>120,000,000</w:t>
      </w:r>
    </w:p>
    <w:p>
      <w:pPr>
        <w:pStyle w:val="BodyText"/>
        <w:spacing w:line="240" w:lineRule="auto" w:before="155"/>
        <w:ind w:right="0"/>
        <w:jc w:val="both"/>
      </w:pPr>
      <w:r>
        <w:rPr/>
        <w:t>股变更为</w:t>
      </w:r>
      <w:r>
        <w:rPr>
          <w:spacing w:val="-60"/>
        </w:rPr>
        <w:t> </w:t>
      </w:r>
      <w:r>
        <w:rPr>
          <w:rFonts w:ascii="宋体" w:hAnsi="宋体" w:cs="宋体" w:eastAsia="宋体" w:hint="default"/>
        </w:rPr>
        <w:t>121,747,000</w:t>
      </w:r>
      <w:r>
        <w:rPr>
          <w:rFonts w:ascii="宋体" w:hAnsi="宋体" w:cs="宋体" w:eastAsia="宋体" w:hint="default"/>
          <w:spacing w:val="-60"/>
        </w:rPr>
        <w:t> </w:t>
      </w:r>
      <w:r>
        <w:rPr/>
        <w:t>股。</w:t>
      </w:r>
    </w:p>
    <w:p>
      <w:pPr>
        <w:spacing w:line="240" w:lineRule="auto" w:before="4"/>
        <w:rPr>
          <w:rFonts w:ascii="宋体" w:hAnsi="宋体" w:cs="宋体" w:eastAsia="宋体" w:hint="default"/>
          <w:sz w:val="19"/>
          <w:szCs w:val="19"/>
        </w:rPr>
      </w:pPr>
    </w:p>
    <w:p>
      <w:pPr>
        <w:pStyle w:val="BodyText"/>
        <w:spacing w:line="240" w:lineRule="auto"/>
        <w:ind w:left="634" w:right="1092"/>
        <w:jc w:val="left"/>
      </w:pPr>
      <w:r>
        <w:rPr>
          <w:rFonts w:ascii="宋体" w:hAnsi="宋体" w:cs="宋体" w:eastAsia="宋体" w:hint="default"/>
        </w:rPr>
        <w:t>2016 </w:t>
      </w:r>
      <w:r>
        <w:rPr/>
        <w:t>年 </w:t>
      </w:r>
      <w:r>
        <w:rPr>
          <w:rFonts w:ascii="宋体" w:hAnsi="宋体" w:cs="宋体" w:eastAsia="宋体" w:hint="default"/>
        </w:rPr>
        <w:t>5 </w:t>
      </w:r>
      <w:r>
        <w:rPr/>
        <w:t>月 </w:t>
      </w:r>
      <w:r>
        <w:rPr>
          <w:rFonts w:ascii="宋体" w:hAnsi="宋体" w:cs="宋体" w:eastAsia="宋体" w:hint="default"/>
        </w:rPr>
        <w:t>31 </w:t>
      </w:r>
      <w:r>
        <w:rPr/>
        <w:t>日，本公司披露了《</w:t>
      </w:r>
      <w:r>
        <w:rPr>
          <w:rFonts w:ascii="宋体" w:hAnsi="宋体" w:cs="宋体" w:eastAsia="宋体" w:hint="default"/>
        </w:rPr>
        <w:t>2015</w:t>
      </w:r>
      <w:r>
        <w:rPr>
          <w:rFonts w:ascii="宋体" w:hAnsi="宋体" w:cs="宋体" w:eastAsia="宋体" w:hint="default"/>
          <w:spacing w:val="33"/>
        </w:rPr>
        <w:t> </w:t>
      </w:r>
      <w:r>
        <w:rPr/>
        <w:t>年年度权益分派实施公告》</w:t>
      </w:r>
      <w:r>
        <w:rPr>
          <w:rFonts w:ascii="宋体" w:hAnsi="宋体" w:cs="宋体" w:eastAsia="宋体" w:hint="default"/>
        </w:rPr>
        <w:t>,</w:t>
      </w:r>
      <w:r>
        <w:rPr/>
        <w:t>以公司总股本</w:t>
      </w:r>
    </w:p>
    <w:p>
      <w:pPr>
        <w:pStyle w:val="BodyText"/>
        <w:spacing w:line="240" w:lineRule="auto" w:before="154"/>
        <w:ind w:right="0"/>
        <w:jc w:val="both"/>
      </w:pPr>
      <w:r>
        <w:rPr>
          <w:rFonts w:ascii="宋体" w:hAnsi="宋体" w:cs="宋体" w:eastAsia="宋体" w:hint="default"/>
        </w:rPr>
        <w:t>121,747,000</w:t>
      </w:r>
      <w:r>
        <w:rPr>
          <w:rFonts w:ascii="宋体" w:hAnsi="宋体" w:cs="宋体" w:eastAsia="宋体" w:hint="default"/>
          <w:spacing w:val="-41"/>
        </w:rPr>
        <w:t> </w:t>
      </w:r>
      <w:r>
        <w:rPr/>
        <w:t>股为基数，以资本公积金向全体股东每</w:t>
      </w:r>
      <w:r>
        <w:rPr>
          <w:spacing w:val="-41"/>
        </w:rPr>
        <w:t> </w:t>
      </w:r>
      <w:r>
        <w:rPr>
          <w:rFonts w:ascii="宋体" w:hAnsi="宋体" w:cs="宋体" w:eastAsia="宋体" w:hint="default"/>
        </w:rPr>
        <w:t>10</w:t>
      </w:r>
      <w:r>
        <w:rPr>
          <w:rFonts w:ascii="宋体" w:hAnsi="宋体" w:cs="宋体" w:eastAsia="宋体" w:hint="default"/>
          <w:spacing w:val="-40"/>
        </w:rPr>
        <w:t> </w:t>
      </w:r>
      <w:r>
        <w:rPr/>
        <w:t>股转增</w:t>
      </w:r>
      <w:r>
        <w:rPr>
          <w:spacing w:val="-41"/>
        </w:rPr>
        <w:t> </w:t>
      </w:r>
      <w:r>
        <w:rPr>
          <w:rFonts w:ascii="宋体" w:hAnsi="宋体" w:cs="宋体" w:eastAsia="宋体" w:hint="default"/>
        </w:rPr>
        <w:t>9.856505</w:t>
      </w:r>
      <w:r>
        <w:rPr>
          <w:rFonts w:ascii="宋体" w:hAnsi="宋体" w:cs="宋体" w:eastAsia="宋体" w:hint="default"/>
          <w:spacing w:val="-41"/>
        </w:rPr>
        <w:t> </w:t>
      </w:r>
      <w:r>
        <w:rPr/>
        <w:t>股。上述分配方案</w:t>
      </w:r>
    </w:p>
    <w:p>
      <w:pPr>
        <w:pStyle w:val="BodyText"/>
        <w:spacing w:line="240" w:lineRule="auto" w:before="155"/>
        <w:ind w:right="0"/>
        <w:jc w:val="both"/>
      </w:pPr>
      <w:r>
        <w:rPr/>
        <w:t>已于</w:t>
      </w:r>
      <w:r>
        <w:rPr>
          <w:spacing w:val="-60"/>
        </w:rPr>
        <w:t> </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7</w:t>
      </w:r>
      <w:r>
        <w:rPr>
          <w:rFonts w:ascii="宋体" w:hAnsi="宋体" w:cs="宋体" w:eastAsia="宋体" w:hint="default"/>
          <w:spacing w:val="-60"/>
        </w:rPr>
        <w:t> </w:t>
      </w:r>
      <w:r>
        <w:rPr/>
        <w:t>日实施完毕，公司总股本由</w:t>
      </w:r>
      <w:r>
        <w:rPr>
          <w:spacing w:val="-60"/>
        </w:rPr>
        <w:t> </w:t>
      </w:r>
      <w:r>
        <w:rPr>
          <w:rFonts w:ascii="宋体" w:hAnsi="宋体" w:cs="宋体" w:eastAsia="宋体" w:hint="default"/>
        </w:rPr>
        <w:t>121,747,000</w:t>
      </w:r>
      <w:r>
        <w:rPr>
          <w:rFonts w:ascii="宋体" w:hAnsi="宋体" w:cs="宋体" w:eastAsia="宋体" w:hint="default"/>
          <w:spacing w:val="-60"/>
        </w:rPr>
        <w:t> </w:t>
      </w:r>
      <w:r>
        <w:rPr/>
        <w:t>股变更为</w:t>
      </w:r>
      <w:r>
        <w:rPr>
          <w:spacing w:val="-60"/>
        </w:rPr>
        <w:t> </w:t>
      </w:r>
      <w:r>
        <w:rPr>
          <w:rFonts w:ascii="宋体" w:hAnsi="宋体" w:cs="宋体" w:eastAsia="宋体" w:hint="default"/>
        </w:rPr>
        <w:t>241,746,991</w:t>
      </w:r>
      <w:r>
        <w:rPr>
          <w:rFonts w:ascii="宋体" w:hAnsi="宋体" w:cs="宋体" w:eastAsia="宋体" w:hint="default"/>
          <w:spacing w:val="-60"/>
        </w:rPr>
        <w:t> </w:t>
      </w:r>
      <w:r>
        <w:rPr/>
        <w:t>股。</w:t>
      </w:r>
    </w:p>
    <w:p>
      <w:pPr>
        <w:spacing w:line="240" w:lineRule="auto" w:before="4"/>
        <w:rPr>
          <w:rFonts w:ascii="宋体" w:hAnsi="宋体" w:cs="宋体" w:eastAsia="宋体" w:hint="default"/>
          <w:sz w:val="19"/>
          <w:szCs w:val="19"/>
        </w:rPr>
      </w:pPr>
    </w:p>
    <w:p>
      <w:pPr>
        <w:pStyle w:val="BodyText"/>
        <w:spacing w:line="240" w:lineRule="auto"/>
        <w:ind w:left="634" w:right="1092"/>
        <w:jc w:val="left"/>
      </w:pPr>
      <w:r>
        <w:rPr/>
        <w:t>根据本公司</w:t>
      </w:r>
      <w:r>
        <w:rPr>
          <w:spacing w:val="-57"/>
        </w:rPr>
        <w:t> </w:t>
      </w:r>
      <w:r>
        <w:rPr>
          <w:rFonts w:ascii="宋体" w:hAnsi="宋体" w:cs="宋体" w:eastAsia="宋体" w:hint="default"/>
        </w:rPr>
        <w:t>2015</w:t>
      </w:r>
      <w:r>
        <w:rPr>
          <w:rFonts w:ascii="宋体" w:hAnsi="宋体" w:cs="宋体" w:eastAsia="宋体" w:hint="default"/>
          <w:spacing w:val="-58"/>
        </w:rPr>
        <w:t> </w:t>
      </w:r>
      <w:r>
        <w:rPr/>
        <w:t>年</w:t>
      </w:r>
      <w:r>
        <w:rPr>
          <w:spacing w:val="-59"/>
        </w:rPr>
        <w:t> </w:t>
      </w:r>
      <w:r>
        <w:rPr>
          <w:rFonts w:ascii="宋体" w:hAnsi="宋体" w:cs="宋体" w:eastAsia="宋体" w:hint="default"/>
        </w:rPr>
        <w:t>8</w:t>
      </w:r>
      <w:r>
        <w:rPr>
          <w:rFonts w:ascii="宋体" w:hAnsi="宋体" w:cs="宋体" w:eastAsia="宋体" w:hint="default"/>
          <w:spacing w:val="-58"/>
        </w:rPr>
        <w:t> </w:t>
      </w:r>
      <w:r>
        <w:rPr/>
        <w:t>月</w:t>
      </w:r>
      <w:r>
        <w:rPr>
          <w:spacing w:val="-58"/>
        </w:rPr>
        <w:t> </w:t>
      </w:r>
      <w:r>
        <w:rPr>
          <w:rFonts w:ascii="宋体" w:hAnsi="宋体" w:cs="宋体" w:eastAsia="宋体" w:hint="default"/>
        </w:rPr>
        <w:t>10</w:t>
      </w:r>
      <w:r>
        <w:rPr>
          <w:rFonts w:ascii="宋体" w:hAnsi="宋体" w:cs="宋体" w:eastAsia="宋体" w:hint="default"/>
          <w:spacing w:val="-58"/>
        </w:rPr>
        <w:t> </w:t>
      </w:r>
      <w:r>
        <w:rPr/>
        <w:t>日第二届董事会第二十次会议和</w:t>
      </w:r>
      <w:r>
        <w:rPr>
          <w:spacing w:val="-57"/>
        </w:rPr>
        <w:t> </w:t>
      </w:r>
      <w:r>
        <w:rPr>
          <w:rFonts w:ascii="宋体" w:hAnsi="宋体" w:cs="宋体" w:eastAsia="宋体" w:hint="default"/>
        </w:rPr>
        <w:t>2015</w:t>
      </w:r>
      <w:r>
        <w:rPr>
          <w:rFonts w:ascii="宋体" w:hAnsi="宋体" w:cs="宋体" w:eastAsia="宋体" w:hint="default"/>
          <w:spacing w:val="-57"/>
        </w:rPr>
        <w:t> </w:t>
      </w:r>
      <w:r>
        <w:rPr/>
        <w:t>年</w:t>
      </w:r>
      <w:r>
        <w:rPr>
          <w:spacing w:val="-58"/>
        </w:rPr>
        <w:t> </w:t>
      </w:r>
      <w:r>
        <w:rPr>
          <w:rFonts w:ascii="宋体" w:hAnsi="宋体" w:cs="宋体" w:eastAsia="宋体" w:hint="default"/>
        </w:rPr>
        <w:t>8</w:t>
      </w:r>
      <w:r>
        <w:rPr>
          <w:rFonts w:ascii="宋体" w:hAnsi="宋体" w:cs="宋体" w:eastAsia="宋体" w:hint="default"/>
          <w:spacing w:val="-58"/>
        </w:rPr>
        <w:t> </w:t>
      </w:r>
      <w:r>
        <w:rPr/>
        <w:t>月</w:t>
      </w:r>
      <w:r>
        <w:rPr>
          <w:spacing w:val="-58"/>
        </w:rPr>
        <w:t> </w:t>
      </w:r>
      <w:r>
        <w:rPr>
          <w:rFonts w:ascii="宋体" w:hAnsi="宋体" w:cs="宋体" w:eastAsia="宋体" w:hint="default"/>
        </w:rPr>
        <w:t>26</w:t>
      </w:r>
      <w:r>
        <w:rPr>
          <w:rFonts w:ascii="宋体" w:hAnsi="宋体" w:cs="宋体" w:eastAsia="宋体" w:hint="default"/>
          <w:spacing w:val="-58"/>
        </w:rPr>
        <w:t> </w:t>
      </w:r>
      <w:r>
        <w:rPr/>
        <w:t>日第四次临</w:t>
      </w:r>
    </w:p>
    <w:p>
      <w:pPr>
        <w:pStyle w:val="BodyText"/>
        <w:spacing w:line="357" w:lineRule="auto" w:before="154"/>
        <w:ind w:right="1131"/>
        <w:jc w:val="both"/>
      </w:pPr>
      <w:r>
        <w:rPr>
          <w:spacing w:val="-3"/>
        </w:rPr>
        <w:t>时股东大会审议，经中国证监会</w:t>
      </w:r>
      <w:r>
        <w:rPr>
          <w:spacing w:val="-57"/>
        </w:rPr>
        <w:t> </w:t>
      </w:r>
      <w:r>
        <w:rPr>
          <w:rFonts w:ascii="宋体" w:hAnsi="宋体" w:cs="宋体" w:eastAsia="宋体" w:hint="default"/>
        </w:rPr>
        <w:t>2016</w:t>
      </w:r>
      <w:r>
        <w:rPr>
          <w:rFonts w:ascii="宋体" w:hAnsi="宋体" w:cs="宋体" w:eastAsia="宋体" w:hint="default"/>
          <w:spacing w:val="-57"/>
        </w:rPr>
        <w:t> </w:t>
      </w:r>
      <w:r>
        <w:rPr/>
        <w:t>年</w:t>
      </w:r>
      <w:r>
        <w:rPr>
          <w:spacing w:val="-57"/>
        </w:rPr>
        <w:t> </w:t>
      </w:r>
      <w:r>
        <w:rPr>
          <w:rFonts w:ascii="宋体" w:hAnsi="宋体" w:cs="宋体" w:eastAsia="宋体" w:hint="default"/>
        </w:rPr>
        <w:t>6</w:t>
      </w:r>
      <w:r>
        <w:rPr>
          <w:rFonts w:ascii="宋体" w:hAnsi="宋体" w:cs="宋体" w:eastAsia="宋体" w:hint="default"/>
          <w:spacing w:val="-57"/>
        </w:rPr>
        <w:t> </w:t>
      </w:r>
      <w:r>
        <w:rPr/>
        <w:t>月</w:t>
      </w:r>
      <w:r>
        <w:rPr>
          <w:spacing w:val="-57"/>
        </w:rPr>
        <w:t> </w:t>
      </w:r>
      <w:r>
        <w:rPr>
          <w:rFonts w:ascii="宋体" w:hAnsi="宋体" w:cs="宋体" w:eastAsia="宋体" w:hint="default"/>
        </w:rPr>
        <w:t>3</w:t>
      </w:r>
      <w:r>
        <w:rPr>
          <w:rFonts w:ascii="宋体" w:hAnsi="宋体" w:cs="宋体" w:eastAsia="宋体" w:hint="default"/>
          <w:spacing w:val="-57"/>
        </w:rPr>
        <w:t> </w:t>
      </w:r>
      <w:r>
        <w:rPr>
          <w:spacing w:val="-3"/>
        </w:rPr>
        <w:t>日《关于核准中文在线数字出版集团股份有限</w:t>
      </w:r>
      <w:r>
        <w:rPr/>
        <w:t> </w:t>
      </w:r>
      <w:r>
        <w:rPr>
          <w:spacing w:val="-5"/>
        </w:rPr>
        <w:t>公司非公开发行股票的批复》（证监许可</w:t>
      </w:r>
      <w:r>
        <w:rPr>
          <w:rFonts w:ascii="宋体" w:hAnsi="宋体" w:cs="宋体" w:eastAsia="宋体" w:hint="default"/>
          <w:spacing w:val="-5"/>
        </w:rPr>
        <w:t>[2016]874</w:t>
      </w:r>
      <w:r>
        <w:rPr>
          <w:rFonts w:ascii="宋体" w:hAnsi="宋体" w:cs="宋体" w:eastAsia="宋体" w:hint="default"/>
          <w:spacing w:val="-53"/>
        </w:rPr>
        <w:t> </w:t>
      </w:r>
      <w:r>
        <w:rPr>
          <w:spacing w:val="-1"/>
        </w:rPr>
        <w:t>号）核准，本公司获准非公开发行不超过</w:t>
      </w:r>
      <w:r>
        <w:rPr/>
        <w:t> </w:t>
      </w:r>
      <w:r>
        <w:rPr>
          <w:rFonts w:ascii="宋体" w:hAnsi="宋体" w:cs="宋体" w:eastAsia="宋体" w:hint="default"/>
        </w:rPr>
        <w:t>3,000</w:t>
      </w:r>
      <w:r>
        <w:rPr>
          <w:rFonts w:ascii="宋体" w:hAnsi="宋体" w:cs="宋体" w:eastAsia="宋体" w:hint="default"/>
          <w:spacing w:val="-49"/>
        </w:rPr>
        <w:t> </w:t>
      </w:r>
      <w:r>
        <w:rPr/>
        <w:t>万股新股。由于</w:t>
      </w:r>
      <w:r>
        <w:rPr>
          <w:spacing w:val="-50"/>
        </w:rPr>
        <w:t> </w:t>
      </w:r>
      <w:r>
        <w:rPr>
          <w:rFonts w:ascii="宋体" w:hAnsi="宋体" w:cs="宋体" w:eastAsia="宋体" w:hint="default"/>
        </w:rPr>
        <w:t>2016</w:t>
      </w:r>
      <w:r>
        <w:rPr>
          <w:rFonts w:ascii="宋体" w:hAnsi="宋体" w:cs="宋体" w:eastAsia="宋体" w:hint="default"/>
          <w:spacing w:val="-50"/>
        </w:rPr>
        <w:t> </w:t>
      </w:r>
      <w:r>
        <w:rPr/>
        <w:t>年</w:t>
      </w:r>
      <w:r>
        <w:rPr>
          <w:spacing w:val="-50"/>
        </w:rPr>
        <w:t> </w:t>
      </w:r>
      <w:r>
        <w:rPr>
          <w:rFonts w:ascii="宋体" w:hAnsi="宋体" w:cs="宋体" w:eastAsia="宋体" w:hint="default"/>
        </w:rPr>
        <w:t>6</w:t>
      </w:r>
      <w:r>
        <w:rPr>
          <w:rFonts w:ascii="宋体" w:hAnsi="宋体" w:cs="宋体" w:eastAsia="宋体" w:hint="default"/>
          <w:spacing w:val="-50"/>
        </w:rPr>
        <w:t> </w:t>
      </w:r>
      <w:r>
        <w:rPr/>
        <w:t>月</w:t>
      </w:r>
      <w:r>
        <w:rPr>
          <w:spacing w:val="-49"/>
        </w:rPr>
        <w:t> </w:t>
      </w:r>
      <w:r>
        <w:rPr>
          <w:rFonts w:ascii="宋体" w:hAnsi="宋体" w:cs="宋体" w:eastAsia="宋体" w:hint="default"/>
        </w:rPr>
        <w:t>7</w:t>
      </w:r>
      <w:r>
        <w:rPr>
          <w:rFonts w:ascii="宋体" w:hAnsi="宋体" w:cs="宋体" w:eastAsia="宋体" w:hint="default"/>
          <w:spacing w:val="-50"/>
        </w:rPr>
        <w:t> </w:t>
      </w:r>
      <w:r>
        <w:rPr/>
        <w:t>日本公司实施</w:t>
      </w:r>
      <w:r>
        <w:rPr>
          <w:spacing w:val="-50"/>
        </w:rPr>
        <w:t> </w:t>
      </w:r>
      <w:r>
        <w:rPr>
          <w:rFonts w:ascii="宋体" w:hAnsi="宋体" w:cs="宋体" w:eastAsia="宋体" w:hint="default"/>
        </w:rPr>
        <w:t>2015</w:t>
      </w:r>
      <w:r>
        <w:rPr>
          <w:rFonts w:ascii="宋体" w:hAnsi="宋体" w:cs="宋体" w:eastAsia="宋体" w:hint="default"/>
          <w:spacing w:val="-50"/>
        </w:rPr>
        <w:t> </w:t>
      </w:r>
      <w:r>
        <w:rPr/>
        <w:t>年度权益分派方案，本次非公开发</w:t>
      </w:r>
    </w:p>
    <w:p>
      <w:pPr>
        <w:pStyle w:val="BodyText"/>
        <w:spacing w:line="240" w:lineRule="auto" w:before="36"/>
        <w:ind w:right="0"/>
        <w:jc w:val="both"/>
        <w:rPr>
          <w:rFonts w:ascii="宋体" w:hAnsi="宋体" w:cs="宋体" w:eastAsia="宋体" w:hint="default"/>
        </w:rPr>
      </w:pPr>
      <w:r>
        <w:rPr/>
        <w:t>行股票发行数量调整为不超过 </w:t>
      </w:r>
      <w:r>
        <w:rPr>
          <w:rFonts w:ascii="宋体" w:hAnsi="宋体" w:cs="宋体" w:eastAsia="宋体" w:hint="default"/>
        </w:rPr>
        <w:t>5,956.9515 </w:t>
      </w:r>
      <w:r>
        <w:rPr/>
        <w:t>万股新股。本次非公开发行新增股份</w:t>
      </w:r>
      <w:r>
        <w:rPr>
          <w:spacing w:val="-84"/>
        </w:rPr>
        <w:t> </w:t>
      </w:r>
      <w:r>
        <w:rPr>
          <w:rFonts w:ascii="宋体" w:hAnsi="宋体" w:cs="宋体" w:eastAsia="宋体" w:hint="default"/>
        </w:rPr>
        <w:t>42,735,042</w:t>
      </w:r>
    </w:p>
    <w:p>
      <w:pPr>
        <w:pStyle w:val="BodyText"/>
        <w:spacing w:line="240" w:lineRule="auto" w:before="154"/>
        <w:ind w:right="0"/>
        <w:jc w:val="both"/>
      </w:pPr>
      <w:r>
        <w:rPr>
          <w:spacing w:val="4"/>
        </w:rPr>
        <w:t>股于 </w:t>
      </w:r>
      <w:r>
        <w:rPr>
          <w:rFonts w:ascii="宋体" w:hAnsi="宋体" w:cs="宋体" w:eastAsia="宋体" w:hint="default"/>
        </w:rPr>
        <w:t>2016 </w:t>
      </w:r>
      <w:r>
        <w:rPr/>
        <w:t>年 </w:t>
      </w:r>
      <w:r>
        <w:rPr>
          <w:rFonts w:ascii="宋体" w:hAnsi="宋体" w:cs="宋体" w:eastAsia="宋体" w:hint="default"/>
        </w:rPr>
        <w:t>8 </w:t>
      </w:r>
      <w:r>
        <w:rPr/>
        <w:t>月 </w:t>
      </w:r>
      <w:r>
        <w:rPr>
          <w:rFonts w:ascii="宋体" w:hAnsi="宋体" w:cs="宋体" w:eastAsia="宋体" w:hint="default"/>
        </w:rPr>
        <w:t>15 </w:t>
      </w:r>
      <w:r>
        <w:rPr>
          <w:spacing w:val="8"/>
        </w:rPr>
        <w:t>日在深圳证券交易所上市。公司总股本由 </w:t>
      </w:r>
      <w:r>
        <w:rPr>
          <w:rFonts w:ascii="宋体" w:hAnsi="宋体" w:cs="宋体" w:eastAsia="宋体" w:hint="default"/>
        </w:rPr>
        <w:t>241,746,991</w:t>
      </w:r>
      <w:r>
        <w:rPr>
          <w:rFonts w:ascii="宋体" w:hAnsi="宋体" w:cs="宋体" w:eastAsia="宋体" w:hint="default"/>
          <w:spacing w:val="71"/>
        </w:rPr>
        <w:t> </w:t>
      </w:r>
      <w:r>
        <w:rPr>
          <w:spacing w:val="9"/>
        </w:rPr>
        <w:t>股变更为</w:t>
      </w:r>
      <w:r>
        <w:rPr/>
      </w:r>
    </w:p>
    <w:p>
      <w:pPr>
        <w:spacing w:after="0" w:line="240" w:lineRule="auto"/>
        <w:jc w:val="both"/>
        <w:sectPr>
          <w:headerReference w:type="default" r:id="rId36"/>
          <w:footerReference w:type="default" r:id="rId37"/>
          <w:pgSz w:w="11910" w:h="16840"/>
          <w:pgMar w:header="877" w:footer="979" w:top="1100" w:bottom="1160" w:left="980" w:right="0"/>
          <w:pgNumType w:start="141"/>
        </w:sectPr>
      </w:pPr>
    </w:p>
    <w:p>
      <w:pPr>
        <w:spacing w:line="240" w:lineRule="auto" w:before="9"/>
        <w:rPr>
          <w:rFonts w:ascii="宋体" w:hAnsi="宋体" w:cs="宋体" w:eastAsia="宋体" w:hint="default"/>
          <w:sz w:val="25"/>
          <w:szCs w:val="25"/>
        </w:rPr>
      </w:pPr>
    </w:p>
    <w:p>
      <w:pPr>
        <w:pStyle w:val="BodyText"/>
        <w:spacing w:line="240" w:lineRule="auto" w:before="26"/>
        <w:ind w:right="0"/>
        <w:jc w:val="both"/>
      </w:pPr>
      <w:r>
        <w:rPr>
          <w:rFonts w:ascii="宋体" w:hAnsi="宋体" w:cs="宋体" w:eastAsia="宋体" w:hint="default"/>
        </w:rPr>
        <w:t>284,482,033</w:t>
      </w:r>
      <w:r>
        <w:rPr>
          <w:rFonts w:ascii="宋体" w:hAnsi="宋体" w:cs="宋体" w:eastAsia="宋体" w:hint="default"/>
          <w:spacing w:val="-60"/>
        </w:rPr>
        <w:t> </w:t>
      </w:r>
      <w:r>
        <w:rPr/>
        <w:t>股。</w:t>
      </w:r>
    </w:p>
    <w:p>
      <w:pPr>
        <w:spacing w:line="240" w:lineRule="auto" w:before="4"/>
        <w:rPr>
          <w:rFonts w:ascii="宋体" w:hAnsi="宋体" w:cs="宋体" w:eastAsia="宋体" w:hint="default"/>
          <w:sz w:val="19"/>
          <w:szCs w:val="19"/>
        </w:rPr>
      </w:pPr>
    </w:p>
    <w:p>
      <w:pPr>
        <w:pStyle w:val="BodyText"/>
        <w:spacing w:line="357" w:lineRule="auto"/>
        <w:ind w:right="1130" w:firstLine="480"/>
        <w:jc w:val="both"/>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0"/>
        </w:rPr>
        <w:t> </w:t>
      </w:r>
      <w:r>
        <w:rPr/>
        <w:t>月</w:t>
      </w:r>
      <w:r>
        <w:rPr>
          <w:spacing w:val="-41"/>
        </w:rPr>
        <w:t> </w:t>
      </w:r>
      <w:r>
        <w:rPr>
          <w:rFonts w:ascii="宋体" w:hAnsi="宋体" w:cs="宋体" w:eastAsia="宋体" w:hint="default"/>
        </w:rPr>
        <w:t>30</w:t>
      </w:r>
      <w:r>
        <w:rPr>
          <w:rFonts w:ascii="宋体" w:hAnsi="宋体" w:cs="宋体" w:eastAsia="宋体" w:hint="default"/>
          <w:spacing w:val="-41"/>
        </w:rPr>
        <w:t> </w:t>
      </w:r>
      <w:r>
        <w:rPr/>
        <w:t>日，本公司召开第二届董事会第三十五次审议通过了《关于调整第三期 </w:t>
      </w:r>
      <w:r>
        <w:rPr>
          <w:spacing w:val="-6"/>
        </w:rPr>
        <w:t>股票期权与限制性股票激励计划预留限制性股票数量的议案》、《关于向激励对象授予第三期</w:t>
      </w:r>
      <w:r>
        <w:rPr>
          <w:spacing w:val="-112"/>
        </w:rPr>
        <w:t> </w:t>
      </w:r>
      <w:r>
        <w:rPr>
          <w:spacing w:val="-112"/>
        </w:rPr>
      </w:r>
      <w:r>
        <w:rPr>
          <w:spacing w:val="-5"/>
        </w:rPr>
        <w:t>股票期权与限制性股票激励计划预留权益的议案》，调整后限制性股票激励计划中预留限制性</w:t>
      </w:r>
      <w:r>
        <w:rPr>
          <w:spacing w:val="-116"/>
        </w:rPr>
        <w:t> </w:t>
      </w:r>
      <w:r>
        <w:rPr>
          <w:spacing w:val="-116"/>
        </w:rPr>
      </w:r>
      <w:r>
        <w:rPr/>
        <w:t>股票的数量由</w:t>
      </w:r>
      <w:r>
        <w:rPr>
          <w:spacing w:val="-59"/>
        </w:rPr>
        <w:t> </w:t>
      </w:r>
      <w:r>
        <w:rPr>
          <w:rFonts w:ascii="宋体" w:hAnsi="宋体" w:cs="宋体" w:eastAsia="宋体" w:hint="default"/>
        </w:rPr>
        <w:t>21</w:t>
      </w:r>
      <w:r>
        <w:rPr>
          <w:rFonts w:ascii="宋体" w:hAnsi="宋体" w:cs="宋体" w:eastAsia="宋体" w:hint="default"/>
          <w:spacing w:val="-59"/>
        </w:rPr>
        <w:t> </w:t>
      </w:r>
      <w:r>
        <w:rPr/>
        <w:t>万股调整为</w:t>
      </w:r>
      <w:r>
        <w:rPr>
          <w:spacing w:val="-59"/>
        </w:rPr>
        <w:t> </w:t>
      </w:r>
      <w:r>
        <w:rPr>
          <w:rFonts w:ascii="宋体" w:hAnsi="宋体" w:cs="宋体" w:eastAsia="宋体" w:hint="default"/>
        </w:rPr>
        <w:t>41.6986</w:t>
      </w:r>
      <w:r>
        <w:rPr>
          <w:rFonts w:ascii="宋体" w:hAnsi="宋体" w:cs="宋体" w:eastAsia="宋体" w:hint="default"/>
          <w:spacing w:val="-59"/>
        </w:rPr>
        <w:t> </w:t>
      </w:r>
      <w:r>
        <w:rPr>
          <w:spacing w:val="-9"/>
        </w:rPr>
        <w:t>万股。截止</w:t>
      </w:r>
      <w:r>
        <w:rPr>
          <w:spacing w:val="-59"/>
        </w:rPr>
        <w:t> </w:t>
      </w:r>
      <w:r>
        <w:rPr>
          <w:rFonts w:ascii="宋体" w:hAnsi="宋体" w:cs="宋体" w:eastAsia="宋体" w:hint="default"/>
        </w:rPr>
        <w:t>2016</w:t>
      </w:r>
      <w:r>
        <w:rPr>
          <w:rFonts w:ascii="宋体" w:hAnsi="宋体" w:cs="宋体" w:eastAsia="宋体" w:hint="default"/>
          <w:spacing w:val="-59"/>
        </w:rPr>
        <w:t> </w:t>
      </w:r>
      <w:r>
        <w:rPr/>
        <w:t>年</w:t>
      </w:r>
      <w:r>
        <w:rPr>
          <w:spacing w:val="-59"/>
        </w:rPr>
        <w:t> </w:t>
      </w:r>
      <w:r>
        <w:rPr>
          <w:rFonts w:ascii="宋体" w:hAnsi="宋体" w:cs="宋体" w:eastAsia="宋体" w:hint="default"/>
        </w:rPr>
        <w:t>9</w:t>
      </w:r>
      <w:r>
        <w:rPr>
          <w:rFonts w:ascii="宋体" w:hAnsi="宋体" w:cs="宋体" w:eastAsia="宋体" w:hint="default"/>
          <w:spacing w:val="-59"/>
        </w:rPr>
        <w:t> </w:t>
      </w:r>
      <w:r>
        <w:rPr/>
        <w:t>月</w:t>
      </w:r>
      <w:r>
        <w:rPr>
          <w:spacing w:val="-59"/>
        </w:rPr>
        <w:t> </w:t>
      </w:r>
      <w:r>
        <w:rPr>
          <w:rFonts w:ascii="宋体" w:hAnsi="宋体" w:cs="宋体" w:eastAsia="宋体" w:hint="default"/>
        </w:rPr>
        <w:t>28</w:t>
      </w:r>
      <w:r>
        <w:rPr>
          <w:rFonts w:ascii="宋体" w:hAnsi="宋体" w:cs="宋体" w:eastAsia="宋体" w:hint="default"/>
          <w:spacing w:val="-59"/>
        </w:rPr>
        <w:t> </w:t>
      </w:r>
      <w:r>
        <w:rPr>
          <w:spacing w:val="-4"/>
        </w:rPr>
        <w:t>日，激励对象按每股限制性</w:t>
      </w:r>
    </w:p>
    <w:p>
      <w:pPr>
        <w:pStyle w:val="BodyText"/>
        <w:spacing w:line="240" w:lineRule="auto" w:before="36"/>
        <w:ind w:right="0"/>
        <w:jc w:val="both"/>
      </w:pPr>
      <w:r>
        <w:rPr/>
        <w:t>股票授予价格</w:t>
      </w:r>
      <w:r>
        <w:rPr>
          <w:spacing w:val="-54"/>
        </w:rPr>
        <w:t> </w:t>
      </w:r>
      <w:r>
        <w:rPr>
          <w:rFonts w:ascii="宋体" w:hAnsi="宋体" w:cs="宋体" w:eastAsia="宋体" w:hint="default"/>
        </w:rPr>
        <w:t>25.67</w:t>
      </w:r>
      <w:r>
        <w:rPr>
          <w:rFonts w:ascii="宋体" w:hAnsi="宋体" w:cs="宋体" w:eastAsia="宋体" w:hint="default"/>
          <w:spacing w:val="-54"/>
        </w:rPr>
        <w:t> </w:t>
      </w:r>
      <w:r>
        <w:rPr/>
        <w:t>元共认购</w:t>
      </w:r>
      <w:r>
        <w:rPr>
          <w:spacing w:val="-54"/>
        </w:rPr>
        <w:t> </w:t>
      </w:r>
      <w:r>
        <w:rPr>
          <w:rFonts w:ascii="宋体" w:hAnsi="宋体" w:cs="宋体" w:eastAsia="宋体" w:hint="default"/>
        </w:rPr>
        <w:t>41.6986</w:t>
      </w:r>
      <w:r>
        <w:rPr>
          <w:rFonts w:ascii="宋体" w:hAnsi="宋体" w:cs="宋体" w:eastAsia="宋体" w:hint="default"/>
          <w:spacing w:val="-54"/>
        </w:rPr>
        <w:t> </w:t>
      </w:r>
      <w:r>
        <w:rPr/>
        <w:t>万股限制性股票，公司总股本由</w:t>
      </w:r>
      <w:r>
        <w:rPr>
          <w:spacing w:val="-54"/>
        </w:rPr>
        <w:t> </w:t>
      </w:r>
      <w:r>
        <w:rPr>
          <w:rFonts w:ascii="宋体" w:hAnsi="宋体" w:cs="宋体" w:eastAsia="宋体" w:hint="default"/>
        </w:rPr>
        <w:t>284,482,033</w:t>
      </w:r>
      <w:r>
        <w:rPr>
          <w:rFonts w:ascii="宋体" w:hAnsi="宋体" w:cs="宋体" w:eastAsia="宋体" w:hint="default"/>
          <w:spacing w:val="-54"/>
        </w:rPr>
        <w:t> </w:t>
      </w:r>
      <w:r>
        <w:rPr/>
        <w:t>股变更</w:t>
      </w:r>
    </w:p>
    <w:p>
      <w:pPr>
        <w:pStyle w:val="BodyText"/>
        <w:spacing w:line="240" w:lineRule="auto" w:before="155"/>
        <w:ind w:right="0"/>
        <w:jc w:val="both"/>
      </w:pPr>
      <w:r>
        <w:rPr/>
        <w:t>为</w:t>
      </w:r>
      <w:r>
        <w:rPr>
          <w:spacing w:val="-60"/>
        </w:rPr>
        <w:t> </w:t>
      </w:r>
      <w:r>
        <w:rPr>
          <w:rFonts w:ascii="宋体" w:hAnsi="宋体" w:cs="宋体" w:eastAsia="宋体" w:hint="default"/>
        </w:rPr>
        <w:t>284,899,019</w:t>
      </w:r>
      <w:r>
        <w:rPr>
          <w:rFonts w:ascii="宋体" w:hAnsi="宋体" w:cs="宋体" w:eastAsia="宋体" w:hint="default"/>
          <w:spacing w:val="-60"/>
        </w:rPr>
        <w:t> </w:t>
      </w:r>
      <w:r>
        <w:rPr/>
        <w:t>股。</w:t>
      </w:r>
    </w:p>
    <w:p>
      <w:pPr>
        <w:spacing w:line="240" w:lineRule="auto" w:before="5"/>
        <w:rPr>
          <w:rFonts w:ascii="宋体" w:hAnsi="宋体" w:cs="宋体" w:eastAsia="宋体" w:hint="default"/>
          <w:sz w:val="19"/>
          <w:szCs w:val="19"/>
        </w:rPr>
      </w:pPr>
    </w:p>
    <w:p>
      <w:pPr>
        <w:pStyle w:val="BodyText"/>
        <w:spacing w:line="357" w:lineRule="auto"/>
        <w:ind w:right="1130" w:firstLine="480"/>
        <w:jc w:val="both"/>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12</w:t>
      </w:r>
      <w:r>
        <w:rPr>
          <w:rFonts w:ascii="宋体" w:hAnsi="宋体" w:cs="宋体" w:eastAsia="宋体" w:hint="default"/>
          <w:spacing w:val="-40"/>
        </w:rPr>
        <w:t> </w:t>
      </w:r>
      <w:r>
        <w:rPr/>
        <w:t>月</w:t>
      </w:r>
      <w:r>
        <w:rPr>
          <w:spacing w:val="-41"/>
        </w:rPr>
        <w:t> </w:t>
      </w:r>
      <w:r>
        <w:rPr>
          <w:rFonts w:ascii="宋体" w:hAnsi="宋体" w:cs="宋体" w:eastAsia="宋体" w:hint="default"/>
        </w:rPr>
        <w:t>5</w:t>
      </w:r>
      <w:r>
        <w:rPr>
          <w:rFonts w:ascii="宋体" w:hAnsi="宋体" w:cs="宋体" w:eastAsia="宋体" w:hint="default"/>
          <w:spacing w:val="-41"/>
        </w:rPr>
        <w:t> </w:t>
      </w:r>
      <w:r>
        <w:rPr/>
        <w:t>日，本公司召开第二届董事会第四十次会议审议通过了《关于回购注销 </w:t>
      </w:r>
      <w:r>
        <w:rPr>
          <w:spacing w:val="-5"/>
        </w:rPr>
        <w:t>部分限制性股票的议案》，由于两名激励对象因个人原因离职，已不再符合解锁条件，根据本</w:t>
      </w:r>
      <w:r>
        <w:rPr/>
        <w:t> 公司《第三期股票期权与限制性股票激励计划》的相关规定，董事会审议决定取消上述激励 对象资格并回购注销其已获授但尚未解锁的全部限制性股票，回购股份共计 </w:t>
      </w:r>
      <w:r>
        <w:rPr>
          <w:rFonts w:ascii="宋体" w:hAnsi="宋体" w:cs="宋体" w:eastAsia="宋体" w:hint="default"/>
        </w:rPr>
        <w:t>146,442</w:t>
      </w:r>
      <w:r>
        <w:rPr>
          <w:rFonts w:ascii="宋体" w:hAnsi="宋体" w:cs="宋体" w:eastAsia="宋体" w:hint="default"/>
          <w:spacing w:val="-82"/>
        </w:rPr>
        <w:t> </w:t>
      </w:r>
      <w:r>
        <w:rPr/>
        <w:t>股。本</w:t>
      </w:r>
    </w:p>
    <w:p>
      <w:pPr>
        <w:pStyle w:val="BodyText"/>
        <w:spacing w:line="357" w:lineRule="auto" w:before="36"/>
        <w:ind w:right="1132"/>
        <w:jc w:val="both"/>
      </w:pPr>
      <w:r>
        <w:rPr/>
        <w:t>公司于</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2</w:t>
      </w:r>
      <w:r>
        <w:rPr>
          <w:rFonts w:ascii="宋体" w:hAnsi="宋体" w:cs="宋体" w:eastAsia="宋体" w:hint="default"/>
          <w:spacing w:val="-54"/>
        </w:rPr>
        <w:t> </w:t>
      </w:r>
      <w:r>
        <w:rPr/>
        <w:t>月</w:t>
      </w:r>
      <w:r>
        <w:rPr>
          <w:spacing w:val="-54"/>
        </w:rPr>
        <w:t> </w:t>
      </w:r>
      <w:r>
        <w:rPr>
          <w:rFonts w:ascii="宋体" w:hAnsi="宋体" w:cs="宋体" w:eastAsia="宋体" w:hint="default"/>
        </w:rPr>
        <w:t>14</w:t>
      </w:r>
      <w:r>
        <w:rPr>
          <w:rFonts w:ascii="宋体" w:hAnsi="宋体" w:cs="宋体" w:eastAsia="宋体" w:hint="default"/>
          <w:spacing w:val="-54"/>
        </w:rPr>
        <w:t> </w:t>
      </w:r>
      <w:r>
        <w:rPr/>
        <w:t>日完成了上述限制性股票的回购注销手续并披露了《关于部分已授予 </w:t>
      </w:r>
      <w:r>
        <w:rPr>
          <w:spacing w:val="6"/>
        </w:rPr>
        <w:t>但尚未解锁的限制性股票回购注销完成的公告》。本次回购注销完成后，本公司总股本由</w:t>
      </w:r>
      <w:r>
        <w:rPr>
          <w:spacing w:val="-104"/>
        </w:rPr>
        <w:t> </w:t>
      </w:r>
      <w:r>
        <w:rPr>
          <w:spacing w:val="-104"/>
        </w:rPr>
      </w:r>
      <w:r>
        <w:rPr>
          <w:rFonts w:ascii="宋体" w:hAnsi="宋体" w:cs="宋体" w:eastAsia="宋体" w:hint="default"/>
        </w:rPr>
        <w:t>284,899,019</w:t>
      </w:r>
      <w:r>
        <w:rPr>
          <w:rFonts w:ascii="宋体" w:hAnsi="宋体" w:cs="宋体" w:eastAsia="宋体" w:hint="default"/>
          <w:spacing w:val="-60"/>
        </w:rPr>
        <w:t> </w:t>
      </w:r>
      <w:r>
        <w:rPr/>
        <w:t>股变更为</w:t>
      </w:r>
      <w:r>
        <w:rPr>
          <w:spacing w:val="-60"/>
        </w:rPr>
        <w:t> </w:t>
      </w:r>
      <w:r>
        <w:rPr>
          <w:rFonts w:ascii="宋体" w:hAnsi="宋体" w:cs="宋体" w:eastAsia="宋体" w:hint="default"/>
        </w:rPr>
        <w:t>284,752,577</w:t>
      </w:r>
      <w:r>
        <w:rPr>
          <w:rFonts w:ascii="宋体" w:hAnsi="宋体" w:cs="宋体" w:eastAsia="宋体" w:hint="default"/>
          <w:spacing w:val="-60"/>
        </w:rPr>
        <w:t> </w:t>
      </w:r>
      <w:r>
        <w:rPr/>
        <w:t>股。</w:t>
      </w:r>
    </w:p>
    <w:p>
      <w:pPr>
        <w:pStyle w:val="BodyText"/>
        <w:spacing w:line="357" w:lineRule="auto" w:before="135"/>
        <w:ind w:right="1129" w:firstLine="480"/>
        <w:jc w:val="both"/>
      </w:pPr>
      <w:r>
        <w:rPr>
          <w:rFonts w:ascii="宋体" w:hAnsi="宋体" w:cs="宋体" w:eastAsia="宋体" w:hint="default"/>
        </w:rPr>
        <w:t>2017</w:t>
      </w:r>
      <w:r>
        <w:rPr>
          <w:rFonts w:ascii="宋体" w:hAnsi="宋体" w:cs="宋体" w:eastAsia="宋体" w:hint="default"/>
          <w:spacing w:val="-64"/>
        </w:rPr>
        <w:t> </w:t>
      </w:r>
      <w:r>
        <w:rPr/>
        <w:t>年</w:t>
      </w:r>
      <w:r>
        <w:rPr>
          <w:spacing w:val="-64"/>
        </w:rPr>
        <w:t> </w:t>
      </w:r>
      <w:r>
        <w:rPr>
          <w:rFonts w:ascii="宋体" w:hAnsi="宋体" w:cs="宋体" w:eastAsia="宋体" w:hint="default"/>
        </w:rPr>
        <w:t>3</w:t>
      </w:r>
      <w:r>
        <w:rPr>
          <w:rFonts w:ascii="宋体" w:hAnsi="宋体" w:cs="宋体" w:eastAsia="宋体" w:hint="default"/>
          <w:spacing w:val="-64"/>
        </w:rPr>
        <w:t> </w:t>
      </w:r>
      <w:r>
        <w:rPr/>
        <w:t>月</w:t>
      </w:r>
      <w:r>
        <w:rPr>
          <w:spacing w:val="-64"/>
        </w:rPr>
        <w:t> </w:t>
      </w:r>
      <w:r>
        <w:rPr>
          <w:rFonts w:ascii="宋体" w:hAnsi="宋体" w:cs="宋体" w:eastAsia="宋体" w:hint="default"/>
        </w:rPr>
        <w:t>19</w:t>
      </w:r>
      <w:r>
        <w:rPr>
          <w:rFonts w:ascii="宋体" w:hAnsi="宋体" w:cs="宋体" w:eastAsia="宋体" w:hint="default"/>
          <w:spacing w:val="-64"/>
        </w:rPr>
        <w:t> </w:t>
      </w:r>
      <w:r>
        <w:rPr>
          <w:spacing w:val="-7"/>
        </w:rPr>
        <w:t>日、</w:t>
      </w:r>
      <w:r>
        <w:rPr>
          <w:rFonts w:ascii="宋体" w:hAnsi="宋体" w:cs="宋体" w:eastAsia="宋体" w:hint="default"/>
          <w:spacing w:val="-7"/>
        </w:rPr>
        <w:t>2017</w:t>
      </w:r>
      <w:r>
        <w:rPr>
          <w:rFonts w:ascii="宋体" w:hAnsi="宋体" w:cs="宋体" w:eastAsia="宋体" w:hint="default"/>
          <w:spacing w:val="-64"/>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12</w:t>
      </w:r>
      <w:r>
        <w:rPr>
          <w:rFonts w:ascii="宋体" w:hAnsi="宋体" w:cs="宋体" w:eastAsia="宋体" w:hint="default"/>
          <w:spacing w:val="-64"/>
        </w:rPr>
        <w:t> </w:t>
      </w:r>
      <w:r>
        <w:rPr/>
        <w:t>日，本公司分别召开第二届董事会第四十四次会议和 </w:t>
      </w:r>
      <w:r>
        <w:rPr>
          <w:spacing w:val="-5"/>
        </w:rPr>
        <w:t>第二届董事会第四十五次会议，审议通过了《关于回购注销部分限制性股票的议案》，由于三</w:t>
      </w:r>
      <w:r>
        <w:rPr/>
        <w:t> 名激励对象因个人原因离职，已不再符合解锁条件，根据本公司《第三期股票期权与限制性</w:t>
      </w:r>
      <w:r>
        <w:rPr>
          <w:spacing w:val="-109"/>
        </w:rPr>
        <w:t> </w:t>
      </w:r>
      <w:r>
        <w:rPr>
          <w:spacing w:val="-109"/>
        </w:rPr>
      </w:r>
      <w:r>
        <w:rPr/>
        <w:t>股票激励计划》的相关规定，董事会审议决定取消上述激励对象资格并回购注销其已获授但</w:t>
      </w:r>
      <w:r>
        <w:rPr/>
        <w:t> 尚未解锁的全部限制性股票，回购股份共计</w:t>
      </w:r>
      <w:r>
        <w:rPr>
          <w:spacing w:val="-55"/>
        </w:rPr>
        <w:t> </w:t>
      </w:r>
      <w:r>
        <w:rPr>
          <w:rFonts w:ascii="宋体" w:hAnsi="宋体" w:cs="宋体" w:eastAsia="宋体" w:hint="default"/>
        </w:rPr>
        <w:t>227,357</w:t>
      </w:r>
      <w:r>
        <w:rPr>
          <w:rFonts w:ascii="宋体" w:hAnsi="宋体" w:cs="宋体" w:eastAsia="宋体" w:hint="default"/>
          <w:spacing w:val="-56"/>
        </w:rPr>
        <w:t> </w:t>
      </w:r>
      <w:r>
        <w:rPr/>
        <w:t>股。本公司于</w:t>
      </w:r>
      <w:r>
        <w:rPr>
          <w:spacing w:val="-55"/>
        </w:rPr>
        <w:t> </w:t>
      </w:r>
      <w:r>
        <w:rPr>
          <w:rFonts w:ascii="宋体" w:hAnsi="宋体" w:cs="宋体" w:eastAsia="宋体" w:hint="default"/>
        </w:rPr>
        <w:t>2017</w:t>
      </w:r>
      <w:r>
        <w:rPr>
          <w:rFonts w:ascii="宋体" w:hAnsi="宋体" w:cs="宋体" w:eastAsia="宋体" w:hint="default"/>
          <w:spacing w:val="-56"/>
        </w:rPr>
        <w:t> </w:t>
      </w:r>
      <w:r>
        <w:rPr/>
        <w:t>年</w:t>
      </w:r>
      <w:r>
        <w:rPr>
          <w:spacing w:val="-56"/>
        </w:rPr>
        <w:t> </w:t>
      </w:r>
      <w:r>
        <w:rPr>
          <w:rFonts w:ascii="宋体" w:hAnsi="宋体" w:cs="宋体" w:eastAsia="宋体" w:hint="default"/>
        </w:rPr>
        <w:t>7</w:t>
      </w:r>
      <w:r>
        <w:rPr>
          <w:rFonts w:ascii="宋体" w:hAnsi="宋体" w:cs="宋体" w:eastAsia="宋体" w:hint="default"/>
          <w:spacing w:val="-56"/>
        </w:rPr>
        <w:t> </w:t>
      </w:r>
      <w:r>
        <w:rPr/>
        <w:t>月</w:t>
      </w:r>
      <w:r>
        <w:rPr>
          <w:spacing w:val="-56"/>
        </w:rPr>
        <w:t> </w:t>
      </w:r>
      <w:r>
        <w:rPr>
          <w:rFonts w:ascii="宋体" w:hAnsi="宋体" w:cs="宋体" w:eastAsia="宋体" w:hint="default"/>
        </w:rPr>
        <w:t>21</w:t>
      </w:r>
      <w:r>
        <w:rPr>
          <w:rFonts w:ascii="宋体" w:hAnsi="宋体" w:cs="宋体" w:eastAsia="宋体" w:hint="default"/>
          <w:spacing w:val="-56"/>
        </w:rPr>
        <w:t> </w:t>
      </w:r>
      <w:r>
        <w:rPr/>
        <w:t>日完成了 上述限制性股票的回购注销手续并披露了《关于部分已授予但尚未解锁的限制性股票回购注 </w:t>
      </w:r>
      <w:r>
        <w:rPr>
          <w:spacing w:val="-6"/>
        </w:rPr>
        <w:t>销完成的公告》。本次回购注销完成后，本公司总股本由</w:t>
      </w:r>
      <w:r>
        <w:rPr>
          <w:spacing w:val="-58"/>
        </w:rPr>
        <w:t> </w:t>
      </w:r>
      <w:r>
        <w:rPr>
          <w:rFonts w:ascii="宋体" w:hAnsi="宋体" w:cs="宋体" w:eastAsia="宋体" w:hint="default"/>
        </w:rPr>
        <w:t>284,752,577</w:t>
      </w:r>
      <w:r>
        <w:rPr>
          <w:rFonts w:ascii="宋体" w:hAnsi="宋体" w:cs="宋体" w:eastAsia="宋体" w:hint="default"/>
          <w:spacing w:val="-58"/>
        </w:rPr>
        <w:t> </w:t>
      </w:r>
      <w:r>
        <w:rPr/>
        <w:t>股变更为</w:t>
      </w:r>
      <w:r>
        <w:rPr>
          <w:spacing w:val="-58"/>
        </w:rPr>
        <w:t> </w:t>
      </w:r>
      <w:r>
        <w:rPr>
          <w:rFonts w:ascii="宋体" w:hAnsi="宋体" w:cs="宋体" w:eastAsia="宋体" w:hint="default"/>
        </w:rPr>
        <w:t>284,525,220 </w:t>
      </w:r>
      <w:r>
        <w:rPr/>
        <w:t>股。</w:t>
      </w:r>
    </w:p>
    <w:p>
      <w:pPr>
        <w:pStyle w:val="BodyText"/>
        <w:spacing w:line="240" w:lineRule="auto" w:before="134"/>
        <w:ind w:left="634" w:right="1092"/>
        <w:jc w:val="left"/>
      </w:pPr>
      <w:r>
        <w:rPr>
          <w:rFonts w:ascii="宋体" w:hAnsi="宋体" w:cs="宋体" w:eastAsia="宋体" w:hint="default"/>
        </w:rPr>
        <w:t>2017</w:t>
      </w:r>
      <w:r>
        <w:rPr>
          <w:rFonts w:ascii="宋体" w:hAnsi="宋体" w:cs="宋体" w:eastAsia="宋体" w:hint="default"/>
          <w:spacing w:val="1"/>
        </w:rPr>
        <w:t> </w:t>
      </w:r>
      <w:r>
        <w:rPr/>
        <w:t>年</w:t>
      </w:r>
      <w:r>
        <w:rPr>
          <w:spacing w:val="1"/>
        </w:rPr>
        <w:t> </w:t>
      </w:r>
      <w:r>
        <w:rPr>
          <w:rFonts w:ascii="宋体" w:hAnsi="宋体" w:cs="宋体" w:eastAsia="宋体" w:hint="default"/>
        </w:rPr>
        <w:t>7</w:t>
      </w:r>
      <w:r>
        <w:rPr>
          <w:rFonts w:ascii="宋体" w:hAnsi="宋体" w:cs="宋体" w:eastAsia="宋体" w:hint="default"/>
          <w:spacing w:val="1"/>
        </w:rPr>
        <w:t> </w:t>
      </w:r>
      <w:r>
        <w:rPr/>
        <w:t>月</w:t>
      </w:r>
      <w:r>
        <w:rPr>
          <w:spacing w:val="1"/>
        </w:rPr>
        <w:t> </w:t>
      </w:r>
      <w:r>
        <w:rPr>
          <w:rFonts w:ascii="宋体" w:hAnsi="宋体" w:cs="宋体" w:eastAsia="宋体" w:hint="default"/>
        </w:rPr>
        <w:t>25</w:t>
      </w:r>
      <w:r>
        <w:rPr>
          <w:rFonts w:ascii="宋体" w:hAnsi="宋体" w:cs="宋体" w:eastAsia="宋体" w:hint="default"/>
          <w:spacing w:val="1"/>
        </w:rPr>
        <w:t> </w:t>
      </w:r>
      <w:r>
        <w:rPr>
          <w:spacing w:val="1"/>
        </w:rPr>
        <w:t>日，本公司披露了《</w:t>
      </w:r>
      <w:r>
        <w:rPr>
          <w:rFonts w:ascii="宋体" w:hAnsi="宋体" w:cs="宋体" w:eastAsia="宋体" w:hint="default"/>
        </w:rPr>
        <w:t>2016</w:t>
      </w:r>
      <w:r>
        <w:rPr>
          <w:rFonts w:ascii="宋体" w:hAnsi="宋体" w:cs="宋体" w:eastAsia="宋体" w:hint="default"/>
          <w:spacing w:val="1"/>
        </w:rPr>
        <w:t> </w:t>
      </w:r>
      <w:r>
        <w:rPr>
          <w:spacing w:val="1"/>
        </w:rPr>
        <w:t>年年度权益分派实施公告</w:t>
      </w:r>
      <w:r>
        <w:rPr>
          <w:spacing w:val="-119"/>
        </w:rPr>
        <w:t>》</w:t>
      </w:r>
      <w:r>
        <w:rPr>
          <w:spacing w:val="1"/>
        </w:rPr>
        <w:t>，以公司总股本</w:t>
      </w:r>
      <w:r>
        <w:rPr/>
      </w:r>
    </w:p>
    <w:p>
      <w:pPr>
        <w:pStyle w:val="BodyText"/>
        <w:spacing w:line="240" w:lineRule="auto" w:before="154"/>
        <w:ind w:right="0"/>
        <w:jc w:val="both"/>
      </w:pPr>
      <w:r>
        <w:rPr>
          <w:rFonts w:ascii="宋体" w:hAnsi="宋体" w:cs="宋体" w:eastAsia="宋体" w:hint="default"/>
        </w:rPr>
        <w:t>284,525,220</w:t>
      </w:r>
      <w:r>
        <w:rPr>
          <w:rFonts w:ascii="宋体" w:hAnsi="宋体" w:cs="宋体" w:eastAsia="宋体" w:hint="default"/>
          <w:spacing w:val="-65"/>
        </w:rPr>
        <w:t> </w:t>
      </w:r>
      <w:r>
        <w:rPr/>
        <w:t>股为基数，以资本公积金向全体股东每</w:t>
      </w:r>
      <w:r>
        <w:rPr>
          <w:spacing w:val="-65"/>
        </w:rPr>
        <w:t> </w:t>
      </w:r>
      <w:r>
        <w:rPr>
          <w:rFonts w:ascii="宋体" w:hAnsi="宋体" w:cs="宋体" w:eastAsia="宋体" w:hint="default"/>
        </w:rPr>
        <w:t>10</w:t>
      </w:r>
      <w:r>
        <w:rPr>
          <w:rFonts w:ascii="宋体" w:hAnsi="宋体" w:cs="宋体" w:eastAsia="宋体" w:hint="default"/>
          <w:spacing w:val="-65"/>
        </w:rPr>
        <w:t> </w:t>
      </w:r>
      <w:r>
        <w:rPr/>
        <w:t>股转增</w:t>
      </w:r>
      <w:r>
        <w:rPr>
          <w:spacing w:val="-65"/>
        </w:rPr>
        <w:t> </w:t>
      </w:r>
      <w:r>
        <w:rPr>
          <w:rFonts w:ascii="宋体" w:hAnsi="宋体" w:cs="宋体" w:eastAsia="宋体" w:hint="default"/>
        </w:rPr>
        <w:t>15.011986</w:t>
      </w:r>
      <w:r>
        <w:rPr>
          <w:rFonts w:ascii="宋体" w:hAnsi="宋体" w:cs="宋体" w:eastAsia="宋体" w:hint="default"/>
          <w:spacing w:val="-65"/>
        </w:rPr>
        <w:t> </w:t>
      </w:r>
      <w:r>
        <w:rPr/>
        <w:t>股。上述分配方案</w:t>
      </w:r>
    </w:p>
    <w:p>
      <w:pPr>
        <w:pStyle w:val="BodyText"/>
        <w:spacing w:line="434" w:lineRule="auto" w:before="155"/>
        <w:ind w:left="634" w:right="1092" w:hanging="480"/>
        <w:jc w:val="left"/>
      </w:pPr>
      <w:r>
        <w:rPr/>
        <w:t>已于</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t>日实施完毕，本公司总股本由</w:t>
      </w:r>
      <w:r>
        <w:rPr>
          <w:spacing w:val="-60"/>
        </w:rPr>
        <w:t> </w:t>
      </w:r>
      <w:r>
        <w:rPr>
          <w:rFonts w:ascii="宋体" w:hAnsi="宋体" w:cs="宋体" w:eastAsia="宋体" w:hint="default"/>
        </w:rPr>
        <w:t>284,525,220</w:t>
      </w:r>
      <w:r>
        <w:rPr>
          <w:rFonts w:ascii="宋体" w:hAnsi="宋体" w:cs="宋体" w:eastAsia="宋体" w:hint="default"/>
          <w:spacing w:val="-60"/>
        </w:rPr>
        <w:t> </w:t>
      </w:r>
      <w:r>
        <w:rPr/>
        <w:t>股变更为</w:t>
      </w:r>
      <w:r>
        <w:rPr>
          <w:spacing w:val="-60"/>
        </w:rPr>
        <w:t> </w:t>
      </w:r>
      <w:r>
        <w:rPr>
          <w:rFonts w:ascii="宋体" w:hAnsi="宋体" w:cs="宋体" w:eastAsia="宋体" w:hint="default"/>
        </w:rPr>
        <w:t>711,654,081</w:t>
      </w:r>
      <w:r>
        <w:rPr>
          <w:rFonts w:ascii="宋体" w:hAnsi="宋体" w:cs="宋体" w:eastAsia="宋体" w:hint="default"/>
          <w:spacing w:val="-60"/>
        </w:rPr>
        <w:t> </w:t>
      </w:r>
      <w:r>
        <w:rPr/>
        <w:t>股。 根据中国证监会《关于核准中文在线数字出版集团股份有限公司向朱明等发行股份购买</w:t>
      </w:r>
    </w:p>
    <w:p>
      <w:pPr>
        <w:pStyle w:val="BodyText"/>
        <w:spacing w:line="274" w:lineRule="exact"/>
        <w:ind w:right="0"/>
        <w:jc w:val="both"/>
      </w:pPr>
      <w:r>
        <w:rPr/>
        <w:t>资产的批复</w:t>
      </w:r>
      <w:r>
        <w:rPr>
          <w:spacing w:val="-126"/>
        </w:rPr>
        <w:t>》</w:t>
      </w:r>
      <w:r>
        <w:rPr/>
        <w:t>（证监许</w:t>
      </w:r>
      <w:r>
        <w:rPr>
          <w:spacing w:val="-6"/>
        </w:rPr>
        <w:t>可</w:t>
      </w:r>
      <w:r>
        <w:rPr/>
        <w:t>【</w:t>
      </w:r>
      <w:r>
        <w:rPr>
          <w:rFonts w:ascii="宋体" w:hAnsi="宋体" w:cs="宋体" w:eastAsia="宋体" w:hint="default"/>
        </w:rPr>
        <w:t>2018</w:t>
      </w:r>
      <w:r>
        <w:rPr>
          <w:spacing w:val="-5"/>
        </w:rPr>
        <w:t>】</w:t>
      </w:r>
      <w:r>
        <w:rPr>
          <w:rFonts w:ascii="宋体" w:hAnsi="宋体" w:cs="宋体" w:eastAsia="宋体" w:hint="default"/>
        </w:rPr>
        <w:t>220</w:t>
      </w:r>
      <w:r>
        <w:rPr>
          <w:rFonts w:ascii="宋体" w:hAnsi="宋体" w:cs="宋体" w:eastAsia="宋体" w:hint="default"/>
          <w:spacing w:val="-60"/>
        </w:rPr>
        <w:t> </w:t>
      </w:r>
      <w:r>
        <w:rPr/>
        <w:t>号</w:t>
      </w:r>
      <w:r>
        <w:rPr>
          <w:spacing w:val="-120"/>
        </w:rPr>
        <w:t>）</w:t>
      </w:r>
      <w:r>
        <w:rPr>
          <w:spacing w:val="-6"/>
        </w:rPr>
        <w:t>，</w:t>
      </w:r>
      <w:r>
        <w:rPr/>
        <w:t>公司于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月完成了本次发行股份及支付现</w:t>
      </w:r>
    </w:p>
    <w:p>
      <w:pPr>
        <w:pStyle w:val="BodyText"/>
        <w:spacing w:line="240" w:lineRule="auto" w:before="154"/>
        <w:ind w:right="0"/>
        <w:jc w:val="both"/>
      </w:pPr>
      <w:r>
        <w:rPr/>
        <w:t>金购买资产暨关联交易事项，本次新增股份数量为</w:t>
      </w:r>
      <w:r>
        <w:rPr>
          <w:spacing w:val="-54"/>
        </w:rPr>
        <w:t> </w:t>
      </w:r>
      <w:r>
        <w:rPr>
          <w:rFonts w:ascii="宋体" w:hAnsi="宋体" w:cs="宋体" w:eastAsia="宋体" w:hint="default"/>
        </w:rPr>
        <w:t>64,020,004</w:t>
      </w:r>
      <w:r>
        <w:rPr>
          <w:rFonts w:ascii="宋体" w:hAnsi="宋体" w:cs="宋体" w:eastAsia="宋体" w:hint="default"/>
          <w:spacing w:val="-54"/>
        </w:rPr>
        <w:t> </w:t>
      </w:r>
      <w:r>
        <w:rPr/>
        <w:t>股，上市日期为</w:t>
      </w:r>
      <w:r>
        <w:rPr>
          <w:spacing w:val="-54"/>
        </w:rPr>
        <w:t> </w:t>
      </w:r>
      <w:r>
        <w:rPr>
          <w:rFonts w:ascii="宋体" w:hAnsi="宋体" w:cs="宋体" w:eastAsia="宋体" w:hint="default"/>
        </w:rPr>
        <w:t>2018</w:t>
      </w:r>
      <w:r>
        <w:rPr>
          <w:rFonts w:ascii="宋体" w:hAnsi="宋体" w:cs="宋体" w:eastAsia="宋体" w:hint="default"/>
          <w:spacing w:val="-54"/>
        </w:rPr>
        <w:t> </w:t>
      </w:r>
      <w:r>
        <w:rPr/>
        <w:t>年</w:t>
      </w:r>
      <w:r>
        <w:rPr>
          <w:spacing w:val="-53"/>
        </w:rPr>
        <w:t> </w:t>
      </w:r>
      <w:r>
        <w:rPr>
          <w:rFonts w:ascii="宋体" w:hAnsi="宋体" w:cs="宋体" w:eastAsia="宋体" w:hint="default"/>
        </w:rPr>
        <w:t>3</w:t>
      </w:r>
      <w:r>
        <w:rPr>
          <w:rFonts w:ascii="宋体" w:hAnsi="宋体" w:cs="宋体" w:eastAsia="宋体" w:hint="default"/>
          <w:spacing w:val="-54"/>
        </w:rPr>
        <w:t> </w:t>
      </w:r>
      <w:r>
        <w:rPr/>
        <w:t>月</w:t>
      </w:r>
    </w:p>
    <w:p>
      <w:pPr>
        <w:spacing w:after="0" w:line="240"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left="214" w:right="1120"/>
        <w:jc w:val="left"/>
      </w:pPr>
      <w:r>
        <w:rPr>
          <w:rFonts w:ascii="宋体" w:hAnsi="宋体" w:cs="宋体" w:eastAsia="宋体" w:hint="default"/>
        </w:rPr>
        <w:t>29</w:t>
      </w:r>
      <w:r>
        <w:rPr>
          <w:rFonts w:ascii="宋体" w:hAnsi="宋体" w:cs="宋体" w:eastAsia="宋体" w:hint="default"/>
          <w:spacing w:val="-60"/>
        </w:rPr>
        <w:t> </w:t>
      </w:r>
      <w:r>
        <w:rPr/>
        <w:t>日。本公司总股本由</w:t>
      </w:r>
      <w:r>
        <w:rPr>
          <w:spacing w:val="-60"/>
        </w:rPr>
        <w:t> </w:t>
      </w:r>
      <w:r>
        <w:rPr>
          <w:rFonts w:ascii="宋体" w:hAnsi="宋体" w:cs="宋体" w:eastAsia="宋体" w:hint="default"/>
        </w:rPr>
        <w:t>711,654,081</w:t>
      </w:r>
      <w:r>
        <w:rPr>
          <w:rFonts w:ascii="宋体" w:hAnsi="宋体" w:cs="宋体" w:eastAsia="宋体" w:hint="default"/>
          <w:spacing w:val="-60"/>
        </w:rPr>
        <w:t> </w:t>
      </w:r>
      <w:r>
        <w:rPr/>
        <w:t>股变更为</w:t>
      </w:r>
      <w:r>
        <w:rPr>
          <w:spacing w:val="-60"/>
        </w:rPr>
        <w:t> </w:t>
      </w:r>
      <w:r>
        <w:rPr>
          <w:rFonts w:ascii="宋体" w:hAnsi="宋体" w:cs="宋体" w:eastAsia="宋体" w:hint="default"/>
        </w:rPr>
        <w:t>775,674,085</w:t>
      </w:r>
      <w:r>
        <w:rPr>
          <w:rFonts w:ascii="宋体" w:hAnsi="宋体" w:cs="宋体" w:eastAsia="宋体" w:hint="default"/>
          <w:spacing w:val="-60"/>
        </w:rPr>
        <w:t> </w:t>
      </w:r>
      <w:r>
        <w:rPr/>
        <w:t>股。</w:t>
      </w:r>
    </w:p>
    <w:p>
      <w:pPr>
        <w:spacing w:line="240" w:lineRule="auto" w:before="4"/>
        <w:rPr>
          <w:rFonts w:ascii="宋体" w:hAnsi="宋体" w:cs="宋体" w:eastAsia="宋体" w:hint="default"/>
          <w:sz w:val="19"/>
          <w:szCs w:val="19"/>
        </w:rPr>
      </w:pPr>
    </w:p>
    <w:p>
      <w:pPr>
        <w:pStyle w:val="BodyText"/>
        <w:spacing w:line="357" w:lineRule="auto"/>
        <w:ind w:left="214" w:right="1131" w:firstLine="480"/>
        <w:jc w:val="both"/>
      </w:pPr>
      <w:r>
        <w:rPr>
          <w:rFonts w:ascii="宋体" w:hAnsi="宋体" w:cs="宋体" w:eastAsia="宋体" w:hint="default"/>
        </w:rPr>
        <w:t>2018</w:t>
      </w:r>
      <w:r>
        <w:rPr>
          <w:rFonts w:ascii="宋体" w:hAnsi="宋体" w:cs="宋体" w:eastAsia="宋体" w:hint="default"/>
          <w:spacing w:val="-41"/>
        </w:rPr>
        <w:t> </w:t>
      </w:r>
      <w:r>
        <w:rPr/>
        <w:t>年</w:t>
      </w:r>
      <w:r>
        <w:rPr>
          <w:spacing w:val="-41"/>
        </w:rPr>
        <w:t> </w:t>
      </w:r>
      <w:r>
        <w:rPr>
          <w:rFonts w:ascii="宋体" w:hAnsi="宋体" w:cs="宋体" w:eastAsia="宋体" w:hint="default"/>
        </w:rPr>
        <w:t>9</w:t>
      </w:r>
      <w:r>
        <w:rPr>
          <w:rFonts w:ascii="宋体" w:hAnsi="宋体" w:cs="宋体" w:eastAsia="宋体" w:hint="default"/>
          <w:spacing w:val="-40"/>
        </w:rPr>
        <w:t> </w:t>
      </w:r>
      <w:r>
        <w:rPr/>
        <w:t>月</w:t>
      </w:r>
      <w:r>
        <w:rPr>
          <w:spacing w:val="-41"/>
        </w:rPr>
        <w:t> </w:t>
      </w:r>
      <w:r>
        <w:rPr>
          <w:rFonts w:ascii="宋体" w:hAnsi="宋体" w:cs="宋体" w:eastAsia="宋体" w:hint="default"/>
        </w:rPr>
        <w:t>25</w:t>
      </w:r>
      <w:r>
        <w:rPr>
          <w:rFonts w:ascii="宋体" w:hAnsi="宋体" w:cs="宋体" w:eastAsia="宋体" w:hint="default"/>
          <w:spacing w:val="-41"/>
        </w:rPr>
        <w:t> </w:t>
      </w:r>
      <w:r>
        <w:rPr/>
        <w:t>日，本公司于披露了《关于已授予但尚未解锁的限制性股票回购注销完 </w:t>
      </w:r>
      <w:r>
        <w:rPr>
          <w:spacing w:val="-6"/>
        </w:rPr>
        <w:t>成的公告》（公告编号：</w:t>
      </w:r>
      <w:r>
        <w:rPr>
          <w:rFonts w:ascii="宋体" w:hAnsi="宋体" w:cs="宋体" w:eastAsia="宋体" w:hint="default"/>
          <w:spacing w:val="-6"/>
        </w:rPr>
        <w:t>2018-089</w:t>
      </w:r>
      <w:r>
        <w:rPr>
          <w:spacing w:val="-6"/>
        </w:rPr>
        <w:t>），公司第三期股票期权与限制性股票激励计划本次回购注</w:t>
      </w:r>
      <w:r>
        <w:rPr>
          <w:spacing w:val="-85"/>
        </w:rPr>
        <w:t> </w:t>
      </w:r>
      <w:r>
        <w:rPr>
          <w:spacing w:val="-85"/>
        </w:rPr>
      </w:r>
      <w:r>
        <w:rPr/>
        <w:t>销的限制性股票数量为</w:t>
      </w:r>
      <w:r>
        <w:rPr>
          <w:spacing w:val="-41"/>
        </w:rPr>
        <w:t> </w:t>
      </w:r>
      <w:r>
        <w:rPr>
          <w:rFonts w:ascii="宋体" w:hAnsi="宋体" w:cs="宋体" w:eastAsia="宋体" w:hint="default"/>
        </w:rPr>
        <w:t>3,675,835</w:t>
      </w:r>
      <w:r>
        <w:rPr>
          <w:rFonts w:ascii="宋体" w:hAnsi="宋体" w:cs="宋体" w:eastAsia="宋体" w:hint="default"/>
          <w:spacing w:val="-41"/>
        </w:rPr>
        <w:t> </w:t>
      </w:r>
      <w:r>
        <w:rPr/>
        <w:t>股。本公司总股本由</w:t>
      </w:r>
      <w:r>
        <w:rPr>
          <w:spacing w:val="-41"/>
        </w:rPr>
        <w:t> </w:t>
      </w:r>
      <w:r>
        <w:rPr>
          <w:rFonts w:ascii="宋体" w:hAnsi="宋体" w:cs="宋体" w:eastAsia="宋体" w:hint="default"/>
        </w:rPr>
        <w:t>775,674,085</w:t>
      </w:r>
      <w:r>
        <w:rPr>
          <w:rFonts w:ascii="宋体" w:hAnsi="宋体" w:cs="宋体" w:eastAsia="宋体" w:hint="default"/>
          <w:spacing w:val="-41"/>
        </w:rPr>
        <w:t> </w:t>
      </w:r>
      <w:r>
        <w:rPr/>
        <w:t>股变更为</w:t>
      </w:r>
      <w:r>
        <w:rPr>
          <w:spacing w:val="-41"/>
        </w:rPr>
        <w:t> </w:t>
      </w:r>
      <w:r>
        <w:rPr>
          <w:rFonts w:ascii="宋体" w:hAnsi="宋体" w:cs="宋体" w:eastAsia="宋体" w:hint="default"/>
        </w:rPr>
        <w:t>771,998,250 </w:t>
      </w:r>
      <w:r>
        <w:rPr/>
        <w:t>股。</w:t>
      </w:r>
    </w:p>
    <w:p>
      <w:pPr>
        <w:pStyle w:val="BodyText"/>
        <w:spacing w:line="240" w:lineRule="auto" w:before="137"/>
        <w:ind w:left="694" w:right="1120"/>
        <w:jc w:val="left"/>
      </w:pPr>
      <w:r>
        <w:rPr/>
        <w:t>截至</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日，本公司股本及股权结构情况如下：</w:t>
      </w:r>
    </w:p>
    <w:p>
      <w:pPr>
        <w:spacing w:line="240" w:lineRule="auto" w:before="3"/>
        <w:rPr>
          <w:rFonts w:ascii="宋体" w:hAnsi="宋体" w:cs="宋体" w:eastAsia="宋体"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4861"/>
        <w:gridCol w:w="2498"/>
        <w:gridCol w:w="2497"/>
      </w:tblGrid>
      <w:tr>
        <w:trPr>
          <w:trHeight w:val="402" w:hRule="exact"/>
        </w:trPr>
        <w:tc>
          <w:tcPr>
            <w:tcW w:w="48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4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24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74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r>
      <w:tr>
        <w:trPr>
          <w:trHeight w:val="322" w:hRule="exact"/>
        </w:trPr>
        <w:tc>
          <w:tcPr>
            <w:tcW w:w="4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限售条件股份</w:t>
            </w:r>
          </w:p>
        </w:tc>
        <w:tc>
          <w:tcPr>
            <w:tcW w:w="2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235,405,706.00</w:t>
            </w: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30.49</w:t>
            </w:r>
          </w:p>
        </w:tc>
      </w:tr>
      <w:tr>
        <w:trPr>
          <w:trHeight w:val="323" w:hRule="exact"/>
        </w:trPr>
        <w:tc>
          <w:tcPr>
            <w:tcW w:w="4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无限售条件股份</w:t>
            </w:r>
          </w:p>
        </w:tc>
        <w:tc>
          <w:tcPr>
            <w:tcW w:w="2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536,592,544.00</w:t>
            </w: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69.51</w:t>
            </w:r>
          </w:p>
        </w:tc>
      </w:tr>
      <w:tr>
        <w:trPr>
          <w:trHeight w:val="322" w:hRule="exact"/>
        </w:trPr>
        <w:tc>
          <w:tcPr>
            <w:tcW w:w="4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771,998,250.00</w:t>
            </w: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w:t>
            </w:r>
          </w:p>
        </w:tc>
      </w:tr>
    </w:tbl>
    <w:p>
      <w:pPr>
        <w:spacing w:line="240" w:lineRule="auto" w:before="10"/>
        <w:rPr>
          <w:rFonts w:ascii="宋体" w:hAnsi="宋体" w:cs="宋体" w:eastAsia="宋体" w:hint="default"/>
          <w:sz w:val="8"/>
          <w:szCs w:val="8"/>
        </w:rPr>
      </w:pPr>
    </w:p>
    <w:p>
      <w:pPr>
        <w:pStyle w:val="BodyText"/>
        <w:spacing w:line="357" w:lineRule="auto" w:before="26"/>
        <w:ind w:left="214" w:right="1139" w:firstLine="480"/>
        <w:jc w:val="both"/>
      </w:pPr>
      <w:r>
        <w:rPr/>
        <w:t>本集团以出版机构、作家为正版数字内容来源，进行内容的聚合和管理，面向手机、手 持终端、互联网等出版媒体提供数字阅读产品；为数字出版和发行机构提供运营服务、游戏 发行运营服务；通过版权衍生产品等方式提供数字内容增值服务。</w:t>
      </w:r>
    </w:p>
    <w:p>
      <w:pPr>
        <w:pStyle w:val="BodyText"/>
        <w:spacing w:line="357" w:lineRule="auto" w:before="134"/>
        <w:ind w:left="214" w:right="994" w:firstLine="480"/>
        <w:jc w:val="left"/>
      </w:pPr>
      <w:r>
        <w:rPr/>
        <w:t>本公司设有股东大会、董事会、监事会，制定了相应的议事规程。本公司下设无线经营 事业部、</w:t>
      </w:r>
      <w:r>
        <w:rPr>
          <w:rFonts w:ascii="宋体" w:hAnsi="宋体" w:cs="宋体" w:eastAsia="宋体" w:hint="default"/>
        </w:rPr>
        <w:t>17K </w:t>
      </w:r>
      <w:r>
        <w:rPr/>
        <w:t>内容中心、互联网运营部、平台技术部、市场经营部、</w:t>
      </w:r>
      <w:r>
        <w:rPr>
          <w:rFonts w:ascii="宋体" w:hAnsi="宋体" w:cs="宋体" w:eastAsia="宋体" w:hint="default"/>
        </w:rPr>
        <w:t>IP</w:t>
      </w:r>
      <w:r>
        <w:rPr>
          <w:rFonts w:ascii="宋体" w:hAnsi="宋体" w:cs="宋体" w:eastAsia="宋体" w:hint="default"/>
          <w:spacing w:val="-82"/>
        </w:rPr>
        <w:t> </w:t>
      </w:r>
      <w:r>
        <w:rPr/>
        <w:t>版权经营事业部、游 戏发行事业部、</w:t>
      </w:r>
      <w:r>
        <w:rPr>
          <w:rFonts w:ascii="宋体" w:hAnsi="宋体" w:cs="宋体" w:eastAsia="宋体" w:hint="default"/>
        </w:rPr>
        <w:t>AVG</w:t>
      </w:r>
      <w:r>
        <w:rPr>
          <w:rFonts w:ascii="宋体" w:hAnsi="宋体" w:cs="宋体" w:eastAsia="宋体" w:hint="default"/>
          <w:spacing w:val="-82"/>
        </w:rPr>
        <w:t> </w:t>
      </w:r>
      <w:r>
        <w:rPr/>
        <w:t>创新事业部、音频创新事业部、政府与公共服务事业部、法律服务中心、 研发中心、财务中心、人力行政中心、证券投资部、品牌部、战略运营部、内控与审计部。</w:t>
      </w:r>
    </w:p>
    <w:p>
      <w:pPr>
        <w:pStyle w:val="BodyText"/>
        <w:spacing w:line="357" w:lineRule="auto" w:before="134"/>
        <w:ind w:left="214" w:right="1131" w:firstLine="480"/>
        <w:jc w:val="both"/>
      </w:pPr>
      <w:r>
        <w:rPr/>
        <w:t>本集团合并财务报表范围包括本公司及 </w:t>
      </w:r>
      <w:r>
        <w:rPr>
          <w:rFonts w:ascii="宋体" w:hAnsi="宋体" w:cs="宋体" w:eastAsia="宋体" w:hint="default"/>
        </w:rPr>
        <w:t>28</w:t>
      </w:r>
      <w:r>
        <w:rPr>
          <w:rFonts w:ascii="宋体" w:hAnsi="宋体" w:cs="宋体" w:eastAsia="宋体" w:hint="default"/>
          <w:spacing w:val="-81"/>
        </w:rPr>
        <w:t> </w:t>
      </w:r>
      <w:r>
        <w:rPr/>
        <w:t>家子公司</w:t>
      </w:r>
      <w:r>
        <w:rPr>
          <w:rFonts w:ascii="宋体" w:hAnsi="宋体" w:cs="宋体" w:eastAsia="宋体" w:hint="default"/>
        </w:rPr>
        <w:t>,</w:t>
      </w:r>
      <w:r>
        <w:rPr/>
        <w:t>与上年相比，本年因非同一控制下 </w:t>
      </w:r>
      <w:r>
        <w:rPr>
          <w:spacing w:val="-6"/>
        </w:rPr>
        <w:t>企业合并增加上海晨之科信息技术有限公司（以下简称“晨之科”），该主体包括上海乐纷数</w:t>
      </w:r>
      <w:r>
        <w:rPr>
          <w:spacing w:val="-112"/>
        </w:rPr>
        <w:t> </w:t>
      </w:r>
      <w:r>
        <w:rPr>
          <w:spacing w:val="-112"/>
        </w:rPr>
      </w:r>
      <w:r>
        <w:rPr/>
        <w:t>码科技有限公司、上海乐芝信息技术有限公司、霍尔果斯乐氪信息技术有限公司、晨之科亚 洲控股有限公司、多彩互娱有限公司、</w:t>
      </w:r>
      <w:r>
        <w:rPr>
          <w:rFonts w:ascii="宋体" w:hAnsi="宋体" w:cs="宋体" w:eastAsia="宋体" w:hint="default"/>
        </w:rPr>
        <w:t>MORNINGTEC JAPAN</w:t>
      </w:r>
      <w:r>
        <w:rPr>
          <w:rFonts w:ascii="宋体" w:hAnsi="宋体" w:cs="宋体" w:eastAsia="宋体" w:hint="default"/>
          <w:spacing w:val="29"/>
        </w:rPr>
        <w:t> </w:t>
      </w:r>
      <w:r>
        <w:rPr>
          <w:rFonts w:ascii="宋体" w:hAnsi="宋体" w:cs="宋体" w:eastAsia="宋体" w:hint="default"/>
        </w:rPr>
        <w:t>LIMITED</w:t>
      </w:r>
      <w:r>
        <w:rPr/>
        <w:t>、上海岚魔信息技术有限 公司等 </w:t>
      </w:r>
      <w:r>
        <w:rPr>
          <w:rFonts w:ascii="宋体" w:hAnsi="宋体" w:cs="宋体" w:eastAsia="宋体" w:hint="default"/>
        </w:rPr>
        <w:t>8</w:t>
      </w:r>
      <w:r>
        <w:rPr>
          <w:rFonts w:ascii="宋体" w:hAnsi="宋体" w:cs="宋体" w:eastAsia="宋体" w:hint="default"/>
          <w:spacing w:val="-82"/>
        </w:rPr>
        <w:t> </w:t>
      </w:r>
      <w:r>
        <w:rPr/>
        <w:t>家公司，与上年相比，晨之科本年因非同一控制下企业合并增加上海岚魔信息技术 有限公司，因新设成立增加晨之科（成都）信息技术有限公司，本年因注销减少上海晨郡信</w:t>
      </w:r>
      <w:r>
        <w:rPr>
          <w:spacing w:val="-113"/>
        </w:rPr>
        <w:t> </w:t>
      </w:r>
      <w:r>
        <w:rPr>
          <w:spacing w:val="-113"/>
        </w:rPr>
      </w:r>
      <w:r>
        <w:rPr/>
        <w:t>息技术有限公司；本集团本年因投资新设增加武汉慧读教育科技发展有限公司、天津中文光 之影文化传媒有限公司、上海光之影兄弟文化科技发展有限公司；本年已对北京中文万维科 技有限公司的部分股权进行了处置，已丧失控制权，包括其全资子公司霍尔果斯爱看书网信 息科技有限公司和霍尔果斯鸿鹭华阅文化传播有限公司在内均不再纳入合并范围；本年已处 </w:t>
      </w:r>
      <w:r>
        <w:rPr>
          <w:spacing w:val="-5"/>
        </w:rPr>
        <w:t>置子公司宁波梅山保税港区中昊嘉华股权投资合伙企业（有限合伙），包括其子公司宁波梅山</w:t>
      </w:r>
      <w:r>
        <w:rPr>
          <w:spacing w:val="-117"/>
        </w:rPr>
        <w:t> </w:t>
      </w:r>
      <w:r>
        <w:rPr>
          <w:spacing w:val="-117"/>
        </w:rPr>
      </w:r>
      <w:r>
        <w:rPr/>
        <w:t>保税港区新美嘉华股权投资有限公司均不再纳入合并范围。</w:t>
      </w:r>
    </w:p>
    <w:p>
      <w:pPr>
        <w:spacing w:after="0" w:line="357" w:lineRule="auto"/>
        <w:jc w:val="both"/>
        <w:sectPr>
          <w:pgSz w:w="11910" w:h="16840"/>
          <w:pgMar w:header="877" w:footer="979" w:top="1100" w:bottom="1160" w:left="920" w:right="0"/>
        </w:sectPr>
      </w:pPr>
    </w:p>
    <w:p>
      <w:pPr>
        <w:spacing w:line="240" w:lineRule="auto" w:before="9"/>
        <w:rPr>
          <w:rFonts w:ascii="宋体" w:hAnsi="宋体" w:cs="宋体" w:eastAsia="宋体" w:hint="default"/>
          <w:sz w:val="25"/>
          <w:szCs w:val="25"/>
        </w:rPr>
      </w:pPr>
    </w:p>
    <w:p>
      <w:pPr>
        <w:spacing w:line="525" w:lineRule="auto" w:before="26"/>
        <w:ind w:left="154" w:right="1152" w:firstLine="480"/>
        <w:jc w:val="left"/>
        <w:rPr>
          <w:rFonts w:ascii="宋体" w:hAnsi="宋体" w:cs="宋体" w:eastAsia="宋体" w:hint="default"/>
          <w:sz w:val="24"/>
          <w:szCs w:val="24"/>
        </w:rPr>
      </w:pPr>
      <w:r>
        <w:rPr>
          <w:rFonts w:ascii="宋体" w:hAnsi="宋体" w:cs="宋体" w:eastAsia="宋体" w:hint="default"/>
          <w:sz w:val="24"/>
          <w:szCs w:val="24"/>
        </w:rPr>
        <w:t>详见本附注“八、合并范围的变化”及本附注“九、在其他主体中的权益”相关内容。 </w:t>
      </w:r>
      <w:bookmarkStart w:name="四、财务报表的编制基础" w:id="168"/>
      <w:bookmarkEnd w:id="168"/>
      <w:r>
        <w:rPr>
          <w:rFonts w:ascii="宋体" w:hAnsi="宋体" w:cs="宋体" w:eastAsia="宋体" w:hint="default"/>
          <w:sz w:val="24"/>
          <w:szCs w:val="24"/>
        </w:rPr>
      </w:r>
      <w:r>
        <w:rPr>
          <w:rFonts w:ascii="宋体" w:hAnsi="宋体" w:cs="宋体" w:eastAsia="宋体" w:hint="default"/>
          <w:b/>
          <w:bCs/>
          <w:sz w:val="24"/>
          <w:szCs w:val="24"/>
        </w:rPr>
        <w:t>四、财务报表的编制基础</w:t>
      </w:r>
      <w:r>
        <w:rPr>
          <w:rFonts w:ascii="宋体" w:hAnsi="宋体" w:cs="宋体" w:eastAsia="宋体" w:hint="default"/>
          <w:sz w:val="24"/>
          <w:szCs w:val="24"/>
        </w:rPr>
      </w:r>
    </w:p>
    <w:p>
      <w:pPr>
        <w:spacing w:before="38"/>
        <w:ind w:left="154" w:right="1092" w:firstLine="0"/>
        <w:jc w:val="left"/>
        <w:rPr>
          <w:rFonts w:ascii="宋体" w:hAnsi="宋体" w:cs="宋体" w:eastAsia="宋体" w:hint="default"/>
          <w:sz w:val="21"/>
          <w:szCs w:val="21"/>
        </w:rPr>
      </w:pPr>
      <w:bookmarkStart w:name="1、编制基础" w:id="169"/>
      <w:bookmarkEnd w:id="169"/>
      <w:r>
        <w:rPr/>
      </w:r>
      <w:r>
        <w:rPr>
          <w:rFonts w:ascii="宋体" w:hAnsi="宋体" w:cs="宋体" w:eastAsia="宋体" w:hint="default"/>
          <w:b/>
          <w:bCs/>
          <w:sz w:val="21"/>
          <w:szCs w:val="21"/>
        </w:rPr>
        <w:t>1</w:t>
      </w:r>
      <w:r>
        <w:rPr>
          <w:rFonts w:ascii="宋体" w:hAnsi="宋体" w:cs="宋体" w:eastAsia="宋体" w:hint="default"/>
          <w:b/>
          <w:bCs/>
          <w:sz w:val="21"/>
          <w:szCs w:val="21"/>
        </w:rPr>
        <w:t>、编制基础</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3" w:firstLine="480"/>
        <w:jc w:val="both"/>
      </w:pPr>
      <w:r>
        <w:rPr>
          <w:spacing w:val="-6"/>
        </w:rPr>
        <w:t>本集团财务报表以持续经营为基础，根据实际发生的交易和事项，按照财政部颁布的《企</w:t>
      </w:r>
      <w:r>
        <w:rPr/>
        <w:t> 业会计准则》及相关规定，并基于本附注“五、重要会计政策及会计估计”所述会计政策和 会计估计编制。</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持续经营" w:id="170"/>
      <w:bookmarkEnd w:id="170"/>
      <w:r>
        <w:rPr/>
      </w:r>
      <w:r>
        <w:rPr>
          <w:rFonts w:ascii="宋体" w:hAnsi="宋体" w:cs="宋体" w:eastAsia="宋体" w:hint="default"/>
          <w:b/>
          <w:bCs/>
          <w:sz w:val="21"/>
          <w:szCs w:val="21"/>
        </w:rPr>
        <w:t>2</w:t>
      </w:r>
      <w:r>
        <w:rPr>
          <w:rFonts w:ascii="宋体" w:hAnsi="宋体" w:cs="宋体" w:eastAsia="宋体" w:hint="default"/>
          <w:b/>
          <w:bCs/>
          <w:sz w:val="21"/>
          <w:szCs w:val="21"/>
        </w:rPr>
        <w:t>、持续经营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1092" w:firstLine="480"/>
        <w:jc w:val="left"/>
      </w:pPr>
      <w:r>
        <w:rPr/>
        <w:t>本集团有近期获利经营的历史且有财务资源支持，以持续经营为基础编制财务报表是合 理的。</w:t>
      </w:r>
    </w:p>
    <w:p>
      <w:pPr>
        <w:spacing w:line="240" w:lineRule="auto" w:before="10"/>
        <w:rPr>
          <w:rFonts w:ascii="宋体" w:hAnsi="宋体" w:cs="宋体" w:eastAsia="宋体" w:hint="default"/>
          <w:sz w:val="19"/>
          <w:szCs w:val="19"/>
        </w:rPr>
      </w:pPr>
    </w:p>
    <w:p>
      <w:pPr>
        <w:spacing w:line="528" w:lineRule="auto" w:before="0"/>
        <w:ind w:left="634" w:right="6912" w:hanging="480"/>
        <w:jc w:val="left"/>
        <w:rPr>
          <w:rFonts w:ascii="宋体" w:hAnsi="宋体" w:cs="宋体" w:eastAsia="宋体" w:hint="default"/>
          <w:sz w:val="24"/>
          <w:szCs w:val="24"/>
        </w:rPr>
      </w:pPr>
      <w:bookmarkStart w:name="五、重要会计政策及会计估计" w:id="171"/>
      <w:bookmarkEnd w:id="171"/>
      <w:r>
        <w:rPr/>
      </w:r>
      <w:r>
        <w:rPr>
          <w:rFonts w:ascii="宋体" w:hAnsi="宋体" w:cs="宋体" w:eastAsia="宋体" w:hint="default"/>
          <w:b/>
          <w:bCs/>
          <w:sz w:val="24"/>
          <w:szCs w:val="24"/>
        </w:rPr>
        <w:t>五、重要会计政策及会计估计</w:t>
      </w:r>
      <w:r>
        <w:rPr>
          <w:rFonts w:ascii="宋体" w:hAnsi="宋体" w:cs="宋体" w:eastAsia="宋体" w:hint="default"/>
          <w:b/>
          <w:bCs/>
          <w:w w:val="99"/>
          <w:sz w:val="24"/>
          <w:szCs w:val="24"/>
        </w:rPr>
        <w:t> </w:t>
      </w:r>
      <w:r>
        <w:rPr>
          <w:rFonts w:ascii="宋体" w:hAnsi="宋体" w:cs="宋体" w:eastAsia="宋体" w:hint="default"/>
          <w:sz w:val="24"/>
          <w:szCs w:val="24"/>
        </w:rPr>
        <w:t>具体会计政策和会计估计提示：</w:t>
      </w:r>
    </w:p>
    <w:p>
      <w:pPr>
        <w:pStyle w:val="BodyText"/>
        <w:spacing w:line="280" w:lineRule="exact"/>
        <w:ind w:left="634" w:right="1092"/>
        <w:jc w:val="left"/>
      </w:pPr>
      <w:r>
        <w:rPr/>
        <w:t>本集团根据实际生产经营特点制定的具体会计政策和会计估计包括应收款项坏账准备的</w:t>
      </w:r>
    </w:p>
    <w:p>
      <w:pPr>
        <w:pStyle w:val="BodyText"/>
        <w:spacing w:line="240" w:lineRule="auto" w:before="155"/>
        <w:ind w:right="1092"/>
        <w:jc w:val="left"/>
      </w:pPr>
      <w:r>
        <w:rPr/>
        <w:t>确认和计量、固定资产分类及折旧方法、无形资产</w:t>
      </w:r>
      <w:r>
        <w:rPr>
          <w:rFonts w:ascii="宋体" w:hAnsi="宋体" w:cs="宋体" w:eastAsia="宋体" w:hint="default"/>
        </w:rPr>
        <w:t>-</w:t>
      </w:r>
      <w:r>
        <w:rPr/>
        <w:t>版权摊销方法、收入确认等。</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遵循企业会计准则的声明" w:id="172"/>
      <w:bookmarkEnd w:id="172"/>
      <w:r>
        <w:rPr/>
      </w:r>
      <w:r>
        <w:rPr>
          <w:rFonts w:ascii="宋体" w:hAnsi="宋体" w:cs="宋体" w:eastAsia="宋体" w:hint="default"/>
          <w:b/>
          <w:bCs/>
          <w:sz w:val="21"/>
          <w:szCs w:val="21"/>
        </w:rPr>
        <w:t>1</w:t>
      </w:r>
      <w:r>
        <w:rPr>
          <w:rFonts w:ascii="宋体" w:hAnsi="宋体" w:cs="宋体" w:eastAsia="宋体" w:hint="default"/>
          <w:b/>
          <w:bCs/>
          <w:sz w:val="21"/>
          <w:szCs w:val="21"/>
        </w:rPr>
        <w:t>、遵循企业会计准则的声明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999" w:firstLine="480"/>
        <w:jc w:val="left"/>
      </w:pPr>
      <w:r>
        <w:rPr>
          <w:spacing w:val="-3"/>
        </w:rPr>
        <w:t>本集团编制的财务报表符合企业会计准则的要求，真实完整地反映了本集团的财务状况、</w:t>
      </w:r>
      <w:r>
        <w:rPr/>
        <w:t> 经营成果和现金流量等有关信息。</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会计期间" w:id="173"/>
      <w:bookmarkEnd w:id="173"/>
      <w:r>
        <w:rPr/>
      </w:r>
      <w:r>
        <w:rPr>
          <w:rFonts w:ascii="宋体" w:hAnsi="宋体" w:cs="宋体" w:eastAsia="宋体"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本集团的会计期间为公历</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t>日至</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营业周期" w:id="174"/>
      <w:bookmarkEnd w:id="174"/>
      <w:r>
        <w:rPr/>
      </w:r>
      <w:r>
        <w:rPr>
          <w:rFonts w:ascii="宋体" w:hAnsi="宋体" w:cs="宋体" w:eastAsia="宋体"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本集团以</w:t>
      </w:r>
      <w:r>
        <w:rPr>
          <w:spacing w:val="-60"/>
        </w:rPr>
        <w:t> </w:t>
      </w:r>
      <w:r>
        <w:rPr>
          <w:rFonts w:ascii="宋体" w:hAnsi="宋体" w:cs="宋体" w:eastAsia="宋体" w:hint="default"/>
        </w:rPr>
        <w:t>12</w:t>
      </w:r>
      <w:r>
        <w:rPr>
          <w:rFonts w:ascii="宋体" w:hAnsi="宋体" w:cs="宋体" w:eastAsia="宋体" w:hint="default"/>
          <w:spacing w:val="-60"/>
        </w:rPr>
        <w:t> </w:t>
      </w:r>
      <w:r>
        <w:rPr/>
        <w:t>个月作为一个营业周期。</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记账本位币" w:id="175"/>
      <w:bookmarkEnd w:id="175"/>
      <w:r>
        <w:rPr/>
      </w:r>
      <w:r>
        <w:rPr>
          <w:rFonts w:ascii="宋体" w:hAnsi="宋体" w:cs="宋体" w:eastAsia="宋体"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本集团以人民币为记账本位币。</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5、同一控制下和非同一控制下企业合并的会计处理方法" w:id="176"/>
      <w:bookmarkEnd w:id="176"/>
      <w:r>
        <w:rPr/>
      </w:r>
      <w:r>
        <w:rPr>
          <w:rFonts w:ascii="宋体" w:hAnsi="宋体" w:cs="宋体" w:eastAsia="宋体" w:hint="default"/>
          <w:b/>
          <w:bCs/>
          <w:sz w:val="21"/>
          <w:szCs w:val="21"/>
        </w:rPr>
        <w:t>5</w:t>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1135" w:firstLine="480"/>
        <w:jc w:val="both"/>
      </w:pPr>
      <w:r>
        <w:rPr/>
        <w:t>本集团作为合并方，在同一控制下企业合并中取得的资产和负债，在合并日按被合并方 在最终控制方合并报表中的账面价值计量。取得的净资产账面价值与支付的合并对价账面价</w:t>
      </w:r>
      <w:r>
        <w:rPr>
          <w:spacing w:val="-115"/>
        </w:rPr>
        <w:t> </w:t>
      </w:r>
      <w:r>
        <w:rPr>
          <w:spacing w:val="-115"/>
        </w:rPr>
      </w:r>
      <w:r>
        <w:rPr/>
        <w:t>值的差额，调整资本公积；资本公积不足冲减的，调整留存收益。</w:t>
      </w:r>
    </w:p>
    <w:p>
      <w:pPr>
        <w:pStyle w:val="BodyText"/>
        <w:spacing w:line="357" w:lineRule="auto" w:before="134"/>
        <w:ind w:right="1035" w:firstLine="480"/>
        <w:jc w:val="left"/>
      </w:pPr>
      <w:r>
        <w:rPr/>
        <w:t>在非同一控制下企业合并中取得的被购买方可辨认资产、负债及或有负债在收购日以公 允价值计量。合并成本为本集团在购买日为取得对被购买方的控制权而支付的现金或非现金 资产、发行或承担的负债、发行的权益性证券等的公允价值以及在企业合并中发生的各项直 接相关费用之和（通过多次交易分步实现的企业合并，其合并成本为每一单项交易的成本之 </w:t>
      </w:r>
      <w:r>
        <w:rPr>
          <w:spacing w:val="-3"/>
        </w:rPr>
        <w:t>和）。合并成本大于合并中取得的被购买方可辨认净资产公允价值份额的差额，确认为商誉；</w:t>
      </w:r>
      <w:r>
        <w:rPr>
          <w:spacing w:val="-117"/>
        </w:rPr>
        <w:t> </w:t>
      </w:r>
      <w:r>
        <w:rPr>
          <w:spacing w:val="-117"/>
        </w:rPr>
      </w:r>
      <w:r>
        <w:rPr/>
        <w:t>合并成本小于合并中取得的被购买方可辨认净资产公允价值份额的，首先对合并中取得的各</w:t>
      </w:r>
      <w:r>
        <w:rPr>
          <w:spacing w:val="-116"/>
        </w:rPr>
        <w:t> </w:t>
      </w:r>
      <w:r>
        <w:rPr>
          <w:spacing w:val="-116"/>
        </w:rPr>
      </w:r>
      <w:r>
        <w:rPr/>
        <w:t>项可辨认资产、负债及或有负债的公允价值、以及合并对价的非现金资产或发行的权益性证 券等的公允价值进行复核，经复核后，合并成本仍小于合并中取得的被购买方可辨认净资产 公允价值份额的，将其差额计入合并当期营业外收入。</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6、合并财务报表的编制方法" w:id="177"/>
      <w:bookmarkEnd w:id="177"/>
      <w:r>
        <w:rPr/>
      </w:r>
      <w:r>
        <w:rPr>
          <w:rFonts w:ascii="宋体" w:hAnsi="宋体" w:cs="宋体" w:eastAsia="宋体" w:hint="default"/>
          <w:b/>
          <w:bCs/>
          <w:sz w:val="21"/>
          <w:szCs w:val="21"/>
        </w:rPr>
        <w:t>6</w:t>
      </w:r>
      <w:r>
        <w:rPr>
          <w:rFonts w:ascii="宋体" w:hAnsi="宋体" w:cs="宋体" w:eastAsia="宋体" w:hint="default"/>
          <w:b/>
          <w:bCs/>
          <w:sz w:val="21"/>
          <w:szCs w:val="21"/>
        </w:rPr>
        <w:t>、合并财务报表的编制方法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2"/>
        <w:ind w:left="634" w:right="1092"/>
        <w:jc w:val="left"/>
      </w:pPr>
      <w:r>
        <w:rPr/>
        <w:t>本集团将所有控制的子公司纳入合并财务报表范围。 在编制合并财务报表时，子公司与本公司采用的会计政策或会计期间不一致的，按照本</w:t>
      </w:r>
    </w:p>
    <w:p>
      <w:pPr>
        <w:pStyle w:val="BodyText"/>
        <w:spacing w:line="275" w:lineRule="exact"/>
        <w:ind w:right="1092"/>
        <w:jc w:val="left"/>
      </w:pPr>
      <w:r>
        <w:rPr/>
        <w:t>公司的会计政策或会计期间对子公司财务报表进行必要的调整。</w:t>
      </w:r>
    </w:p>
    <w:p>
      <w:pPr>
        <w:spacing w:line="240" w:lineRule="auto" w:before="4"/>
        <w:rPr>
          <w:rFonts w:ascii="宋体" w:hAnsi="宋体" w:cs="宋体" w:eastAsia="宋体" w:hint="default"/>
          <w:sz w:val="19"/>
          <w:szCs w:val="19"/>
        </w:rPr>
      </w:pPr>
    </w:p>
    <w:p>
      <w:pPr>
        <w:pStyle w:val="BodyText"/>
        <w:spacing w:line="357" w:lineRule="auto"/>
        <w:ind w:right="1137" w:firstLine="480"/>
        <w:jc w:val="both"/>
      </w:pPr>
      <w:r>
        <w:rPr/>
        <w:t>合并范围内的所有重大内部交易、往来余额及未实现利润在合并报表编制时予以抵销。 子公司的所有者权益中不属于母公司的份额以及当期净损益、其他综合收益及综合收益总额 中属于少数股东权益的份额，分别在合并财务报表“少数股东权益、少数股东损益、归属于 少数股东的其他综合收益及归属于少数股东的综合收益总额”项目列示。</w:t>
      </w:r>
    </w:p>
    <w:p>
      <w:pPr>
        <w:pStyle w:val="BodyText"/>
        <w:spacing w:line="357" w:lineRule="auto" w:before="134"/>
        <w:ind w:right="1139" w:firstLine="480"/>
        <w:jc w:val="both"/>
      </w:pPr>
      <w:r>
        <w:rPr/>
        <w:t>对于同一控制下企业合并取得的子公司，其经营成果和现金流量自合并当期期初纳入合 并财务报表。编制比较合并财务报表时，对上年财务报表的相关项目进行调整，视同合并后 形成的报告主体自最终控制方开始控制时点起一直存在。</w:t>
      </w:r>
    </w:p>
    <w:p>
      <w:pPr>
        <w:pStyle w:val="BodyText"/>
        <w:spacing w:line="357" w:lineRule="auto" w:before="136"/>
        <w:ind w:right="1137" w:firstLine="480"/>
        <w:jc w:val="both"/>
      </w:pPr>
      <w:r>
        <w:rPr/>
        <w:t>对于非同一控制下企业合并取得子公司，经营成果和现金流量自本集团取得控制权之日 起纳入合并财务报表。在编制合并财务报表时，以购买日确定的各项可辨认资产、负债及或 有负债的公允价值为基础对子公司的财务报表进行调整。</w:t>
      </w:r>
    </w:p>
    <w:p>
      <w:pPr>
        <w:spacing w:after="0" w:line="357"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999" w:firstLine="480"/>
        <w:jc w:val="left"/>
      </w:pPr>
      <w:r>
        <w:rPr>
          <w:spacing w:val="-3"/>
        </w:rPr>
        <w:t>本集团在不丧失控制权的情况下部分处置对子公司的长期股权投资，在合并财务报表中，</w:t>
      </w:r>
      <w:r>
        <w:rPr/>
        <w:t> 处置价款与处置长期股权投资相对应享有子公司自购买日或合并日开始持续计算的净资产份 额之间的差额，调整资本溢价或股本溢价，资本公积不足冲减的，调整留存收益。</w:t>
      </w:r>
    </w:p>
    <w:p>
      <w:pPr>
        <w:pStyle w:val="BodyText"/>
        <w:spacing w:line="357" w:lineRule="auto" w:before="135"/>
        <w:ind w:right="1137" w:firstLine="480"/>
        <w:jc w:val="both"/>
      </w:pPr>
      <w:r>
        <w:rPr/>
        <w:t>本集团因处置部分股权投资等原因丧失了对被投资方的控制权的，在编制合并财务报表 时，对于剩余股权，按照其在丧失控制权日的公允价值进行重新计量。处置股权取得的对价 与剩余股权公允价值之和，减去按原持股比例计算应享有原有子公司自购买日或合并日开始 持续计算的净资产的份额之间的差额，计入丧失控制权当期的投资损益，同时冲减商誉。与 原有子公司股权投资相关的其他综合收益等，在丧失控制权时转为当期投资损益。</w:t>
      </w:r>
    </w:p>
    <w:p>
      <w:pPr>
        <w:spacing w:line="240" w:lineRule="auto" w:before="7"/>
        <w:rPr>
          <w:rFonts w:ascii="宋体" w:hAnsi="宋体" w:cs="宋体" w:eastAsia="宋体" w:hint="default"/>
          <w:sz w:val="21"/>
          <w:szCs w:val="21"/>
        </w:rPr>
      </w:pPr>
    </w:p>
    <w:p>
      <w:pPr>
        <w:spacing w:before="0"/>
        <w:ind w:left="154" w:right="0" w:firstLine="0"/>
        <w:jc w:val="both"/>
        <w:rPr>
          <w:rFonts w:ascii="宋体" w:hAnsi="宋体" w:cs="宋体" w:eastAsia="宋体" w:hint="default"/>
          <w:sz w:val="21"/>
          <w:szCs w:val="21"/>
        </w:rPr>
      </w:pPr>
      <w:bookmarkStart w:name="7、合营安排分类及共同经营会计处理方法" w:id="178"/>
      <w:bookmarkEnd w:id="178"/>
      <w:r>
        <w:rPr/>
      </w:r>
      <w:r>
        <w:rPr>
          <w:rFonts w:ascii="宋体" w:hAnsi="宋体" w:cs="宋体" w:eastAsia="宋体" w:hint="default"/>
          <w:b/>
          <w:bCs/>
          <w:sz w:val="21"/>
          <w:szCs w:val="21"/>
        </w:rPr>
        <w:t>7</w:t>
      </w:r>
      <w:r>
        <w:rPr>
          <w:rFonts w:ascii="宋体" w:hAnsi="宋体" w:cs="宋体" w:eastAsia="宋体" w:hint="default"/>
          <w:b/>
          <w:bCs/>
          <w:sz w:val="21"/>
          <w:szCs w:val="21"/>
        </w:rPr>
        <w:t>、合营安排分类及共同经营会计处理方法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不适用</w:t>
      </w:r>
    </w:p>
    <w:p>
      <w:pPr>
        <w:spacing w:line="240" w:lineRule="auto" w:before="6"/>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8、现金及现金等价物的确定标准" w:id="179"/>
      <w:bookmarkEnd w:id="179"/>
      <w:r>
        <w:rPr/>
      </w:r>
      <w:r>
        <w:rPr>
          <w:rFonts w:ascii="宋体" w:hAnsi="宋体" w:cs="宋体" w:eastAsia="宋体"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0" w:firstLine="480"/>
        <w:jc w:val="both"/>
      </w:pPr>
      <w:r>
        <w:rPr/>
        <w:t>本集团现金流量表之现金指库存现金以及可以随时用于支付的存款。现金流量表之现金 等价物指持有期限不超过 </w:t>
      </w:r>
      <w:r>
        <w:rPr>
          <w:rFonts w:ascii="宋体" w:hAnsi="宋体" w:cs="宋体" w:eastAsia="宋体" w:hint="default"/>
        </w:rPr>
        <w:t>3</w:t>
      </w:r>
      <w:r>
        <w:rPr>
          <w:rFonts w:ascii="宋体" w:hAnsi="宋体" w:cs="宋体" w:eastAsia="宋体" w:hint="default"/>
          <w:spacing w:val="-82"/>
        </w:rPr>
        <w:t> </w:t>
      </w:r>
      <w:r>
        <w:rPr/>
        <w:t>个月、流动性强、易于转换为已知金额现金且价值变动风险很小 的投资。</w:t>
      </w:r>
    </w:p>
    <w:p>
      <w:pPr>
        <w:spacing w:line="240" w:lineRule="auto" w:before="7"/>
        <w:rPr>
          <w:rFonts w:ascii="宋体" w:hAnsi="宋体" w:cs="宋体" w:eastAsia="宋体" w:hint="default"/>
          <w:sz w:val="21"/>
          <w:szCs w:val="21"/>
        </w:rPr>
      </w:pPr>
    </w:p>
    <w:p>
      <w:pPr>
        <w:spacing w:before="0"/>
        <w:ind w:left="154" w:right="0" w:firstLine="0"/>
        <w:jc w:val="both"/>
        <w:rPr>
          <w:rFonts w:ascii="宋体" w:hAnsi="宋体" w:cs="宋体" w:eastAsia="宋体" w:hint="default"/>
          <w:sz w:val="21"/>
          <w:szCs w:val="21"/>
        </w:rPr>
      </w:pPr>
      <w:bookmarkStart w:name="9、外币业务和外币报表折算" w:id="180"/>
      <w:bookmarkEnd w:id="180"/>
      <w:r>
        <w:rPr/>
      </w:r>
      <w:r>
        <w:rPr>
          <w:rFonts w:ascii="宋体" w:hAnsi="宋体" w:cs="宋体" w:eastAsia="宋体" w:hint="default"/>
          <w:b/>
          <w:bCs/>
          <w:sz w:val="21"/>
          <w:szCs w:val="21"/>
        </w:rPr>
        <w:t>9</w:t>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2" w:lineRule="auto" w:before="133"/>
        <w:ind w:left="634" w:right="1092"/>
        <w:jc w:val="left"/>
      </w:pPr>
      <w:r>
        <w:rPr>
          <w:rFonts w:ascii="宋体" w:hAnsi="宋体" w:cs="宋体" w:eastAsia="宋体" w:hint="default"/>
        </w:rPr>
        <w:t>1</w:t>
      </w:r>
      <w:r>
        <w:rPr/>
        <w:t>）外币交易 本集团外币交易按交易发生日的即期汇率将外币金额折算为人民币金额。于资产负债表</w:t>
      </w:r>
    </w:p>
    <w:p>
      <w:pPr>
        <w:pStyle w:val="BodyText"/>
        <w:spacing w:line="276" w:lineRule="exact"/>
        <w:ind w:right="0"/>
        <w:jc w:val="both"/>
      </w:pPr>
      <w:r>
        <w:rPr/>
        <w:t>日，外币货币性项目采用资产负债表日的即期汇率折算为人民币，所产生的折算差额除了为</w:t>
      </w:r>
    </w:p>
    <w:p>
      <w:pPr>
        <w:pStyle w:val="BodyText"/>
        <w:spacing w:line="357" w:lineRule="auto" w:before="154"/>
        <w:ind w:right="1139"/>
        <w:jc w:val="both"/>
      </w:pPr>
      <w:r>
        <w:rPr/>
        <w:t>购建或生产符合资本化条件的资产而借入的外币专门借款产生的汇兑差额按资本化的原则处 理外，直接计入当期损益。以公允价值计量的外币非货币性项目，采用公允价值确定日的即 期汇率折算为人民币，所产生的折算差额，作为公允价值变动直接计入当期损益。以历史成 本计量的外币非货币性项目，仍采用交易发生日的即期汇率折算，不改变其人民币金额。</w:t>
      </w:r>
    </w:p>
    <w:p>
      <w:pPr>
        <w:pStyle w:val="BodyText"/>
        <w:spacing w:line="432" w:lineRule="auto" w:before="136"/>
        <w:ind w:left="634" w:right="1092"/>
        <w:jc w:val="left"/>
      </w:pPr>
      <w:r>
        <w:rPr>
          <w:rFonts w:ascii="宋体" w:hAnsi="宋体" w:cs="宋体" w:eastAsia="宋体" w:hint="default"/>
        </w:rPr>
        <w:t>2</w:t>
      </w:r>
      <w:r>
        <w:rPr/>
        <w:t>）外币财务报表的折算 外币资产负债表中资产、负债类项目采用资产负债表日的即期汇率折算；所有者权益类</w:t>
      </w:r>
    </w:p>
    <w:p>
      <w:pPr>
        <w:pStyle w:val="BodyText"/>
        <w:spacing w:line="276" w:lineRule="exact"/>
        <w:ind w:right="0"/>
        <w:jc w:val="both"/>
      </w:pPr>
      <w:r>
        <w:rPr/>
        <w:t>项目除“未分配利润”外，均按业务发生时的即期汇率折算；利润表中的收入与费用项目，</w:t>
      </w:r>
    </w:p>
    <w:p>
      <w:pPr>
        <w:pStyle w:val="BodyText"/>
        <w:spacing w:line="240" w:lineRule="auto" w:before="154"/>
        <w:ind w:right="0"/>
        <w:jc w:val="both"/>
      </w:pPr>
      <w:r>
        <w:rPr/>
        <w:t>采用按照系统合理的方法确定的、与交易发生日即期汇率近似的汇率折算。上述折算产生的</w:t>
      </w:r>
    </w:p>
    <w:p>
      <w:pPr>
        <w:spacing w:after="0" w:line="240"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9"/>
        <w:jc w:val="both"/>
      </w:pPr>
      <w:r>
        <w:rPr/>
        <w:t>外币报表折算差额，在所有者权益项目下单独列示。外币现金流量采用按照系统合理的方法 确定的、与现金流量发生日的即期汇率近似的汇率折算。汇率变动对现金的影响额，在现金 流量表中单独列示。</w:t>
      </w:r>
    </w:p>
    <w:p>
      <w:pPr>
        <w:spacing w:line="240" w:lineRule="auto" w:before="6"/>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10、金融工具" w:id="181"/>
      <w:bookmarkEnd w:id="181"/>
      <w:r>
        <w:rPr/>
      </w:r>
      <w:r>
        <w:rPr>
          <w:rFonts w:ascii="宋体" w:hAnsi="宋体" w:cs="宋体" w:eastAsia="宋体" w:hint="default"/>
          <w:b/>
          <w:bCs/>
          <w:sz w:val="21"/>
          <w:szCs w:val="21"/>
        </w:rPr>
        <w:t>10</w:t>
      </w:r>
      <w:r>
        <w:rPr>
          <w:rFonts w:ascii="宋体" w:hAnsi="宋体" w:cs="宋体" w:eastAsia="宋体" w:hint="default"/>
          <w:b/>
          <w:bCs/>
          <w:sz w:val="21"/>
          <w:szCs w:val="21"/>
        </w:rPr>
        <w:t>、金融工具</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3"/>
        <w:ind w:left="634" w:right="3312"/>
        <w:jc w:val="left"/>
      </w:pPr>
      <w:r>
        <w:rPr/>
        <w:t>本集团成为金融工具合同的一方时确认一项金融资产或金融负债。 </w:t>
      </w:r>
      <w:r>
        <w:rPr>
          <w:rFonts w:ascii="宋体" w:hAnsi="宋体" w:cs="宋体" w:eastAsia="宋体" w:hint="default"/>
        </w:rPr>
        <w:t>1</w:t>
      </w:r>
      <w:r>
        <w:rPr/>
        <w:t>）金融资产</w:t>
      </w:r>
    </w:p>
    <w:p>
      <w:pPr>
        <w:pStyle w:val="BodyText"/>
        <w:spacing w:line="432" w:lineRule="auto" w:before="60"/>
        <w:ind w:left="634" w:right="1092"/>
        <w:jc w:val="left"/>
      </w:pPr>
      <w:r>
        <w:rPr/>
        <w:t>①金融资产分类、确认依据和计量方法 本集团按投资目的和经济实质对拥有的金融资产分类为以公允价值计量且其变动计入当</w:t>
      </w:r>
    </w:p>
    <w:p>
      <w:pPr>
        <w:pStyle w:val="BodyText"/>
        <w:spacing w:line="277" w:lineRule="exact"/>
        <w:ind w:right="1092"/>
        <w:jc w:val="left"/>
      </w:pPr>
      <w:r>
        <w:rPr/>
        <w:t>期损益的金融资产、持有至到期投资、应收款项及可供出售金融资产。</w:t>
      </w:r>
    </w:p>
    <w:p>
      <w:pPr>
        <w:spacing w:line="240" w:lineRule="auto" w:before="4"/>
        <w:rPr>
          <w:rFonts w:ascii="宋体" w:hAnsi="宋体" w:cs="宋体" w:eastAsia="宋体" w:hint="default"/>
          <w:sz w:val="19"/>
          <w:szCs w:val="19"/>
        </w:rPr>
      </w:pPr>
    </w:p>
    <w:p>
      <w:pPr>
        <w:pStyle w:val="BodyText"/>
        <w:spacing w:line="357" w:lineRule="auto"/>
        <w:ind w:right="999" w:firstLine="480"/>
        <w:jc w:val="left"/>
      </w:pPr>
      <w:r>
        <w:rPr/>
        <w:t>以公允价值计量且其变动计入当期损益的金融资产，包括交易性金融资产和在初始确认 时指定为以公允价值计量且其变动计入当期损益的金融资产。对此类金融资产，采用公允价 值进行后续计量。公允价值变动计入公允价值变动损益；在资产持有期间所取得的利息或现 </w:t>
      </w:r>
      <w:r>
        <w:rPr>
          <w:spacing w:val="-3"/>
        </w:rPr>
        <w:t>金股利，确认为投资收益；处置时，其公允价值与初始入账金额之间的差额确认为投资损益，</w:t>
      </w:r>
      <w:r>
        <w:rPr>
          <w:spacing w:val="-81"/>
        </w:rPr>
        <w:t> </w:t>
      </w:r>
      <w:r>
        <w:rPr>
          <w:spacing w:val="-81"/>
        </w:rPr>
      </w:r>
      <w:r>
        <w:rPr/>
        <w:t>同时调整公允价值变动损益。</w:t>
      </w:r>
    </w:p>
    <w:p>
      <w:pPr>
        <w:pStyle w:val="BodyText"/>
        <w:spacing w:line="357" w:lineRule="auto" w:before="136"/>
        <w:ind w:right="1139" w:firstLine="480"/>
        <w:jc w:val="both"/>
      </w:pPr>
      <w:r>
        <w:rPr/>
        <w:t>持有至到期投资，是指到期日固定、回收金额固定或可确定，且本集团有明确意图和能 力持有至到期的非衍生金融资产。持有至到期投资采用实际利率法，按照摊余成本进行后续 计量，其摊销或减值以及终止确认产生的利得或损失，均计入当期损益。</w:t>
      </w:r>
    </w:p>
    <w:p>
      <w:pPr>
        <w:pStyle w:val="BodyText"/>
        <w:spacing w:line="432" w:lineRule="auto" w:before="136"/>
        <w:ind w:left="634" w:right="1092"/>
        <w:jc w:val="left"/>
      </w:pPr>
      <w:r>
        <w:rPr/>
        <w:t>应收款项，是指在活跃市场中没有报价，回收金额固定或可确定的非衍生金融资产。 可供出售金融资产，是指初始确认时即被指定为可供出售的非衍生金融资产，以及未被</w:t>
      </w:r>
    </w:p>
    <w:p>
      <w:pPr>
        <w:pStyle w:val="BodyText"/>
        <w:spacing w:line="276" w:lineRule="exact"/>
        <w:ind w:right="1092"/>
        <w:jc w:val="left"/>
      </w:pPr>
      <w:r>
        <w:rPr/>
        <w:t>划分为其他类的金融资产。这类资产中，在活跃市场中没有报价且其公允价值不能可靠计量</w:t>
      </w:r>
    </w:p>
    <w:p>
      <w:pPr>
        <w:pStyle w:val="BodyText"/>
        <w:spacing w:line="357" w:lineRule="auto" w:before="154"/>
        <w:ind w:right="994"/>
        <w:jc w:val="left"/>
      </w:pPr>
      <w:r>
        <w:rPr/>
        <w:t>的权益工具投资以及与该权益工具挂钩并须通过交付该权益工具结算的衍生金融资产，按成 </w:t>
      </w:r>
      <w:r>
        <w:rPr>
          <w:spacing w:val="-2"/>
        </w:rPr>
        <w:t>本进行后续计量；其他存在活跃市场报价或虽没有活跃市场报价但公允价值能够可靠计量的，</w:t>
      </w:r>
      <w:r>
        <w:rPr/>
        <w:t> 按公允价值计量，公允价值变动计入其他综合收益。对于此类金融资产采用公允价值进行后 续计量，除减值损失及外币货币性金融资产形成的汇兑损益外，可供出售金融资产公允价值 变动直接计入股东权益，待该金融资产终止确认时，原直接计入权益的公允价值变动累计额 转入当期损益。可供出售债务工具投资在持有期间按实际利率法计算的利息，以及被投资单 位宣告发放的与可供出售权益工具投资相关的现金股利，作为投资收益计入当期损益。对于</w:t>
      </w:r>
    </w:p>
    <w:p>
      <w:pPr>
        <w:spacing w:after="0" w:line="357"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right="1092"/>
        <w:jc w:val="left"/>
      </w:pPr>
      <w:r>
        <w:rPr/>
        <w:t>在活跃市场中没有报价且其公允价值不能可靠计量的权益工具投资，按成本计量。</w:t>
      </w:r>
    </w:p>
    <w:p>
      <w:pPr>
        <w:spacing w:line="240" w:lineRule="auto" w:before="5"/>
        <w:rPr>
          <w:rFonts w:ascii="宋体" w:hAnsi="宋体" w:cs="宋体" w:eastAsia="宋体" w:hint="default"/>
          <w:sz w:val="19"/>
          <w:szCs w:val="19"/>
        </w:rPr>
      </w:pPr>
    </w:p>
    <w:p>
      <w:pPr>
        <w:pStyle w:val="BodyText"/>
        <w:spacing w:line="434" w:lineRule="auto"/>
        <w:ind w:left="634" w:right="1092"/>
        <w:jc w:val="left"/>
      </w:pPr>
      <w:r>
        <w:rPr/>
        <w:t>②金融资产转移的确认依据和计量方法 金融资产满足下列条件之一的，予以终止确认：①收取该金融资产现金流量的合同权利</w:t>
      </w:r>
    </w:p>
    <w:p>
      <w:pPr>
        <w:pStyle w:val="BodyText"/>
        <w:spacing w:line="274" w:lineRule="exact"/>
        <w:ind w:right="1092"/>
        <w:jc w:val="left"/>
      </w:pPr>
      <w:r>
        <w:rPr/>
        <w:t>终止；②该金融资产已转移，且本集团将金融资产所有权上几乎所有的风险和报酬转移给转</w:t>
      </w:r>
    </w:p>
    <w:p>
      <w:pPr>
        <w:pStyle w:val="BodyText"/>
        <w:spacing w:line="357" w:lineRule="auto" w:before="154"/>
        <w:ind w:right="1092"/>
        <w:jc w:val="left"/>
      </w:pPr>
      <w:r>
        <w:rPr/>
        <w:t>入方；③该金融资产已转移，虽然本集团既没有转移也没有保留金融资产所有权上几乎所有 的风险和报酬，但是放弃了对该金融资产控制。</w:t>
      </w:r>
    </w:p>
    <w:p>
      <w:pPr>
        <w:pStyle w:val="BodyText"/>
        <w:spacing w:line="357" w:lineRule="auto" w:before="134"/>
        <w:ind w:right="1132" w:firstLine="480"/>
        <w:jc w:val="both"/>
      </w:pPr>
      <w:r>
        <w:rPr/>
        <w:t>企业既没有转移也没有保留金融资产所有权上几乎所有的风险和报酬，且未放弃对该金 融资产控制的，则按照其继续涉入所转移金融资产的程度确认有关金融资产，并相应确认有 关负债。</w:t>
      </w:r>
    </w:p>
    <w:p>
      <w:pPr>
        <w:pStyle w:val="BodyText"/>
        <w:spacing w:line="357" w:lineRule="auto" w:before="134"/>
        <w:ind w:right="1140" w:firstLine="480"/>
        <w:jc w:val="both"/>
      </w:pPr>
      <w:r>
        <w:rPr/>
        <w:t>金融资产整体转移满足终止确认条件的，将所转移金融资产的账面价值，与因转移而收 到的对价及原计入其他综合收益的公允价值变动累计额之和的差额计入当期损益。</w:t>
      </w:r>
    </w:p>
    <w:p>
      <w:pPr>
        <w:pStyle w:val="BodyText"/>
        <w:spacing w:line="357" w:lineRule="auto" w:before="136"/>
        <w:ind w:right="1139" w:firstLine="480"/>
        <w:jc w:val="both"/>
      </w:pPr>
      <w:r>
        <w:rPr/>
        <w:t>金融资产部分转移满足终止确认条件的，将所转移金融资产整体的账面价值，在终止确 认部分和未终止确认部分之间，按照各自的相对公允价值进行分摊，并将因转移而收到的对 价及应分摊至终止确认部分的原计入其他综合收益的公允价值变动累计额之和，与分摊的前 述账面金额的差额计入当期损益。</w:t>
      </w:r>
    </w:p>
    <w:p>
      <w:pPr>
        <w:pStyle w:val="BodyText"/>
        <w:spacing w:line="432" w:lineRule="auto" w:before="136"/>
        <w:ind w:left="634" w:right="1092"/>
        <w:jc w:val="left"/>
      </w:pPr>
      <w:r>
        <w:rPr/>
        <w:t>③金融资产减值的测试方法及会计处理方法 除以公允价值计量且其变动计入当期损益的金融资产外，本集团于资产负债表日对其他</w:t>
      </w:r>
    </w:p>
    <w:p>
      <w:pPr>
        <w:pStyle w:val="BodyText"/>
        <w:spacing w:line="276" w:lineRule="exact"/>
        <w:ind w:right="1092"/>
        <w:jc w:val="left"/>
      </w:pPr>
      <w:r>
        <w:rPr/>
        <w:t>金融资产的账面价值进行检查，如果有客观证据表明某项金融资产发生减值的，计提减值准</w:t>
      </w:r>
    </w:p>
    <w:p>
      <w:pPr>
        <w:pStyle w:val="BodyText"/>
        <w:spacing w:line="240" w:lineRule="auto" w:before="155"/>
        <w:ind w:right="1092"/>
        <w:jc w:val="left"/>
      </w:pPr>
      <w:r>
        <w:rPr/>
        <w:t>备。</w:t>
      </w:r>
    </w:p>
    <w:p>
      <w:pPr>
        <w:spacing w:line="240" w:lineRule="auto" w:before="5"/>
        <w:rPr>
          <w:rFonts w:ascii="宋体" w:hAnsi="宋体" w:cs="宋体" w:eastAsia="宋体" w:hint="default"/>
          <w:sz w:val="19"/>
          <w:szCs w:val="19"/>
        </w:rPr>
      </w:pPr>
    </w:p>
    <w:p>
      <w:pPr>
        <w:pStyle w:val="BodyText"/>
        <w:spacing w:line="357" w:lineRule="auto"/>
        <w:ind w:right="1130" w:firstLine="480"/>
        <w:jc w:val="both"/>
      </w:pPr>
      <w:r>
        <w:rPr/>
        <w:t>本集团对于活跃市场上有报价的股票投资、债券投资等可供出售金融资产，年末按照该 类资产活跃市场上的报价确认的公允价值，较按照取得该项资产时支付对价的公允价值及相 关交易费用之和确认的成本，下跌幅度达到或超过</w:t>
      </w:r>
      <w:r>
        <w:rPr>
          <w:spacing w:val="8"/>
        </w:rPr>
        <w:t> </w:t>
      </w:r>
      <w:r>
        <w:rPr>
          <w:rFonts w:ascii="宋体" w:hAnsi="宋体" w:cs="宋体" w:eastAsia="宋体" w:hint="default"/>
        </w:rPr>
        <w:t>50%</w:t>
      </w:r>
      <w:r>
        <w:rPr/>
        <w:t>以上；并截至资产负债表日持续下跌 时间已经达到或超过</w:t>
      </w:r>
      <w:r>
        <w:rPr>
          <w:spacing w:val="-57"/>
        </w:rPr>
        <w:t> </w:t>
      </w:r>
      <w:r>
        <w:rPr>
          <w:rFonts w:ascii="宋体" w:hAnsi="宋体" w:cs="宋体" w:eastAsia="宋体" w:hint="default"/>
        </w:rPr>
        <w:t>12</w:t>
      </w:r>
      <w:r>
        <w:rPr>
          <w:rFonts w:ascii="宋体" w:hAnsi="宋体" w:cs="宋体" w:eastAsia="宋体" w:hint="default"/>
          <w:spacing w:val="-57"/>
        </w:rPr>
        <w:t> </w:t>
      </w:r>
      <w:r>
        <w:rPr>
          <w:spacing w:val="-3"/>
        </w:rPr>
        <w:t>个月，本集团根据成本与年末公允价值的差额确认累积应计提的减值</w:t>
      </w:r>
      <w:r>
        <w:rPr/>
        <w:t> 准备。</w:t>
      </w:r>
    </w:p>
    <w:p>
      <w:pPr>
        <w:pStyle w:val="BodyText"/>
        <w:spacing w:line="357" w:lineRule="auto" w:before="134"/>
        <w:ind w:right="1139" w:firstLine="480"/>
        <w:jc w:val="both"/>
      </w:pPr>
      <w:r>
        <w:rPr/>
        <w:t>以摊余成本计量的金融资产发生减值时，按预计未来现金流量（不包括尚未发生的未来 信用损失）现值低于账面价值的差额，计提减值准备。如果有客观证据表明该金融资产价值 已恢复，且客观上与确认该损失后发生的事项有关，原确认的减值损失予以转回，计入当期 损益。</w:t>
      </w:r>
    </w:p>
    <w:p>
      <w:pPr>
        <w:spacing w:after="0" w:line="357"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8" w:firstLine="480"/>
        <w:jc w:val="both"/>
      </w:pPr>
      <w:r>
        <w:rPr/>
        <w:t>当可供出售金融资产发生减值，原直接计入所有者权益的因公允价值下降形成的累计损 失予以转出并计入减值损失。对已确认减值损失的可供出售债务工具投资，在期后公允价值 上升且客观上与确认原减值损失后发生的事项有关的，原确认的减值损失予以转回并计入当 期损益。对已确认减值损失的可供出售权益工具投资，期后公允价值上升直接计入所有者权</w:t>
      </w:r>
      <w:r>
        <w:rPr>
          <w:spacing w:val="-116"/>
        </w:rPr>
        <w:t> </w:t>
      </w:r>
      <w:r>
        <w:rPr>
          <w:spacing w:val="-116"/>
        </w:rPr>
      </w:r>
      <w:r>
        <w:rPr/>
        <w:t>益。</w:t>
      </w:r>
    </w:p>
    <w:p>
      <w:pPr>
        <w:pStyle w:val="BodyText"/>
        <w:spacing w:line="240" w:lineRule="auto" w:before="136"/>
        <w:ind w:left="634" w:right="1092"/>
        <w:jc w:val="left"/>
      </w:pPr>
      <w:r>
        <w:rPr>
          <w:rFonts w:ascii="宋体" w:hAnsi="宋体" w:cs="宋体" w:eastAsia="宋体" w:hint="default"/>
        </w:rPr>
        <w:t>2</w:t>
      </w:r>
      <w:r>
        <w:rPr/>
        <w:t>）金融负债</w:t>
      </w:r>
    </w:p>
    <w:p>
      <w:pPr>
        <w:spacing w:line="240" w:lineRule="auto" w:before="6"/>
        <w:rPr>
          <w:rFonts w:ascii="宋体" w:hAnsi="宋体" w:cs="宋体" w:eastAsia="宋体" w:hint="default"/>
          <w:sz w:val="19"/>
          <w:szCs w:val="19"/>
        </w:rPr>
      </w:pPr>
    </w:p>
    <w:p>
      <w:pPr>
        <w:pStyle w:val="BodyText"/>
        <w:spacing w:line="432" w:lineRule="auto"/>
        <w:ind w:left="634" w:right="1092"/>
        <w:jc w:val="left"/>
      </w:pPr>
      <w:r>
        <w:rPr/>
        <w:t>①金融负债分类、确认依据和计量方法 本集团的金融负债于初始确认时分类为以公允价值计量且其变动计入当期损益的金融负</w:t>
      </w:r>
    </w:p>
    <w:p>
      <w:pPr>
        <w:pStyle w:val="BodyText"/>
        <w:spacing w:line="277" w:lineRule="exact"/>
        <w:ind w:right="1092"/>
        <w:jc w:val="left"/>
      </w:pPr>
      <w:r>
        <w:rPr/>
        <w:t>债和其他金融负债。</w:t>
      </w:r>
    </w:p>
    <w:p>
      <w:pPr>
        <w:spacing w:line="240" w:lineRule="auto" w:before="4"/>
        <w:rPr>
          <w:rFonts w:ascii="宋体" w:hAnsi="宋体" w:cs="宋体" w:eastAsia="宋体" w:hint="default"/>
          <w:sz w:val="19"/>
          <w:szCs w:val="19"/>
        </w:rPr>
      </w:pPr>
    </w:p>
    <w:p>
      <w:pPr>
        <w:pStyle w:val="BodyText"/>
        <w:spacing w:line="357" w:lineRule="auto"/>
        <w:ind w:right="1139" w:firstLine="480"/>
        <w:jc w:val="both"/>
      </w:pPr>
      <w:r>
        <w:rPr/>
        <w:t>以公允价值计量且其变动计入当期损益的金融负债，包括交易性金融负债和初始确认时 指定为以公允价值计量且其变动计入当期损益的金融负债，按照公允价值进行后续计量，公 允价值变动形成的利得或损失以及与该金融负债相关的股利和利息支出计入当期损益。</w:t>
      </w:r>
    </w:p>
    <w:p>
      <w:pPr>
        <w:pStyle w:val="BodyText"/>
        <w:spacing w:line="240" w:lineRule="auto" w:before="137"/>
        <w:ind w:left="634" w:right="1092"/>
        <w:jc w:val="left"/>
      </w:pPr>
      <w:r>
        <w:rPr/>
        <w:t>其他金融负债采用实际利率法，按照摊余成本进行后续计量。</w:t>
      </w:r>
    </w:p>
    <w:p>
      <w:pPr>
        <w:spacing w:line="240" w:lineRule="auto" w:before="5"/>
        <w:rPr>
          <w:rFonts w:ascii="宋体" w:hAnsi="宋体" w:cs="宋体" w:eastAsia="宋体" w:hint="default"/>
          <w:sz w:val="19"/>
          <w:szCs w:val="19"/>
        </w:rPr>
      </w:pPr>
    </w:p>
    <w:p>
      <w:pPr>
        <w:pStyle w:val="BodyText"/>
        <w:spacing w:line="432" w:lineRule="auto"/>
        <w:ind w:left="634" w:right="1092"/>
        <w:jc w:val="left"/>
      </w:pPr>
      <w:r>
        <w:rPr/>
        <w:t>②金融负债终止确认条件 当金融负债的现时义务全部或部分已经解除时，终止确认该金融负债或义务已解除的部</w:t>
      </w:r>
    </w:p>
    <w:p>
      <w:pPr>
        <w:pStyle w:val="BodyText"/>
        <w:spacing w:line="277" w:lineRule="exact"/>
        <w:ind w:right="1092"/>
        <w:jc w:val="left"/>
      </w:pPr>
      <w:r>
        <w:rPr/>
        <w:t>分。终止确认部分的账面价值与支付的对价之间的差额，计入当期损益。</w:t>
      </w:r>
    </w:p>
    <w:p>
      <w:pPr>
        <w:spacing w:line="240" w:lineRule="auto" w:before="6"/>
        <w:rPr>
          <w:rFonts w:ascii="宋体" w:hAnsi="宋体" w:cs="宋体" w:eastAsia="宋体" w:hint="default"/>
          <w:sz w:val="19"/>
          <w:szCs w:val="19"/>
        </w:rPr>
      </w:pPr>
    </w:p>
    <w:p>
      <w:pPr>
        <w:pStyle w:val="BodyText"/>
        <w:spacing w:line="432" w:lineRule="auto"/>
        <w:ind w:left="634" w:right="1092"/>
        <w:jc w:val="left"/>
      </w:pPr>
      <w:r>
        <w:rPr/>
        <w:t>③金融资产和金融负债的公允价值确定方法 本集团金融资产和金融负债以主要市场的价格计量金融资产和金融负债的公允价值，不</w:t>
      </w:r>
    </w:p>
    <w:p>
      <w:pPr>
        <w:pStyle w:val="BodyText"/>
        <w:spacing w:line="276" w:lineRule="exact"/>
        <w:ind w:right="1092"/>
        <w:jc w:val="left"/>
      </w:pPr>
      <w:r>
        <w:rPr/>
        <w:t>存在主要市场的，以最有利市场的价格计量金融资产和金融负债的公允价值，并且采用当时</w:t>
      </w:r>
    </w:p>
    <w:p>
      <w:pPr>
        <w:pStyle w:val="BodyText"/>
        <w:spacing w:line="432" w:lineRule="auto" w:before="155"/>
        <w:ind w:left="634" w:right="1092" w:hanging="480"/>
        <w:jc w:val="left"/>
      </w:pPr>
      <w:r>
        <w:rPr/>
        <w:t>适用并且有足够可利用数据和其他信息支持的估值技术。 公允价值，是指市场参与者在计量日发生的有序交易中，出售一项资产所能收到或者转</w:t>
      </w:r>
    </w:p>
    <w:p>
      <w:pPr>
        <w:pStyle w:val="BodyText"/>
        <w:spacing w:line="277" w:lineRule="exact"/>
        <w:ind w:right="1092"/>
        <w:jc w:val="left"/>
      </w:pPr>
      <w:r>
        <w:rPr/>
        <w:t>移一项负债所需支付的价格。</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1、应收票据及应收账款" w:id="182"/>
      <w:bookmarkEnd w:id="182"/>
      <w:r>
        <w:rPr/>
      </w:r>
      <w:r>
        <w:rPr>
          <w:rFonts w:ascii="宋体" w:hAnsi="宋体" w:cs="宋体" w:eastAsia="宋体" w:hint="default"/>
          <w:b/>
          <w:bCs/>
          <w:sz w:val="21"/>
          <w:szCs w:val="21"/>
        </w:rPr>
        <w:t>11</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单项金额重大并单独计提坏账准备的应收款项" w:id="183"/>
      <w:bookmarkEnd w:id="183"/>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）单项金额重大并单独计提坏账准备的应收款项</w:t>
      </w:r>
      <w:r>
        <w:rPr>
          <w:rFonts w:ascii="宋体" w:hAnsi="宋体" w:cs="宋体" w:eastAsia="宋体" w:hint="default"/>
          <w:sz w:val="21"/>
          <w:szCs w:val="21"/>
        </w:rPr>
      </w:r>
    </w:p>
    <w:p>
      <w:pPr>
        <w:spacing w:line="240" w:lineRule="auto" w:before="12"/>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将单项金额超过</w:t>
            </w:r>
            <w:r>
              <w:rPr>
                <w:rFonts w:ascii="宋体" w:hAnsi="宋体" w:cs="宋体" w:eastAsia="宋体" w:hint="default"/>
                <w:spacing w:val="-46"/>
                <w:sz w:val="18"/>
                <w:szCs w:val="18"/>
              </w:rPr>
              <w:t> </w:t>
            </w:r>
            <w:r>
              <w:rPr>
                <w:rFonts w:ascii="宋体" w:hAnsi="宋体" w:cs="宋体" w:eastAsia="宋体" w:hint="default"/>
                <w:sz w:val="18"/>
                <w:szCs w:val="18"/>
              </w:rPr>
              <w:t>50</w:t>
            </w:r>
            <w:r>
              <w:rPr>
                <w:rFonts w:ascii="宋体" w:hAnsi="宋体" w:cs="宋体" w:eastAsia="宋体" w:hint="default"/>
                <w:spacing w:val="-46"/>
                <w:sz w:val="18"/>
                <w:szCs w:val="18"/>
              </w:rPr>
              <w:t> </w:t>
            </w:r>
            <w:r>
              <w:rPr>
                <w:rFonts w:ascii="宋体" w:hAnsi="宋体" w:cs="宋体" w:eastAsia="宋体" w:hint="default"/>
                <w:sz w:val="18"/>
                <w:szCs w:val="18"/>
              </w:rPr>
              <w:t>万元的应收款项视为重大应收款项</w:t>
            </w:r>
          </w:p>
        </w:tc>
      </w:tr>
      <w:tr>
        <w:trPr>
          <w:trHeight w:val="715"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69"/>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 准备</w:t>
            </w:r>
          </w:p>
        </w:tc>
      </w:tr>
    </w:tbl>
    <w:p>
      <w:pPr>
        <w:spacing w:after="0" w:line="316"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宋体" w:hAnsi="宋体" w:cs="宋体" w:eastAsia="宋体" w:hint="default"/>
          <w:b/>
          <w:bCs/>
          <w:sz w:val="20"/>
          <w:szCs w:val="20"/>
        </w:rPr>
      </w:pPr>
    </w:p>
    <w:p>
      <w:pPr>
        <w:spacing w:before="35"/>
        <w:ind w:left="154" w:right="1092" w:firstLine="0"/>
        <w:jc w:val="left"/>
        <w:rPr>
          <w:rFonts w:ascii="宋体" w:hAnsi="宋体" w:cs="宋体" w:eastAsia="宋体" w:hint="default"/>
          <w:sz w:val="21"/>
          <w:szCs w:val="21"/>
        </w:rPr>
      </w:pPr>
      <w:bookmarkStart w:name="（2）按信用风险特征组合计提坏账准备的应收款项" w:id="184"/>
      <w:bookmarkEnd w:id="184"/>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）按信用风险特征组合计提坏账准备的应收款项</w:t>
      </w:r>
      <w:r>
        <w:rPr>
          <w:rFonts w:ascii="宋体" w:hAnsi="宋体" w:cs="宋体" w:eastAsia="宋体" w:hint="default"/>
          <w:sz w:val="21"/>
          <w:szCs w:val="21"/>
        </w:rPr>
      </w:r>
    </w:p>
    <w:p>
      <w:pPr>
        <w:spacing w:line="240" w:lineRule="auto" w:before="12"/>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39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与交易对象关系组合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spacing w:line="240" w:lineRule="auto" w:before="10"/>
        <w:rPr>
          <w:rFonts w:ascii="宋体" w:hAnsi="宋体" w:cs="宋体" w:eastAsia="宋体" w:hint="default"/>
          <w:b/>
          <w:bCs/>
          <w:sz w:val="8"/>
          <w:szCs w:val="8"/>
        </w:rPr>
      </w:pPr>
    </w:p>
    <w:p>
      <w:pPr>
        <w:pStyle w:val="BodyText"/>
        <w:spacing w:line="240" w:lineRule="auto" w:before="26"/>
        <w:ind w:left="634" w:right="1092"/>
        <w:jc w:val="left"/>
      </w:pPr>
      <w:r>
        <w:rPr/>
        <w:t>组合中，采用账龄分析法计提坏账准备的：</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3"/>
        <w:rPr>
          <w:rFonts w:ascii="宋体" w:hAnsi="宋体" w:cs="宋体" w:eastAsia="宋体" w:hint="default"/>
          <w:sz w:val="16"/>
          <w:szCs w:val="16"/>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82"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15.00%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bl>
    <w:p>
      <w:pPr>
        <w:spacing w:line="240" w:lineRule="auto" w:before="11"/>
        <w:rPr>
          <w:rFonts w:ascii="宋体" w:hAnsi="宋体" w:cs="宋体" w:eastAsia="宋体" w:hint="default"/>
          <w:sz w:val="8"/>
          <w:szCs w:val="8"/>
        </w:rPr>
      </w:pPr>
    </w:p>
    <w:p>
      <w:pPr>
        <w:pStyle w:val="BodyText"/>
        <w:spacing w:line="240" w:lineRule="auto" w:before="26"/>
        <w:ind w:left="634" w:right="1092"/>
        <w:jc w:val="left"/>
      </w:pPr>
      <w:r>
        <w:rPr/>
        <w:t>组合中，采用余额百分比法计提坏账准备的：</w:t>
      </w:r>
    </w:p>
    <w:p>
      <w:pPr>
        <w:spacing w:line="240" w:lineRule="auto" w:before="5"/>
        <w:rPr>
          <w:rFonts w:ascii="宋体" w:hAnsi="宋体" w:cs="宋体" w:eastAsia="宋体" w:hint="default"/>
          <w:sz w:val="19"/>
          <w:szCs w:val="19"/>
        </w:rPr>
      </w:pPr>
    </w:p>
    <w:p>
      <w:pPr>
        <w:pStyle w:val="BodyText"/>
        <w:spacing w:line="434" w:lineRule="auto"/>
        <w:ind w:left="634" w:right="5952"/>
        <w:jc w:val="left"/>
      </w:pPr>
      <w:r>
        <w:rPr/>
        <w:t>□ 适用 √ 不适用 组合中，采用其他方法计提坏账准备的：</w:t>
      </w:r>
    </w:p>
    <w:p>
      <w:pPr>
        <w:pStyle w:val="BodyText"/>
        <w:spacing w:line="240" w:lineRule="auto" w:before="59"/>
        <w:ind w:left="634" w:right="1092"/>
        <w:jc w:val="left"/>
      </w:pPr>
      <w:r>
        <w:rPr/>
        <w:t>√ 适用 □ 不适用</w:t>
      </w:r>
    </w:p>
    <w:p>
      <w:pPr>
        <w:spacing w:line="240" w:lineRule="auto" w:before="3"/>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与交易对象关系</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0.00%</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单项金额不重大但单独计提坏账准备的应收款项" w:id="185"/>
      <w:bookmarkEnd w:id="185"/>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）单项金额不重大但单独计提坏账准备的应收款项</w:t>
      </w:r>
      <w:r>
        <w:rPr>
          <w:rFonts w:ascii="宋体" w:hAnsi="宋体" w:cs="宋体" w:eastAsia="宋体" w:hint="default"/>
          <w:sz w:val="21"/>
          <w:szCs w:val="21"/>
        </w:rPr>
      </w:r>
    </w:p>
    <w:p>
      <w:pPr>
        <w:spacing w:line="240" w:lineRule="auto" w:before="12"/>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3261"/>
        <w:gridCol w:w="6307"/>
      </w:tblGrid>
      <w:tr>
        <w:trPr>
          <w:trHeight w:val="402" w:hRule="exact"/>
        </w:trPr>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6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单项金额不重大且按照组合计提坏账准备不能反映其风险特征的应收款项</w:t>
            </w:r>
          </w:p>
        </w:tc>
      </w:tr>
      <w:tr>
        <w:trPr>
          <w:trHeight w:val="402" w:hRule="exact"/>
        </w:trPr>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6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根据其未来现金流量现值低于其账面价值的差额，计提坏账准备</w:t>
            </w:r>
          </w:p>
        </w:tc>
      </w:tr>
    </w:tbl>
    <w:p>
      <w:pPr>
        <w:spacing w:line="240" w:lineRule="auto" w:before="2"/>
        <w:rPr>
          <w:rFonts w:ascii="宋体" w:hAnsi="宋体" w:cs="宋体" w:eastAsia="宋体" w:hint="default"/>
          <w:b/>
          <w:bCs/>
          <w:sz w:val="19"/>
          <w:szCs w:val="19"/>
        </w:rPr>
      </w:pPr>
    </w:p>
    <w:p>
      <w:pPr>
        <w:spacing w:before="35"/>
        <w:ind w:left="154" w:right="1092" w:firstLine="0"/>
        <w:jc w:val="left"/>
        <w:rPr>
          <w:rFonts w:ascii="宋体" w:hAnsi="宋体" w:cs="宋体" w:eastAsia="宋体" w:hint="default"/>
          <w:sz w:val="21"/>
          <w:szCs w:val="21"/>
        </w:rPr>
      </w:pPr>
      <w:bookmarkStart w:name="12、存货" w:id="186"/>
      <w:bookmarkEnd w:id="186"/>
      <w:r>
        <w:rPr/>
      </w:r>
      <w:r>
        <w:rPr>
          <w:rFonts w:ascii="宋体" w:hAnsi="宋体" w:cs="宋体" w:eastAsia="宋体" w:hint="default"/>
          <w:b/>
          <w:bCs/>
          <w:sz w:val="21"/>
          <w:szCs w:val="21"/>
        </w:rPr>
        <w:t>12</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2" w:lineRule="auto" w:before="132"/>
        <w:ind w:left="634" w:right="1092"/>
        <w:jc w:val="left"/>
      </w:pPr>
      <w:r>
        <w:rPr/>
        <w:t>本集团存货主要包括原材料和库存商品。 存货实行永续盘存制，存货在取得时按实际成本计价；领用或发出存货，采用加权平均</w:t>
      </w:r>
    </w:p>
    <w:p>
      <w:pPr>
        <w:spacing w:after="0" w:line="432"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2" w:lineRule="auto" w:before="26"/>
        <w:ind w:left="634" w:right="1092" w:hanging="480"/>
        <w:jc w:val="left"/>
      </w:pPr>
      <w:r>
        <w:rPr/>
        <w:t>法确定其实际成本。 期末存货按成本与可变现净值孰低原则计价，对于存货因遭受毁损、全部或部分陈旧过</w:t>
      </w:r>
    </w:p>
    <w:p>
      <w:pPr>
        <w:pStyle w:val="BodyText"/>
        <w:spacing w:line="276" w:lineRule="exact"/>
        <w:ind w:right="1092"/>
        <w:jc w:val="left"/>
      </w:pPr>
      <w:r>
        <w:rPr/>
        <w:t>时或销售价格低于成本等原因，预计其成本不可收回的部分，提取存货跌价准备。库存商品</w:t>
      </w:r>
    </w:p>
    <w:p>
      <w:pPr>
        <w:pStyle w:val="BodyText"/>
        <w:spacing w:line="357" w:lineRule="auto" w:before="154"/>
        <w:ind w:right="1092"/>
        <w:jc w:val="left"/>
      </w:pPr>
      <w:r>
        <w:rPr/>
        <w:t>及大宗原材料的存货跌价准备按单个存货项目的成本高于其可变现净值的差额提取；其他数 量繁多、单价较低的原辅材料按类别提取存货跌价准备。</w:t>
      </w:r>
    </w:p>
    <w:p>
      <w:pPr>
        <w:pStyle w:val="BodyText"/>
        <w:spacing w:line="357" w:lineRule="auto" w:before="136"/>
        <w:ind w:right="1139" w:firstLine="480"/>
        <w:jc w:val="both"/>
      </w:pPr>
      <w:r>
        <w:rPr/>
        <w:t>库存商品和用于出售的材料等直接用于出售的商品存货，其可变现净值按该存货的估计 售价减去估计的销售费用和相关税费后的金额确定；用于生产而持有的材料存货，其可变现 净值按所生产的产成品的估计售价减去至完工时估计将要发生的成本、估计的销售费用和相 关税费后的金额确定。</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13、持有待售资产" w:id="187"/>
      <w:bookmarkEnd w:id="187"/>
      <w:r>
        <w:rPr/>
      </w:r>
      <w:r>
        <w:rPr>
          <w:rFonts w:ascii="宋体" w:hAnsi="宋体" w:cs="宋体" w:eastAsia="宋体" w:hint="default"/>
          <w:b/>
          <w:bCs/>
          <w:sz w:val="21"/>
          <w:szCs w:val="21"/>
        </w:rPr>
        <w:t>13</w:t>
      </w:r>
      <w:r>
        <w:rPr>
          <w:rFonts w:ascii="宋体" w:hAnsi="宋体" w:cs="宋体" w:eastAsia="宋体" w:hint="default"/>
          <w:b/>
          <w:bCs/>
          <w:sz w:val="21"/>
          <w:szCs w:val="21"/>
        </w:rPr>
        <w:t>、持有待售资产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1130" w:firstLine="480"/>
        <w:jc w:val="both"/>
      </w:pPr>
      <w:r>
        <w:rPr>
          <w:rFonts w:ascii="宋体" w:hAnsi="宋体" w:cs="宋体" w:eastAsia="宋体" w:hint="default"/>
        </w:rPr>
        <w:t>(1)</w:t>
      </w:r>
      <w:r>
        <w:rPr/>
        <w:t>本集团将同时符合下列条件的非流动资产或处置组划分为持有待售：</w:t>
      </w:r>
      <w:r>
        <w:rPr>
          <w:rFonts w:ascii="宋体" w:hAnsi="宋体" w:cs="宋体" w:eastAsia="宋体" w:hint="default"/>
        </w:rPr>
        <w:t>1</w:t>
      </w:r>
      <w:r>
        <w:rPr/>
        <w:t>）根据类似交 </w:t>
      </w:r>
      <w:r>
        <w:rPr>
          <w:spacing w:val="-3"/>
        </w:rPr>
        <w:t>易中出售此类资产或处置组的惯例，在当前状况下即可立即出售；</w:t>
      </w:r>
      <w:r>
        <w:rPr>
          <w:rFonts w:ascii="宋体" w:hAnsi="宋体" w:cs="宋体" w:eastAsia="宋体" w:hint="default"/>
          <w:spacing w:val="-3"/>
        </w:rPr>
        <w:t>2</w:t>
      </w:r>
      <w:r>
        <w:rPr>
          <w:spacing w:val="-3"/>
        </w:rPr>
        <w:t>）出售极可能发生，即已</w:t>
      </w:r>
      <w:r>
        <w:rPr>
          <w:spacing w:val="-80"/>
        </w:rPr>
        <w:t> </w:t>
      </w:r>
      <w:r>
        <w:rPr>
          <w:spacing w:val="-80"/>
        </w:rPr>
      </w:r>
      <w:r>
        <w:rPr/>
        <w:t>经就一项出售计划作出决议且获得确定的购买承诺，预计出售将在一年内完成。有关规定要 求相关权力机构或者监管部门批准后方可出售的需要获得相关批准。本集团将非流动资产或 处置组首次划分为持有待售类别前，按照相关会计准则规定计量非流动资产或处置组中各项 资产和负债的账面价值。初始计量或在资产负债表日重新计量持有待售的非流动资产或处置 组时，其账面价值高于公允价值减去出售费用后的净额的，将账面价值减记至公允价值减去</w:t>
      </w:r>
      <w:r>
        <w:rPr>
          <w:spacing w:val="-114"/>
        </w:rPr>
        <w:t> </w:t>
      </w:r>
      <w:r>
        <w:rPr>
          <w:spacing w:val="-114"/>
        </w:rPr>
      </w:r>
      <w:r>
        <w:rPr/>
        <w:t>出售费用后的净额，减记的金额确认为资产减值损失，计入当期损益，同时计提持有待售资 产减值准备。</w:t>
      </w:r>
    </w:p>
    <w:p>
      <w:pPr>
        <w:pStyle w:val="BodyText"/>
        <w:spacing w:line="357" w:lineRule="auto" w:before="134"/>
        <w:ind w:right="996" w:firstLine="480"/>
        <w:jc w:val="left"/>
      </w:pPr>
      <w:r>
        <w:rPr>
          <w:rFonts w:ascii="宋体" w:hAnsi="宋体" w:cs="宋体" w:eastAsia="宋体" w:hint="default"/>
          <w:spacing w:val="-3"/>
        </w:rPr>
        <w:t>(2)</w:t>
      </w:r>
      <w:r>
        <w:rPr>
          <w:spacing w:val="-3"/>
        </w:rPr>
        <w:t>本集团专为转售而取得的非流动资产或处置组，在取得日满足“预计出售将在一年内</w:t>
      </w:r>
      <w:r>
        <w:rPr/>
        <w:t> </w:t>
      </w:r>
      <w:r>
        <w:rPr>
          <w:spacing w:val="-4"/>
        </w:rPr>
        <w:t>完成”的规定条件，且短期（通常为</w:t>
      </w:r>
      <w:r>
        <w:rPr>
          <w:spacing w:val="-70"/>
        </w:rPr>
        <w:t> </w:t>
      </w:r>
      <w:r>
        <w:rPr>
          <w:rFonts w:ascii="宋体" w:hAnsi="宋体" w:cs="宋体" w:eastAsia="宋体" w:hint="default"/>
        </w:rPr>
        <w:t>3</w:t>
      </w:r>
      <w:r>
        <w:rPr>
          <w:rFonts w:ascii="宋体" w:hAnsi="宋体" w:cs="宋体" w:eastAsia="宋体" w:hint="default"/>
          <w:spacing w:val="-70"/>
        </w:rPr>
        <w:t> </w:t>
      </w:r>
      <w:r>
        <w:rPr/>
        <w:t>个月）内很可能满足持有待售类别的其他划分条件的， 在取得日将其划分为持有待售类别。在初始计量时，比较假定其不划分为持有待售类别情况 下的初始计量金额和公允价值减去出售费用后的净额，以两者孰低计量。除企业合并中取得 的非流动资产或处置组外，由非流动资产或处置组以公允价值减去出售费用后的净额作为初</w:t>
      </w:r>
      <w:r>
        <w:rPr>
          <w:spacing w:val="-114"/>
        </w:rPr>
        <w:t> </w:t>
      </w:r>
      <w:r>
        <w:rPr>
          <w:spacing w:val="-114"/>
        </w:rPr>
      </w:r>
      <w:r>
        <w:rPr/>
        <w:t>始计量金额而产生的差额，计入当期损益。</w:t>
      </w:r>
    </w:p>
    <w:p>
      <w:pPr>
        <w:pStyle w:val="BodyText"/>
        <w:spacing w:line="357" w:lineRule="auto" w:before="135"/>
        <w:ind w:right="1131" w:firstLine="480"/>
        <w:jc w:val="both"/>
      </w:pPr>
      <w:r>
        <w:rPr>
          <w:rFonts w:ascii="宋体" w:hAnsi="宋体" w:cs="宋体" w:eastAsia="宋体" w:hint="default"/>
          <w:spacing w:val="-3"/>
        </w:rPr>
        <w:t>(3)</w:t>
      </w:r>
      <w:r>
        <w:rPr>
          <w:spacing w:val="-3"/>
        </w:rPr>
        <w:t>本集团因出售对子公司的投资等原因导致丧失对子公司控制权的，无论出售后本集团</w:t>
      </w:r>
      <w:r>
        <w:rPr/>
        <w:t> 是否保留部分权益性投资，在拟出售的对子公司投资满足持有待售类别划分条件时，在母公 司个别财务报表中将对子公司投资整体划分为持有待售类别，在合并财务报表中将子公司所</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2" w:lineRule="auto" w:before="26"/>
        <w:ind w:left="634" w:right="1092" w:hanging="480"/>
        <w:jc w:val="left"/>
      </w:pPr>
      <w:r>
        <w:rPr/>
        <w:t>有资产和负债划分为持有待售类别。 </w:t>
      </w:r>
      <w:r>
        <w:rPr>
          <w:rFonts w:ascii="宋体" w:hAnsi="宋体" w:cs="宋体" w:eastAsia="宋体" w:hint="default"/>
          <w:spacing w:val="-3"/>
        </w:rPr>
        <w:t>(4)</w:t>
      </w:r>
      <w:r>
        <w:rPr>
          <w:spacing w:val="-3"/>
        </w:rPr>
        <w:t>后续资产负债表日持有待售的非流动资产公允价值减去出售费用后的净额增加的，以</w:t>
      </w:r>
    </w:p>
    <w:p>
      <w:pPr>
        <w:pStyle w:val="BodyText"/>
        <w:spacing w:line="276" w:lineRule="exact"/>
        <w:ind w:right="1092"/>
        <w:jc w:val="left"/>
      </w:pPr>
      <w:r>
        <w:rPr/>
        <w:t>前减记的金额应当予以恢复，并在划分为持有待售类别后确认的资产减值损失金额内转回，</w:t>
      </w:r>
    </w:p>
    <w:p>
      <w:pPr>
        <w:pStyle w:val="BodyText"/>
        <w:spacing w:line="434" w:lineRule="auto" w:before="155"/>
        <w:ind w:left="634" w:right="1032" w:hanging="480"/>
        <w:jc w:val="left"/>
      </w:pPr>
      <w:r>
        <w:rPr/>
        <w:t>转回金额计入当期损益。划分为持有待售类别前确认的资产减值损失不得转回。 </w:t>
      </w:r>
      <w:r>
        <w:rPr>
          <w:rFonts w:ascii="宋体" w:hAnsi="宋体" w:cs="宋体" w:eastAsia="宋体" w:hint="default"/>
        </w:rPr>
        <w:t>(5)</w:t>
      </w:r>
      <w:r>
        <w:rPr/>
        <w:t>对于持有待售的处置组确认的资产减值损失金额，先抵减处置组中商誉的账面价值，</w:t>
      </w:r>
    </w:p>
    <w:p>
      <w:pPr>
        <w:pStyle w:val="BodyText"/>
        <w:spacing w:line="275" w:lineRule="exact"/>
        <w:ind w:right="1092"/>
        <w:jc w:val="left"/>
      </w:pPr>
      <w:r>
        <w:rPr/>
        <w:t>再根据各项非流动资产账面价值所占比重，按比例抵减其账面价值。</w:t>
      </w:r>
    </w:p>
    <w:p>
      <w:pPr>
        <w:spacing w:line="240" w:lineRule="auto" w:before="4"/>
        <w:rPr>
          <w:rFonts w:ascii="宋体" w:hAnsi="宋体" w:cs="宋体" w:eastAsia="宋体" w:hint="default"/>
          <w:sz w:val="19"/>
          <w:szCs w:val="19"/>
        </w:rPr>
      </w:pPr>
    </w:p>
    <w:p>
      <w:pPr>
        <w:pStyle w:val="BodyText"/>
        <w:spacing w:line="357" w:lineRule="auto"/>
        <w:ind w:right="1139" w:firstLine="480"/>
        <w:jc w:val="both"/>
      </w:pPr>
      <w:r>
        <w:rPr/>
        <w:t>后续资产负债表日持有待售的处置组公允价值减去出售费用后的净额增加的，以前减记 的金额应当予以恢复，并在划分为持有待售类别后适用相关计量规定的非流动资产确认的资 产减值损失金额内转回，转回金额计入当期损益。已抵减的商誉账面价值，以及非流动资产 在划分为持有待售类别前确认的资产减值损失不得转回。</w:t>
      </w:r>
    </w:p>
    <w:p>
      <w:pPr>
        <w:pStyle w:val="BodyText"/>
        <w:spacing w:line="357" w:lineRule="auto" w:before="134"/>
        <w:ind w:right="1092" w:firstLine="480"/>
        <w:jc w:val="left"/>
      </w:pPr>
      <w:r>
        <w:rPr/>
        <w:t>持有待售的处置组确认的资产减值损失后续转回金额，根据处置组中除商誉外，各项非 流动资产账面价值所占比重，按比例增加其账面价值。</w:t>
      </w:r>
    </w:p>
    <w:p>
      <w:pPr>
        <w:pStyle w:val="BodyText"/>
        <w:spacing w:line="357" w:lineRule="auto" w:before="136"/>
        <w:ind w:right="1092" w:firstLine="480"/>
        <w:jc w:val="left"/>
      </w:pPr>
      <w:r>
        <w:rPr>
          <w:rFonts w:ascii="宋体" w:hAnsi="宋体" w:cs="宋体" w:eastAsia="宋体" w:hint="default"/>
          <w:spacing w:val="-3"/>
        </w:rPr>
        <w:t>(6)</w:t>
      </w:r>
      <w:r>
        <w:rPr>
          <w:spacing w:val="-3"/>
        </w:rPr>
        <w:t>持有待售的非流动资产或处置组中的非流动资产不计提折旧或摊销，持有待售的处置</w:t>
      </w:r>
      <w:r>
        <w:rPr/>
        <w:t> 组中负债的利息和其他费用继续予以确认。</w:t>
      </w:r>
    </w:p>
    <w:p>
      <w:pPr>
        <w:pStyle w:val="BodyText"/>
        <w:spacing w:line="357" w:lineRule="auto" w:before="135"/>
        <w:ind w:right="994" w:firstLine="480"/>
        <w:jc w:val="left"/>
      </w:pPr>
      <w:r>
        <w:rPr>
          <w:rFonts w:ascii="宋体" w:hAnsi="宋体" w:cs="宋体" w:eastAsia="宋体" w:hint="default"/>
          <w:spacing w:val="-3"/>
        </w:rPr>
        <w:t>(7)</w:t>
      </w:r>
      <w:r>
        <w:rPr>
          <w:spacing w:val="-3"/>
        </w:rPr>
        <w:t>持有待售的非流动资产或处置组因不再满足持有待售类别的划分条件，而不再继续划</w:t>
      </w:r>
      <w:r>
        <w:rPr/>
        <w:t> 分为持有待售类别或非流动资产从持有待售的处置组中移除时，按照以下两者孰低计量：</w:t>
      </w:r>
      <w:r>
        <w:rPr>
          <w:rFonts w:ascii="宋体" w:hAnsi="宋体" w:cs="宋体" w:eastAsia="宋体" w:hint="default"/>
        </w:rPr>
        <w:t>1</w:t>
      </w:r>
      <w:r>
        <w:rPr/>
        <w:t>） </w:t>
      </w:r>
      <w:r>
        <w:rPr>
          <w:spacing w:val="-2"/>
        </w:rPr>
        <w:t>划分为持有待售类别前的账面价值，按照假定不划分为持有待售类别情况下本应确认的折旧、</w:t>
      </w:r>
      <w:r>
        <w:rPr/>
        <w:t> 摊销或减值等进行调整后的金额；</w:t>
      </w:r>
      <w:r>
        <w:rPr>
          <w:rFonts w:ascii="宋体" w:hAnsi="宋体" w:cs="宋体" w:eastAsia="宋体" w:hint="default"/>
        </w:rPr>
        <w:t>2</w:t>
      </w:r>
      <w:r>
        <w:rPr/>
        <w:t>）可收回金额。</w:t>
      </w:r>
    </w:p>
    <w:p>
      <w:pPr>
        <w:pStyle w:val="BodyText"/>
        <w:spacing w:line="357" w:lineRule="auto" w:before="134"/>
        <w:ind w:right="1092" w:firstLine="480"/>
        <w:jc w:val="left"/>
      </w:pPr>
      <w:r>
        <w:rPr>
          <w:rFonts w:ascii="宋体" w:hAnsi="宋体" w:cs="宋体" w:eastAsia="宋体" w:hint="default"/>
          <w:spacing w:val="3"/>
        </w:rPr>
        <w:t>(8)</w:t>
      </w:r>
      <w:r>
        <w:rPr>
          <w:spacing w:val="3"/>
        </w:rPr>
        <w:t>终止确认持有待售的非流动资产或处置组时，将尚未确认的利得或损失计入当期损</w:t>
      </w:r>
      <w:r>
        <w:rPr/>
        <w:t> 益。</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14、长期股权投资" w:id="188"/>
      <w:bookmarkEnd w:id="188"/>
      <w:r>
        <w:rPr/>
      </w:r>
      <w:r>
        <w:rPr>
          <w:rFonts w:ascii="宋体" w:hAnsi="宋体" w:cs="宋体" w:eastAsia="宋体" w:hint="default"/>
          <w:b/>
          <w:bCs/>
          <w:sz w:val="21"/>
          <w:szCs w:val="21"/>
        </w:rPr>
        <w:t>14</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1032"/>
        <w:jc w:val="left"/>
      </w:pPr>
      <w:r>
        <w:rPr/>
        <w:t>本集团长期股权投资主要是对子公司的投资、对联营企业的投资和对合营企业的投资。 本集团直接或通过子公司间接拥有被投资单位</w:t>
      </w:r>
      <w:r>
        <w:rPr>
          <w:spacing w:val="-60"/>
        </w:rPr>
        <w:t> </w:t>
      </w:r>
      <w:r>
        <w:rPr>
          <w:rFonts w:ascii="宋体" w:hAnsi="宋体" w:cs="宋体" w:eastAsia="宋体" w:hint="default"/>
        </w:rPr>
        <w:t>20</w:t>
      </w:r>
      <w:r>
        <w:rPr/>
        <w:t>％（含）以上但低于</w:t>
      </w:r>
      <w:r>
        <w:rPr>
          <w:spacing w:val="-60"/>
        </w:rPr>
        <w:t> </w:t>
      </w:r>
      <w:r>
        <w:rPr>
          <w:rFonts w:ascii="宋体" w:hAnsi="宋体" w:cs="宋体" w:eastAsia="宋体" w:hint="default"/>
        </w:rPr>
        <w:t>50</w:t>
      </w:r>
      <w:r>
        <w:rPr/>
        <w:t>％的表决权时，</w:t>
      </w:r>
    </w:p>
    <w:p>
      <w:pPr>
        <w:pStyle w:val="BodyText"/>
        <w:spacing w:line="274" w:lineRule="exact"/>
        <w:ind w:right="1092"/>
        <w:jc w:val="left"/>
      </w:pPr>
      <w:r>
        <w:rPr/>
        <w:t>通常认为对被投资单位具有重大影响。持有被投资单位</w:t>
      </w:r>
      <w:r>
        <w:rPr>
          <w:spacing w:val="7"/>
        </w:rPr>
        <w:t> </w:t>
      </w:r>
      <w:r>
        <w:rPr>
          <w:rFonts w:ascii="宋体" w:hAnsi="宋体" w:cs="宋体" w:eastAsia="宋体" w:hint="default"/>
        </w:rPr>
        <w:t>20%</w:t>
      </w:r>
      <w:r>
        <w:rPr/>
        <w:t>以下表决权的，还需要综合考虑</w:t>
      </w:r>
    </w:p>
    <w:p>
      <w:pPr>
        <w:pStyle w:val="BodyText"/>
        <w:spacing w:line="357" w:lineRule="auto" w:before="154"/>
        <w:ind w:right="1139"/>
        <w:jc w:val="both"/>
      </w:pPr>
      <w:r>
        <w:rPr/>
        <w:t>在被投资单位的董事会或类似权力机构中派有代表、或参与被投资单位财务和经营政策制定 过程、或与被投资单位之间发生重要交易、或向被投资单位派出管理人员、或向被投资单位 提供关键技术资料等事实和情况判断对被投资单位具有重大影响。</w:t>
      </w:r>
    </w:p>
    <w:p>
      <w:pPr>
        <w:spacing w:after="0" w:line="357"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9" w:firstLine="480"/>
        <w:jc w:val="both"/>
      </w:pPr>
      <w:r>
        <w:rPr/>
        <w:t>对被投资单位形成控制的，为本集团的子公司。通过同一控制下的企业合并取得的长期 股权投资，在合并日按照取得被合并方在最终控制方合并报表中净资产的账面价值的份额作 为长期股权投资的初始投资成本。被合并方在合并日的净资产账面价值为负数的，长期股权 投资成本按零确定。通过非同一控制下的企业合并取得的长期股权投资，以合并成本作为初 始投资成本。</w:t>
      </w:r>
    </w:p>
    <w:p>
      <w:pPr>
        <w:pStyle w:val="BodyText"/>
        <w:spacing w:line="357" w:lineRule="auto" w:before="134"/>
        <w:ind w:right="1133" w:firstLine="480"/>
        <w:jc w:val="both"/>
      </w:pPr>
      <w:r>
        <w:rPr/>
        <w:t>除上述通过企业合并取得的长期股权投资外，以支付现金取得的长期股权投资，按照实 际支付的购买价款作为投资成本；以发行权益性证券取得的长期股权投资，按照发行权益性</w:t>
      </w:r>
      <w:r>
        <w:rPr>
          <w:spacing w:val="-113"/>
        </w:rPr>
        <w:t> </w:t>
      </w:r>
      <w:r>
        <w:rPr>
          <w:spacing w:val="-113"/>
        </w:rPr>
      </w:r>
      <w:r>
        <w:rPr/>
        <w:t>证券的公允价值作为投资成本；投资者投入的长期股权投资，按照投资合同或协议约定的价 值作为投资成本。</w:t>
      </w:r>
    </w:p>
    <w:p>
      <w:pPr>
        <w:pStyle w:val="BodyText"/>
        <w:spacing w:line="432" w:lineRule="auto" w:before="137"/>
        <w:ind w:left="634" w:right="1092"/>
        <w:jc w:val="left"/>
      </w:pPr>
      <w:r>
        <w:rPr/>
        <w:t>本集团对子公司投资采用成本法核算，对合营企业及联营企业投资采用权益法核算。 后续计量采用成本法核算的长期股权投资，在追加投资时，按照追加投资支付的成本额</w:t>
      </w:r>
    </w:p>
    <w:p>
      <w:pPr>
        <w:pStyle w:val="BodyText"/>
        <w:spacing w:line="276" w:lineRule="exact"/>
        <w:ind w:right="0"/>
        <w:jc w:val="both"/>
      </w:pPr>
      <w:r>
        <w:rPr/>
        <w:t>公允价值及发生的相关交易费用增加长期股权投资成本的账面价值。被投资单位宣告分派的</w:t>
      </w:r>
    </w:p>
    <w:p>
      <w:pPr>
        <w:pStyle w:val="BodyText"/>
        <w:spacing w:line="432" w:lineRule="auto" w:before="155"/>
        <w:ind w:left="634" w:right="1092" w:hanging="480"/>
        <w:jc w:val="left"/>
      </w:pPr>
      <w:r>
        <w:rPr/>
        <w:t>现金股利或利润，按照应享有的金额确认为当期投资收益。 后续计量采用权益法核算的长期股权投资，随着被投资单位所有者权益的变动相应调整</w:t>
      </w:r>
    </w:p>
    <w:p>
      <w:pPr>
        <w:pStyle w:val="BodyText"/>
        <w:spacing w:line="276" w:lineRule="exact"/>
        <w:ind w:right="0"/>
        <w:jc w:val="both"/>
      </w:pPr>
      <w:r>
        <w:rPr/>
        <w:t>增加或减少长期股权投资的账面价值。其中在确认应享有被投资单位净损益的份额时，以取</w:t>
      </w:r>
    </w:p>
    <w:p>
      <w:pPr>
        <w:pStyle w:val="BodyText"/>
        <w:spacing w:line="357" w:lineRule="auto" w:before="154"/>
        <w:ind w:right="1139"/>
        <w:jc w:val="both"/>
      </w:pPr>
      <w:r>
        <w:rPr/>
        <w:t>得投资时被投资单位各项可辨认资产等的公允价值为基础，按照本集团的会计政策及会计期 间，并抵销与联营企业及合营企业之间发生的内部交易损益按照持股比例计算归属于投资企 业的部分，对被投资单位的净利润进行调整后确认。</w:t>
      </w:r>
    </w:p>
    <w:p>
      <w:pPr>
        <w:pStyle w:val="BodyText"/>
        <w:spacing w:line="357" w:lineRule="auto" w:before="136"/>
        <w:ind w:right="1139" w:firstLine="480"/>
        <w:jc w:val="both"/>
      </w:pPr>
      <w:r>
        <w:rPr/>
        <w:t>处置长期股权投资，其账面价值与实际取得价款的差额，计入当期投资收益。采用权益 法核算的长期股权投资，因被投资单位除净损益以外所有者权益的其他变动而计入所有者权 益的，处置该项投资时将原计入所有者权益的部分按相应比例转入当期投资损益。</w:t>
      </w:r>
    </w:p>
    <w:p>
      <w:pPr>
        <w:pStyle w:val="BodyText"/>
        <w:spacing w:line="357" w:lineRule="auto" w:before="134"/>
        <w:ind w:right="1137" w:firstLine="480"/>
        <w:jc w:val="both"/>
      </w:pPr>
      <w:r>
        <w:rPr/>
        <w:t>因处置部分股权投资等原因丧失了对被投资单位的共同控制或重大影响的，处置后的剩 余股权改按可供出售金融资产核算，剩余股权在丧失共同控制或重大影响之日的公允价值与 账面价值之间的差额计入当期损益。原股权投资因采用权益法核算而确认的其他综合收益， 在终止采用权益法核算时采用与被投资单位直接处置相关资产或负债相同的基础进行会计处 理。</w:t>
      </w:r>
    </w:p>
    <w:p>
      <w:pPr>
        <w:pStyle w:val="BodyText"/>
        <w:spacing w:line="357" w:lineRule="auto" w:before="134"/>
        <w:ind w:right="1139" w:firstLine="480"/>
        <w:jc w:val="both"/>
      </w:pPr>
      <w:r>
        <w:rPr/>
        <w:t>因处置部分长期股权投资丧失了对被投资单位控制的，处置后的剩余股权能够对被投资 单位实施共同控制或施加重大影响的，改按权益法核算，处置股权账面价值和处置对价的差</w:t>
      </w:r>
    </w:p>
    <w:p>
      <w:pPr>
        <w:spacing w:after="0" w:line="357"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left="214" w:right="1133"/>
        <w:jc w:val="both"/>
      </w:pPr>
      <w:r>
        <w:rPr/>
        <w:t>额计入投资收益，并对该剩余股权视同自取得时即采用权益法核算进行调整；处置后的剩余</w:t>
      </w:r>
      <w:r>
        <w:rPr>
          <w:spacing w:val="-113"/>
        </w:rPr>
        <w:t> </w:t>
      </w:r>
      <w:r>
        <w:rPr>
          <w:spacing w:val="-113"/>
        </w:rPr>
      </w:r>
      <w:r>
        <w:rPr/>
        <w:t>股权不能对被投资单位实施共同控制或施加重大影响的，改按可供出售金融资产的有关规定 进行会计处理，处置股权账面价值和处置对价的差额计入投资收益，剩余股权在丧失控制之 日的公允价值与账面价值间的差额计入当期投资损益。</w:t>
      </w:r>
    </w:p>
    <w:p>
      <w:pPr>
        <w:spacing w:line="240" w:lineRule="auto" w:before="5"/>
        <w:rPr>
          <w:rFonts w:ascii="宋体" w:hAnsi="宋体" w:cs="宋体" w:eastAsia="宋体" w:hint="default"/>
          <w:sz w:val="21"/>
          <w:szCs w:val="21"/>
        </w:rPr>
      </w:pPr>
    </w:p>
    <w:p>
      <w:pPr>
        <w:spacing w:before="0"/>
        <w:ind w:left="214" w:right="0" w:firstLine="0"/>
        <w:jc w:val="both"/>
        <w:rPr>
          <w:rFonts w:ascii="宋体" w:hAnsi="宋体" w:cs="宋体" w:eastAsia="宋体" w:hint="default"/>
          <w:sz w:val="21"/>
          <w:szCs w:val="21"/>
        </w:rPr>
      </w:pPr>
      <w:bookmarkStart w:name="15、投资性房地产" w:id="189"/>
      <w:bookmarkEnd w:id="189"/>
      <w:r>
        <w:rPr/>
      </w:r>
      <w:r>
        <w:rPr>
          <w:rFonts w:ascii="宋体" w:hAnsi="宋体" w:cs="宋体" w:eastAsia="宋体" w:hint="default"/>
          <w:b/>
          <w:bCs/>
          <w:sz w:val="21"/>
          <w:szCs w:val="21"/>
        </w:rPr>
        <w:t>15</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3"/>
        <w:ind w:left="694" w:right="7872"/>
        <w:jc w:val="left"/>
      </w:pPr>
      <w:r>
        <w:rPr/>
        <w:t>投资性房地产计量模式 成本法计量 折旧或摊销方法</w:t>
      </w:r>
    </w:p>
    <w:p>
      <w:pPr>
        <w:pStyle w:val="BodyText"/>
        <w:spacing w:line="432" w:lineRule="auto" w:before="59"/>
        <w:ind w:left="694" w:right="1120"/>
        <w:jc w:val="left"/>
      </w:pPr>
      <w:r>
        <w:rPr/>
        <w:t>本集团投资性房地产包括已出租的房屋建筑物。 本集团对投资性房地产采用成本模式进行后续计量，按其预计使用寿命及净残值率采用</w:t>
      </w:r>
    </w:p>
    <w:p>
      <w:pPr>
        <w:pStyle w:val="BodyText"/>
        <w:spacing w:line="277" w:lineRule="exact"/>
        <w:ind w:left="214" w:right="0"/>
        <w:jc w:val="both"/>
      </w:pPr>
      <w:r>
        <w:rPr/>
        <w:t>平均年限法计提折旧。投资性房地产的预计使用寿命、净残值率及年折旧率如下：</w:t>
      </w:r>
    </w:p>
    <w:p>
      <w:pPr>
        <w:spacing w:line="240" w:lineRule="auto" w:before="4"/>
        <w:rPr>
          <w:rFonts w:ascii="宋体" w:hAnsi="宋体" w:cs="宋体" w:eastAsia="宋体"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2876"/>
        <w:gridCol w:w="2328"/>
        <w:gridCol w:w="2601"/>
        <w:gridCol w:w="2051"/>
      </w:tblGrid>
      <w:tr>
        <w:trPr>
          <w:trHeight w:val="402" w:hRule="exact"/>
        </w:trPr>
        <w:tc>
          <w:tcPr>
            <w:tcW w:w="2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23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折旧年限（年）</w:t>
            </w:r>
          </w:p>
        </w:tc>
        <w:tc>
          <w:tcPr>
            <w:tcW w:w="26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预计残值率（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2"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10-50</w:t>
            </w:r>
          </w:p>
        </w:tc>
        <w:tc>
          <w:tcPr>
            <w:tcW w:w="2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4-5</w:t>
            </w:r>
          </w:p>
        </w:tc>
        <w:tc>
          <w:tcPr>
            <w:tcW w:w="2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1.90-9.60</w:t>
            </w:r>
          </w:p>
        </w:tc>
      </w:tr>
    </w:tbl>
    <w:p>
      <w:pPr>
        <w:spacing w:line="240" w:lineRule="auto" w:before="11"/>
        <w:rPr>
          <w:rFonts w:ascii="宋体" w:hAnsi="宋体" w:cs="宋体" w:eastAsia="宋体" w:hint="default"/>
          <w:sz w:val="8"/>
          <w:szCs w:val="8"/>
        </w:rPr>
      </w:pPr>
    </w:p>
    <w:p>
      <w:pPr>
        <w:pStyle w:val="BodyText"/>
        <w:spacing w:line="357" w:lineRule="auto" w:before="26"/>
        <w:ind w:left="214" w:right="1139" w:firstLine="480"/>
        <w:jc w:val="both"/>
      </w:pPr>
      <w:r>
        <w:rPr/>
        <w:t>当投资性房地产的用途改变为自用时，则自改变之日起，将该投资性房地产转换为固定 资产或无形资产。自用房地产的用途改变为赚取租金或资本增值时，则自改变之日起，将固 定资产或无形资产转换为投资性房地产。发生转换时，以转换前的账面价值作为转换后的入 账价值。</w:t>
      </w:r>
    </w:p>
    <w:p>
      <w:pPr>
        <w:pStyle w:val="BodyText"/>
        <w:spacing w:line="357" w:lineRule="auto" w:before="134"/>
        <w:ind w:left="214" w:right="1139" w:firstLine="480"/>
        <w:jc w:val="both"/>
      </w:pPr>
      <w:r>
        <w:rPr/>
        <w:t>当投资性房地产被处置，或者永久退出使用且预计不能从其处置中取得经济利益时，终 止确认该项投资性房地产。投资性房地产出售、转让、报废或毁损的处置收入扣除其账面价 值和相关税费后的金额计入当期损益。</w:t>
      </w:r>
    </w:p>
    <w:p>
      <w:pPr>
        <w:spacing w:line="240" w:lineRule="auto" w:before="5"/>
        <w:rPr>
          <w:rFonts w:ascii="宋体" w:hAnsi="宋体" w:cs="宋体" w:eastAsia="宋体" w:hint="default"/>
          <w:sz w:val="21"/>
          <w:szCs w:val="21"/>
        </w:rPr>
      </w:pPr>
    </w:p>
    <w:p>
      <w:pPr>
        <w:spacing w:before="0"/>
        <w:ind w:left="214" w:right="1120" w:firstLine="0"/>
        <w:jc w:val="left"/>
        <w:rPr>
          <w:rFonts w:ascii="宋体" w:hAnsi="宋体" w:cs="宋体" w:eastAsia="宋体" w:hint="default"/>
          <w:sz w:val="21"/>
          <w:szCs w:val="21"/>
        </w:rPr>
      </w:pPr>
      <w:bookmarkStart w:name="16、固定资产" w:id="190"/>
      <w:bookmarkEnd w:id="190"/>
      <w:r>
        <w:rPr/>
      </w:r>
      <w:r>
        <w:rPr>
          <w:rFonts w:ascii="宋体" w:hAnsi="宋体" w:cs="宋体" w:eastAsia="宋体" w:hint="default"/>
          <w:b/>
          <w:bCs/>
          <w:sz w:val="21"/>
          <w:szCs w:val="21"/>
        </w:rPr>
        <w:t>16</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214" w:right="1120" w:firstLine="0"/>
        <w:jc w:val="left"/>
        <w:rPr>
          <w:rFonts w:ascii="宋体" w:hAnsi="宋体" w:cs="宋体" w:eastAsia="宋体" w:hint="default"/>
          <w:sz w:val="21"/>
          <w:szCs w:val="21"/>
        </w:rPr>
      </w:pPr>
      <w:bookmarkStart w:name="（1）确认条件" w:id="191"/>
      <w:bookmarkEnd w:id="191"/>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）确认条件</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left="214" w:right="1139" w:firstLine="480"/>
        <w:jc w:val="both"/>
      </w:pPr>
      <w:r>
        <w:rPr/>
        <w:t>固定资产是指为生产商品、提供劳务、出租或经营管理而持有，使用期限超过一年的有 形资产；同时与该固定资产有关的经济利益很可能流入企业，该固定资产的成本能够可靠地 计量。</w:t>
      </w:r>
    </w:p>
    <w:p>
      <w:pPr>
        <w:spacing w:after="0" w:line="357" w:lineRule="auto"/>
        <w:jc w:val="both"/>
        <w:sectPr>
          <w:pgSz w:w="11910" w:h="16840"/>
          <w:pgMar w:header="877" w:footer="979" w:top="1100" w:bottom="1160" w:left="92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折旧方法" w:id="192"/>
      <w:bookmarkEnd w:id="192"/>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）折旧方法</w:t>
      </w:r>
      <w:r>
        <w:rPr>
          <w:rFonts w:ascii="宋体" w:hAnsi="宋体" w:cs="宋体" w:eastAsia="宋体" w:hint="default"/>
          <w:sz w:val="21"/>
          <w:szCs w:val="21"/>
        </w:rPr>
      </w:r>
    </w:p>
    <w:p>
      <w:pPr>
        <w:spacing w:line="240" w:lineRule="auto" w:before="13"/>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办公及其他设备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10-25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1.90-9.60%</w:t>
            </w:r>
          </w:p>
        </w:tc>
      </w:tr>
    </w:tbl>
    <w:p>
      <w:pPr>
        <w:spacing w:line="240" w:lineRule="auto" w:before="2"/>
        <w:rPr>
          <w:rFonts w:ascii="宋体" w:hAnsi="宋体" w:cs="宋体" w:eastAsia="宋体" w:hint="default"/>
          <w:b/>
          <w:bCs/>
          <w:sz w:val="19"/>
          <w:szCs w:val="19"/>
        </w:rPr>
      </w:pPr>
    </w:p>
    <w:p>
      <w:pPr>
        <w:spacing w:before="35"/>
        <w:ind w:left="154" w:right="1092" w:firstLine="0"/>
        <w:jc w:val="left"/>
        <w:rPr>
          <w:rFonts w:ascii="宋体" w:hAnsi="宋体" w:cs="宋体" w:eastAsia="宋体" w:hint="default"/>
          <w:sz w:val="21"/>
          <w:szCs w:val="21"/>
        </w:rPr>
      </w:pPr>
      <w:bookmarkStart w:name="（3）融资租入固定资产的认定依据、计价和折旧方法" w:id="193"/>
      <w:bookmarkEnd w:id="193"/>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）融资租入固定资产的认定依据、计价和折旧方法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7、在建工程" w:id="194"/>
      <w:bookmarkEnd w:id="194"/>
      <w:r>
        <w:rPr/>
      </w:r>
      <w:r>
        <w:rPr>
          <w:rFonts w:ascii="宋体" w:hAnsi="宋体" w:cs="宋体" w:eastAsia="宋体" w:hint="default"/>
          <w:b/>
          <w:bCs/>
          <w:sz w:val="21"/>
          <w:szCs w:val="21"/>
        </w:rPr>
        <w:t>17</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8、借款费用" w:id="195"/>
      <w:bookmarkEnd w:id="195"/>
      <w:r>
        <w:rPr/>
      </w:r>
      <w:r>
        <w:rPr>
          <w:rFonts w:ascii="宋体" w:hAnsi="宋体" w:cs="宋体" w:eastAsia="宋体" w:hint="default"/>
          <w:b/>
          <w:bCs/>
          <w:sz w:val="21"/>
          <w:szCs w:val="21"/>
        </w:rPr>
        <w:t>18</w:t>
      </w:r>
      <w:r>
        <w:rPr>
          <w:rFonts w:ascii="宋体" w:hAnsi="宋体" w:cs="宋体" w:eastAsia="宋体" w:hint="default"/>
          <w:b/>
          <w:bCs/>
          <w:sz w:val="21"/>
          <w:szCs w:val="21"/>
        </w:rPr>
        <w:t>、借款费用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1139" w:firstLine="480"/>
        <w:jc w:val="both"/>
      </w:pPr>
      <w:r>
        <w:rPr/>
        <w:t>借款费用包括借款利息、折价或溢价的摊销、辅助费用以及因外币借款而发生的汇兑差 额等。可直接归属于符合资本化条件的资产的购建或者生产的借款费用，在资产支出已经发 生、借款费用已经发生、为使资产达到预定可使用或可销售状态所必要的购建或生产活动已 经开始时，开始资本化；当购建或生产符合资本化条件的资产达到预定可使用或可销售状态 时，停止资本化。其余借款费用在发生当期确认为费用。</w:t>
      </w:r>
    </w:p>
    <w:p>
      <w:pPr>
        <w:pStyle w:val="BodyText"/>
        <w:spacing w:line="357" w:lineRule="auto" w:before="134"/>
        <w:ind w:right="1135" w:firstLine="480"/>
        <w:jc w:val="both"/>
      </w:pPr>
      <w:r>
        <w:rPr/>
        <w:t>专门借款当期实际发生的利息费用，扣除尚未动用的借款资金存入银行取得的利息收入 或进行暂时性投资取得的投资收益后的金额予以资本化；一般借款根据累计资产支出超过专</w:t>
      </w:r>
      <w:r>
        <w:rPr>
          <w:spacing w:val="-116"/>
        </w:rPr>
        <w:t> </w:t>
      </w:r>
      <w:r>
        <w:rPr>
          <w:spacing w:val="-116"/>
        </w:rPr>
      </w:r>
      <w:r>
        <w:rPr/>
        <w:t>门借款部分的资产支出加权平均数乘以所占用一般借款的加权平均利率，确定资本化金额。 资本化率根据一般借款加权平均利率计算确定。</w:t>
      </w:r>
    </w:p>
    <w:p>
      <w:pPr>
        <w:pStyle w:val="BodyText"/>
        <w:spacing w:line="357" w:lineRule="auto" w:before="134"/>
        <w:ind w:right="1130" w:firstLine="480"/>
        <w:jc w:val="both"/>
      </w:pPr>
      <w:r>
        <w:rPr/>
        <w:t>符合资本化条件的资产，是指需要经过相当长时间（通常指 </w:t>
      </w:r>
      <w:r>
        <w:rPr>
          <w:rFonts w:ascii="宋体" w:hAnsi="宋体" w:cs="宋体" w:eastAsia="宋体" w:hint="default"/>
        </w:rPr>
        <w:t>1</w:t>
      </w:r>
      <w:r>
        <w:rPr>
          <w:rFonts w:ascii="宋体" w:hAnsi="宋体" w:cs="宋体" w:eastAsia="宋体" w:hint="default"/>
          <w:spacing w:val="-81"/>
        </w:rPr>
        <w:t> </w:t>
      </w:r>
      <w:r>
        <w:rPr/>
        <w:t>年以上）的购建或者生产 活动才能达到预定可使用或者可销售状态的固定资产、投资性房地产和存货等资产。</w:t>
      </w:r>
    </w:p>
    <w:p>
      <w:pPr>
        <w:pStyle w:val="BodyText"/>
        <w:spacing w:line="357" w:lineRule="auto" w:before="136"/>
        <w:ind w:right="1140" w:firstLine="480"/>
        <w:jc w:val="both"/>
      </w:pPr>
      <w:r>
        <w:rPr/>
        <w:t>如果符合资本化条件的资产在购建或者生产过程中发生非正常中断、且中断时间连续超 过</w:t>
      </w:r>
      <w:r>
        <w:rPr>
          <w:spacing w:val="-60"/>
        </w:rPr>
        <w:t> </w:t>
      </w:r>
      <w:r>
        <w:rPr>
          <w:rFonts w:ascii="宋体" w:hAnsi="宋体" w:cs="宋体" w:eastAsia="宋体" w:hint="default"/>
        </w:rPr>
        <w:t>3</w:t>
      </w:r>
      <w:r>
        <w:rPr>
          <w:rFonts w:ascii="宋体" w:hAnsi="宋体" w:cs="宋体" w:eastAsia="宋体" w:hint="default"/>
          <w:spacing w:val="-60"/>
        </w:rPr>
        <w:t> </w:t>
      </w:r>
      <w:r>
        <w:rPr/>
        <w:t>个月，暂停借款费用的资本化，直至资产的购建或生产活动重新开始。</w:t>
      </w:r>
    </w:p>
    <w:p>
      <w:pPr>
        <w:spacing w:line="240" w:lineRule="auto" w:before="6"/>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19、生物资产" w:id="196"/>
      <w:bookmarkEnd w:id="196"/>
      <w:r>
        <w:rPr/>
      </w:r>
      <w:r>
        <w:rPr>
          <w:rFonts w:ascii="宋体" w:hAnsi="宋体" w:cs="宋体" w:eastAsia="宋体" w:hint="default"/>
          <w:b/>
          <w:bCs/>
          <w:sz w:val="21"/>
          <w:szCs w:val="21"/>
        </w:rPr>
        <w:t>19</w:t>
      </w:r>
      <w:r>
        <w:rPr>
          <w:rFonts w:ascii="宋体" w:hAnsi="宋体" w:cs="宋体" w:eastAsia="宋体" w:hint="default"/>
          <w:b/>
          <w:bCs/>
          <w:sz w:val="21"/>
          <w:szCs w:val="21"/>
        </w:rPr>
        <w:t>、生物资产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不适用。</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0、油气资产" w:id="197"/>
      <w:bookmarkEnd w:id="197"/>
      <w:r>
        <w:rPr/>
      </w:r>
      <w:r>
        <w:rPr>
          <w:rFonts w:ascii="宋体" w:hAnsi="宋体" w:cs="宋体" w:eastAsia="宋体" w:hint="default"/>
          <w:b/>
          <w:bCs/>
          <w:sz w:val="21"/>
          <w:szCs w:val="21"/>
        </w:rPr>
        <w:t>20</w:t>
      </w:r>
      <w:r>
        <w:rPr>
          <w:rFonts w:ascii="宋体" w:hAnsi="宋体" w:cs="宋体" w:eastAsia="宋体" w:hint="default"/>
          <w:b/>
          <w:bCs/>
          <w:sz w:val="21"/>
          <w:szCs w:val="21"/>
        </w:rPr>
        <w:t>、油气资产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不适用。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1、无形资产" w:id="198"/>
      <w:bookmarkEnd w:id="198"/>
      <w:r>
        <w:rPr/>
      </w:r>
      <w:r>
        <w:rPr>
          <w:rFonts w:ascii="宋体" w:hAnsi="宋体" w:cs="宋体" w:eastAsia="宋体" w:hint="default"/>
          <w:b/>
          <w:bCs/>
          <w:sz w:val="21"/>
          <w:szCs w:val="21"/>
        </w:rPr>
        <w:t>21</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计价方法、使用寿命、减值测试" w:id="199"/>
      <w:bookmarkEnd w:id="199"/>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）计价方法、使用寿命、减值测试</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9" w:firstLine="480"/>
        <w:jc w:val="both"/>
      </w:pPr>
      <w:r>
        <w:rPr/>
        <w:t>无形资产的计价方法：本集团的无形资产主要是买断版权、软件使用权、非专利技术。 购入的无形资产，按实际支付的价款和相关的其他支出作为实际成本。投资者投入的无形资 产，按投资合同或协议约定的价值确定实际成本，但合同或协议约定价值不公允的，按公允 价值确定实际成本。</w:t>
      </w:r>
    </w:p>
    <w:p>
      <w:pPr>
        <w:pStyle w:val="BodyText"/>
        <w:spacing w:line="357" w:lineRule="auto" w:before="136"/>
        <w:ind w:right="1139" w:firstLine="480"/>
        <w:jc w:val="both"/>
      </w:pPr>
      <w:r>
        <w:rPr/>
        <w:t>本集团的版权分为买断版权和分成版权，本集团将买断版权作为无形资产管理，并在受 益年限内摊销。分成版权在该版权形成收入的当期，按合同约定的分成方式计提版税，记入 当期损益。</w:t>
      </w:r>
    </w:p>
    <w:p>
      <w:pPr>
        <w:pStyle w:val="BodyText"/>
        <w:spacing w:line="357" w:lineRule="auto" w:before="134"/>
        <w:ind w:right="1137" w:firstLine="480"/>
        <w:jc w:val="both"/>
      </w:pPr>
      <w:r>
        <w:rPr/>
        <w:t>无形资产摊销方法和期限：本集团买断版权如有合同约定使用年限的，按合同约定的使 用年限摊销；如合同未约定使用年限的，按预计受益年限摊销。软件使用权和非专利技术按 预计受益年限摊销。摊销金额按其受益对象计入相关资产成本和当期损益。</w:t>
      </w:r>
    </w:p>
    <w:p>
      <w:pPr>
        <w:pStyle w:val="BodyText"/>
        <w:spacing w:line="357" w:lineRule="auto" w:before="134"/>
        <w:ind w:right="1139" w:firstLine="480"/>
        <w:jc w:val="both"/>
      </w:pPr>
      <w:r>
        <w:rPr/>
        <w:t>本集团于每年年度终了，对使用寿命有限的无形资产的预计使用寿命及摊销方法进行复 核，如发生改变，则作为会计估计变更处理。本集团于每个会计期间，对使用寿命不确定的 无形资产的预计使用寿命进行复核，如有证据表明无形资产的使用寿命是有限的，则估计其 使用寿命并在预计使用寿命内摊销。</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内部研究开发支出会计政策" w:id="200"/>
      <w:bookmarkEnd w:id="200"/>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）内部研究开发支出会计政策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1137" w:firstLine="480"/>
        <w:jc w:val="both"/>
      </w:pPr>
      <w:r>
        <w:rPr/>
        <w:t>本集团内部研究开发项目支出根据其性质以及研发活动最终形成无形资产是否具有较大 不确定性，分为研究阶段支出和开发阶段支出。</w:t>
      </w:r>
    </w:p>
    <w:p>
      <w:pPr>
        <w:pStyle w:val="BodyText"/>
        <w:spacing w:line="357" w:lineRule="auto" w:before="136"/>
        <w:ind w:right="1131" w:firstLine="480"/>
        <w:jc w:val="both"/>
      </w:pPr>
      <w:r>
        <w:rPr/>
        <w:t>自行研究开发的无形资产，其研究阶段的支出，于发生时计入当期损益；其开发阶段的 </w:t>
      </w:r>
      <w:r>
        <w:rPr>
          <w:spacing w:val="-3"/>
        </w:rPr>
        <w:t>支出，同时满足下列条件的，确认为无形资产：</w:t>
      </w:r>
      <w:r>
        <w:rPr>
          <w:rFonts w:ascii="宋体" w:hAnsi="宋体" w:cs="宋体" w:eastAsia="宋体" w:hint="default"/>
          <w:spacing w:val="-3"/>
        </w:rPr>
        <w:t>1</w:t>
      </w:r>
      <w:r>
        <w:rPr>
          <w:spacing w:val="-3"/>
        </w:rPr>
        <w:t>）完成该无形资产以使其能够使用或出售在</w:t>
      </w:r>
      <w:r>
        <w:rPr>
          <w:spacing w:val="-80"/>
        </w:rPr>
        <w:t> </w:t>
      </w:r>
      <w:r>
        <w:rPr>
          <w:spacing w:val="-80"/>
        </w:rPr>
      </w:r>
      <w:r>
        <w:rPr/>
        <w:t>技术上具有可行性；</w:t>
      </w:r>
      <w:r>
        <w:rPr>
          <w:rFonts w:ascii="宋体" w:hAnsi="宋体" w:cs="宋体" w:eastAsia="宋体" w:hint="default"/>
        </w:rPr>
        <w:t>2</w:t>
      </w:r>
      <w:r>
        <w:rPr/>
        <w:t>）具有完成该无形资产并使用或出售的意图；</w:t>
      </w:r>
      <w:r>
        <w:rPr>
          <w:rFonts w:ascii="宋体" w:hAnsi="宋体" w:cs="宋体" w:eastAsia="宋体" w:hint="default"/>
        </w:rPr>
        <w:t>3</w:t>
      </w:r>
      <w:r>
        <w:rPr/>
        <w:t>）运用该无形资产生产</w:t>
      </w:r>
      <w:r>
        <w:rPr>
          <w:spacing w:val="-113"/>
        </w:rPr>
        <w:t> </w:t>
      </w:r>
      <w:r>
        <w:rPr>
          <w:spacing w:val="-3"/>
        </w:rPr>
        <w:t>的产品存在市场或无形资产自身存在市场；</w:t>
      </w:r>
      <w:r>
        <w:rPr>
          <w:rFonts w:ascii="宋体" w:hAnsi="宋体" w:cs="宋体" w:eastAsia="宋体" w:hint="default"/>
          <w:spacing w:val="-3"/>
        </w:rPr>
        <w:t>4</w:t>
      </w:r>
      <w:r>
        <w:rPr>
          <w:spacing w:val="-3"/>
        </w:rPr>
        <w:t>）有足够的技术、财务资源和其他资源支持，以</w:t>
      </w:r>
      <w:r>
        <w:rPr>
          <w:spacing w:val="-80"/>
        </w:rPr>
        <w:t> </w:t>
      </w:r>
      <w:r>
        <w:rPr>
          <w:spacing w:val="-80"/>
        </w:rPr>
      </w:r>
      <w:r>
        <w:rPr>
          <w:spacing w:val="-3"/>
        </w:rPr>
        <w:t>完成该无形资产的开发，并有能力使用或出售该无形资产；</w:t>
      </w:r>
      <w:r>
        <w:rPr>
          <w:rFonts w:ascii="宋体" w:hAnsi="宋体" w:cs="宋体" w:eastAsia="宋体" w:hint="default"/>
          <w:spacing w:val="-3"/>
        </w:rPr>
        <w:t>5</w:t>
      </w:r>
      <w:r>
        <w:rPr>
          <w:spacing w:val="-3"/>
        </w:rPr>
        <w:t>）归属于该无形资产开发阶段的</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2" w:lineRule="auto" w:before="26"/>
        <w:ind w:left="634" w:right="1092" w:hanging="480"/>
        <w:jc w:val="left"/>
      </w:pPr>
      <w:r>
        <w:rPr/>
        <w:t>支出能够可靠地计量。 不满足上述条件的开发阶段的支出，于发生时计入当期损益。前期已计入损益的开发支</w:t>
      </w:r>
    </w:p>
    <w:p>
      <w:pPr>
        <w:pStyle w:val="BodyText"/>
        <w:spacing w:line="276" w:lineRule="exact"/>
        <w:ind w:right="1092"/>
        <w:jc w:val="left"/>
      </w:pPr>
      <w:r>
        <w:rPr/>
        <w:t>出以后期间不再确认为资产。已资本化的开发阶段的支出在资产负债表上列示为开发支出，</w:t>
      </w:r>
    </w:p>
    <w:p>
      <w:pPr>
        <w:pStyle w:val="BodyText"/>
        <w:spacing w:line="240" w:lineRule="auto" w:before="155"/>
        <w:ind w:right="1092"/>
        <w:jc w:val="left"/>
      </w:pPr>
      <w:r>
        <w:rPr/>
        <w:t>自该项目达到预定可使用状态之日起转为无形资产列报。</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2、长期资产减值" w:id="201"/>
      <w:bookmarkEnd w:id="201"/>
      <w:r>
        <w:rPr/>
      </w:r>
      <w:r>
        <w:rPr>
          <w:rFonts w:ascii="宋体" w:hAnsi="宋体" w:cs="宋体" w:eastAsia="宋体" w:hint="default"/>
          <w:b/>
          <w:bCs/>
          <w:sz w:val="21"/>
          <w:szCs w:val="21"/>
        </w:rPr>
        <w:t>22</w:t>
      </w:r>
      <w:r>
        <w:rPr>
          <w:rFonts w:ascii="宋体" w:hAnsi="宋体" w:cs="宋体" w:eastAsia="宋体" w:hint="default"/>
          <w:b/>
          <w:bCs/>
          <w:sz w:val="21"/>
          <w:szCs w:val="21"/>
        </w:rPr>
        <w:t>、长期资产减值</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9" w:firstLine="480"/>
        <w:jc w:val="both"/>
      </w:pPr>
      <w:r>
        <w:rPr/>
        <w:t>本集团于每一资产负债表日对长期股权投资、固定资产、使用寿命确定的无形资产等项 目进行检查，当存在下列迹象时，表明资产可能发生了减值，本集团将进行减值测试；对商 誉和受益年限不确定的无形资产，无论是否存在减值迹象，每年末均进行减值测试。难以对 单项资产的可收回金额进行测试的，以该资产所属的资产组或资产组组合为基础测试。</w:t>
      </w:r>
    </w:p>
    <w:p>
      <w:pPr>
        <w:pStyle w:val="BodyText"/>
        <w:spacing w:line="357" w:lineRule="auto" w:before="136"/>
        <w:ind w:right="1139" w:firstLine="480"/>
        <w:jc w:val="both"/>
      </w:pPr>
      <w:r>
        <w:rPr/>
        <w:t>减值测试后，若该资产的账面价值超过其可收回金额，其差额确认为减值损失，上述资 产的减值损失一经确认，在以后会计期间不予转回。资产的可收回金额是指资产的公允价值 减去处置费用后的净额与资产预计未来现金流量的现值两者之间的较高者。</w:t>
      </w:r>
    </w:p>
    <w:p>
      <w:pPr>
        <w:pStyle w:val="BodyText"/>
        <w:spacing w:line="357" w:lineRule="auto" w:before="134"/>
        <w:ind w:right="994" w:firstLine="480"/>
        <w:jc w:val="left"/>
      </w:pPr>
      <w:r>
        <w:rPr/>
        <w:t>出现减值的迹象如下：</w:t>
      </w:r>
      <w:r>
        <w:rPr>
          <w:rFonts w:ascii="宋体" w:hAnsi="宋体" w:cs="宋体" w:eastAsia="宋体" w:hint="default"/>
        </w:rPr>
        <w:t>1)</w:t>
      </w:r>
      <w:r>
        <w:rPr/>
        <w:t>资产的市价当期大幅度下跌，其跌幅明显高于因时间的推移或 者正常使用而预计的下跌；</w:t>
      </w:r>
      <w:r>
        <w:rPr>
          <w:rFonts w:ascii="宋体" w:hAnsi="宋体" w:cs="宋体" w:eastAsia="宋体" w:hint="default"/>
        </w:rPr>
        <w:t>2)</w:t>
      </w:r>
      <w:r>
        <w:rPr/>
        <w:t>本集团经营所处的经济、技术或者法律等环境以及资产所处的</w:t>
      </w:r>
      <w:r>
        <w:rPr>
          <w:spacing w:val="-116"/>
        </w:rPr>
        <w:t> </w:t>
      </w:r>
      <w:r>
        <w:rPr/>
        <w:t>市场在当期或者将在近期发生重大变化，从而对本集团产生不利影响；</w:t>
      </w:r>
      <w:r>
        <w:rPr>
          <w:rFonts w:ascii="宋体" w:hAnsi="宋体" w:cs="宋体" w:eastAsia="宋体" w:hint="default"/>
        </w:rPr>
        <w:t>3)</w:t>
      </w:r>
      <w:r>
        <w:rPr/>
        <w:t>市场利率或者其他</w:t>
      </w:r>
      <w:r>
        <w:rPr>
          <w:spacing w:val="-111"/>
        </w:rPr>
        <w:t> </w:t>
      </w:r>
      <w:r>
        <w:rPr>
          <w:spacing w:val="-2"/>
        </w:rPr>
        <w:t>市场投资报酬率在当期已经提高，从而影响本集团计算资产预计未来现金流量现值的折现率，</w:t>
      </w:r>
      <w:r>
        <w:rPr/>
        <w:t> 导致资产可收回金额大幅度降低；</w:t>
      </w:r>
      <w:r>
        <w:rPr>
          <w:rFonts w:ascii="宋体" w:hAnsi="宋体" w:cs="宋体" w:eastAsia="宋体" w:hint="default"/>
        </w:rPr>
        <w:t>4)</w:t>
      </w:r>
      <w:r>
        <w:rPr/>
        <w:t>有证据表明资产已经陈旧过时或者其实体已经损坏；</w:t>
      </w:r>
      <w:r>
        <w:rPr>
          <w:rFonts w:ascii="宋体" w:hAnsi="宋体" w:cs="宋体" w:eastAsia="宋体" w:hint="default"/>
        </w:rPr>
        <w:t>5)</w:t>
      </w:r>
      <w:r>
        <w:rPr>
          <w:rFonts w:ascii="宋体" w:hAnsi="宋体" w:cs="宋体" w:eastAsia="宋体" w:hint="default"/>
          <w:spacing w:val="-111"/>
        </w:rPr>
        <w:t> </w:t>
      </w:r>
      <w:r>
        <w:rPr/>
        <w:t>资产已经或者将被闲置、终止使用或者计划提前处置；</w:t>
      </w:r>
      <w:r>
        <w:rPr>
          <w:rFonts w:ascii="宋体" w:hAnsi="宋体" w:cs="宋体" w:eastAsia="宋体" w:hint="default"/>
        </w:rPr>
        <w:t>6)</w:t>
      </w:r>
      <w:r>
        <w:rPr/>
        <w:t>本集团内部报告的证据表明资产的</w:t>
      </w:r>
      <w:r>
        <w:rPr>
          <w:spacing w:val="-114"/>
        </w:rPr>
        <w:t> </w:t>
      </w:r>
      <w:r>
        <w:rPr/>
        <w:t>经济绩效已经低于或者将低于预期，如资产所创造的净现金流量或者实现的营业利润（或者 亏损）远远低于（或者高于）预计金额等；</w:t>
      </w:r>
      <w:r>
        <w:rPr>
          <w:rFonts w:ascii="宋体" w:hAnsi="宋体" w:cs="宋体" w:eastAsia="宋体" w:hint="default"/>
        </w:rPr>
        <w:t>7)</w:t>
      </w:r>
      <w:r>
        <w:rPr/>
        <w:t>其他表明资产可能已经发生减值的迹象。</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3、长期待摊费用" w:id="202"/>
      <w:bookmarkEnd w:id="202"/>
      <w:r>
        <w:rPr/>
      </w:r>
      <w:r>
        <w:rPr>
          <w:rFonts w:ascii="宋体" w:hAnsi="宋体" w:cs="宋体" w:eastAsia="宋体" w:hint="default"/>
          <w:b/>
          <w:bCs/>
          <w:sz w:val="21"/>
          <w:szCs w:val="21"/>
        </w:rPr>
        <w:t>23</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本集团的长期待摊费用是指已经支出，但应由当期及以后各期承担的、摊销期在 </w:t>
      </w:r>
      <w:r>
        <w:rPr>
          <w:rFonts w:ascii="宋体" w:hAnsi="宋体" w:cs="宋体" w:eastAsia="宋体" w:hint="default"/>
        </w:rPr>
        <w:t>1</w:t>
      </w:r>
      <w:r>
        <w:rPr>
          <w:rFonts w:ascii="宋体" w:hAnsi="宋体" w:cs="宋体" w:eastAsia="宋体" w:hint="default"/>
          <w:spacing w:val="-81"/>
        </w:rPr>
        <w:t> </w:t>
      </w:r>
      <w:r>
        <w:rPr/>
        <w:t>年以</w:t>
      </w:r>
    </w:p>
    <w:p>
      <w:pPr>
        <w:pStyle w:val="BodyText"/>
        <w:spacing w:line="357" w:lineRule="auto" w:before="154"/>
        <w:ind w:right="1114"/>
        <w:jc w:val="left"/>
      </w:pPr>
      <w:r>
        <w:rPr/>
        <w:t>上</w:t>
      </w:r>
      <w:r>
        <w:rPr>
          <w:rFonts w:ascii="宋体" w:hAnsi="宋体" w:cs="宋体" w:eastAsia="宋体" w:hint="default"/>
        </w:rPr>
        <w:t>(</w:t>
      </w:r>
      <w:r>
        <w:rPr/>
        <w:t>不含</w:t>
      </w:r>
      <w:r>
        <w:rPr>
          <w:spacing w:val="-50"/>
        </w:rPr>
        <w:t> </w:t>
      </w:r>
      <w:r>
        <w:rPr>
          <w:rFonts w:ascii="宋体" w:hAnsi="宋体" w:cs="宋体" w:eastAsia="宋体" w:hint="default"/>
        </w:rPr>
        <w:t>1</w:t>
      </w:r>
      <w:r>
        <w:rPr>
          <w:rFonts w:ascii="宋体" w:hAnsi="宋体" w:cs="宋体" w:eastAsia="宋体" w:hint="default"/>
          <w:spacing w:val="-51"/>
        </w:rPr>
        <w:t> </w:t>
      </w:r>
      <w:r>
        <w:rPr/>
        <w:t>年</w:t>
      </w:r>
      <w:r>
        <w:rPr>
          <w:rFonts w:ascii="宋体" w:hAnsi="宋体" w:cs="宋体" w:eastAsia="宋体" w:hint="default"/>
        </w:rPr>
        <w:t>)</w:t>
      </w:r>
      <w:r>
        <w:rPr/>
        <w:t>的办公室装修费用，该类费用在</w:t>
      </w:r>
      <w:r>
        <w:rPr>
          <w:spacing w:val="-50"/>
        </w:rPr>
        <w:t> </w:t>
      </w:r>
      <w:r>
        <w:rPr>
          <w:rFonts w:ascii="宋体" w:hAnsi="宋体" w:cs="宋体" w:eastAsia="宋体" w:hint="default"/>
        </w:rPr>
        <w:t>3</w:t>
      </w:r>
      <w:r>
        <w:rPr>
          <w:rFonts w:ascii="宋体" w:hAnsi="宋体" w:cs="宋体" w:eastAsia="宋体" w:hint="default"/>
          <w:spacing w:val="-51"/>
        </w:rPr>
        <w:t> </w:t>
      </w:r>
      <w:r>
        <w:rPr/>
        <w:t>年内平均摊销。如果长期待摊费用项目不能 使以后会计期间受益，则将尚未摊销的该项目的摊余价值全部转入当期损益。</w:t>
      </w:r>
    </w:p>
    <w:p>
      <w:pPr>
        <w:spacing w:after="0" w:line="357"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4、职工薪酬" w:id="203"/>
      <w:bookmarkEnd w:id="203"/>
      <w:r>
        <w:rPr/>
      </w:r>
      <w:r>
        <w:rPr>
          <w:rFonts w:ascii="宋体" w:hAnsi="宋体" w:cs="宋体" w:eastAsia="宋体" w:hint="default"/>
          <w:b/>
          <w:bCs/>
          <w:sz w:val="21"/>
          <w:szCs w:val="21"/>
        </w:rPr>
        <w:t>24</w:t>
      </w:r>
      <w:r>
        <w:rPr>
          <w:rFonts w:ascii="宋体" w:hAnsi="宋体" w:cs="宋体" w:eastAsia="宋体" w:hint="default"/>
          <w:b/>
          <w:bCs/>
          <w:sz w:val="21"/>
          <w:szCs w:val="21"/>
        </w:rPr>
        <w:t>、职工薪酬</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短期薪酬的会计处理方法" w:id="204"/>
      <w:bookmarkEnd w:id="204"/>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999" w:firstLine="480"/>
        <w:jc w:val="left"/>
      </w:pPr>
      <w:r>
        <w:rPr>
          <w:spacing w:val="-3"/>
        </w:rPr>
        <w:t>短期薪酬主要包括职工工资、奖金、津贴、补贴、职工福利、医疗保险费、工伤保险费、</w:t>
      </w:r>
      <w:r>
        <w:rPr/>
        <w:t> 生育保险费、住房公积金、工会和教育经费等，在职工提供服务的会计期间，将实际发生的 短期薪酬确认为负债，并按照受益对象计入当期损益或相关资产成本。</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离职后福利的会计处理方法" w:id="205"/>
      <w:bookmarkEnd w:id="205"/>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）离职后福利的会计处理方法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1013" w:firstLine="480"/>
        <w:jc w:val="both"/>
      </w:pPr>
      <w:r>
        <w:rPr/>
        <w:t>离职后福利主要包括基本养老保险费、失业保险费等，按照公司承担的风险和义务，分</w:t>
      </w:r>
      <w:r>
        <w:rPr>
          <w:spacing w:val="2"/>
        </w:rPr>
        <w:t> </w:t>
      </w:r>
      <w:r>
        <w:rPr/>
        <w:t>类为设定提存计划。对于设定提存计划，根据在资产负债表日为换取职工在会计期间提供的</w:t>
      </w:r>
      <w:r>
        <w:rPr/>
        <w:t> </w:t>
      </w:r>
      <w:r>
        <w:rPr>
          <w:spacing w:val="-2"/>
        </w:rPr>
        <w:t>服务而向单独主体缴存的提存金确认为负债，并按照受益对象计入当期损益或相关资产成本。</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3）辞退福利的会计处理方法" w:id="206"/>
      <w:bookmarkEnd w:id="206"/>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）辞退福利的会计处理方法</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2" w:firstLine="480"/>
        <w:jc w:val="both"/>
      </w:pPr>
      <w:r>
        <w:rPr/>
        <w:t>本集团在职工劳动合同到期之前解除与职工的劳动关系、或者为鼓励职工自愿接受裁减 而提出给予职工的补偿。本集团向职工提供辞退福利的，在下列两者孰早日确认辞退福利产 </w:t>
      </w:r>
      <w:r>
        <w:rPr>
          <w:spacing w:val="-3"/>
        </w:rPr>
        <w:t>生的负债，并计入当期损益：</w:t>
      </w:r>
      <w:r>
        <w:rPr>
          <w:rFonts w:ascii="宋体" w:hAnsi="宋体" w:cs="宋体" w:eastAsia="宋体" w:hint="default"/>
          <w:spacing w:val="-3"/>
        </w:rPr>
        <w:t>1</w:t>
      </w:r>
      <w:r>
        <w:rPr>
          <w:spacing w:val="-3"/>
        </w:rPr>
        <w:t>）本集团不能单方面撤回因解除劳动关系计划或裁减建议所提</w:t>
      </w:r>
      <w:r>
        <w:rPr>
          <w:spacing w:val="-81"/>
        </w:rPr>
        <w:t> </w:t>
      </w:r>
      <w:r>
        <w:rPr>
          <w:spacing w:val="-81"/>
        </w:rPr>
      </w:r>
      <w:r>
        <w:rPr>
          <w:spacing w:val="-3"/>
        </w:rPr>
        <w:t>供的辞退福利时；</w:t>
      </w:r>
      <w:r>
        <w:rPr>
          <w:rFonts w:ascii="宋体" w:hAnsi="宋体" w:cs="宋体" w:eastAsia="宋体" w:hint="default"/>
          <w:spacing w:val="-3"/>
        </w:rPr>
        <w:t>2</w:t>
      </w:r>
      <w:r>
        <w:rPr>
          <w:spacing w:val="-3"/>
        </w:rPr>
        <w:t>）本集团确认与涉及支付辞退福利的重组相关的成本或费用时。辞退福利</w:t>
      </w:r>
      <w:r>
        <w:rPr>
          <w:spacing w:val="-81"/>
        </w:rPr>
        <w:t> </w:t>
      </w:r>
      <w:r>
        <w:rPr>
          <w:spacing w:val="-81"/>
        </w:rPr>
      </w:r>
      <w:r>
        <w:rPr/>
        <w:t>预期在年度报告期结束后十二个月不能完全支付的，按照其他长期职工薪酬处理。</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4）其他长期职工福利的会计处理方法" w:id="207"/>
      <w:bookmarkEnd w:id="207"/>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）其他长期职工福利的会计处理方法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5、预计负债" w:id="208"/>
      <w:bookmarkEnd w:id="208"/>
      <w:r>
        <w:rPr/>
      </w:r>
      <w:r>
        <w:rPr>
          <w:rFonts w:ascii="宋体" w:hAnsi="宋体" w:cs="宋体" w:eastAsia="宋体" w:hint="default"/>
          <w:b/>
          <w:bCs/>
          <w:sz w:val="21"/>
          <w:szCs w:val="21"/>
        </w:rPr>
        <w:t>25</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2" w:firstLine="480"/>
        <w:jc w:val="both"/>
      </w:pPr>
      <w:r>
        <w:rPr/>
        <w:t>预计负债的确认原则：当与对外担保、商业承兑汇票贴现、未决诉讼或仲裁、产品质量 </w:t>
      </w:r>
      <w:r>
        <w:rPr>
          <w:spacing w:val="-3"/>
        </w:rPr>
        <w:t>保证等或有事项相关的业务同时符合以下条件时，本集团将其确认为负债：</w:t>
      </w:r>
      <w:r>
        <w:rPr>
          <w:rFonts w:ascii="宋体" w:hAnsi="宋体" w:cs="宋体" w:eastAsia="宋体" w:hint="default"/>
          <w:spacing w:val="-3"/>
        </w:rPr>
        <w:t>1</w:t>
      </w:r>
      <w:r>
        <w:rPr>
          <w:spacing w:val="-3"/>
        </w:rPr>
        <w:t>）该义务是本集</w:t>
      </w:r>
      <w:r>
        <w:rPr>
          <w:spacing w:val="-80"/>
        </w:rPr>
        <w:t> </w:t>
      </w:r>
      <w:r>
        <w:rPr>
          <w:spacing w:val="-80"/>
        </w:rPr>
      </w:r>
      <w:r>
        <w:rPr/>
        <w:t>团承担的现时义务；</w:t>
      </w:r>
      <w:r>
        <w:rPr>
          <w:rFonts w:ascii="宋体" w:hAnsi="宋体" w:cs="宋体" w:eastAsia="宋体" w:hint="default"/>
        </w:rPr>
        <w:t>2</w:t>
      </w:r>
      <w:r>
        <w:rPr/>
        <w:t>）该义务的履行很可能导致经济利益流出企业；</w:t>
      </w:r>
      <w:r>
        <w:rPr>
          <w:rFonts w:ascii="宋体" w:hAnsi="宋体" w:cs="宋体" w:eastAsia="宋体" w:hint="default"/>
        </w:rPr>
        <w:t>3</w:t>
      </w:r>
      <w:r>
        <w:rPr/>
        <w:t>）该义务的金额能够</w:t>
      </w:r>
      <w:r>
        <w:rPr>
          <w:spacing w:val="-111"/>
        </w:rPr>
        <w:t> </w:t>
      </w:r>
      <w:r>
        <w:rPr/>
        <w:t>可靠地计量。</w:t>
      </w:r>
    </w:p>
    <w:p>
      <w:pPr>
        <w:pStyle w:val="BodyText"/>
        <w:spacing w:line="357" w:lineRule="auto" w:before="136"/>
        <w:ind w:right="1134" w:firstLine="480"/>
        <w:jc w:val="both"/>
      </w:pPr>
      <w:r>
        <w:rPr/>
        <w:t>预计负债的计量方法：预计负债按照履行相关现时义务所需支出的最佳估计数进行初始 计量，并综合考虑与或有事项有关的风险、不确定性和货币时间价值等因素。货币时间价值</w:t>
      </w:r>
      <w:r>
        <w:rPr>
          <w:spacing w:val="-115"/>
        </w:rPr>
        <w:t> </w:t>
      </w:r>
      <w:r>
        <w:rPr>
          <w:spacing w:val="-115"/>
        </w:rPr>
      </w:r>
      <w:r>
        <w:rPr/>
        <w:t>影响重大的，通过对相关未来现金流出进行折现后确定最佳估计数。每个资产负债表日对预</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right="1092"/>
        <w:jc w:val="left"/>
      </w:pPr>
      <w:r>
        <w:rPr/>
        <w:t>计负债的账面价值进行复核，如有改变则对账面价值进行调整以反映当前最佳估计数。</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6、股份支付" w:id="209"/>
      <w:bookmarkEnd w:id="209"/>
      <w:r>
        <w:rPr/>
      </w:r>
      <w:r>
        <w:rPr>
          <w:rFonts w:ascii="宋体" w:hAnsi="宋体" w:cs="宋体" w:eastAsia="宋体" w:hint="default"/>
          <w:b/>
          <w:bCs/>
          <w:sz w:val="21"/>
          <w:szCs w:val="21"/>
        </w:rPr>
        <w:t>26</w:t>
      </w:r>
      <w:r>
        <w:rPr>
          <w:rFonts w:ascii="宋体" w:hAnsi="宋体" w:cs="宋体" w:eastAsia="宋体" w:hint="default"/>
          <w:b/>
          <w:bCs/>
          <w:sz w:val="21"/>
          <w:szCs w:val="21"/>
        </w:rPr>
        <w:t>、股份支付</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2"/>
        <w:ind w:right="994" w:firstLine="480"/>
        <w:jc w:val="left"/>
      </w:pPr>
      <w:r>
        <w:rPr/>
        <w:t>对于换取职工提供服务的以权益结算的股份支付，以授予职工权益工具在授予日的公允 </w:t>
      </w:r>
      <w:r>
        <w:rPr>
          <w:spacing w:val="-2"/>
        </w:rPr>
        <w:t>价值计量。该公允价值的金额在完成等待期内的服务或达到规定业绩条件才可行权的情况下，</w:t>
      </w:r>
      <w:r>
        <w:rPr/>
        <w:t> </w:t>
      </w:r>
      <w:r>
        <w:rPr>
          <w:spacing w:val="-2"/>
        </w:rPr>
        <w:t>在等待期内以对可行权权益工具数量的最佳估计为基础，按直线法计算计入相关成本或费用，</w:t>
      </w:r>
      <w:r>
        <w:rPr/>
        <w:t> 同时增加资本公积。</w:t>
      </w:r>
    </w:p>
    <w:p>
      <w:pPr>
        <w:pStyle w:val="BodyText"/>
        <w:spacing w:line="434" w:lineRule="auto" w:before="136"/>
        <w:ind w:left="634" w:right="1092"/>
        <w:jc w:val="left"/>
      </w:pPr>
      <w:r>
        <w:rPr>
          <w:rFonts w:ascii="宋体" w:hAnsi="宋体" w:cs="宋体" w:eastAsia="宋体" w:hint="default"/>
        </w:rPr>
        <w:t>1</w:t>
      </w:r>
      <w:r>
        <w:rPr/>
        <w:t>）权益工具公允价值的确定方法 对于换取职工服务的限制性股票，其公允价值按本集团股份的市场价格计量，同时考虑</w:t>
      </w:r>
    </w:p>
    <w:p>
      <w:pPr>
        <w:pStyle w:val="BodyText"/>
        <w:spacing w:line="275" w:lineRule="exact"/>
        <w:ind w:right="1092"/>
        <w:jc w:val="left"/>
      </w:pPr>
      <w:r>
        <w:rPr/>
        <w:t>授予股份所依据的条款和条件（不包括市场条件之外的可行权条件）进行调整。</w:t>
      </w:r>
    </w:p>
    <w:p>
      <w:pPr>
        <w:spacing w:line="240" w:lineRule="auto" w:before="4"/>
        <w:rPr>
          <w:rFonts w:ascii="宋体" w:hAnsi="宋体" w:cs="宋体" w:eastAsia="宋体" w:hint="default"/>
          <w:sz w:val="19"/>
          <w:szCs w:val="19"/>
        </w:rPr>
      </w:pPr>
    </w:p>
    <w:p>
      <w:pPr>
        <w:pStyle w:val="BodyText"/>
        <w:spacing w:line="357" w:lineRule="auto"/>
        <w:ind w:right="1140" w:firstLine="480"/>
        <w:jc w:val="both"/>
      </w:pPr>
      <w:r>
        <w:rPr/>
        <w:t>对于授予职工的股票期权，在许多情况下难以获得其市场价格。如果不存在条款和条件 相似的交易期权，本集团选择适用的期权定价模型估计所授予的期权的公允价值。</w:t>
      </w:r>
    </w:p>
    <w:p>
      <w:pPr>
        <w:pStyle w:val="BodyText"/>
        <w:spacing w:line="434" w:lineRule="auto" w:before="136"/>
        <w:ind w:left="634" w:right="1092"/>
        <w:jc w:val="left"/>
      </w:pPr>
      <w:r>
        <w:rPr>
          <w:rFonts w:ascii="宋体" w:hAnsi="宋体" w:cs="宋体" w:eastAsia="宋体" w:hint="default"/>
        </w:rPr>
        <w:t>2</w:t>
      </w:r>
      <w:r>
        <w:rPr/>
        <w:t>）确认可行权权益工具最佳估计的依据 在等待期内每个资产负债表日，本集团根据最新取得的可行权职工人数变动等后续信息</w:t>
      </w:r>
    </w:p>
    <w:p>
      <w:pPr>
        <w:pStyle w:val="BodyText"/>
        <w:spacing w:line="274" w:lineRule="exact"/>
        <w:ind w:right="1092"/>
        <w:jc w:val="left"/>
      </w:pPr>
      <w:r>
        <w:rPr/>
        <w:t>作出最佳估计，修正预计可行权的权益工具数量。在可行权日，最终预计可行权权益工具的</w:t>
      </w:r>
    </w:p>
    <w:p>
      <w:pPr>
        <w:pStyle w:val="BodyText"/>
        <w:spacing w:line="434" w:lineRule="auto" w:before="155"/>
        <w:ind w:left="634" w:right="6792" w:hanging="480"/>
        <w:jc w:val="left"/>
      </w:pPr>
      <w:r>
        <w:rPr/>
        <w:t>数量与实际可行权数量一致。 </w:t>
      </w:r>
      <w:r>
        <w:rPr>
          <w:rFonts w:ascii="宋体" w:hAnsi="宋体" w:cs="宋体" w:eastAsia="宋体" w:hint="default"/>
        </w:rPr>
        <w:t>3</w:t>
      </w:r>
      <w:r>
        <w:rPr/>
        <w:t>）股份支付计划实施的会计处理</w:t>
      </w:r>
    </w:p>
    <w:p>
      <w:pPr>
        <w:pStyle w:val="BodyText"/>
        <w:spacing w:line="357" w:lineRule="auto" w:before="58"/>
        <w:ind w:right="1139" w:firstLine="480"/>
        <w:jc w:val="both"/>
      </w:pPr>
      <w:r>
        <w:rPr/>
        <w:t>对于授予后立即可行权的以现金结算的股份支付，在授予日以本集团承担负债的公允价 值计入相关成本或费用，相应增加负债。并在结算前的每个资产负债表日和结算日对负债的 公允价值重新计量，将其变动计入损益。</w:t>
      </w:r>
    </w:p>
    <w:p>
      <w:pPr>
        <w:pStyle w:val="BodyText"/>
        <w:spacing w:line="357" w:lineRule="auto" w:before="136"/>
        <w:ind w:right="1139" w:firstLine="480"/>
        <w:jc w:val="both"/>
      </w:pPr>
      <w:r>
        <w:rPr/>
        <w:t>对于完成等待期内的服务或达到规定业绩条件之后才可行权的以现金结算的股份支付， 在等待期内的每个资产负债表日以对可行权情况的最佳估计为基础，按本集团承担负债的公 允价值金额，将当期取得的服务计入成本或费用和相应的负债。</w:t>
      </w:r>
    </w:p>
    <w:p>
      <w:pPr>
        <w:pStyle w:val="BodyText"/>
        <w:spacing w:line="357" w:lineRule="auto" w:before="134"/>
        <w:ind w:right="1129" w:firstLine="480"/>
        <w:jc w:val="both"/>
      </w:pPr>
      <w:r>
        <w:rPr/>
        <w:t>授予后立即可行权的换取职工服务的以权益结算的股份支付，在授予日以权益工具的公</w:t>
      </w:r>
      <w:r>
        <w:rPr>
          <w:spacing w:val="2"/>
        </w:rPr>
        <w:t> </w:t>
      </w:r>
      <w:r>
        <w:rPr/>
        <w:t>允价值计入相关成本或费用，相应增加资本公积。</w:t>
      </w:r>
    </w:p>
    <w:p>
      <w:pPr>
        <w:pStyle w:val="BodyText"/>
        <w:spacing w:line="357" w:lineRule="auto" w:before="135"/>
        <w:ind w:right="1139" w:firstLine="480"/>
        <w:jc w:val="both"/>
      </w:pPr>
      <w:r>
        <w:rPr/>
        <w:t>完成等待期内的服务或达到规定业绩条件以后才可行权换取职工服务的以权益结算的股 份支付，在等待期内的每个资产负债表日，以对可行权权益工具数量的最佳估计为基础，按</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4" w:lineRule="auto" w:before="26"/>
        <w:ind w:left="634" w:right="1092" w:hanging="480"/>
        <w:jc w:val="left"/>
      </w:pPr>
      <w:r>
        <w:rPr/>
        <w:t>权益工具授予日的公允价值，将当期取得的服务计入成本或费用和资本公积。 </w:t>
      </w:r>
      <w:r>
        <w:rPr>
          <w:rFonts w:ascii="宋体" w:hAnsi="宋体" w:cs="宋体" w:eastAsia="宋体" w:hint="default"/>
        </w:rPr>
        <w:t>4</w:t>
      </w:r>
      <w:r>
        <w:rPr/>
        <w:t>）股份支付计划修改的会计处理 本集团对股份支付计划进行修改时，若修改增加了所授予权益工具的公允价值，按照权</w:t>
      </w:r>
    </w:p>
    <w:p>
      <w:pPr>
        <w:pStyle w:val="BodyText"/>
        <w:spacing w:line="274" w:lineRule="exact"/>
        <w:ind w:right="1092"/>
        <w:jc w:val="left"/>
      </w:pPr>
      <w:r>
        <w:rPr/>
        <w:t>益工具公允价值的增加相应地确认取得服务的增加；若修改增加了所授予权益工具的数量，</w:t>
      </w:r>
    </w:p>
    <w:p>
      <w:pPr>
        <w:pStyle w:val="BodyText"/>
        <w:spacing w:line="432" w:lineRule="auto" w:before="155"/>
        <w:ind w:left="634" w:right="1092" w:hanging="480"/>
        <w:jc w:val="left"/>
      </w:pPr>
      <w:r>
        <w:rPr/>
        <w:t>则将增加的权益工具的公允价值相应地确认为取得服务的增加。 权益工具公允价值的增加是指修改前后的权益工具在修改日的公允价值之间的差额。若</w:t>
      </w:r>
    </w:p>
    <w:p>
      <w:pPr>
        <w:pStyle w:val="BodyText"/>
        <w:spacing w:line="276" w:lineRule="exact"/>
        <w:ind w:right="1092"/>
        <w:jc w:val="left"/>
      </w:pPr>
      <w:r>
        <w:rPr/>
        <w:t>修改减少了股份支付公允价值总额或采用了其他不利于职工的方式修改股份支付计划的条款</w:t>
      </w:r>
    </w:p>
    <w:p>
      <w:pPr>
        <w:pStyle w:val="BodyText"/>
        <w:spacing w:line="357" w:lineRule="auto" w:before="154"/>
        <w:ind w:right="1092"/>
        <w:jc w:val="left"/>
      </w:pPr>
      <w:r>
        <w:rPr/>
        <w:t>和条件，则仍继续对取得的服务进行会计处理，视同该变更从未发生，除非本集团取消了部 分或全部已授予的权益工具。</w:t>
      </w:r>
    </w:p>
    <w:p>
      <w:pPr>
        <w:pStyle w:val="BodyText"/>
        <w:spacing w:line="434" w:lineRule="auto" w:before="136"/>
        <w:ind w:left="634" w:right="1092"/>
        <w:jc w:val="left"/>
      </w:pPr>
      <w:r>
        <w:rPr>
          <w:rFonts w:ascii="宋体" w:hAnsi="宋体" w:cs="宋体" w:eastAsia="宋体" w:hint="default"/>
        </w:rPr>
        <w:t>5</w:t>
      </w:r>
      <w:r>
        <w:rPr/>
        <w:t>）股份支付计划终止的会计处理 如果在等待期内取消了所授予的权益工具或结算了所授予的权益工具（因未满足可行权</w:t>
      </w:r>
    </w:p>
    <w:p>
      <w:pPr>
        <w:pStyle w:val="BodyText"/>
        <w:spacing w:line="275" w:lineRule="exact"/>
        <w:ind w:right="1092"/>
        <w:jc w:val="left"/>
      </w:pPr>
      <w:r>
        <w:rPr/>
        <w:t>条件而被取消的除外</w:t>
      </w:r>
      <w:r>
        <w:rPr>
          <w:spacing w:val="-120"/>
        </w:rPr>
        <w:t>）</w:t>
      </w:r>
      <w:r>
        <w:rPr/>
        <w:t>，本集团将作如下处理：</w:t>
      </w:r>
    </w:p>
    <w:p>
      <w:pPr>
        <w:spacing w:line="240" w:lineRule="auto" w:before="5"/>
        <w:rPr>
          <w:rFonts w:ascii="宋体" w:hAnsi="宋体" w:cs="宋体" w:eastAsia="宋体" w:hint="default"/>
          <w:sz w:val="19"/>
          <w:szCs w:val="19"/>
        </w:rPr>
      </w:pPr>
    </w:p>
    <w:p>
      <w:pPr>
        <w:pStyle w:val="BodyText"/>
        <w:spacing w:line="432" w:lineRule="auto"/>
        <w:ind w:left="634" w:right="1092"/>
        <w:jc w:val="left"/>
      </w:pPr>
      <w:r>
        <w:rPr/>
        <w:t>取消或结算作为加速可行权处理，立即确认原本应在剩余等待期内确认的金额； 取消或结算时支付给职工的所有款项均作为权益的回购处理，回购支付的金额高于该权</w:t>
      </w:r>
    </w:p>
    <w:p>
      <w:pPr>
        <w:pStyle w:val="BodyText"/>
        <w:spacing w:line="277" w:lineRule="exact"/>
        <w:ind w:right="1092"/>
        <w:jc w:val="left"/>
      </w:pPr>
      <w:r>
        <w:rPr/>
        <w:t>益工具在回购日公允价值的部分，计入当期费用。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7、优先股、永续债等其他金融工具" w:id="210"/>
      <w:bookmarkEnd w:id="210"/>
      <w:r>
        <w:rPr/>
      </w:r>
      <w:r>
        <w:rPr>
          <w:rFonts w:ascii="宋体" w:hAnsi="宋体" w:cs="宋体" w:eastAsia="宋体" w:hint="default"/>
          <w:b/>
          <w:bCs/>
          <w:sz w:val="21"/>
          <w:szCs w:val="21"/>
        </w:rPr>
        <w:t>27</w:t>
      </w:r>
      <w:r>
        <w:rPr>
          <w:rFonts w:ascii="宋体" w:hAnsi="宋体" w:cs="宋体" w:eastAsia="宋体" w:hint="default"/>
          <w:b/>
          <w:bCs/>
          <w:sz w:val="21"/>
          <w:szCs w:val="21"/>
        </w:rPr>
        <w:t>、优先股、永续债等其他金融工具</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不适用。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8、收入" w:id="211"/>
      <w:bookmarkEnd w:id="211"/>
      <w:r>
        <w:rPr/>
      </w:r>
      <w:r>
        <w:rPr>
          <w:rFonts w:ascii="宋体" w:hAnsi="宋体" w:cs="宋体" w:eastAsia="宋体" w:hint="default"/>
          <w:b/>
          <w:bCs/>
          <w:sz w:val="21"/>
          <w:szCs w:val="21"/>
        </w:rPr>
        <w:t>28</w:t>
      </w:r>
      <w:r>
        <w:rPr>
          <w:rFonts w:ascii="宋体" w:hAnsi="宋体" w:cs="宋体" w:eastAsia="宋体" w:hint="default"/>
          <w:b/>
          <w:bCs/>
          <w:sz w:val="21"/>
          <w:szCs w:val="21"/>
        </w:rPr>
        <w:t>、收入</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9" w:firstLine="480"/>
        <w:jc w:val="both"/>
      </w:pPr>
      <w:r>
        <w:rPr/>
        <w:t>本集团的营业收入主要分为文化收入和教育收入以及其他收入，其中，文化收入主要包 括：数字阅读收入、互联网服务收入、游戏收入、影视收入、衍生权授权收入、文化中国、 维权收入和纸质出版收入等；教育收入主要包括：教育阅读收入和教育服务收入。收入确认 原则如下：</w:t>
      </w:r>
    </w:p>
    <w:p>
      <w:pPr>
        <w:pStyle w:val="BodyText"/>
        <w:spacing w:line="357" w:lineRule="auto" w:before="136"/>
        <w:ind w:right="1137" w:firstLine="480"/>
        <w:jc w:val="both"/>
      </w:pPr>
      <w:r>
        <w:rPr/>
        <w:t>本集团在已将商品所有权上的主要风险和报酬转移给购货方、本集团既没有保留通常与 所有权相联系的继续管理权、也没有对已售出的商品实施有效控制、收入的金额能够可靠地</w:t>
      </w:r>
      <w:r>
        <w:rPr>
          <w:spacing w:val="-117"/>
        </w:rPr>
        <w:t> </w:t>
      </w:r>
      <w:r>
        <w:rPr>
          <w:spacing w:val="-117"/>
        </w:rPr>
      </w:r>
      <w:r>
        <w:rPr/>
        <w:t>计量、相关的经济利益很可能流入企业、相关的已发生或将发生的成本能够可靠地计量时， 确认销售商品收入的实现。</w:t>
      </w:r>
    </w:p>
    <w:p>
      <w:pPr>
        <w:spacing w:after="0" w:line="357"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1" w:firstLine="480"/>
        <w:jc w:val="both"/>
      </w:pPr>
      <w:r>
        <w:rPr/>
        <w:t>本集团在劳务总收入和总成本能够可靠地计量、与劳务相关的经济利益很可能流入本集 团、劳务的完成进度能够可靠地确定时，确认劳务收入的实现。在资产负债表日，提供劳务 交易的结果能够可靠估计的，按完工百分比法确认相关的劳务收入，完工百分比按已完工作 </w:t>
      </w:r>
      <w:r>
        <w:rPr>
          <w:spacing w:val="-2"/>
        </w:rPr>
        <w:t>的测量（已经提供的劳务占应提供劳务总量的比例</w:t>
      </w:r>
      <w:r>
        <w:rPr>
          <w:rFonts w:ascii="宋体" w:hAnsi="宋体" w:cs="宋体" w:eastAsia="宋体" w:hint="default"/>
          <w:spacing w:val="-2"/>
        </w:rPr>
        <w:t>/</w:t>
      </w:r>
      <w:r>
        <w:rPr>
          <w:spacing w:val="-2"/>
        </w:rPr>
        <w:t>已经发生的成本占估计总成本的比例）确</w:t>
      </w:r>
      <w:r>
        <w:rPr/>
        <w:t> 认；提供劳务交易结果不能够可靠估计、已经发生的劳务成本预计能够得到补偿的，按已经</w:t>
      </w:r>
      <w:r>
        <w:rPr>
          <w:spacing w:val="-117"/>
        </w:rPr>
        <w:t> </w:t>
      </w:r>
      <w:r>
        <w:rPr>
          <w:spacing w:val="-117"/>
        </w:rPr>
      </w:r>
      <w:r>
        <w:rPr/>
        <w:t>发生的能够得到补偿的劳务成本金额确认提供劳务收入，并结转已经发生的劳务成本；提供 劳务交易结果不能够可靠估计、已经发生的劳务成本预计全部不能得到补偿的，将已经发生 的劳务成本计入当期损益，不确认提供劳务收入。</w:t>
      </w:r>
    </w:p>
    <w:p>
      <w:pPr>
        <w:pStyle w:val="BodyText"/>
        <w:spacing w:line="357" w:lineRule="auto" w:before="134"/>
        <w:ind w:right="1140" w:firstLine="480"/>
        <w:jc w:val="both"/>
      </w:pPr>
      <w:r>
        <w:rPr/>
        <w:t>与交易相关的经济利益很可能流入本集团、收入的金额能够可靠地计量时，确认让渡资 产使用权收入的实现。</w:t>
      </w:r>
    </w:p>
    <w:p>
      <w:pPr>
        <w:pStyle w:val="BodyText"/>
        <w:spacing w:line="434" w:lineRule="auto" w:before="137"/>
        <w:ind w:left="634" w:right="6552"/>
        <w:jc w:val="left"/>
      </w:pPr>
      <w:r>
        <w:rPr/>
        <w:t>收入确认的具体方法： </w:t>
      </w:r>
      <w:r>
        <w:rPr>
          <w:rFonts w:ascii="宋体" w:hAnsi="宋体" w:cs="宋体" w:eastAsia="宋体" w:hint="default"/>
        </w:rPr>
        <w:t>1</w:t>
      </w:r>
      <w:r>
        <w:rPr/>
        <w:t>）文化收入主要的收入确认方法：</w:t>
      </w:r>
    </w:p>
    <w:p>
      <w:pPr>
        <w:pStyle w:val="BodyText"/>
        <w:spacing w:line="357" w:lineRule="auto" w:before="58"/>
        <w:ind w:right="1130" w:firstLine="480"/>
        <w:jc w:val="both"/>
      </w:pPr>
      <w:r>
        <w:rPr/>
        <w:t>①数字阅读收入主要包括阅读基地、无线互联网阅读、网站授权阅读、</w:t>
      </w:r>
      <w:r>
        <w:rPr>
          <w:rFonts w:ascii="宋体" w:hAnsi="宋体" w:cs="宋体" w:eastAsia="宋体" w:hint="default"/>
        </w:rPr>
        <w:t>17K </w:t>
      </w:r>
      <w:r>
        <w:rPr/>
        <w:t>阅读和</w:t>
      </w:r>
      <w:r>
        <w:rPr>
          <w:spacing w:val="13"/>
        </w:rPr>
        <w:t> </w:t>
      </w:r>
      <w:r>
        <w:rPr>
          <w:rFonts w:ascii="宋体" w:hAnsi="宋体" w:cs="宋体" w:eastAsia="宋体" w:hint="default"/>
        </w:rPr>
        <w:t>AVG</w:t>
      </w:r>
      <w:r>
        <w:rPr>
          <w:rFonts w:ascii="宋体" w:hAnsi="宋体" w:cs="宋体" w:eastAsia="宋体" w:hint="default"/>
          <w:spacing w:val="1"/>
        </w:rPr>
        <w:t> </w:t>
      </w:r>
      <w:r>
        <w:rPr/>
        <w:t>阅读收入等。其中，阅读基地按照对方确认的结算单确认收入，无法及时取得结算单的预估</w:t>
      </w:r>
      <w:r>
        <w:rPr>
          <w:spacing w:val="-117"/>
        </w:rPr>
        <w:t> </w:t>
      </w:r>
      <w:r>
        <w:rPr>
          <w:spacing w:val="-117"/>
        </w:rPr>
      </w:r>
      <w:r>
        <w:rPr/>
        <w:t>收入，在实际取得结算单时确认收入，年末均按实际取得双方确认的归属当年的结算单进行 收入确认；无线互联网阅读主要为电信的天翼阅读，天翼的结算期间周期为 </w:t>
      </w:r>
      <w:r>
        <w:rPr>
          <w:rFonts w:ascii="宋体" w:hAnsi="宋体" w:cs="宋体" w:eastAsia="宋体" w:hint="default"/>
        </w:rPr>
        <w:t>1</w:t>
      </w:r>
      <w:r>
        <w:rPr>
          <w:rFonts w:ascii="宋体" w:hAnsi="宋体" w:cs="宋体" w:eastAsia="宋体" w:hint="default"/>
          <w:spacing w:val="-81"/>
        </w:rPr>
        <w:t> </w:t>
      </w:r>
      <w:r>
        <w:rPr/>
        <w:t>个月，依据双 方确认的结算单确认收入；网站授权阅读是将作品的“信息网络传播权，电子及数字形式的 复制权、发行权、汇编权”以非独家授权的方式授权给客户，根据版权接收确认函以及实际 回款确认收入；</w:t>
      </w:r>
      <w:r>
        <w:rPr>
          <w:rFonts w:ascii="宋体" w:hAnsi="宋体" w:cs="宋体" w:eastAsia="宋体" w:hint="default"/>
        </w:rPr>
        <w:t>17K</w:t>
      </w:r>
      <w:r>
        <w:rPr>
          <w:rFonts w:ascii="宋体" w:hAnsi="宋体" w:cs="宋体" w:eastAsia="宋体" w:hint="default"/>
          <w:spacing w:val="9"/>
        </w:rPr>
        <w:t> </w:t>
      </w:r>
      <w:r>
        <w:rPr/>
        <w:t>阅读“用户充值购买虚拟货币—</w:t>
      </w:r>
      <w:r>
        <w:rPr>
          <w:rFonts w:ascii="宋体" w:hAnsi="宋体" w:cs="宋体" w:eastAsia="宋体" w:hint="default"/>
        </w:rPr>
        <w:t>&gt;</w:t>
      </w:r>
      <w:r>
        <w:rPr/>
        <w:t>用户消费虚拟货币—</w:t>
      </w:r>
      <w:r>
        <w:rPr>
          <w:rFonts w:ascii="宋体" w:hAnsi="宋体" w:cs="宋体" w:eastAsia="宋体" w:hint="default"/>
        </w:rPr>
        <w:t>&gt;</w:t>
      </w:r>
      <w:r>
        <w:rPr/>
        <w:t>企业给作者支付</w:t>
      </w:r>
      <w:r>
        <w:rPr>
          <w:spacing w:val="-118"/>
        </w:rPr>
        <w:t> </w:t>
      </w:r>
      <w:r>
        <w:rPr>
          <w:spacing w:val="-118"/>
        </w:rPr>
      </w:r>
      <w:r>
        <w:rPr>
          <w:spacing w:val="-6"/>
        </w:rPr>
        <w:t>版税（稿酬）”的业务模式运营，根据自有网站充值收入按</w:t>
      </w:r>
      <w:r>
        <w:rPr>
          <w:spacing w:val="-53"/>
        </w:rPr>
        <w:t> </w:t>
      </w:r>
      <w:r>
        <w:rPr>
          <w:rFonts w:ascii="宋体" w:hAnsi="宋体" w:cs="宋体" w:eastAsia="宋体" w:hint="default"/>
        </w:rPr>
        <w:t>K</w:t>
      </w:r>
      <w:r>
        <w:rPr>
          <w:rFonts w:ascii="宋体" w:hAnsi="宋体" w:cs="宋体" w:eastAsia="宋体" w:hint="default"/>
          <w:spacing w:val="-53"/>
        </w:rPr>
        <w:t> </w:t>
      </w:r>
      <w:r>
        <w:rPr>
          <w:spacing w:val="-1"/>
        </w:rPr>
        <w:t>币消耗表进行确认；</w:t>
      </w:r>
      <w:r>
        <w:rPr>
          <w:rFonts w:ascii="宋体" w:hAnsi="宋体" w:cs="宋体" w:eastAsia="宋体" w:hint="default"/>
          <w:spacing w:val="-1"/>
        </w:rPr>
        <w:t>AVG</w:t>
      </w:r>
      <w:r>
        <w:rPr>
          <w:rFonts w:ascii="宋体" w:hAnsi="宋体" w:cs="宋体" w:eastAsia="宋体" w:hint="default"/>
          <w:spacing w:val="-53"/>
        </w:rPr>
        <w:t> </w:t>
      </w:r>
      <w:r>
        <w:rPr/>
        <w:t>阅读根 据充值结算单据确认收入。</w:t>
      </w:r>
    </w:p>
    <w:p>
      <w:pPr>
        <w:pStyle w:val="BodyText"/>
        <w:spacing w:line="357" w:lineRule="auto" w:before="136"/>
        <w:ind w:right="1131" w:firstLine="480"/>
        <w:jc w:val="both"/>
      </w:pPr>
      <w:r>
        <w:rPr/>
        <w:t>②互联网服务收入主要包括阅读基地运营支撑、技术运营服务和广告收入等。其中，阅 读基地运营支撑阅读基地运营支撑根据劳务结算单确认收入；技术运营服务根据双方确认的 对账单确认收入；广告收入是在 </w:t>
      </w:r>
      <w:r>
        <w:rPr>
          <w:rFonts w:ascii="宋体" w:hAnsi="宋体" w:cs="宋体" w:eastAsia="宋体" w:hint="default"/>
        </w:rPr>
        <w:t>17K</w:t>
      </w:r>
      <w:r>
        <w:rPr>
          <w:rFonts w:ascii="宋体" w:hAnsi="宋体" w:cs="宋体" w:eastAsia="宋体" w:hint="default"/>
          <w:spacing w:val="-82"/>
        </w:rPr>
        <w:t> </w:t>
      </w:r>
      <w:r>
        <w:rPr/>
        <w:t>网站等平台投放发布广告，广告发布后按合同约定确认 收入。</w:t>
      </w:r>
    </w:p>
    <w:p>
      <w:pPr>
        <w:pStyle w:val="BodyText"/>
        <w:spacing w:line="357" w:lineRule="auto" w:before="135"/>
        <w:ind w:right="1139" w:firstLine="480"/>
        <w:jc w:val="both"/>
      </w:pPr>
      <w:r>
        <w:rPr/>
        <w:t>③游戏收入包括联合运营收入和自主运营收入。联合运营收入按照约定分成比例依据对 账单确认；自主运营收入即在游戏网站上线，版权归本公司所有的游戏，玩家充值，根据实 际消耗的充值流水确认收入。</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2" w:lineRule="auto" w:before="26"/>
        <w:ind w:left="634" w:right="1092"/>
        <w:jc w:val="left"/>
      </w:pPr>
      <w:r>
        <w:rPr/>
        <w:t>另外，晨之科的主要游戏业务分不同类型的收入确认原则： 游戏代理业务：游戏代理业务下，公司承担游戏的主要责任，根据玩家道具消耗情况确</w:t>
      </w:r>
    </w:p>
    <w:p>
      <w:pPr>
        <w:pStyle w:val="BodyText"/>
        <w:spacing w:line="276" w:lineRule="exact"/>
        <w:ind w:right="1092"/>
        <w:jc w:val="left"/>
      </w:pPr>
      <w:r>
        <w:rPr/>
        <w:t>认营业收入。一旦玩家使用虚拟货币购买道具，对应款项即计列于其他流动负债。对于一次</w:t>
      </w:r>
    </w:p>
    <w:p>
      <w:pPr>
        <w:pStyle w:val="BodyText"/>
        <w:spacing w:line="357" w:lineRule="auto" w:before="154"/>
        <w:ind w:right="994"/>
        <w:jc w:val="left"/>
      </w:pPr>
      <w:r>
        <w:rPr/>
        <w:t>性道具，于游戏道具消耗时一次性确认为收入。对于耐用型道具，在道具预计使用周期内分 </w:t>
      </w:r>
      <w:r>
        <w:rPr>
          <w:spacing w:val="-2"/>
        </w:rPr>
        <w:t>期平均分摊确认为营业收入，实务中，按照游戏玩家充值流水或者渠道月度结算单确认收入。</w:t>
      </w:r>
    </w:p>
    <w:p>
      <w:pPr>
        <w:pStyle w:val="BodyText"/>
        <w:spacing w:line="357" w:lineRule="auto" w:before="136"/>
        <w:ind w:right="1140" w:firstLine="480"/>
        <w:jc w:val="both"/>
      </w:pPr>
      <w:r>
        <w:rPr/>
        <w:t>游戏渠道业务：根据游戏玩家实际充值金额，按照与运营商合作协议所计算的分成金额 确认营业收入。实务中，按照结算单确认收入。</w:t>
      </w:r>
    </w:p>
    <w:p>
      <w:pPr>
        <w:pStyle w:val="BodyText"/>
        <w:spacing w:line="357" w:lineRule="auto" w:before="134"/>
        <w:ind w:right="1135" w:firstLine="480"/>
        <w:jc w:val="both"/>
      </w:pPr>
      <w:r>
        <w:rPr/>
        <w:t>游戏授权业务：授权运营中，公司对于向被授权方授予独占使用权而产生的一次性版权 金收入作为递延收益，在协议约定的受益期间内按照直线法进行摊销；对于后续游戏产品分 成，公司在取得被授权方提供的按协议约定计算的数据后，按实际分成结果确认归属于公司 部分的营业收入。实务中，按照合同约定的金额一次性确认收入。</w:t>
      </w:r>
    </w:p>
    <w:p>
      <w:pPr>
        <w:pStyle w:val="BodyText"/>
        <w:spacing w:line="357" w:lineRule="auto" w:before="134"/>
        <w:ind w:right="1140" w:firstLine="480"/>
        <w:jc w:val="both"/>
      </w:pPr>
      <w:r>
        <w:rPr/>
        <w:t>游戏研发业务：按照实际提供劳务的进度确认收入。实务中，按照合同约定的进度确认 收入。</w:t>
      </w:r>
    </w:p>
    <w:p>
      <w:pPr>
        <w:pStyle w:val="BodyText"/>
        <w:spacing w:line="357" w:lineRule="auto" w:before="136"/>
        <w:ind w:right="1139" w:firstLine="480"/>
        <w:jc w:val="both"/>
      </w:pPr>
      <w:r>
        <w:rPr/>
        <w:t>④衍生权授权收入是将图书权利中的影视改编权、动漫改编权、游戏改编权等以独家授 权的方式，授权给第三方。公司在提供版权，并经双方确认后，在收到客户版权确认单时确 认收入。</w:t>
      </w:r>
    </w:p>
    <w:p>
      <w:pPr>
        <w:pStyle w:val="BodyText"/>
        <w:spacing w:line="240" w:lineRule="auto" w:before="136"/>
        <w:ind w:left="634" w:right="1092"/>
        <w:jc w:val="left"/>
      </w:pPr>
      <w:r>
        <w:rPr>
          <w:rFonts w:ascii="宋体" w:hAnsi="宋体" w:cs="宋体" w:eastAsia="宋体" w:hint="default"/>
        </w:rPr>
        <w:t>2</w:t>
      </w:r>
      <w:r>
        <w:rPr/>
        <w:t>）教育收入主要的收入确认方法：</w:t>
      </w:r>
    </w:p>
    <w:p>
      <w:pPr>
        <w:spacing w:line="240" w:lineRule="auto" w:before="4"/>
        <w:rPr>
          <w:rFonts w:ascii="宋体" w:hAnsi="宋体" w:cs="宋体" w:eastAsia="宋体" w:hint="default"/>
          <w:sz w:val="19"/>
          <w:szCs w:val="19"/>
        </w:rPr>
      </w:pPr>
    </w:p>
    <w:p>
      <w:pPr>
        <w:pStyle w:val="BodyText"/>
        <w:spacing w:line="357" w:lineRule="auto"/>
        <w:ind w:right="1139" w:firstLine="480"/>
        <w:jc w:val="both"/>
      </w:pPr>
      <w:r>
        <w:rPr/>
        <w:t>①教育阅读收入主要包括数字图书馆、书香中国、教育资源授权、云屏借阅机、蓝悦盒 子等，以上教育业务收入均以经对方确认的验收单确认收入。</w:t>
      </w:r>
    </w:p>
    <w:p>
      <w:pPr>
        <w:pStyle w:val="BodyText"/>
        <w:spacing w:line="357" w:lineRule="auto" w:before="136"/>
        <w:ind w:right="1139" w:firstLine="480"/>
        <w:jc w:val="both"/>
      </w:pPr>
      <w:r>
        <w:rPr/>
        <w:t>②教育服务收入主要包括教育服务运营、教育技术运营服务收入，二者均以经对方确认 的验收单确认收入。</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9、政府补助" w:id="212"/>
      <w:bookmarkEnd w:id="212"/>
      <w:r>
        <w:rPr/>
      </w:r>
      <w:r>
        <w:rPr>
          <w:rFonts w:ascii="宋体" w:hAnsi="宋体" w:cs="宋体" w:eastAsia="宋体" w:hint="default"/>
          <w:b/>
          <w:bCs/>
          <w:sz w:val="21"/>
          <w:szCs w:val="21"/>
        </w:rPr>
        <w:t>29</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1139" w:firstLine="480"/>
        <w:jc w:val="both"/>
      </w:pPr>
      <w:r>
        <w:rPr/>
        <w:t>本集团的政府补助包括企业落地补贴、企业上市挂牌奖励、项目资助金、稳岗补贴等。 其中，与资产相关的政府补助，是指本集团取得的、用于购建或以其他方式形成长期资产的 政府补助；与收益相关的政府补助，是指除与资产相关的政府补助之外的政府补助。如果政 府文件中未明确规定补助对象，本集团按照上述区分原则进行判断，难以区分的，整体归类 为与收益相关的政府补助。</w:t>
      </w:r>
    </w:p>
    <w:p>
      <w:pPr>
        <w:spacing w:after="0" w:line="357"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40" w:firstLine="480"/>
        <w:jc w:val="both"/>
      </w:pPr>
      <w:r>
        <w:rPr/>
        <w:t>政府补助是指本集团从政府无偿取得货币性资产或非货币性资产。政府补助在本集团能 够满足其所附的条件以及能够收到时予以确认。</w:t>
      </w:r>
    </w:p>
    <w:p>
      <w:pPr>
        <w:pStyle w:val="BodyText"/>
        <w:spacing w:line="357" w:lineRule="auto" w:before="134"/>
        <w:ind w:right="1139" w:firstLine="480"/>
        <w:jc w:val="both"/>
      </w:pPr>
      <w:r>
        <w:rPr/>
        <w:t>政府补助为货币性资产的，按照实际收到的金额计量，对于按照固定的定额标准拨付的 补助，或对年末有确凿证据表明能够符合财政扶持政策规定的相关条件且预计能够收到财政 扶持资金时，按照应收的金额计量；政府补助为非货币性资产的，按照公允价值计量，公允 价值不能可靠取得的，按照名义金额</w:t>
      </w:r>
      <w:r>
        <w:rPr>
          <w:rFonts w:ascii="宋体" w:hAnsi="宋体" w:cs="宋体" w:eastAsia="宋体" w:hint="default"/>
        </w:rPr>
        <w:t>(1</w:t>
      </w:r>
      <w:r>
        <w:rPr>
          <w:rFonts w:ascii="宋体" w:hAnsi="宋体" w:cs="宋体" w:eastAsia="宋体" w:hint="default"/>
          <w:spacing w:val="-60"/>
        </w:rPr>
        <w:t> </w:t>
      </w:r>
      <w:r>
        <w:rPr/>
        <w:t>元</w:t>
      </w:r>
      <w:r>
        <w:rPr>
          <w:rFonts w:ascii="宋体" w:hAnsi="宋体" w:cs="宋体" w:eastAsia="宋体" w:hint="default"/>
        </w:rPr>
        <w:t>)</w:t>
      </w:r>
      <w:r>
        <w:rPr/>
        <w:t>计量。</w:t>
      </w:r>
    </w:p>
    <w:p>
      <w:pPr>
        <w:pStyle w:val="BodyText"/>
        <w:spacing w:line="357" w:lineRule="auto" w:before="136"/>
        <w:ind w:right="1139" w:firstLine="480"/>
        <w:jc w:val="both"/>
      </w:pPr>
      <w:r>
        <w:rPr/>
        <w:t>与资产相关的政府补助确认为递延收益，并在相关资产使用寿命内平均分配计入当期损 益，相关资产在使用寿命结束前被出售、转让、报废或发生毁损的，将尚未分配的相关递延 收益余额转入资产处置当期的损益。</w:t>
      </w:r>
    </w:p>
    <w:p>
      <w:pPr>
        <w:pStyle w:val="BodyText"/>
        <w:spacing w:line="357" w:lineRule="auto" w:before="134"/>
        <w:ind w:right="999" w:firstLine="480"/>
        <w:jc w:val="left"/>
      </w:pPr>
      <w:r>
        <w:rPr/>
        <w:t>与收益相关的政府补助，用于补偿以后期间的相关费用或损失的，确认为递延收益，并 在确认相关费用的期间计入当期损益；用于补偿已发生的相关费用或损失的，直接计入当期 </w:t>
      </w:r>
      <w:r>
        <w:rPr>
          <w:spacing w:val="-3"/>
        </w:rPr>
        <w:t>损益。与日常活动相关的政府补助，按照经济业务实质，计入其他收益或冲减相关成本费用。</w:t>
      </w:r>
      <w:r>
        <w:rPr>
          <w:spacing w:val="-81"/>
        </w:rPr>
        <w:t> </w:t>
      </w:r>
      <w:r>
        <w:rPr>
          <w:spacing w:val="-81"/>
        </w:rPr>
      </w:r>
      <w:r>
        <w:rPr/>
        <w:t>与日常活动无关的政府补助，计入营业外收支。</w:t>
      </w:r>
    </w:p>
    <w:p>
      <w:pPr>
        <w:spacing w:line="240" w:lineRule="auto" w:before="5"/>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30、递延所得税资产/递延所得税负债" w:id="213"/>
      <w:bookmarkEnd w:id="213"/>
      <w:r>
        <w:rPr/>
      </w:r>
      <w:r>
        <w:rPr>
          <w:rFonts w:ascii="宋体" w:hAnsi="宋体" w:cs="宋体" w:eastAsia="宋体" w:hint="default"/>
          <w:b/>
          <w:bCs/>
          <w:sz w:val="21"/>
          <w:szCs w:val="21"/>
        </w:rPr>
        <w:t>30</w:t>
      </w:r>
      <w:r>
        <w:rPr>
          <w:rFonts w:ascii="宋体" w:hAnsi="宋体" w:cs="宋体" w:eastAsia="宋体" w:hint="default"/>
          <w:b/>
          <w:bCs/>
          <w:sz w:val="21"/>
          <w:szCs w:val="21"/>
        </w:rPr>
        <w:t>、递延所得税资产</w:t>
      </w:r>
      <w:r>
        <w:rPr>
          <w:rFonts w:ascii="宋体" w:hAnsi="宋体" w:cs="宋体" w:eastAsia="宋体"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2"/>
        <w:ind w:right="1128" w:firstLine="480"/>
        <w:jc w:val="both"/>
      </w:pPr>
      <w:r>
        <w:rPr>
          <w:spacing w:val="3"/>
        </w:rPr>
        <w:t>递延所得税资产和递延所得税负债根据资产和负债的计税基础与其账面价值的差额</w:t>
      </w:r>
      <w:r>
        <w:rPr>
          <w:rFonts w:ascii="宋体" w:hAnsi="宋体" w:cs="宋体" w:eastAsia="宋体" w:hint="default"/>
          <w:spacing w:val="3"/>
        </w:rPr>
        <w:t>(</w:t>
      </w:r>
      <w:r>
        <w:rPr>
          <w:spacing w:val="3"/>
        </w:rPr>
        <w:t>暂</w:t>
      </w:r>
      <w:r>
        <w:rPr/>
        <w:t> </w:t>
      </w:r>
      <w:r>
        <w:rPr>
          <w:spacing w:val="-2"/>
        </w:rPr>
        <w:t>时性差异</w:t>
      </w:r>
      <w:r>
        <w:rPr>
          <w:rFonts w:ascii="宋体" w:hAnsi="宋体" w:cs="宋体" w:eastAsia="宋体" w:hint="default"/>
          <w:spacing w:val="-2"/>
        </w:rPr>
        <w:t>)</w:t>
      </w:r>
      <w:r>
        <w:rPr>
          <w:spacing w:val="-2"/>
        </w:rPr>
        <w:t>计算确认。对于按照税法规定能够于以后年度抵减应纳税所得额的可抵扣亏损和税</w:t>
      </w:r>
      <w:r>
        <w:rPr/>
        <w:t> 款抵减，视同暂时性差异确认相应的递延所得税资产。于资产负债表日，递延所得税资产和 递延所得税负债，按照预期收回该资产或清偿该负债期间的适用税率计量。</w:t>
      </w:r>
    </w:p>
    <w:p>
      <w:pPr>
        <w:pStyle w:val="BodyText"/>
        <w:spacing w:line="357" w:lineRule="auto" w:before="134"/>
        <w:ind w:right="1132" w:firstLine="480"/>
        <w:jc w:val="both"/>
      </w:pPr>
      <w:r>
        <w:rPr/>
        <w:t>本集团以很可能取得用来抵扣可抵扣暂时性差异的应纳税所得额为限，确认由可抵扣暂 时性差异产生的递延所得税资产。对已确认的递延所得税资产，当预计到未来期间很可能无 法获得足够的应纳税所得额用以抵扣递延所得税资产时，应当减记递延所得税资产的账面价</w:t>
      </w:r>
      <w:r>
        <w:rPr>
          <w:spacing w:val="-113"/>
        </w:rPr>
        <w:t> </w:t>
      </w:r>
      <w:r>
        <w:rPr>
          <w:spacing w:val="-113"/>
        </w:rPr>
      </w:r>
      <w:r>
        <w:rPr/>
        <w:t>值。在很可能获得足够的应纳税所得额时，减记的金额予以转回。</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31、租赁" w:id="214"/>
      <w:bookmarkEnd w:id="214"/>
      <w:r>
        <w:rPr/>
      </w:r>
      <w:r>
        <w:rPr>
          <w:rFonts w:ascii="宋体" w:hAnsi="宋体" w:cs="宋体" w:eastAsia="宋体" w:hint="default"/>
          <w:b/>
          <w:bCs/>
          <w:sz w:val="21"/>
          <w:szCs w:val="21"/>
        </w:rPr>
        <w:t>31</w:t>
      </w:r>
      <w:r>
        <w:rPr>
          <w:rFonts w:ascii="宋体" w:hAnsi="宋体" w:cs="宋体" w:eastAsia="宋体" w:hint="default"/>
          <w:b/>
          <w:bCs/>
          <w:sz w:val="21"/>
          <w:szCs w:val="21"/>
        </w:rPr>
        <w:t>、租赁</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经营租赁的会计处理方法" w:id="215"/>
      <w:bookmarkEnd w:id="215"/>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）经营租赁的会计处理方法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无。</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0" w:firstLine="0"/>
        <w:jc w:val="both"/>
        <w:rPr>
          <w:rFonts w:ascii="宋体" w:hAnsi="宋体" w:cs="宋体" w:eastAsia="宋体" w:hint="default"/>
          <w:sz w:val="21"/>
          <w:szCs w:val="21"/>
        </w:rPr>
      </w:pPr>
      <w:bookmarkStart w:name="（2）融资租赁的会计处理方法" w:id="216"/>
      <w:bookmarkEnd w:id="216"/>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）融资租赁的会计处理方法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32、其他重要的会计政策和会计估计" w:id="217"/>
      <w:bookmarkEnd w:id="217"/>
      <w:r>
        <w:rPr/>
      </w:r>
      <w:r>
        <w:rPr>
          <w:rFonts w:ascii="宋体" w:hAnsi="宋体" w:cs="宋体" w:eastAsia="宋体" w:hint="default"/>
          <w:b/>
          <w:bCs/>
          <w:sz w:val="21"/>
          <w:szCs w:val="21"/>
        </w:rPr>
        <w:t>32</w:t>
      </w:r>
      <w:r>
        <w:rPr>
          <w:rFonts w:ascii="宋体" w:hAnsi="宋体" w:cs="宋体" w:eastAsia="宋体" w:hint="default"/>
          <w:b/>
          <w:bCs/>
          <w:sz w:val="21"/>
          <w:szCs w:val="21"/>
        </w:rPr>
        <w:t>、其他重要的会计政策和会计估计</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357" w:lineRule="auto" w:before="131"/>
        <w:ind w:right="1139" w:firstLine="480"/>
        <w:jc w:val="both"/>
      </w:pPr>
      <w:r>
        <w:rPr/>
        <w:t>编制财务报表时，本集团管理层需要运用估计和假设，这些估计和假设会对会计政策的 应用及资产、负债、收入及费用的金额产生影响。实际情况可能与这些估计不同。本集团管 理层对估计涉及的关键假设和不确定性因素的判断进行持续评估。会计估计变更的影响在变 更当期和未来期间予以确认。</w:t>
      </w:r>
    </w:p>
    <w:p>
      <w:pPr>
        <w:pStyle w:val="BodyText"/>
        <w:spacing w:line="357" w:lineRule="auto" w:before="134"/>
        <w:ind w:right="1135" w:firstLine="480"/>
        <w:jc w:val="both"/>
      </w:pPr>
      <w:r>
        <w:rPr/>
        <w:t>下列会计估计及关键假设存在导致未来期间的资产及负债账面值发生重大调整的重要风 险。</w:t>
      </w:r>
    </w:p>
    <w:p>
      <w:pPr>
        <w:pStyle w:val="BodyText"/>
        <w:spacing w:line="432" w:lineRule="auto" w:before="137"/>
        <w:ind w:left="634" w:right="1092"/>
        <w:jc w:val="left"/>
      </w:pPr>
      <w:r>
        <w:rPr>
          <w:rFonts w:ascii="宋体" w:hAnsi="宋体" w:cs="宋体" w:eastAsia="宋体" w:hint="default"/>
        </w:rPr>
        <w:t>1</w:t>
      </w:r>
      <w:r>
        <w:rPr/>
        <w:t>）应收款项减值 本集团在资产负债表日按摊余成本计量的应收款项，以评估是否出现减值情況，并在出</w:t>
      </w:r>
    </w:p>
    <w:p>
      <w:pPr>
        <w:pStyle w:val="BodyText"/>
        <w:spacing w:line="276" w:lineRule="exact"/>
        <w:ind w:right="0"/>
        <w:jc w:val="both"/>
      </w:pPr>
      <w:r>
        <w:rPr/>
        <w:t>现减值情況时评估减值损失的具体金额。减值的客观证据包括显示个别或组合应收款项预计</w:t>
      </w:r>
    </w:p>
    <w:p>
      <w:pPr>
        <w:pStyle w:val="BodyText"/>
        <w:spacing w:line="357" w:lineRule="auto" w:before="154"/>
        <w:ind w:right="1139"/>
        <w:jc w:val="both"/>
      </w:pPr>
      <w:r>
        <w:rPr/>
        <w:t>未来现金流量出现大幅下降的可判断数据，显示个别或组合应收款项中债务人的财务状况出 现重大负面的可判断数据等事项。如果有证据表明该应收款项价值已恢复，且客观上与确认 该损失后发生的事项有关，则将原确认的减值损失予以转回。</w:t>
      </w:r>
    </w:p>
    <w:p>
      <w:pPr>
        <w:pStyle w:val="BodyText"/>
        <w:spacing w:line="434" w:lineRule="auto" w:before="136"/>
        <w:ind w:left="634" w:right="1092"/>
        <w:jc w:val="left"/>
      </w:pPr>
      <w:r>
        <w:rPr>
          <w:rFonts w:ascii="宋体" w:hAnsi="宋体" w:cs="宋体" w:eastAsia="宋体" w:hint="default"/>
        </w:rPr>
        <w:t>2</w:t>
      </w:r>
      <w:r>
        <w:rPr/>
        <w:t>）商誉减值准备的会计估计 本集团每年对商誉进行减值测试。包含商誉的资产组和资产组组合的可收回金额为其预</w:t>
      </w:r>
    </w:p>
    <w:p>
      <w:pPr>
        <w:pStyle w:val="BodyText"/>
        <w:spacing w:line="275" w:lineRule="exact"/>
        <w:ind w:right="0"/>
        <w:jc w:val="both"/>
      </w:pPr>
      <w:r>
        <w:rPr/>
        <w:t>计未来现金流量的现值，其计算需要采用会计估计。</w:t>
      </w:r>
    </w:p>
    <w:p>
      <w:pPr>
        <w:spacing w:line="240" w:lineRule="auto" w:before="4"/>
        <w:rPr>
          <w:rFonts w:ascii="宋体" w:hAnsi="宋体" w:cs="宋体" w:eastAsia="宋体" w:hint="default"/>
          <w:sz w:val="19"/>
          <w:szCs w:val="19"/>
        </w:rPr>
      </w:pPr>
    </w:p>
    <w:p>
      <w:pPr>
        <w:pStyle w:val="BodyText"/>
        <w:spacing w:line="357" w:lineRule="auto"/>
        <w:ind w:right="1140" w:firstLine="480"/>
        <w:jc w:val="both"/>
      </w:pPr>
      <w:r>
        <w:rPr/>
        <w:t>如果管理层对资产组和资产组组合未来现金流量计算中采用的毛利率进行修订，修订后 的毛利率低于目前采用的毛利率，本集团需对商誉增加计提减值准备。</w:t>
      </w:r>
    </w:p>
    <w:p>
      <w:pPr>
        <w:pStyle w:val="BodyText"/>
        <w:spacing w:line="357" w:lineRule="auto" w:before="134"/>
        <w:ind w:right="1140" w:firstLine="480"/>
        <w:jc w:val="both"/>
      </w:pPr>
      <w:r>
        <w:rPr/>
        <w:t>如果管理层对应用于现金流量折现的税前折现率进行重新修订，修订后的税前折率高于 目前采用的折现率，本集团需对商誉增加计提减值准备。</w:t>
      </w:r>
    </w:p>
    <w:p>
      <w:pPr>
        <w:pStyle w:val="BodyText"/>
        <w:spacing w:line="357" w:lineRule="auto" w:before="136"/>
        <w:ind w:right="1140" w:firstLine="480"/>
        <w:jc w:val="both"/>
      </w:pPr>
      <w:r>
        <w:rPr/>
        <w:t>如果实际毛利率或税前折现率高于或低于管理层的估计，本集团不能转回原已计提的商 誉减值损失。</w:t>
      </w:r>
    </w:p>
    <w:p>
      <w:pPr>
        <w:pStyle w:val="BodyText"/>
        <w:spacing w:line="432" w:lineRule="auto" w:before="136"/>
        <w:ind w:left="634" w:right="1092"/>
        <w:jc w:val="left"/>
      </w:pPr>
      <w:r>
        <w:rPr>
          <w:rFonts w:ascii="宋体" w:hAnsi="宋体" w:cs="宋体" w:eastAsia="宋体" w:hint="default"/>
        </w:rPr>
        <w:t>3</w:t>
      </w:r>
      <w:r>
        <w:rPr/>
        <w:t>）递延所得税资产确认的会计估计 递延所得税资产的估计需要对未来各个年度的应纳税所得额及适用的税率进行估计，递</w:t>
      </w:r>
    </w:p>
    <w:p>
      <w:pPr>
        <w:spacing w:after="0" w:line="432"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left="214" w:right="1139"/>
        <w:jc w:val="both"/>
      </w:pPr>
      <w:r>
        <w:rPr/>
        <w:t>延所得税资产的实现取决于公司未来是否很可能获得足够的应纳税所得额。未来税率的变化 和暂时性差异的转回时间也可能影响所得税费用（收益）以及递延所得税的余额。上述估计 的变化可能导致对递延所得税的重要调整。</w:t>
      </w:r>
    </w:p>
    <w:p>
      <w:pPr>
        <w:pStyle w:val="BodyText"/>
        <w:spacing w:line="434" w:lineRule="auto" w:before="136"/>
        <w:ind w:left="694" w:right="1120"/>
        <w:jc w:val="left"/>
      </w:pPr>
      <w:r>
        <w:rPr>
          <w:rFonts w:ascii="宋体" w:hAnsi="宋体" w:cs="宋体" w:eastAsia="宋体" w:hint="default"/>
        </w:rPr>
        <w:t>4</w:t>
      </w:r>
      <w:r>
        <w:rPr/>
        <w:t>）固定资产、无形资产的可使用年限 本集团至少于每年年度终了，对固定资产和无形资产的预计使用寿命进行复核。预计使</w:t>
      </w:r>
    </w:p>
    <w:p>
      <w:pPr>
        <w:pStyle w:val="BodyText"/>
        <w:spacing w:line="274" w:lineRule="exact"/>
        <w:ind w:left="214" w:right="0"/>
        <w:jc w:val="both"/>
      </w:pPr>
      <w:r>
        <w:rPr/>
        <w:t>用寿命是管理层基于同类资产历史经验、参考同行业普遍所应用的估计并结合预期技术更新</w:t>
      </w:r>
    </w:p>
    <w:p>
      <w:pPr>
        <w:pStyle w:val="BodyText"/>
        <w:spacing w:line="240" w:lineRule="auto" w:before="155"/>
        <w:ind w:left="214" w:right="0"/>
        <w:jc w:val="both"/>
      </w:pPr>
      <w:r>
        <w:rPr/>
        <w:t>而决定的。当以往的估计发生重大变化时，则相应调整未来期间的折旧费用和摊销费用。</w:t>
      </w:r>
    </w:p>
    <w:p>
      <w:pPr>
        <w:spacing w:line="240" w:lineRule="auto" w:before="5"/>
        <w:rPr>
          <w:rFonts w:ascii="宋体" w:hAnsi="宋体" w:cs="宋体" w:eastAsia="宋体" w:hint="default"/>
          <w:sz w:val="30"/>
          <w:szCs w:val="30"/>
        </w:rPr>
      </w:pPr>
    </w:p>
    <w:p>
      <w:pPr>
        <w:spacing w:before="0"/>
        <w:ind w:left="214" w:right="0" w:firstLine="0"/>
        <w:jc w:val="both"/>
        <w:rPr>
          <w:rFonts w:ascii="宋体" w:hAnsi="宋体" w:cs="宋体" w:eastAsia="宋体" w:hint="default"/>
          <w:sz w:val="21"/>
          <w:szCs w:val="21"/>
        </w:rPr>
      </w:pPr>
      <w:bookmarkStart w:name="33、重要会计政策和会计估计变更" w:id="218"/>
      <w:bookmarkEnd w:id="218"/>
      <w:r>
        <w:rPr/>
      </w:r>
      <w:r>
        <w:rPr>
          <w:rFonts w:ascii="宋体" w:hAnsi="宋体" w:cs="宋体" w:eastAsia="宋体" w:hint="default"/>
          <w:b/>
          <w:bCs/>
          <w:sz w:val="21"/>
          <w:szCs w:val="21"/>
        </w:rPr>
        <w:t>33</w:t>
      </w:r>
      <w:r>
        <w:rPr>
          <w:rFonts w:ascii="宋体" w:hAnsi="宋体" w:cs="宋体" w:eastAsia="宋体" w:hint="default"/>
          <w:b/>
          <w:bCs/>
          <w:sz w:val="21"/>
          <w:szCs w:val="21"/>
        </w:rPr>
        <w:t>、重要会计政策和会计估计变更</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214" w:right="0" w:firstLine="0"/>
        <w:jc w:val="both"/>
        <w:rPr>
          <w:rFonts w:ascii="宋体" w:hAnsi="宋体" w:cs="宋体" w:eastAsia="宋体" w:hint="default"/>
          <w:sz w:val="21"/>
          <w:szCs w:val="21"/>
        </w:rPr>
      </w:pPr>
      <w:bookmarkStart w:name="（1）重要会计政策变更" w:id="219"/>
      <w:bookmarkEnd w:id="219"/>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）重要会计政策变更</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94" w:right="1120"/>
        <w:jc w:val="left"/>
      </w:pPr>
      <w:r>
        <w:rPr/>
        <w:t>√ 适用 □ 不适用</w:t>
      </w:r>
    </w:p>
    <w:p>
      <w:pPr>
        <w:spacing w:line="240" w:lineRule="auto" w:before="3"/>
        <w:rPr>
          <w:rFonts w:ascii="宋体" w:hAnsi="宋体" w:cs="宋体" w:eastAsia="宋体" w:hint="default"/>
          <w:sz w:val="16"/>
          <w:szCs w:val="16"/>
        </w:rPr>
      </w:pPr>
    </w:p>
    <w:tbl>
      <w:tblPr>
        <w:tblW w:w="0" w:type="auto"/>
        <w:jc w:val="left"/>
        <w:tblInd w:w="209" w:type="dxa"/>
        <w:tblLayout w:type="fixed"/>
        <w:tblCellMar>
          <w:top w:w="0" w:type="dxa"/>
          <w:left w:w="0" w:type="dxa"/>
          <w:bottom w:w="0" w:type="dxa"/>
          <w:right w:w="0" w:type="dxa"/>
        </w:tblCellMar>
        <w:tblLook w:val="01E0"/>
      </w:tblPr>
      <w:tblGrid>
        <w:gridCol w:w="4254"/>
        <w:gridCol w:w="851"/>
        <w:gridCol w:w="4466"/>
      </w:tblGrid>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42"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 w:right="0"/>
              <w:jc w:val="left"/>
              <w:rPr>
                <w:rFonts w:ascii="宋体" w:hAnsi="宋体" w:cs="宋体" w:eastAsia="宋体" w:hint="default"/>
                <w:sz w:val="18"/>
                <w:szCs w:val="18"/>
              </w:rPr>
            </w:pPr>
            <w:r>
              <w:rPr>
                <w:rFonts w:ascii="宋体" w:hAnsi="宋体" w:cs="宋体" w:eastAsia="宋体" w:hint="default"/>
                <w:sz w:val="18"/>
                <w:szCs w:val="18"/>
              </w:rPr>
              <w:t>审批程序</w:t>
            </w:r>
          </w:p>
        </w:tc>
        <w:tc>
          <w:tcPr>
            <w:tcW w:w="44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2274"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20"/>
              <w:jc w:val="both"/>
              <w:rPr>
                <w:rFonts w:ascii="宋体" w:hAnsi="宋体" w:cs="宋体" w:eastAsia="宋体" w:hint="default"/>
                <w:sz w:val="18"/>
                <w:szCs w:val="18"/>
              </w:rPr>
            </w:pPr>
            <w:r>
              <w:rPr>
                <w:rFonts w:ascii="宋体" w:hAnsi="宋体" w:cs="宋体" w:eastAsia="宋体" w:hint="default"/>
                <w:sz w:val="18"/>
                <w:szCs w:val="18"/>
              </w:rPr>
              <w:t>财政部发布财会</w:t>
            </w:r>
            <w:r>
              <w:rPr>
                <w:rFonts w:ascii="宋体" w:hAnsi="宋体" w:cs="宋体" w:eastAsia="宋体" w:hint="default"/>
                <w:sz w:val="18"/>
                <w:szCs w:val="18"/>
              </w:rPr>
              <w:t>[2018]15</w:t>
            </w:r>
            <w:r>
              <w:rPr>
                <w:rFonts w:ascii="宋体" w:hAnsi="宋体" w:cs="宋体" w:eastAsia="宋体" w:hint="default"/>
                <w:spacing w:val="-46"/>
                <w:sz w:val="18"/>
                <w:szCs w:val="18"/>
              </w:rPr>
              <w:t> </w:t>
            </w:r>
            <w:r>
              <w:rPr>
                <w:rFonts w:ascii="宋体" w:hAnsi="宋体" w:cs="宋体" w:eastAsia="宋体" w:hint="default"/>
                <w:spacing w:val="-10"/>
                <w:sz w:val="18"/>
                <w:szCs w:val="18"/>
              </w:rPr>
              <w:t>号《关于修订印发</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pacing w:val="1"/>
                <w:sz w:val="18"/>
                <w:szCs w:val="18"/>
              </w:rPr>
              <w:t>年度 </w:t>
            </w:r>
            <w:r>
              <w:rPr>
                <w:rFonts w:ascii="宋体" w:hAnsi="宋体" w:cs="宋体" w:eastAsia="宋体" w:hint="default"/>
                <w:spacing w:val="-6"/>
                <w:sz w:val="18"/>
                <w:szCs w:val="18"/>
              </w:rPr>
              <w:t>一般企业财务报表格式的通知》，要求执行会计准则的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企业应当按照企业会计准则和通知的要求编制财务报 表，对企业财务报表格式进行相应调整，本集团对该 项会计政策变更涉及的报表科目采用追溯调整法。</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2" w:right="96"/>
              <w:jc w:val="left"/>
              <w:rPr>
                <w:rFonts w:ascii="宋体" w:hAnsi="宋体" w:cs="宋体" w:eastAsia="宋体" w:hint="default"/>
                <w:sz w:val="18"/>
                <w:szCs w:val="18"/>
              </w:rPr>
            </w:pPr>
            <w:r>
              <w:rPr>
                <w:rFonts w:ascii="宋体" w:hAnsi="宋体" w:cs="宋体" w:eastAsia="宋体" w:hint="default"/>
                <w:sz w:val="18"/>
                <w:szCs w:val="18"/>
              </w:rPr>
              <w:t>经董事会 审批通过</w:t>
            </w:r>
          </w:p>
        </w:tc>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0"/>
              <w:jc w:val="both"/>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pacing w:val="-6"/>
                <w:sz w:val="18"/>
                <w:szCs w:val="18"/>
              </w:rPr>
              <w:t>年起，应收账款及应收票据在资产负债表合并为“应</w:t>
            </w:r>
            <w:r>
              <w:rPr>
                <w:rFonts w:ascii="宋体" w:hAnsi="宋体" w:cs="宋体" w:eastAsia="宋体" w:hint="default"/>
                <w:sz w:val="18"/>
                <w:szCs w:val="18"/>
              </w:rPr>
              <w:t> </w:t>
            </w:r>
            <w:r>
              <w:rPr>
                <w:rFonts w:ascii="宋体" w:hAnsi="宋体" w:cs="宋体" w:eastAsia="宋体" w:hint="default"/>
                <w:spacing w:val="-4"/>
                <w:sz w:val="18"/>
                <w:szCs w:val="18"/>
              </w:rPr>
              <w:t>收账款”进行列示；其他应收款、应收利息、应收股利在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资产负债表合并为“其他应收款”进行列示。应付账款及</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应付票据在资产负债表合并为“应付账款”进行列示；其</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他应付款、应付利息、应付股利在资产负债表合并为”其</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他应付款“进行列示。管理费用科目在利润表划分为管理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费用及研发费用进行列示。</w:t>
            </w:r>
          </w:p>
        </w:tc>
      </w:tr>
    </w:tbl>
    <w:p>
      <w:pPr>
        <w:spacing w:line="240" w:lineRule="auto" w:before="10"/>
        <w:rPr>
          <w:rFonts w:ascii="宋体" w:hAnsi="宋体" w:cs="宋体" w:eastAsia="宋体" w:hint="default"/>
          <w:sz w:val="8"/>
          <w:szCs w:val="8"/>
        </w:rPr>
      </w:pPr>
    </w:p>
    <w:p>
      <w:pPr>
        <w:pStyle w:val="BodyText"/>
        <w:spacing w:line="240" w:lineRule="auto" w:before="26"/>
        <w:ind w:left="694" w:right="1120"/>
        <w:jc w:val="left"/>
      </w:pPr>
      <w:r>
        <w:rPr>
          <w:rFonts w:ascii="宋体" w:hAnsi="宋体" w:cs="宋体" w:eastAsia="宋体" w:hint="default"/>
        </w:rPr>
        <w:t>2017</w:t>
      </w:r>
      <w:r>
        <w:rPr>
          <w:rFonts w:ascii="宋体" w:hAnsi="宋体" w:cs="宋体" w:eastAsia="宋体" w:hint="default"/>
          <w:spacing w:val="-60"/>
        </w:rPr>
        <w:t> </w:t>
      </w:r>
      <w:r>
        <w:rPr/>
        <w:t>年度财务报表列报项目受影响的报表项目及金额进行调整如下：</w:t>
      </w:r>
    </w:p>
    <w:p>
      <w:pPr>
        <w:spacing w:line="240" w:lineRule="auto" w:before="4"/>
        <w:rPr>
          <w:rFonts w:ascii="宋体" w:hAnsi="宋体" w:cs="宋体" w:eastAsia="宋体"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2784"/>
        <w:gridCol w:w="2357"/>
        <w:gridCol w:w="2356"/>
        <w:gridCol w:w="2251"/>
      </w:tblGrid>
      <w:tr>
        <w:trPr>
          <w:trHeight w:val="402" w:hRule="exact"/>
        </w:trPr>
        <w:tc>
          <w:tcPr>
            <w:tcW w:w="2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5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2017-12-31/2017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调整前</w:t>
            </w:r>
          </w:p>
        </w:tc>
        <w:tc>
          <w:tcPr>
            <w:tcW w:w="2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调整后</w:t>
            </w:r>
          </w:p>
        </w:tc>
        <w:tc>
          <w:tcPr>
            <w:tcW w:w="22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变动额</w:t>
            </w:r>
          </w:p>
        </w:tc>
      </w:tr>
      <w:tr>
        <w:trPr>
          <w:trHeight w:val="322"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357" w:type="dxa"/>
            <w:tcBorders>
              <w:top w:val="single" w:sz="4" w:space="0" w:color="000000"/>
              <w:left w:val="single" w:sz="4" w:space="0" w:color="000000"/>
              <w:bottom w:val="single" w:sz="4" w:space="0" w:color="000000"/>
              <w:right w:val="single" w:sz="4" w:space="0" w:color="000000"/>
            </w:tcBorders>
          </w:tcPr>
          <w:p>
            <w:pPr/>
          </w:p>
        </w:tc>
        <w:tc>
          <w:tcPr>
            <w:tcW w:w="2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133,383,639.60</w:t>
            </w: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133,383,639.60</w:t>
            </w:r>
          </w:p>
        </w:tc>
      </w:tr>
      <w:tr>
        <w:trPr>
          <w:trHeight w:val="323"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133,383,639.60</w:t>
            </w:r>
          </w:p>
        </w:tc>
        <w:tc>
          <w:tcPr>
            <w:tcW w:w="2356" w:type="dxa"/>
            <w:tcBorders>
              <w:top w:val="single" w:sz="4" w:space="0" w:color="000000"/>
              <w:left w:val="single" w:sz="4" w:space="0" w:color="000000"/>
              <w:bottom w:val="single" w:sz="4" w:space="0" w:color="000000"/>
              <w:right w:val="single" w:sz="4" w:space="0" w:color="000000"/>
            </w:tcBorders>
          </w:tcPr>
          <w:p>
            <w:pP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-133,383,639.60</w:t>
            </w:r>
          </w:p>
        </w:tc>
      </w:tr>
      <w:tr>
        <w:trPr>
          <w:trHeight w:val="322"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357" w:type="dxa"/>
            <w:tcBorders>
              <w:top w:val="single" w:sz="4" w:space="0" w:color="000000"/>
              <w:left w:val="single" w:sz="4" w:space="0" w:color="000000"/>
              <w:bottom w:val="single" w:sz="4" w:space="0" w:color="000000"/>
              <w:right w:val="single" w:sz="4" w:space="0" w:color="000000"/>
            </w:tcBorders>
          </w:tcPr>
          <w:p>
            <w:pPr/>
          </w:p>
        </w:tc>
        <w:tc>
          <w:tcPr>
            <w:tcW w:w="2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71,421,115.88</w:t>
            </w: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71,421,115.88</w:t>
            </w:r>
          </w:p>
        </w:tc>
      </w:tr>
      <w:tr>
        <w:trPr>
          <w:trHeight w:val="322"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71,421,115.88</w:t>
            </w:r>
          </w:p>
        </w:tc>
        <w:tc>
          <w:tcPr>
            <w:tcW w:w="2356" w:type="dxa"/>
            <w:tcBorders>
              <w:top w:val="single" w:sz="4" w:space="0" w:color="000000"/>
              <w:left w:val="single" w:sz="4" w:space="0" w:color="000000"/>
              <w:bottom w:val="single" w:sz="4" w:space="0" w:color="000000"/>
              <w:right w:val="single" w:sz="4" w:space="0" w:color="000000"/>
            </w:tcBorders>
          </w:tcPr>
          <w:p>
            <w:pP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-71,421,115.88</w:t>
            </w:r>
          </w:p>
        </w:tc>
      </w:tr>
      <w:tr>
        <w:trPr>
          <w:trHeight w:val="323"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51,755,464.61</w:t>
            </w:r>
          </w:p>
        </w:tc>
        <w:tc>
          <w:tcPr>
            <w:tcW w:w="2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51,739,520.78</w:t>
            </w: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182,056.17</w:t>
            </w:r>
          </w:p>
        </w:tc>
      </w:tr>
      <w:tr>
        <w:trPr>
          <w:trHeight w:val="322"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49,408.34</w:t>
            </w:r>
          </w:p>
        </w:tc>
        <w:tc>
          <w:tcPr>
            <w:tcW w:w="2356" w:type="dxa"/>
            <w:tcBorders>
              <w:top w:val="single" w:sz="4" w:space="0" w:color="000000"/>
              <w:left w:val="single" w:sz="4" w:space="0" w:color="000000"/>
              <w:bottom w:val="single" w:sz="4" w:space="0" w:color="000000"/>
              <w:right w:val="single" w:sz="4" w:space="0" w:color="000000"/>
            </w:tcBorders>
          </w:tcPr>
          <w:p>
            <w:pP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-49,408.34</w:t>
            </w:r>
          </w:p>
        </w:tc>
      </w:tr>
      <w:tr>
        <w:trPr>
          <w:trHeight w:val="322"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132,647.83</w:t>
            </w:r>
          </w:p>
        </w:tc>
        <w:tc>
          <w:tcPr>
            <w:tcW w:w="2356" w:type="dxa"/>
            <w:tcBorders>
              <w:top w:val="single" w:sz="4" w:space="0" w:color="000000"/>
              <w:left w:val="single" w:sz="4" w:space="0" w:color="000000"/>
              <w:bottom w:val="single" w:sz="4" w:space="0" w:color="000000"/>
              <w:right w:val="single" w:sz="4" w:space="0" w:color="000000"/>
            </w:tcBorders>
          </w:tcPr>
          <w:p>
            <w:pP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-132,647.83</w:t>
            </w:r>
          </w:p>
        </w:tc>
      </w:tr>
      <w:tr>
        <w:trPr>
          <w:trHeight w:val="323"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222,942,051.52</w:t>
            </w:r>
          </w:p>
        </w:tc>
        <w:tc>
          <w:tcPr>
            <w:tcW w:w="2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145,226,376.19</w:t>
            </w: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-77,715,675.33</w:t>
            </w:r>
          </w:p>
        </w:tc>
      </w:tr>
      <w:tr>
        <w:trPr>
          <w:trHeight w:val="322" w:hRule="exact"/>
        </w:trPr>
        <w:tc>
          <w:tcPr>
            <w:tcW w:w="2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357" w:type="dxa"/>
            <w:tcBorders>
              <w:top w:val="single" w:sz="4" w:space="0" w:color="000000"/>
              <w:left w:val="single" w:sz="4" w:space="0" w:color="000000"/>
              <w:bottom w:val="single" w:sz="4" w:space="0" w:color="000000"/>
              <w:right w:val="single" w:sz="4" w:space="0" w:color="000000"/>
            </w:tcBorders>
          </w:tcPr>
          <w:p>
            <w:pPr/>
          </w:p>
        </w:tc>
        <w:tc>
          <w:tcPr>
            <w:tcW w:w="2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77,715,675.33</w:t>
            </w:r>
          </w:p>
        </w:tc>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77,715,675.33</w:t>
            </w:r>
          </w:p>
        </w:tc>
      </w:tr>
    </w:tbl>
    <w:p>
      <w:pPr>
        <w:spacing w:line="240" w:lineRule="auto" w:before="3"/>
        <w:rPr>
          <w:rFonts w:ascii="宋体" w:hAnsi="宋体" w:cs="宋体" w:eastAsia="宋体" w:hint="default"/>
          <w:sz w:val="19"/>
          <w:szCs w:val="19"/>
        </w:rPr>
      </w:pPr>
    </w:p>
    <w:p>
      <w:pPr>
        <w:spacing w:before="35"/>
        <w:ind w:left="214" w:right="1120" w:firstLine="0"/>
        <w:jc w:val="left"/>
        <w:rPr>
          <w:rFonts w:ascii="宋体" w:hAnsi="宋体" w:cs="宋体" w:eastAsia="宋体" w:hint="default"/>
          <w:sz w:val="21"/>
          <w:szCs w:val="21"/>
        </w:rPr>
      </w:pPr>
      <w:bookmarkStart w:name="（2）重要会计估计变更" w:id="220"/>
      <w:bookmarkEnd w:id="220"/>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）重要会计估计变更</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94" w:right="1120"/>
        <w:jc w:val="left"/>
      </w:pPr>
      <w:r>
        <w:rPr/>
        <w:t>□ 适用 √ 不适用</w:t>
      </w:r>
    </w:p>
    <w:p>
      <w:pPr>
        <w:spacing w:after="0" w:line="240" w:lineRule="auto"/>
        <w:jc w:val="left"/>
        <w:sectPr>
          <w:pgSz w:w="11910" w:h="16840"/>
          <w:pgMar w:header="877" w:footer="979" w:top="1100" w:bottom="1160" w:left="920" w:right="0"/>
        </w:sectPr>
      </w:pPr>
    </w:p>
    <w:p>
      <w:pPr>
        <w:spacing w:line="240" w:lineRule="auto" w:before="8"/>
        <w:rPr>
          <w:rFonts w:ascii="宋体" w:hAnsi="宋体" w:cs="宋体" w:eastAsia="宋体" w:hint="default"/>
          <w:sz w:val="19"/>
          <w:szCs w:val="19"/>
        </w:rPr>
      </w:pPr>
    </w:p>
    <w:p>
      <w:pPr>
        <w:pStyle w:val="Heading2"/>
        <w:spacing w:line="240" w:lineRule="auto"/>
        <w:ind w:right="1092"/>
        <w:jc w:val="left"/>
        <w:rPr>
          <w:b w:val="0"/>
          <w:bCs w:val="0"/>
        </w:rPr>
      </w:pPr>
      <w:bookmarkStart w:name="六、税项" w:id="221"/>
      <w:bookmarkEnd w:id="221"/>
      <w:r>
        <w:rPr>
          <w:b w:val="0"/>
          <w:bCs w:val="0"/>
        </w:rPr>
      </w:r>
      <w:r>
        <w:rPr/>
        <w:t>六、税项</w:t>
      </w:r>
      <w:r>
        <w:rPr>
          <w:b w:val="0"/>
          <w:bCs w:val="0"/>
        </w:rPr>
      </w:r>
    </w:p>
    <w:p>
      <w:pPr>
        <w:spacing w:line="240" w:lineRule="auto" w:before="9"/>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主要税种及税率" w:id="222"/>
      <w:bookmarkEnd w:id="222"/>
      <w:r>
        <w:rPr/>
      </w:r>
      <w:r>
        <w:rPr>
          <w:rFonts w:ascii="宋体" w:hAnsi="宋体" w:cs="宋体" w:eastAsia="宋体"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sz w:val="21"/>
          <w:szCs w:val="21"/>
        </w:rPr>
      </w:r>
    </w:p>
    <w:p>
      <w:pPr>
        <w:spacing w:line="240" w:lineRule="auto" w:before="12"/>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317" w:hRule="exact"/>
        </w:trPr>
        <w:tc>
          <w:tcPr>
            <w:tcW w:w="3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319" w:lineRule="auto" w:before="51"/>
              <w:ind w:left="16" w:right="95"/>
              <w:jc w:val="left"/>
              <w:rPr>
                <w:rFonts w:ascii="宋体" w:hAnsi="宋体" w:cs="宋体" w:eastAsia="宋体" w:hint="default"/>
                <w:sz w:val="18"/>
                <w:szCs w:val="18"/>
              </w:rPr>
            </w:pPr>
            <w:r>
              <w:rPr>
                <w:rFonts w:ascii="宋体" w:hAnsi="宋体" w:cs="宋体" w:eastAsia="宋体" w:hint="default"/>
                <w:sz w:val="18"/>
                <w:szCs w:val="18"/>
              </w:rPr>
              <w:t>应纳税增值额</w:t>
            </w:r>
            <w:r>
              <w:rPr>
                <w:rFonts w:ascii="宋体" w:hAnsi="宋体" w:cs="宋体" w:eastAsia="宋体" w:hint="default"/>
                <w:sz w:val="18"/>
                <w:szCs w:val="18"/>
              </w:rPr>
              <w:t>(</w:t>
            </w:r>
            <w:r>
              <w:rPr>
                <w:rFonts w:ascii="宋体" w:hAnsi="宋体" w:cs="宋体" w:eastAsia="宋体" w:hint="default"/>
                <w:sz w:val="18"/>
                <w:szCs w:val="18"/>
              </w:rPr>
              <w:t>应纳税额按应纳税销售 额乘以适用税率扣除当期允许抵扣的进 项税后的余额计算</w:t>
            </w:r>
            <w:r>
              <w:rPr>
                <w:rFonts w:ascii="宋体" w:hAnsi="宋体" w:cs="宋体" w:eastAsia="宋体" w:hint="default"/>
                <w:sz w:val="18"/>
                <w:szCs w:val="18"/>
              </w:rPr>
              <w:t>)</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w:t>
            </w:r>
            <w:r>
              <w:rPr>
                <w:rFonts w:ascii="宋体" w:hAnsi="宋体" w:cs="宋体" w:eastAsia="宋体" w:hint="default"/>
                <w:sz w:val="18"/>
                <w:szCs w:val="18"/>
              </w:rPr>
              <w:t>6%</w:t>
            </w:r>
            <w:r>
              <w:rPr>
                <w:rFonts w:ascii="宋体" w:hAnsi="宋体" w:cs="宋体" w:eastAsia="宋体" w:hint="default"/>
                <w:sz w:val="18"/>
                <w:szCs w:val="18"/>
              </w:rPr>
              <w:t>、</w:t>
            </w:r>
            <w:r>
              <w:rPr>
                <w:rFonts w:ascii="宋体" w:hAnsi="宋体" w:cs="宋体" w:eastAsia="宋体" w:hint="default"/>
                <w:sz w:val="18"/>
                <w:szCs w:val="18"/>
              </w:rPr>
              <w:t>13%</w:t>
            </w:r>
            <w:r>
              <w:rPr>
                <w:rFonts w:ascii="宋体" w:hAnsi="宋体" w:cs="宋体" w:eastAsia="宋体" w:hint="default"/>
                <w:sz w:val="18"/>
                <w:szCs w:val="18"/>
              </w:rPr>
              <w:t>、</w:t>
            </w:r>
            <w:r>
              <w:rPr>
                <w:rFonts w:ascii="宋体" w:hAnsi="宋体" w:cs="宋体" w:eastAsia="宋体" w:hint="default"/>
                <w:sz w:val="18"/>
                <w:szCs w:val="18"/>
              </w:rPr>
              <w:t>16%</w:t>
            </w:r>
            <w:r>
              <w:rPr>
                <w:rFonts w:ascii="宋体" w:hAnsi="宋体" w:cs="宋体" w:eastAsia="宋体" w:hint="default"/>
                <w:sz w:val="18"/>
                <w:szCs w:val="18"/>
              </w:rPr>
              <w:t>、</w:t>
            </w:r>
            <w:r>
              <w:rPr>
                <w:rFonts w:ascii="宋体" w:hAnsi="宋体" w:cs="宋体" w:eastAsia="宋体" w:hint="default"/>
                <w:sz w:val="18"/>
                <w:szCs w:val="18"/>
              </w:rPr>
              <w:t>17%</w:t>
            </w:r>
          </w:p>
        </w:tc>
      </w:tr>
      <w:tr>
        <w:trPr>
          <w:trHeight w:val="392" w:hRule="exact"/>
        </w:trPr>
        <w:tc>
          <w:tcPr>
            <w:tcW w:w="3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317" w:hRule="exact"/>
        </w:trPr>
        <w:tc>
          <w:tcPr>
            <w:tcW w:w="3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应纳流转税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0%</w:t>
            </w:r>
            <w:r>
              <w:rPr>
                <w:rFonts w:ascii="宋体" w:hAnsi="宋体" w:cs="宋体" w:eastAsia="宋体" w:hint="default"/>
                <w:sz w:val="18"/>
                <w:szCs w:val="18"/>
              </w:rPr>
              <w:t>、</w:t>
            </w:r>
            <w:r>
              <w:rPr>
                <w:rFonts w:ascii="宋体" w:hAnsi="宋体" w:cs="宋体" w:eastAsia="宋体" w:hint="default"/>
                <w:sz w:val="18"/>
                <w:szCs w:val="18"/>
              </w:rPr>
              <w:t>15%</w:t>
            </w:r>
            <w:r>
              <w:rPr>
                <w:rFonts w:ascii="宋体" w:hAnsi="宋体" w:cs="宋体" w:eastAsia="宋体" w:hint="default"/>
                <w:sz w:val="18"/>
                <w:szCs w:val="18"/>
              </w:rPr>
              <w:t>、</w:t>
            </w:r>
            <w:r>
              <w:rPr>
                <w:rFonts w:ascii="宋体" w:hAnsi="宋体" w:cs="宋体" w:eastAsia="宋体" w:hint="default"/>
                <w:sz w:val="18"/>
                <w:szCs w:val="18"/>
              </w:rPr>
              <w:t>16.5%</w:t>
            </w:r>
            <w:r>
              <w:rPr>
                <w:rFonts w:ascii="宋体" w:hAnsi="宋体" w:cs="宋体" w:eastAsia="宋体" w:hint="default"/>
                <w:sz w:val="18"/>
                <w:szCs w:val="18"/>
              </w:rPr>
              <w:t>、</w:t>
            </w:r>
            <w:r>
              <w:rPr>
                <w:rFonts w:ascii="宋体" w:hAnsi="宋体" w:cs="宋体" w:eastAsia="宋体" w:hint="default"/>
                <w:sz w:val="18"/>
                <w:szCs w:val="18"/>
              </w:rPr>
              <w:t>20%</w:t>
            </w:r>
            <w:r>
              <w:rPr>
                <w:rFonts w:ascii="宋体" w:hAnsi="宋体" w:cs="宋体" w:eastAsia="宋体" w:hint="default"/>
                <w:sz w:val="18"/>
                <w:szCs w:val="18"/>
              </w:rPr>
              <w:t>、</w:t>
            </w:r>
            <w:r>
              <w:rPr>
                <w:rFonts w:ascii="宋体" w:hAnsi="宋体" w:cs="宋体" w:eastAsia="宋体" w:hint="default"/>
                <w:sz w:val="18"/>
                <w:szCs w:val="18"/>
              </w:rPr>
              <w:t>25%</w:t>
            </w:r>
            <w:r>
              <w:rPr>
                <w:rFonts w:ascii="宋体" w:hAnsi="宋体" w:cs="宋体" w:eastAsia="宋体" w:hint="default"/>
                <w:sz w:val="18"/>
                <w:szCs w:val="18"/>
              </w:rPr>
              <w:t>、</w:t>
            </w:r>
            <w:r>
              <w:rPr>
                <w:rFonts w:ascii="宋体" w:hAnsi="宋体" w:cs="宋体" w:eastAsia="宋体" w:hint="default"/>
                <w:sz w:val="18"/>
                <w:szCs w:val="18"/>
              </w:rPr>
              <w:t>30%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应纳流转税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应纳流转税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2%</w:t>
            </w:r>
          </w:p>
        </w:tc>
      </w:tr>
    </w:tbl>
    <w:p>
      <w:pPr>
        <w:spacing w:line="240" w:lineRule="auto" w:before="10"/>
        <w:rPr>
          <w:rFonts w:ascii="宋体" w:hAnsi="宋体" w:cs="宋体" w:eastAsia="宋体" w:hint="default"/>
          <w:b/>
          <w:bCs/>
          <w:sz w:val="8"/>
          <w:szCs w:val="8"/>
        </w:rPr>
      </w:pPr>
    </w:p>
    <w:p>
      <w:pPr>
        <w:pStyle w:val="BodyText"/>
        <w:spacing w:line="240" w:lineRule="auto" w:before="26"/>
        <w:ind w:left="634" w:right="1092"/>
        <w:jc w:val="left"/>
      </w:pPr>
      <w:r>
        <w:rPr/>
        <w:t>存在不同企业所得税税率纳税主体的，披露情况说明</w:t>
      </w:r>
    </w:p>
    <w:p>
      <w:pPr>
        <w:spacing w:line="240" w:lineRule="auto" w:before="4"/>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397"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7"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2" w:right="0"/>
              <w:jc w:val="left"/>
              <w:rPr>
                <w:rFonts w:ascii="宋体" w:hAnsi="宋体" w:cs="宋体" w:eastAsia="宋体" w:hint="default"/>
                <w:sz w:val="18"/>
                <w:szCs w:val="18"/>
              </w:rPr>
            </w:pPr>
            <w:r>
              <w:rPr>
                <w:rFonts w:ascii="宋体"/>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北京中文在线文化传媒有限公司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北京中文在线教育科技发展有限公司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上海中文在线文化发展有限公司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湖北中文在线数字出版有限公司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中文在线集团有限公司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sz w:val="18"/>
              </w:rPr>
              <w:t>CRAZY MAPLE STUDIO, INC.</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30%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中文在线（天津）文化发展有限公司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北京汤圆和它的伙伴们网络科技有限公司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北京鸿达以太文化发展有限公司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霍尔果斯中文光之影文化科技有限公司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上海晨之科信息技术有限公司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sz w:val="18"/>
              </w:rPr>
              <w:t>15%</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税收优惠" w:id="223"/>
      <w:bookmarkEnd w:id="223"/>
      <w:r>
        <w:rPr/>
      </w:r>
      <w:r>
        <w:rPr>
          <w:rFonts w:ascii="宋体" w:hAnsi="宋体" w:cs="宋体" w:eastAsia="宋体" w:hint="default"/>
          <w:b/>
          <w:bCs/>
          <w:sz w:val="21"/>
          <w:szCs w:val="21"/>
        </w:rPr>
        <w:t>2</w:t>
      </w:r>
      <w:r>
        <w:rPr>
          <w:rFonts w:ascii="宋体" w:hAnsi="宋体" w:cs="宋体" w:eastAsia="宋体" w:hint="default"/>
          <w:b/>
          <w:bCs/>
          <w:sz w:val="21"/>
          <w:szCs w:val="21"/>
        </w:rPr>
        <w:t>、税收优惠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w:t>
      </w:r>
      <w:r>
        <w:rPr>
          <w:rFonts w:ascii="宋体" w:hAnsi="宋体" w:cs="宋体" w:eastAsia="宋体" w:hint="default"/>
        </w:rPr>
        <w:t>1</w:t>
      </w:r>
      <w:r>
        <w:rPr/>
        <w:t>）所得税</w:t>
      </w:r>
    </w:p>
    <w:p>
      <w:pPr>
        <w:spacing w:line="240" w:lineRule="auto" w:before="4"/>
        <w:rPr>
          <w:rFonts w:ascii="宋体" w:hAnsi="宋体" w:cs="宋体" w:eastAsia="宋体" w:hint="default"/>
          <w:sz w:val="19"/>
          <w:szCs w:val="19"/>
        </w:rPr>
      </w:pPr>
    </w:p>
    <w:p>
      <w:pPr>
        <w:pStyle w:val="BodyText"/>
        <w:spacing w:line="240" w:lineRule="auto"/>
        <w:ind w:left="634" w:right="1092"/>
        <w:jc w:val="left"/>
      </w:pPr>
      <w:r>
        <w:rPr/>
        <w:t>本公司为高新技术企业，于</w:t>
      </w:r>
      <w:r>
        <w:rPr>
          <w:spacing w:val="-55"/>
        </w:rPr>
        <w:t> </w:t>
      </w:r>
      <w:r>
        <w:rPr>
          <w:rFonts w:ascii="宋体" w:hAnsi="宋体" w:cs="宋体" w:eastAsia="宋体" w:hint="default"/>
        </w:rPr>
        <w:t>2015</w:t>
      </w:r>
      <w:r>
        <w:rPr>
          <w:rFonts w:ascii="宋体" w:hAnsi="宋体" w:cs="宋体" w:eastAsia="宋体" w:hint="default"/>
          <w:spacing w:val="-55"/>
        </w:rPr>
        <w:t> </w:t>
      </w:r>
      <w:r>
        <w:rPr/>
        <w:t>年</w:t>
      </w:r>
      <w:r>
        <w:rPr>
          <w:spacing w:val="-56"/>
        </w:rPr>
        <w:t> </w:t>
      </w:r>
      <w:r>
        <w:rPr>
          <w:rFonts w:ascii="宋体" w:hAnsi="宋体" w:cs="宋体" w:eastAsia="宋体" w:hint="default"/>
        </w:rPr>
        <w:t>11</w:t>
      </w:r>
      <w:r>
        <w:rPr>
          <w:rFonts w:ascii="宋体" w:hAnsi="宋体" w:cs="宋体" w:eastAsia="宋体" w:hint="default"/>
          <w:spacing w:val="-56"/>
        </w:rPr>
        <w:t> </w:t>
      </w:r>
      <w:r>
        <w:rPr/>
        <w:t>月</w:t>
      </w:r>
      <w:r>
        <w:rPr>
          <w:spacing w:val="-56"/>
        </w:rPr>
        <w:t> </w:t>
      </w:r>
      <w:r>
        <w:rPr>
          <w:rFonts w:ascii="宋体" w:hAnsi="宋体" w:cs="宋体" w:eastAsia="宋体" w:hint="default"/>
        </w:rPr>
        <w:t>24</w:t>
      </w:r>
      <w:r>
        <w:rPr>
          <w:rFonts w:ascii="宋体" w:hAnsi="宋体" w:cs="宋体" w:eastAsia="宋体" w:hint="default"/>
          <w:spacing w:val="-56"/>
        </w:rPr>
        <w:t> </w:t>
      </w:r>
      <w:r>
        <w:rPr/>
        <w:t>日取得了编号为</w:t>
      </w:r>
      <w:r>
        <w:rPr>
          <w:spacing w:val="-56"/>
        </w:rPr>
        <w:t> </w:t>
      </w:r>
      <w:r>
        <w:rPr>
          <w:rFonts w:ascii="宋体" w:hAnsi="宋体" w:cs="宋体" w:eastAsia="宋体" w:hint="default"/>
        </w:rPr>
        <w:t>GR201511001718</w:t>
      </w:r>
      <w:r>
        <w:rPr>
          <w:rFonts w:ascii="宋体" w:hAnsi="宋体" w:cs="宋体" w:eastAsia="宋体" w:hint="default"/>
          <w:spacing w:val="-55"/>
        </w:rPr>
        <w:t> </w:t>
      </w:r>
      <w:r>
        <w:rPr/>
        <w:t>的高新技</w:t>
      </w:r>
    </w:p>
    <w:p>
      <w:pPr>
        <w:pStyle w:val="BodyText"/>
        <w:spacing w:line="240" w:lineRule="auto" w:before="154"/>
        <w:ind w:right="1092"/>
        <w:jc w:val="left"/>
      </w:pPr>
      <w:r>
        <w:rPr>
          <w:spacing w:val="-3"/>
        </w:rPr>
        <w:t>术企业证书，有效期三年。截至</w:t>
      </w:r>
      <w:r>
        <w:rPr>
          <w:spacing w:val="-58"/>
        </w:rPr>
        <w:t> </w:t>
      </w:r>
      <w:r>
        <w:rPr>
          <w:rFonts w:ascii="宋体" w:hAnsi="宋体" w:cs="宋体" w:eastAsia="宋体" w:hint="default"/>
        </w:rPr>
        <w:t>2018</w:t>
      </w:r>
      <w:r>
        <w:rPr>
          <w:rFonts w:ascii="宋体" w:hAnsi="宋体" w:cs="宋体" w:eastAsia="宋体" w:hint="default"/>
          <w:spacing w:val="-58"/>
        </w:rPr>
        <w:t> </w:t>
      </w:r>
      <w:r>
        <w:rPr/>
        <w:t>年</w:t>
      </w:r>
      <w:r>
        <w:rPr>
          <w:spacing w:val="-58"/>
        </w:rPr>
        <w:t> </w:t>
      </w:r>
      <w:r>
        <w:rPr>
          <w:rFonts w:ascii="宋体" w:hAnsi="宋体" w:cs="宋体" w:eastAsia="宋体" w:hint="default"/>
        </w:rPr>
        <w:t>11</w:t>
      </w:r>
      <w:r>
        <w:rPr>
          <w:rFonts w:ascii="宋体" w:hAnsi="宋体" w:cs="宋体" w:eastAsia="宋体" w:hint="default"/>
          <w:spacing w:val="-58"/>
        </w:rPr>
        <w:t> </w:t>
      </w:r>
      <w:r>
        <w:rPr/>
        <w:t>月</w:t>
      </w:r>
      <w:r>
        <w:rPr>
          <w:spacing w:val="-58"/>
        </w:rPr>
        <w:t> </w:t>
      </w:r>
      <w:r>
        <w:rPr>
          <w:rFonts w:ascii="宋体" w:hAnsi="宋体" w:cs="宋体" w:eastAsia="宋体" w:hint="default"/>
        </w:rPr>
        <w:t>23</w:t>
      </w:r>
      <w:r>
        <w:rPr>
          <w:rFonts w:ascii="宋体" w:hAnsi="宋体" w:cs="宋体" w:eastAsia="宋体" w:hint="default"/>
          <w:spacing w:val="-58"/>
        </w:rPr>
        <w:t> </w:t>
      </w:r>
      <w:r>
        <w:rPr>
          <w:spacing w:val="-3"/>
        </w:rPr>
        <w:t>日，高新资质已到期，新的高新技术企业资</w:t>
      </w:r>
    </w:p>
    <w:p>
      <w:pPr>
        <w:pStyle w:val="BodyText"/>
        <w:spacing w:line="240" w:lineRule="auto" w:before="154"/>
        <w:ind w:right="1092"/>
        <w:jc w:val="left"/>
      </w:pPr>
      <w:r>
        <w:rPr/>
        <w:t>格认定证书已于</w:t>
      </w:r>
      <w:r>
        <w:rPr>
          <w:spacing w:val="-64"/>
        </w:rPr>
        <w:t> </w:t>
      </w:r>
      <w:r>
        <w:rPr>
          <w:rFonts w:ascii="宋体" w:hAnsi="宋体" w:cs="宋体" w:eastAsia="宋体" w:hint="default"/>
        </w:rPr>
        <w:t>2018</w:t>
      </w:r>
      <w:r>
        <w:rPr>
          <w:rFonts w:ascii="宋体" w:hAnsi="宋体" w:cs="宋体" w:eastAsia="宋体" w:hint="default"/>
          <w:spacing w:val="-64"/>
        </w:rPr>
        <w:t> </w:t>
      </w:r>
      <w:r>
        <w:rPr/>
        <w:t>年</w:t>
      </w:r>
      <w:r>
        <w:rPr>
          <w:spacing w:val="-64"/>
        </w:rPr>
        <w:t> </w:t>
      </w:r>
      <w:r>
        <w:rPr>
          <w:rFonts w:ascii="宋体" w:hAnsi="宋体" w:cs="宋体" w:eastAsia="宋体" w:hint="default"/>
        </w:rPr>
        <w:t>9</w:t>
      </w:r>
      <w:r>
        <w:rPr>
          <w:rFonts w:ascii="宋体" w:hAnsi="宋体" w:cs="宋体" w:eastAsia="宋体" w:hint="default"/>
          <w:spacing w:val="-64"/>
        </w:rPr>
        <w:t> </w:t>
      </w:r>
      <w:r>
        <w:rPr/>
        <w:t>月</w:t>
      </w:r>
      <w:r>
        <w:rPr>
          <w:spacing w:val="-64"/>
        </w:rPr>
        <w:t> </w:t>
      </w:r>
      <w:r>
        <w:rPr>
          <w:rFonts w:ascii="宋体" w:hAnsi="宋体" w:cs="宋体" w:eastAsia="宋体" w:hint="default"/>
        </w:rPr>
        <w:t>10</w:t>
      </w:r>
      <w:r>
        <w:rPr>
          <w:rFonts w:ascii="宋体" w:hAnsi="宋体" w:cs="宋体" w:eastAsia="宋体" w:hint="default"/>
          <w:spacing w:val="-64"/>
        </w:rPr>
        <w:t> </w:t>
      </w:r>
      <w:r>
        <w:rPr/>
        <w:t>日签发，证书编号为</w:t>
      </w:r>
      <w:r>
        <w:rPr>
          <w:spacing w:val="-64"/>
        </w:rPr>
        <w:t> </w:t>
      </w:r>
      <w:r>
        <w:rPr>
          <w:rFonts w:ascii="宋体" w:hAnsi="宋体" w:cs="宋体" w:eastAsia="宋体" w:hint="default"/>
        </w:rPr>
        <w:t>GR201811001612</w:t>
      </w:r>
      <w:r>
        <w:rPr/>
        <w:t>，有效期三年，本公司</w:t>
      </w:r>
    </w:p>
    <w:p>
      <w:pPr>
        <w:pStyle w:val="BodyText"/>
        <w:spacing w:line="240" w:lineRule="auto" w:before="155"/>
        <w:ind w:right="1092"/>
        <w:jc w:val="left"/>
      </w:pPr>
      <w:r>
        <w:rPr>
          <w:rFonts w:ascii="宋体" w:hAnsi="宋体" w:cs="宋体" w:eastAsia="宋体" w:hint="default"/>
        </w:rPr>
        <w:t>2018</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spacing w:after="0" w:line="240"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1" w:firstLine="480"/>
        <w:jc w:val="both"/>
      </w:pPr>
      <w:r>
        <w:rPr>
          <w:spacing w:val="-6"/>
        </w:rPr>
        <w:t>本公司全资二级子公司北京中文在线文化传媒有限公司（以下简称“文化传媒”）为高新</w:t>
      </w:r>
      <w:r>
        <w:rPr/>
        <w:t> 技术企业，于</w:t>
      </w:r>
      <w:r>
        <w:rPr>
          <w:spacing w:val="-55"/>
        </w:rPr>
        <w:t> </w:t>
      </w:r>
      <w:r>
        <w:rPr>
          <w:rFonts w:ascii="宋体" w:hAnsi="宋体" w:cs="宋体" w:eastAsia="宋体" w:hint="default"/>
        </w:rPr>
        <w:t>2016</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22</w:t>
      </w:r>
      <w:r>
        <w:rPr>
          <w:rFonts w:ascii="宋体" w:hAnsi="宋体" w:cs="宋体" w:eastAsia="宋体" w:hint="default"/>
          <w:spacing w:val="-56"/>
        </w:rPr>
        <w:t> </w:t>
      </w:r>
      <w:r>
        <w:rPr/>
        <w:t>日取得了编号为</w:t>
      </w:r>
      <w:r>
        <w:rPr>
          <w:spacing w:val="-55"/>
        </w:rPr>
        <w:t> </w:t>
      </w:r>
      <w:r>
        <w:rPr>
          <w:rFonts w:ascii="宋体" w:hAnsi="宋体" w:cs="宋体" w:eastAsia="宋体" w:hint="default"/>
        </w:rPr>
        <w:t>GR201611005739</w:t>
      </w:r>
      <w:r>
        <w:rPr>
          <w:rFonts w:ascii="宋体" w:hAnsi="宋体" w:cs="宋体" w:eastAsia="宋体" w:hint="default"/>
          <w:spacing w:val="-56"/>
        </w:rPr>
        <w:t> </w:t>
      </w:r>
      <w:r>
        <w:rPr/>
        <w:t>的高新技术企业证书，有效 期三年。文化传媒</w:t>
      </w:r>
      <w:r>
        <w:rPr>
          <w:spacing w:val="-60"/>
        </w:rPr>
        <w:t> </w:t>
      </w:r>
      <w:r>
        <w:rPr>
          <w:rFonts w:ascii="宋体" w:hAnsi="宋体" w:cs="宋体" w:eastAsia="宋体" w:hint="default"/>
        </w:rPr>
        <w:t>2018</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357" w:lineRule="auto" w:before="135"/>
        <w:ind w:right="1130" w:firstLine="480"/>
        <w:jc w:val="both"/>
      </w:pPr>
      <w:r>
        <w:rPr>
          <w:spacing w:val="-6"/>
        </w:rPr>
        <w:t>本公司全资二级子公司广州市四月天信息科技有限公司（以下简称“广州四月天”）为小</w:t>
      </w:r>
      <w:r>
        <w:rPr/>
        <w:t> 型微利企业，根据《财政部</w:t>
      </w:r>
      <w:r>
        <w:rPr>
          <w:spacing w:val="19"/>
        </w:rPr>
        <w:t> </w:t>
      </w:r>
      <w:r>
        <w:rPr>
          <w:spacing w:val="-5"/>
        </w:rPr>
        <w:t>国家税务总局关于小型微利企业所得税优惠政策的通知》（财税</w:t>
      </w:r>
      <w:r>
        <w:rPr>
          <w:spacing w:val="-115"/>
        </w:rPr>
        <w:t> </w:t>
      </w:r>
      <w:r>
        <w:rPr>
          <w:spacing w:val="-115"/>
        </w:rPr>
      </w:r>
      <w:r>
        <w:rPr>
          <w:rFonts w:ascii="宋体" w:hAnsi="宋体" w:cs="宋体" w:eastAsia="宋体" w:hint="default"/>
        </w:rPr>
        <w:t>[2017]43</w:t>
      </w:r>
      <w:r>
        <w:rPr>
          <w:rFonts w:ascii="宋体" w:hAnsi="宋体" w:cs="宋体" w:eastAsia="宋体" w:hint="default"/>
          <w:spacing w:val="-49"/>
        </w:rPr>
        <w:t> </w:t>
      </w:r>
      <w:r>
        <w:rPr/>
        <w:t>号）规定，自</w:t>
      </w:r>
      <w:r>
        <w:rPr>
          <w:spacing w:val="-50"/>
        </w:rPr>
        <w:t> </w:t>
      </w:r>
      <w:r>
        <w:rPr>
          <w:rFonts w:ascii="宋体" w:hAnsi="宋体" w:cs="宋体" w:eastAsia="宋体" w:hint="default"/>
        </w:rPr>
        <w:t>2017</w:t>
      </w:r>
      <w:r>
        <w:rPr>
          <w:rFonts w:ascii="宋体" w:hAnsi="宋体" w:cs="宋体" w:eastAsia="宋体" w:hint="default"/>
          <w:spacing w:val="-50"/>
        </w:rPr>
        <w:t> </w:t>
      </w:r>
      <w:r>
        <w:rPr/>
        <w:t>年</w:t>
      </w:r>
      <w:r>
        <w:rPr>
          <w:spacing w:val="-48"/>
        </w:rPr>
        <w:t> </w:t>
      </w:r>
      <w:r>
        <w:rPr>
          <w:rFonts w:ascii="宋体" w:hAnsi="宋体" w:cs="宋体" w:eastAsia="宋体" w:hint="default"/>
        </w:rPr>
        <w:t>1</w:t>
      </w:r>
      <w:r>
        <w:rPr>
          <w:rFonts w:ascii="宋体" w:hAnsi="宋体" w:cs="宋体" w:eastAsia="宋体" w:hint="default"/>
          <w:spacing w:val="-50"/>
        </w:rPr>
        <w:t> </w:t>
      </w:r>
      <w:r>
        <w:rPr/>
        <w:t>月</w:t>
      </w:r>
      <w:r>
        <w:rPr>
          <w:spacing w:val="-49"/>
        </w:rPr>
        <w:t> </w:t>
      </w:r>
      <w:r>
        <w:rPr>
          <w:rFonts w:ascii="宋体" w:hAnsi="宋体" w:cs="宋体" w:eastAsia="宋体" w:hint="default"/>
        </w:rPr>
        <w:t>1</w:t>
      </w:r>
      <w:r>
        <w:rPr>
          <w:rFonts w:ascii="宋体" w:hAnsi="宋体" w:cs="宋体" w:eastAsia="宋体" w:hint="default"/>
          <w:spacing w:val="-50"/>
        </w:rPr>
        <w:t> </w:t>
      </w:r>
      <w:r>
        <w:rPr/>
        <w:t>日至</w:t>
      </w:r>
      <w:r>
        <w:rPr>
          <w:spacing w:val="-50"/>
        </w:rPr>
        <w:t> </w:t>
      </w:r>
      <w:r>
        <w:rPr>
          <w:rFonts w:ascii="宋体" w:hAnsi="宋体" w:cs="宋体" w:eastAsia="宋体" w:hint="default"/>
        </w:rPr>
        <w:t>2019</w:t>
      </w:r>
      <w:r>
        <w:rPr>
          <w:rFonts w:ascii="宋体" w:hAnsi="宋体" w:cs="宋体" w:eastAsia="宋体" w:hint="default"/>
          <w:spacing w:val="-50"/>
        </w:rPr>
        <w:t> </w:t>
      </w:r>
      <w:r>
        <w:rPr/>
        <w:t>年</w:t>
      </w:r>
      <w:r>
        <w:rPr>
          <w:spacing w:val="-48"/>
        </w:rPr>
        <w:t> </w:t>
      </w:r>
      <w:r>
        <w:rPr>
          <w:rFonts w:ascii="宋体" w:hAnsi="宋体" w:cs="宋体" w:eastAsia="宋体" w:hint="default"/>
        </w:rPr>
        <w:t>12</w:t>
      </w:r>
      <w:r>
        <w:rPr>
          <w:rFonts w:ascii="宋体" w:hAnsi="宋体" w:cs="宋体" w:eastAsia="宋体" w:hint="default"/>
          <w:spacing w:val="-50"/>
        </w:rPr>
        <w:t> </w:t>
      </w:r>
      <w:r>
        <w:rPr/>
        <w:t>月</w:t>
      </w:r>
      <w:r>
        <w:rPr>
          <w:spacing w:val="-50"/>
        </w:rPr>
        <w:t> </w:t>
      </w:r>
      <w:r>
        <w:rPr>
          <w:rFonts w:ascii="宋体" w:hAnsi="宋体" w:cs="宋体" w:eastAsia="宋体" w:hint="default"/>
        </w:rPr>
        <w:t>31</w:t>
      </w:r>
      <w:r>
        <w:rPr>
          <w:rFonts w:ascii="宋体" w:hAnsi="宋体" w:cs="宋体" w:eastAsia="宋体" w:hint="default"/>
          <w:spacing w:val="-50"/>
        </w:rPr>
        <w:t> </w:t>
      </w:r>
      <w:r>
        <w:rPr/>
        <w:t>日，对年应纳税所得额低于</w:t>
      </w:r>
      <w:r>
        <w:rPr>
          <w:spacing w:val="-49"/>
        </w:rPr>
        <w:t> </w:t>
      </w:r>
      <w:r>
        <w:rPr>
          <w:rFonts w:ascii="宋体" w:hAnsi="宋体" w:cs="宋体" w:eastAsia="宋体" w:hint="default"/>
        </w:rPr>
        <w:t>50</w:t>
      </w:r>
      <w:r>
        <w:rPr>
          <w:rFonts w:ascii="宋体" w:hAnsi="宋体" w:cs="宋体" w:eastAsia="宋体" w:hint="default"/>
          <w:spacing w:val="1"/>
        </w:rPr>
        <w:t> </w:t>
      </w:r>
      <w:r>
        <w:rPr/>
        <w:t>万元（含</w:t>
      </w:r>
      <w:r>
        <w:rPr>
          <w:spacing w:val="-50"/>
        </w:rPr>
        <w:t> </w:t>
      </w:r>
      <w:r>
        <w:rPr>
          <w:rFonts w:ascii="宋体" w:hAnsi="宋体" w:cs="宋体" w:eastAsia="宋体" w:hint="default"/>
        </w:rPr>
        <w:t>50</w:t>
      </w:r>
      <w:r>
        <w:rPr>
          <w:rFonts w:ascii="宋体" w:hAnsi="宋体" w:cs="宋体" w:eastAsia="宋体" w:hint="default"/>
          <w:spacing w:val="-51"/>
        </w:rPr>
        <w:t> </w:t>
      </w:r>
      <w:r>
        <w:rPr/>
        <w:t>万元）的小型微利企业，其所得减按</w:t>
      </w:r>
      <w:r>
        <w:rPr>
          <w:spacing w:val="-50"/>
        </w:rPr>
        <w:t> </w:t>
      </w:r>
      <w:r>
        <w:rPr>
          <w:rFonts w:ascii="宋体" w:hAnsi="宋体" w:cs="宋体" w:eastAsia="宋体" w:hint="default"/>
        </w:rPr>
        <w:t>50%</w:t>
      </w:r>
      <w:r>
        <w:rPr/>
        <w:t>计入应纳税所得额，按</w:t>
      </w:r>
      <w:r>
        <w:rPr>
          <w:spacing w:val="-50"/>
        </w:rPr>
        <w:t> </w:t>
      </w:r>
      <w:r>
        <w:rPr>
          <w:rFonts w:ascii="宋体" w:hAnsi="宋体" w:cs="宋体" w:eastAsia="宋体" w:hint="default"/>
        </w:rPr>
        <w:t>20%</w:t>
      </w:r>
      <w:r>
        <w:rPr/>
        <w:t>的税率缴纳 企业所得税。广州四月天</w:t>
      </w:r>
      <w:r>
        <w:rPr>
          <w:spacing w:val="-60"/>
        </w:rPr>
        <w:t> </w:t>
      </w:r>
      <w:r>
        <w:rPr>
          <w:rFonts w:ascii="宋体" w:hAnsi="宋体" w:cs="宋体" w:eastAsia="宋体" w:hint="default"/>
        </w:rPr>
        <w:t>2018</w:t>
      </w:r>
      <w:r>
        <w:rPr>
          <w:rFonts w:ascii="宋体" w:hAnsi="宋体" w:cs="宋体" w:eastAsia="宋体" w:hint="default"/>
          <w:spacing w:val="-60"/>
        </w:rPr>
        <w:t> </w:t>
      </w:r>
      <w:r>
        <w:rPr/>
        <w:t>年适用小型微利企业的</w:t>
      </w:r>
      <w:r>
        <w:rPr>
          <w:spacing w:val="-60"/>
        </w:rPr>
        <w:t> </w:t>
      </w:r>
      <w:r>
        <w:rPr>
          <w:rFonts w:ascii="宋体" w:hAnsi="宋体" w:cs="宋体" w:eastAsia="宋体" w:hint="default"/>
        </w:rPr>
        <w:t>20%</w:t>
      </w:r>
      <w:r>
        <w:rPr/>
        <w:t>优惠税率。</w:t>
      </w:r>
    </w:p>
    <w:p>
      <w:pPr>
        <w:pStyle w:val="BodyText"/>
        <w:spacing w:line="357" w:lineRule="auto" w:before="136"/>
        <w:ind w:right="1130" w:firstLine="480"/>
        <w:jc w:val="both"/>
      </w:pPr>
      <w:r>
        <w:rPr>
          <w:spacing w:val="-6"/>
        </w:rPr>
        <w:t>本公司全资二级子公司北京中文在线教育科技发展有限公司（以下简称“教育科技”）为</w:t>
      </w:r>
      <w:r>
        <w:rPr/>
        <w:t> </w:t>
      </w:r>
      <w:r>
        <w:rPr>
          <w:spacing w:val="-6"/>
        </w:rPr>
        <w:t>高新技术企业，于</w:t>
      </w:r>
      <w:r>
        <w:rPr>
          <w:spacing w:val="-59"/>
        </w:rPr>
        <w:t> </w:t>
      </w:r>
      <w:r>
        <w:rPr>
          <w:rFonts w:ascii="宋体" w:hAnsi="宋体" w:cs="宋体" w:eastAsia="宋体" w:hint="default"/>
        </w:rPr>
        <w:t>2017</w:t>
      </w:r>
      <w:r>
        <w:rPr>
          <w:rFonts w:ascii="宋体" w:hAnsi="宋体" w:cs="宋体" w:eastAsia="宋体" w:hint="default"/>
          <w:spacing w:val="-59"/>
        </w:rPr>
        <w:t> </w:t>
      </w:r>
      <w:r>
        <w:rPr/>
        <w:t>年</w:t>
      </w:r>
      <w:r>
        <w:rPr>
          <w:spacing w:val="-59"/>
        </w:rPr>
        <w:t> </w:t>
      </w:r>
      <w:r>
        <w:rPr>
          <w:rFonts w:ascii="宋体" w:hAnsi="宋体" w:cs="宋体" w:eastAsia="宋体" w:hint="default"/>
        </w:rPr>
        <w:t>8</w:t>
      </w:r>
      <w:r>
        <w:rPr>
          <w:rFonts w:ascii="宋体" w:hAnsi="宋体" w:cs="宋体" w:eastAsia="宋体" w:hint="default"/>
          <w:spacing w:val="-59"/>
        </w:rPr>
        <w:t> </w:t>
      </w:r>
      <w:r>
        <w:rPr/>
        <w:t>月</w:t>
      </w:r>
      <w:r>
        <w:rPr>
          <w:spacing w:val="-59"/>
        </w:rPr>
        <w:t> </w:t>
      </w:r>
      <w:r>
        <w:rPr>
          <w:rFonts w:ascii="宋体" w:hAnsi="宋体" w:cs="宋体" w:eastAsia="宋体" w:hint="default"/>
        </w:rPr>
        <w:t>10</w:t>
      </w:r>
      <w:r>
        <w:rPr>
          <w:rFonts w:ascii="宋体" w:hAnsi="宋体" w:cs="宋体" w:eastAsia="宋体" w:hint="default"/>
          <w:spacing w:val="-59"/>
        </w:rPr>
        <w:t> </w:t>
      </w:r>
      <w:r>
        <w:rPr/>
        <w:t>日取得了编号为</w:t>
      </w:r>
      <w:r>
        <w:rPr>
          <w:spacing w:val="-59"/>
        </w:rPr>
        <w:t> </w:t>
      </w:r>
      <w:r>
        <w:rPr>
          <w:rFonts w:ascii="宋体" w:hAnsi="宋体" w:cs="宋体" w:eastAsia="宋体" w:hint="default"/>
        </w:rPr>
        <w:t>GR201711000242</w:t>
      </w:r>
      <w:r>
        <w:rPr>
          <w:rFonts w:ascii="宋体" w:hAnsi="宋体" w:cs="宋体" w:eastAsia="宋体" w:hint="default"/>
          <w:spacing w:val="-59"/>
        </w:rPr>
        <w:t> </w:t>
      </w:r>
      <w:r>
        <w:rPr>
          <w:spacing w:val="-4"/>
        </w:rPr>
        <w:t>的高新技术企业证书，有</w:t>
      </w:r>
      <w:r>
        <w:rPr/>
        <w:t> 效期三年。教育科技</w:t>
      </w:r>
      <w:r>
        <w:rPr>
          <w:spacing w:val="-60"/>
        </w:rPr>
        <w:t> </w:t>
      </w:r>
      <w:r>
        <w:rPr>
          <w:rFonts w:ascii="宋体" w:hAnsi="宋体" w:cs="宋体" w:eastAsia="宋体" w:hint="default"/>
        </w:rPr>
        <w:t>2018</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357" w:lineRule="auto" w:before="134"/>
        <w:ind w:right="1131" w:firstLine="480"/>
        <w:jc w:val="both"/>
      </w:pPr>
      <w:r>
        <w:rPr>
          <w:spacing w:val="-6"/>
        </w:rPr>
        <w:t>教育科技之子公司上海中文在线文化发展有限公司（以下简称“上海中文在线”）为高新</w:t>
      </w:r>
      <w:r>
        <w:rPr/>
        <w:t> 技术企业，于</w:t>
      </w:r>
      <w:r>
        <w:rPr>
          <w:spacing w:val="-55"/>
        </w:rPr>
        <w:t> </w:t>
      </w:r>
      <w:r>
        <w:rPr>
          <w:rFonts w:ascii="宋体" w:hAnsi="宋体" w:cs="宋体" w:eastAsia="宋体" w:hint="default"/>
        </w:rPr>
        <w:t>2017</w:t>
      </w:r>
      <w:r>
        <w:rPr>
          <w:rFonts w:ascii="宋体" w:hAnsi="宋体" w:cs="宋体" w:eastAsia="宋体" w:hint="default"/>
          <w:spacing w:val="-56"/>
        </w:rPr>
        <w:t> </w:t>
      </w:r>
      <w:r>
        <w:rPr/>
        <w:t>年</w:t>
      </w:r>
      <w:r>
        <w:rPr>
          <w:spacing w:val="-56"/>
        </w:rPr>
        <w:t> </w:t>
      </w:r>
      <w:r>
        <w:rPr>
          <w:rFonts w:ascii="宋体" w:hAnsi="宋体" w:cs="宋体" w:eastAsia="宋体" w:hint="default"/>
        </w:rPr>
        <w:t>11</w:t>
      </w:r>
      <w:r>
        <w:rPr>
          <w:rFonts w:ascii="宋体" w:hAnsi="宋体" w:cs="宋体" w:eastAsia="宋体" w:hint="default"/>
          <w:spacing w:val="-56"/>
        </w:rPr>
        <w:t> </w:t>
      </w:r>
      <w:r>
        <w:rPr/>
        <w:t>月</w:t>
      </w:r>
      <w:r>
        <w:rPr>
          <w:spacing w:val="-56"/>
        </w:rPr>
        <w:t> </w:t>
      </w:r>
      <w:r>
        <w:rPr>
          <w:rFonts w:ascii="宋体" w:hAnsi="宋体" w:cs="宋体" w:eastAsia="宋体" w:hint="default"/>
        </w:rPr>
        <w:t>23</w:t>
      </w:r>
      <w:r>
        <w:rPr>
          <w:rFonts w:ascii="宋体" w:hAnsi="宋体" w:cs="宋体" w:eastAsia="宋体" w:hint="default"/>
          <w:spacing w:val="-56"/>
        </w:rPr>
        <w:t> </w:t>
      </w:r>
      <w:r>
        <w:rPr/>
        <w:t>日取得了编号为</w:t>
      </w:r>
      <w:r>
        <w:rPr>
          <w:spacing w:val="-55"/>
        </w:rPr>
        <w:t> </w:t>
      </w:r>
      <w:r>
        <w:rPr>
          <w:rFonts w:ascii="宋体" w:hAnsi="宋体" w:cs="宋体" w:eastAsia="宋体" w:hint="default"/>
        </w:rPr>
        <w:t>GF201731001730</w:t>
      </w:r>
      <w:r>
        <w:rPr>
          <w:rFonts w:ascii="宋体" w:hAnsi="宋体" w:cs="宋体" w:eastAsia="宋体" w:hint="default"/>
          <w:spacing w:val="-56"/>
        </w:rPr>
        <w:t> </w:t>
      </w:r>
      <w:r>
        <w:rPr/>
        <w:t>的高新技术企业证书，有效 期三年。上海中文在线</w:t>
      </w:r>
      <w:r>
        <w:rPr>
          <w:spacing w:val="-60"/>
        </w:rPr>
        <w:t> </w:t>
      </w:r>
      <w:r>
        <w:rPr>
          <w:rFonts w:ascii="宋体" w:hAnsi="宋体" w:cs="宋体" w:eastAsia="宋体" w:hint="default"/>
        </w:rPr>
        <w:t>2018</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357" w:lineRule="auto" w:before="135"/>
        <w:ind w:right="1131" w:firstLine="480"/>
        <w:jc w:val="both"/>
      </w:pPr>
      <w:r>
        <w:rPr>
          <w:spacing w:val="-6"/>
        </w:rPr>
        <w:t>教育科技之子公司湖北中文在线数字出版有限公司（以下简称“湖北中文在线”）为高新</w:t>
      </w:r>
      <w:r>
        <w:rPr/>
        <w:t> 技术企业，于</w:t>
      </w:r>
      <w:r>
        <w:rPr>
          <w:spacing w:val="-55"/>
        </w:rPr>
        <w:t> </w:t>
      </w:r>
      <w:r>
        <w:rPr>
          <w:rFonts w:ascii="宋体" w:hAnsi="宋体" w:cs="宋体" w:eastAsia="宋体" w:hint="default"/>
        </w:rPr>
        <w:t>2016</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13</w:t>
      </w:r>
      <w:r>
        <w:rPr>
          <w:rFonts w:ascii="宋体" w:hAnsi="宋体" w:cs="宋体" w:eastAsia="宋体" w:hint="default"/>
          <w:spacing w:val="-56"/>
        </w:rPr>
        <w:t> </w:t>
      </w:r>
      <w:r>
        <w:rPr/>
        <w:t>日取得了编号为</w:t>
      </w:r>
      <w:r>
        <w:rPr>
          <w:spacing w:val="-55"/>
        </w:rPr>
        <w:t> </w:t>
      </w:r>
      <w:r>
        <w:rPr>
          <w:rFonts w:ascii="宋体" w:hAnsi="宋体" w:cs="宋体" w:eastAsia="宋体" w:hint="default"/>
        </w:rPr>
        <w:t>GR201642001587</w:t>
      </w:r>
      <w:r>
        <w:rPr>
          <w:rFonts w:ascii="宋体" w:hAnsi="宋体" w:cs="宋体" w:eastAsia="宋体" w:hint="default"/>
          <w:spacing w:val="-56"/>
        </w:rPr>
        <w:t> </w:t>
      </w:r>
      <w:r>
        <w:rPr/>
        <w:t>的高新技术企业证书，有效 期三年。湖北中文在线</w:t>
      </w:r>
      <w:r>
        <w:rPr>
          <w:spacing w:val="-60"/>
        </w:rPr>
        <w:t> </w:t>
      </w:r>
      <w:r>
        <w:rPr>
          <w:rFonts w:ascii="宋体" w:hAnsi="宋体" w:cs="宋体" w:eastAsia="宋体" w:hint="default"/>
        </w:rPr>
        <w:t>2018</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357" w:lineRule="auto" w:before="136"/>
        <w:ind w:right="999" w:firstLine="480"/>
        <w:jc w:val="left"/>
      </w:pPr>
      <w:r>
        <w:rPr>
          <w:spacing w:val="-9"/>
        </w:rPr>
        <w:t>本公司全资二级子公司中文在线集团有限公司（以下简称“香港公司”）为香港居民企业，</w:t>
      </w:r>
      <w:r>
        <w:rPr/>
        <w:t> 其所得税适用香港税务法例。按照香港税务法例，其适用利得税税率为</w:t>
      </w:r>
      <w:r>
        <w:rPr>
          <w:spacing w:val="-59"/>
        </w:rPr>
        <w:t> </w:t>
      </w:r>
      <w:r>
        <w:rPr>
          <w:rFonts w:ascii="宋体" w:hAnsi="宋体" w:cs="宋体" w:eastAsia="宋体" w:hint="default"/>
        </w:rPr>
        <w:t>16.5%</w:t>
      </w:r>
      <w:r>
        <w:rPr/>
        <w:t>。</w:t>
      </w:r>
    </w:p>
    <w:p>
      <w:pPr>
        <w:pStyle w:val="BodyText"/>
        <w:spacing w:line="357" w:lineRule="auto" w:before="134"/>
        <w:ind w:right="997" w:firstLine="480"/>
        <w:jc w:val="left"/>
        <w:rPr>
          <w:rFonts w:ascii="宋体" w:hAnsi="宋体" w:cs="宋体" w:eastAsia="宋体" w:hint="default"/>
        </w:rPr>
      </w:pPr>
      <w:r>
        <w:rPr/>
        <w:t>香港公司之子公司</w:t>
      </w:r>
      <w:r>
        <w:rPr>
          <w:spacing w:val="-61"/>
        </w:rPr>
        <w:t> </w:t>
      </w:r>
      <w:r>
        <w:rPr>
          <w:rFonts w:ascii="宋体" w:hAnsi="宋体" w:cs="宋体" w:eastAsia="宋体" w:hint="default"/>
        </w:rPr>
        <w:t>CRAZY</w:t>
      </w:r>
      <w:r>
        <w:rPr>
          <w:rFonts w:ascii="宋体" w:hAnsi="宋体" w:cs="宋体" w:eastAsia="宋体" w:hint="default"/>
          <w:spacing w:val="-48"/>
        </w:rPr>
        <w:t> </w:t>
      </w:r>
      <w:r>
        <w:rPr>
          <w:rFonts w:ascii="宋体" w:hAnsi="宋体" w:cs="宋体" w:eastAsia="宋体" w:hint="default"/>
        </w:rPr>
        <w:t>MAPLE</w:t>
      </w:r>
      <w:r>
        <w:rPr>
          <w:rFonts w:ascii="宋体" w:hAnsi="宋体" w:cs="宋体" w:eastAsia="宋体" w:hint="default"/>
          <w:spacing w:val="-48"/>
        </w:rPr>
        <w:t> </w:t>
      </w:r>
      <w:r>
        <w:rPr>
          <w:rFonts w:ascii="宋体" w:hAnsi="宋体" w:cs="宋体" w:eastAsia="宋体" w:hint="default"/>
        </w:rPr>
        <w:t>STUDIO,</w:t>
      </w:r>
      <w:r>
        <w:rPr>
          <w:rFonts w:ascii="宋体" w:hAnsi="宋体" w:cs="宋体" w:eastAsia="宋体" w:hint="default"/>
          <w:spacing w:val="-48"/>
        </w:rPr>
        <w:t> </w:t>
      </w:r>
      <w:r>
        <w:rPr>
          <w:rFonts w:ascii="宋体" w:hAnsi="宋体" w:cs="宋体" w:eastAsia="宋体" w:hint="default"/>
        </w:rPr>
        <w:t>INC.</w:t>
      </w:r>
      <w:r>
        <w:rPr/>
        <w:t>为美国企业，其所得税适用美国税务法例。 按照美国税务法例，其适用税率为</w:t>
      </w:r>
      <w:r>
        <w:rPr>
          <w:spacing w:val="-60"/>
        </w:rPr>
        <w:t> </w:t>
      </w:r>
      <w:r>
        <w:rPr>
          <w:rFonts w:ascii="宋体" w:hAnsi="宋体" w:cs="宋体" w:eastAsia="宋体" w:hint="default"/>
        </w:rPr>
        <w:t>30%</w:t>
      </w:r>
    </w:p>
    <w:p>
      <w:pPr>
        <w:pStyle w:val="BodyText"/>
        <w:spacing w:line="357" w:lineRule="auto" w:before="134"/>
        <w:ind w:right="1130" w:firstLine="480"/>
        <w:jc w:val="both"/>
      </w:pPr>
      <w:r>
        <w:rPr>
          <w:spacing w:val="-4"/>
        </w:rPr>
        <w:t>本公司全资二级子公司天津中文在线为高新技术企业，于</w:t>
      </w:r>
      <w:r>
        <w:rPr>
          <w:spacing w:val="-58"/>
        </w:rPr>
        <w:t> </w:t>
      </w:r>
      <w:r>
        <w:rPr>
          <w:rFonts w:ascii="宋体" w:hAnsi="宋体" w:cs="宋体" w:eastAsia="宋体" w:hint="default"/>
        </w:rPr>
        <w:t>2017</w:t>
      </w:r>
      <w:r>
        <w:rPr>
          <w:rFonts w:ascii="宋体" w:hAnsi="宋体" w:cs="宋体" w:eastAsia="宋体" w:hint="default"/>
          <w:spacing w:val="-58"/>
        </w:rPr>
        <w:t> </w:t>
      </w:r>
      <w:r>
        <w:rPr/>
        <w:t>年</w:t>
      </w:r>
      <w:r>
        <w:rPr>
          <w:spacing w:val="-58"/>
        </w:rPr>
        <w:t> </w:t>
      </w:r>
      <w:r>
        <w:rPr>
          <w:rFonts w:ascii="宋体" w:hAnsi="宋体" w:cs="宋体" w:eastAsia="宋体" w:hint="default"/>
        </w:rPr>
        <w:t>12</w:t>
      </w:r>
      <w:r>
        <w:rPr>
          <w:rFonts w:ascii="宋体" w:hAnsi="宋体" w:cs="宋体" w:eastAsia="宋体" w:hint="default"/>
          <w:spacing w:val="-58"/>
        </w:rPr>
        <w:t> </w:t>
      </w:r>
      <w:r>
        <w:rPr/>
        <w:t>月</w:t>
      </w:r>
      <w:r>
        <w:rPr>
          <w:spacing w:val="-58"/>
        </w:rPr>
        <w:t> </w:t>
      </w:r>
      <w:r>
        <w:rPr>
          <w:rFonts w:ascii="宋体" w:hAnsi="宋体" w:cs="宋体" w:eastAsia="宋体" w:hint="default"/>
        </w:rPr>
        <w:t>04</w:t>
      </w:r>
      <w:r>
        <w:rPr>
          <w:rFonts w:ascii="宋体" w:hAnsi="宋体" w:cs="宋体" w:eastAsia="宋体" w:hint="default"/>
          <w:spacing w:val="-58"/>
        </w:rPr>
        <w:t> </w:t>
      </w:r>
      <w:r>
        <w:rPr/>
        <w:t>日取得了编号 为</w:t>
      </w:r>
      <w:r>
        <w:rPr>
          <w:spacing w:val="-51"/>
        </w:rPr>
        <w:t> </w:t>
      </w:r>
      <w:r>
        <w:rPr>
          <w:rFonts w:ascii="宋体" w:hAnsi="宋体" w:cs="宋体" w:eastAsia="宋体" w:hint="default"/>
        </w:rPr>
        <w:t>GR201712000853</w:t>
      </w:r>
      <w:r>
        <w:rPr>
          <w:rFonts w:ascii="宋体" w:hAnsi="宋体" w:cs="宋体" w:eastAsia="宋体" w:hint="default"/>
          <w:spacing w:val="-50"/>
        </w:rPr>
        <w:t> </w:t>
      </w:r>
      <w:r>
        <w:rPr/>
        <w:t>的高新技术企业证书，有效期三年。天津中文在线</w:t>
      </w:r>
      <w:r>
        <w:rPr>
          <w:spacing w:val="-50"/>
        </w:rPr>
        <w:t> </w:t>
      </w:r>
      <w:r>
        <w:rPr>
          <w:rFonts w:ascii="宋体" w:hAnsi="宋体" w:cs="宋体" w:eastAsia="宋体" w:hint="default"/>
        </w:rPr>
        <w:t>2018</w:t>
      </w:r>
      <w:r>
        <w:rPr>
          <w:rFonts w:ascii="宋体" w:hAnsi="宋体" w:cs="宋体" w:eastAsia="宋体" w:hint="default"/>
          <w:spacing w:val="-51"/>
        </w:rPr>
        <w:t> </w:t>
      </w:r>
      <w:r>
        <w:rPr/>
        <w:t>年适用高新技术 企业的</w:t>
      </w:r>
      <w:r>
        <w:rPr>
          <w:spacing w:val="-60"/>
        </w:rPr>
        <w:t> </w:t>
      </w:r>
      <w:r>
        <w:rPr>
          <w:rFonts w:ascii="宋体" w:hAnsi="宋体" w:cs="宋体" w:eastAsia="宋体" w:hint="default"/>
        </w:rPr>
        <w:t>15%</w:t>
      </w:r>
      <w:r>
        <w:rPr/>
        <w:t>优惠税率。</w:t>
      </w:r>
    </w:p>
    <w:p>
      <w:pPr>
        <w:pStyle w:val="BodyText"/>
        <w:spacing w:line="357" w:lineRule="auto" w:before="136"/>
        <w:ind w:right="1130" w:firstLine="480"/>
        <w:jc w:val="both"/>
      </w:pPr>
      <w:r>
        <w:rPr/>
        <w:t>天津中文在线之子公司北京汤圆和它的小伙伴们网络科技有限公司（以下简称“汤圆公 </w:t>
      </w:r>
      <w:r>
        <w:rPr>
          <w:spacing w:val="-17"/>
        </w:rPr>
        <w:t>司”）为高新技术企业，于</w:t>
      </w:r>
      <w:r>
        <w:rPr>
          <w:spacing w:val="-60"/>
        </w:rPr>
        <w:t> </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22</w:t>
      </w:r>
      <w:r>
        <w:rPr>
          <w:rFonts w:ascii="宋体" w:hAnsi="宋体" w:cs="宋体" w:eastAsia="宋体" w:hint="default"/>
          <w:spacing w:val="-60"/>
        </w:rPr>
        <w:t> </w:t>
      </w:r>
      <w:r>
        <w:rPr/>
        <w:t>日取得了编号为</w:t>
      </w:r>
      <w:r>
        <w:rPr>
          <w:spacing w:val="-60"/>
        </w:rPr>
        <w:t> </w:t>
      </w:r>
      <w:r>
        <w:rPr>
          <w:rFonts w:ascii="宋体" w:hAnsi="宋体" w:cs="宋体" w:eastAsia="宋体" w:hint="default"/>
        </w:rPr>
        <w:t>GR201611003484</w:t>
      </w:r>
      <w:r>
        <w:rPr>
          <w:rFonts w:ascii="宋体" w:hAnsi="宋体" w:cs="宋体" w:eastAsia="宋体" w:hint="default"/>
          <w:spacing w:val="-60"/>
        </w:rPr>
        <w:t> </w:t>
      </w:r>
      <w:r>
        <w:rPr/>
        <w:t>的高新技术企业 证书，有效期三年。汤圆公司</w:t>
      </w:r>
      <w:r>
        <w:rPr>
          <w:spacing w:val="-60"/>
        </w:rPr>
        <w:t> </w:t>
      </w:r>
      <w:r>
        <w:rPr>
          <w:rFonts w:ascii="宋体" w:hAnsi="宋体" w:cs="宋体" w:eastAsia="宋体" w:hint="default"/>
        </w:rPr>
        <w:t>2018</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240" w:lineRule="auto" w:before="134"/>
        <w:ind w:left="634" w:right="1092"/>
        <w:jc w:val="left"/>
      </w:pPr>
      <w:r>
        <w:rPr/>
        <w:t>天津中文在线之子公司北京鸿达以太文化发展有限公</w:t>
      </w:r>
      <w:r>
        <w:rPr>
          <w:spacing w:val="-28"/>
        </w:rPr>
        <w:t>司</w:t>
      </w:r>
      <w:r>
        <w:rPr/>
        <w:t>（以下简</w:t>
      </w:r>
      <w:r>
        <w:rPr>
          <w:spacing w:val="-28"/>
        </w:rPr>
        <w:t>称</w:t>
      </w:r>
      <w:r>
        <w:rPr/>
        <w:t>“鸿达以太</w:t>
      </w:r>
      <w:r>
        <w:rPr>
          <w:spacing w:val="-120"/>
        </w:rPr>
        <w:t>”</w:t>
      </w:r>
      <w:r>
        <w:rPr>
          <w:spacing w:val="-28"/>
        </w:rPr>
        <w:t>）</w:t>
      </w:r>
      <w:r>
        <w:rPr/>
        <w:t>为高新</w:t>
      </w:r>
    </w:p>
    <w:p>
      <w:pPr>
        <w:spacing w:after="0" w:line="240"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18"/>
        <w:jc w:val="left"/>
      </w:pPr>
      <w:r>
        <w:rPr/>
        <w:t>技术企业，于</w:t>
      </w:r>
      <w:r>
        <w:rPr>
          <w:spacing w:val="-55"/>
        </w:rPr>
        <w:t> </w:t>
      </w:r>
      <w:r>
        <w:rPr>
          <w:rFonts w:ascii="宋体" w:hAnsi="宋体" w:cs="宋体" w:eastAsia="宋体" w:hint="default"/>
        </w:rPr>
        <w:t>2017</w:t>
      </w:r>
      <w:r>
        <w:rPr>
          <w:rFonts w:ascii="宋体" w:hAnsi="宋体" w:cs="宋体" w:eastAsia="宋体" w:hint="default"/>
          <w:spacing w:val="-56"/>
        </w:rPr>
        <w:t> </w:t>
      </w:r>
      <w:r>
        <w:rPr/>
        <w:t>年</w:t>
      </w:r>
      <w:r>
        <w:rPr>
          <w:spacing w:val="-56"/>
        </w:rPr>
        <w:t> </w:t>
      </w:r>
      <w:r>
        <w:rPr>
          <w:rFonts w:ascii="宋体" w:hAnsi="宋体" w:cs="宋体" w:eastAsia="宋体" w:hint="default"/>
        </w:rPr>
        <w:t>10</w:t>
      </w:r>
      <w:r>
        <w:rPr>
          <w:rFonts w:ascii="宋体" w:hAnsi="宋体" w:cs="宋体" w:eastAsia="宋体" w:hint="default"/>
          <w:spacing w:val="-56"/>
        </w:rPr>
        <w:t> </w:t>
      </w:r>
      <w:r>
        <w:rPr/>
        <w:t>月</w:t>
      </w:r>
      <w:r>
        <w:rPr>
          <w:spacing w:val="-56"/>
        </w:rPr>
        <w:t> </w:t>
      </w:r>
      <w:r>
        <w:rPr>
          <w:rFonts w:ascii="宋体" w:hAnsi="宋体" w:cs="宋体" w:eastAsia="宋体" w:hint="default"/>
        </w:rPr>
        <w:t>25</w:t>
      </w:r>
      <w:r>
        <w:rPr>
          <w:rFonts w:ascii="宋体" w:hAnsi="宋体" w:cs="宋体" w:eastAsia="宋体" w:hint="default"/>
          <w:spacing w:val="-56"/>
        </w:rPr>
        <w:t> </w:t>
      </w:r>
      <w:r>
        <w:rPr/>
        <w:t>日取得了编号为</w:t>
      </w:r>
      <w:r>
        <w:rPr>
          <w:spacing w:val="-55"/>
        </w:rPr>
        <w:t> </w:t>
      </w:r>
      <w:r>
        <w:rPr>
          <w:rFonts w:ascii="宋体" w:hAnsi="宋体" w:cs="宋体" w:eastAsia="宋体" w:hint="default"/>
        </w:rPr>
        <w:t>GR201711002744</w:t>
      </w:r>
      <w:r>
        <w:rPr>
          <w:rFonts w:ascii="宋体" w:hAnsi="宋体" w:cs="宋体" w:eastAsia="宋体" w:hint="default"/>
          <w:spacing w:val="-56"/>
        </w:rPr>
        <w:t> </w:t>
      </w:r>
      <w:r>
        <w:rPr/>
        <w:t>的高新技术企业证书，有效 期三年。鸿达以太</w:t>
      </w:r>
      <w:r>
        <w:rPr>
          <w:spacing w:val="-60"/>
        </w:rPr>
        <w:t> </w:t>
      </w:r>
      <w:r>
        <w:rPr>
          <w:rFonts w:ascii="宋体" w:hAnsi="宋体" w:cs="宋体" w:eastAsia="宋体" w:hint="default"/>
        </w:rPr>
        <w:t>2018</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357" w:lineRule="auto" w:before="134"/>
        <w:ind w:right="1122" w:firstLine="480"/>
        <w:jc w:val="both"/>
      </w:pPr>
      <w:r>
        <w:rPr>
          <w:spacing w:val="7"/>
        </w:rPr>
        <w:t>天津中文在线之子公司霍尔果斯中文光之影文化科技有限公司（以下简称“中文光之 </w:t>
      </w:r>
      <w:r>
        <w:rPr>
          <w:spacing w:val="-6"/>
        </w:rPr>
        <w:t>影”），国务院年颁布的《国务院关于支持喀什霍尔果斯经济开发区建设的若干意见》（国发</w:t>
      </w:r>
      <w:r>
        <w:rPr>
          <w:spacing w:val="-105"/>
        </w:rPr>
        <w:t> </w:t>
      </w:r>
      <w:r>
        <w:rPr>
          <w:spacing w:val="-105"/>
        </w:rPr>
      </w:r>
      <w:r>
        <w:rPr>
          <w:rFonts w:ascii="宋体" w:hAnsi="宋体" w:cs="宋体" w:eastAsia="宋体" w:hint="default"/>
        </w:rPr>
        <w:t>[2011]33</w:t>
      </w:r>
      <w:r>
        <w:rPr>
          <w:rFonts w:ascii="宋体" w:hAnsi="宋体" w:cs="宋体" w:eastAsia="宋体" w:hint="default"/>
          <w:spacing w:val="-57"/>
        </w:rPr>
        <w:t> </w:t>
      </w:r>
      <w:r>
        <w:rPr>
          <w:spacing w:val="-23"/>
        </w:rPr>
        <w:t>号），</w:t>
      </w:r>
      <w:r>
        <w:rPr>
          <w:rFonts w:ascii="宋体" w:hAnsi="宋体" w:cs="宋体" w:eastAsia="宋体" w:hint="default"/>
          <w:spacing w:val="-23"/>
        </w:rPr>
        <w:t>2010</w:t>
      </w:r>
      <w:r>
        <w:rPr>
          <w:rFonts w:ascii="宋体" w:hAnsi="宋体" w:cs="宋体" w:eastAsia="宋体" w:hint="default"/>
          <w:spacing w:val="-57"/>
        </w:rPr>
        <w:t> </w:t>
      </w:r>
      <w:r>
        <w:rPr/>
        <w:t>年至</w:t>
      </w:r>
      <w:r>
        <w:rPr>
          <w:spacing w:val="-57"/>
        </w:rPr>
        <w:t> </w:t>
      </w:r>
      <w:r>
        <w:rPr>
          <w:rFonts w:ascii="宋体" w:hAnsi="宋体" w:cs="宋体" w:eastAsia="宋体" w:hint="default"/>
        </w:rPr>
        <w:t>2020</w:t>
      </w:r>
      <w:r>
        <w:rPr>
          <w:rFonts w:ascii="宋体" w:hAnsi="宋体" w:cs="宋体" w:eastAsia="宋体" w:hint="default"/>
          <w:spacing w:val="-57"/>
        </w:rPr>
        <w:t> </w:t>
      </w:r>
      <w:r>
        <w:rPr>
          <w:spacing w:val="-2"/>
        </w:rPr>
        <w:t>年，对经济开发区内新办的属于重点鼓励发展产业目录范围内</w:t>
      </w:r>
      <w:r>
        <w:rPr/>
        <w:t> 的企业，给予自取得第一笔生产经营收入所属纳税年度起企业所得税五年免征优惠。中文光</w:t>
      </w:r>
      <w:r>
        <w:rPr>
          <w:spacing w:val="-110"/>
        </w:rPr>
        <w:t> </w:t>
      </w:r>
      <w:r>
        <w:rPr>
          <w:spacing w:val="-110"/>
        </w:rPr>
      </w:r>
      <w:r>
        <w:rPr/>
        <w:t>之影符合该政策，</w:t>
      </w:r>
      <w:r>
        <w:rPr>
          <w:rFonts w:ascii="宋体" w:hAnsi="宋体" w:cs="宋体" w:eastAsia="宋体" w:hint="default"/>
        </w:rPr>
        <w:t>2018</w:t>
      </w:r>
      <w:r>
        <w:rPr>
          <w:rFonts w:ascii="宋体" w:hAnsi="宋体" w:cs="宋体" w:eastAsia="宋体" w:hint="default"/>
          <w:spacing w:val="-60"/>
        </w:rPr>
        <w:t> </w:t>
      </w:r>
      <w:r>
        <w:rPr/>
        <w:t>年免征所得税。</w:t>
      </w:r>
    </w:p>
    <w:p>
      <w:pPr>
        <w:pStyle w:val="BodyText"/>
        <w:spacing w:line="357" w:lineRule="auto" w:before="136"/>
        <w:ind w:right="999" w:firstLine="480"/>
        <w:jc w:val="left"/>
      </w:pPr>
      <w:r>
        <w:rPr>
          <w:spacing w:val="-9"/>
        </w:rPr>
        <w:t>本公司全资二级子上海晨之科信息技术有限公司（以下简称“晨之科”）为高新技术企业，</w:t>
      </w:r>
      <w:r>
        <w:rPr/>
        <w:t> 于</w:t>
      </w:r>
      <w:r>
        <w:rPr>
          <w:spacing w:val="-56"/>
        </w:rPr>
        <w:t> </w:t>
      </w:r>
      <w:r>
        <w:rPr>
          <w:rFonts w:ascii="宋体" w:hAnsi="宋体" w:cs="宋体" w:eastAsia="宋体" w:hint="default"/>
        </w:rPr>
        <w:t>2015</w:t>
      </w:r>
      <w:r>
        <w:rPr>
          <w:rFonts w:ascii="宋体" w:hAnsi="宋体" w:cs="宋体" w:eastAsia="宋体" w:hint="default"/>
          <w:spacing w:val="-55"/>
        </w:rPr>
        <w:t> </w:t>
      </w:r>
      <w:r>
        <w:rPr/>
        <w:t>年</w:t>
      </w:r>
      <w:r>
        <w:rPr>
          <w:spacing w:val="-56"/>
        </w:rPr>
        <w:t> </w:t>
      </w:r>
      <w:r>
        <w:rPr>
          <w:rFonts w:ascii="宋体" w:hAnsi="宋体" w:cs="宋体" w:eastAsia="宋体" w:hint="default"/>
        </w:rPr>
        <w:t>10</w:t>
      </w:r>
      <w:r>
        <w:rPr>
          <w:rFonts w:ascii="宋体" w:hAnsi="宋体" w:cs="宋体" w:eastAsia="宋体" w:hint="default"/>
          <w:spacing w:val="-56"/>
        </w:rPr>
        <w:t> </w:t>
      </w:r>
      <w:r>
        <w:rPr/>
        <w:t>月</w:t>
      </w:r>
      <w:r>
        <w:rPr>
          <w:spacing w:val="-56"/>
        </w:rPr>
        <w:t> </w:t>
      </w:r>
      <w:r>
        <w:rPr>
          <w:rFonts w:ascii="宋体" w:hAnsi="宋体" w:cs="宋体" w:eastAsia="宋体" w:hint="default"/>
        </w:rPr>
        <w:t>28</w:t>
      </w:r>
      <w:r>
        <w:rPr>
          <w:rFonts w:ascii="宋体" w:hAnsi="宋体" w:cs="宋体" w:eastAsia="宋体" w:hint="default"/>
          <w:spacing w:val="-56"/>
        </w:rPr>
        <w:t> </w:t>
      </w:r>
      <w:r>
        <w:rPr/>
        <w:t>日取得了编号为</w:t>
      </w:r>
      <w:r>
        <w:rPr>
          <w:spacing w:val="-55"/>
        </w:rPr>
        <w:t> </w:t>
      </w:r>
      <w:r>
        <w:rPr>
          <w:rFonts w:ascii="宋体" w:hAnsi="宋体" w:cs="宋体" w:eastAsia="宋体" w:hint="default"/>
        </w:rPr>
        <w:t>GR201531000992</w:t>
      </w:r>
      <w:r>
        <w:rPr>
          <w:rFonts w:ascii="宋体" w:hAnsi="宋体" w:cs="宋体" w:eastAsia="宋体" w:hint="default"/>
          <w:spacing w:val="-56"/>
        </w:rPr>
        <w:t> </w:t>
      </w:r>
      <w:r>
        <w:rPr/>
        <w:t>的高新技术企业证书，有效期三年，证</w:t>
      </w:r>
    </w:p>
    <w:p>
      <w:pPr>
        <w:pStyle w:val="BodyText"/>
        <w:spacing w:line="357" w:lineRule="auto" w:before="36"/>
        <w:ind w:right="1032"/>
        <w:jc w:val="left"/>
      </w:pPr>
      <w:r>
        <w:rPr/>
        <w:t>书到期后，晨之科于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11</w:t>
      </w:r>
      <w:r>
        <w:rPr>
          <w:rFonts w:ascii="宋体" w:hAnsi="宋体" w:cs="宋体" w:eastAsia="宋体" w:hint="default"/>
          <w:spacing w:val="-60"/>
        </w:rPr>
        <w:t> </w:t>
      </w:r>
      <w:r>
        <w:rPr/>
        <w:t>月</w:t>
      </w:r>
      <w:r>
        <w:rPr>
          <w:spacing w:val="-60"/>
        </w:rPr>
        <w:t> </w:t>
      </w:r>
      <w:r>
        <w:rPr>
          <w:rFonts w:ascii="宋体" w:hAnsi="宋体" w:cs="宋体" w:eastAsia="宋体" w:hint="default"/>
        </w:rPr>
        <w:t>2</w:t>
      </w:r>
      <w:r>
        <w:rPr>
          <w:rFonts w:ascii="宋体" w:hAnsi="宋体" w:cs="宋体" w:eastAsia="宋体" w:hint="default"/>
          <w:spacing w:val="-60"/>
        </w:rPr>
        <w:t> </w:t>
      </w:r>
      <w:r>
        <w:rPr/>
        <w:t>日取得了编号为</w:t>
      </w:r>
      <w:r>
        <w:rPr>
          <w:spacing w:val="-60"/>
        </w:rPr>
        <w:t> </w:t>
      </w:r>
      <w:r>
        <w:rPr>
          <w:rFonts w:ascii="宋体" w:hAnsi="宋体" w:cs="宋体" w:eastAsia="宋体" w:hint="default"/>
        </w:rPr>
        <w:t>GR201831000282</w:t>
      </w:r>
      <w:r>
        <w:rPr>
          <w:rFonts w:ascii="宋体" w:hAnsi="宋体" w:cs="宋体" w:eastAsia="宋体" w:hint="default"/>
          <w:spacing w:val="-60"/>
        </w:rPr>
        <w:t> </w:t>
      </w:r>
      <w:r>
        <w:rPr/>
        <w:t>的高新技术企业证书， 有效期三年。晨之科</w:t>
      </w:r>
      <w:r>
        <w:rPr>
          <w:spacing w:val="-60"/>
        </w:rPr>
        <w:t> </w:t>
      </w:r>
      <w:r>
        <w:rPr>
          <w:rFonts w:ascii="宋体" w:hAnsi="宋体" w:cs="宋体" w:eastAsia="宋体" w:hint="default"/>
        </w:rPr>
        <w:t>2018</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240" w:lineRule="auto" w:before="136"/>
        <w:ind w:left="634" w:right="1092"/>
        <w:jc w:val="left"/>
      </w:pPr>
      <w:r>
        <w:rPr/>
        <w:t>除上述所得税税收优惠外，本公司其他子公司企业所得税的适用税率均为</w:t>
      </w:r>
      <w:r>
        <w:rPr>
          <w:spacing w:val="-59"/>
        </w:rPr>
        <w:t> </w:t>
      </w:r>
      <w:r>
        <w:rPr>
          <w:rFonts w:ascii="宋体" w:hAnsi="宋体" w:cs="宋体" w:eastAsia="宋体" w:hint="default"/>
        </w:rPr>
        <w:t>25%</w:t>
      </w:r>
      <w:r>
        <w:rPr/>
        <w:t>。</w:t>
      </w:r>
    </w:p>
    <w:p>
      <w:pPr>
        <w:spacing w:line="240" w:lineRule="auto" w:before="5"/>
        <w:rPr>
          <w:rFonts w:ascii="宋体" w:hAnsi="宋体" w:cs="宋体" w:eastAsia="宋体" w:hint="default"/>
          <w:sz w:val="19"/>
          <w:szCs w:val="19"/>
        </w:rPr>
      </w:pPr>
    </w:p>
    <w:p>
      <w:pPr>
        <w:pStyle w:val="BodyText"/>
        <w:spacing w:line="434" w:lineRule="auto"/>
        <w:ind w:left="634" w:right="1127"/>
        <w:jc w:val="left"/>
        <w:rPr>
          <w:rFonts w:ascii="宋体" w:hAnsi="宋体" w:cs="宋体" w:eastAsia="宋体" w:hint="default"/>
        </w:rPr>
      </w:pPr>
      <w:r>
        <w:rPr/>
        <w:t>（</w:t>
      </w:r>
      <w:r>
        <w:rPr>
          <w:rFonts w:ascii="宋体" w:hAnsi="宋体" w:cs="宋体" w:eastAsia="宋体" w:hint="default"/>
        </w:rPr>
        <w:t>2</w:t>
      </w:r>
      <w:r>
        <w:rPr/>
        <w:t>）增值税 </w:t>
      </w:r>
      <w:r>
        <w:rPr>
          <w:spacing w:val="-5"/>
        </w:rPr>
        <w:t>根据《关于鼓励软件产业和集成电路产业发展有关税收政策问题的通知》（财税</w:t>
      </w:r>
      <w:r>
        <w:rPr>
          <w:rFonts w:ascii="宋体" w:hAnsi="宋体" w:cs="宋体" w:eastAsia="宋体" w:hint="default"/>
          <w:spacing w:val="-5"/>
        </w:rPr>
        <w:t>[2000]25</w:t>
      </w:r>
    </w:p>
    <w:p>
      <w:pPr>
        <w:pStyle w:val="BodyText"/>
        <w:spacing w:line="274" w:lineRule="exact"/>
        <w:ind w:right="1092"/>
        <w:jc w:val="left"/>
      </w:pPr>
      <w:r>
        <w:rPr/>
        <w:t>号</w:t>
      </w:r>
      <w:r>
        <w:rPr>
          <w:spacing w:val="-120"/>
        </w:rPr>
        <w:t>）、</w:t>
      </w:r>
      <w:r>
        <w:rPr/>
        <w:t>《关于软件产品增值税政策的通知</w:t>
      </w:r>
      <w:r>
        <w:rPr>
          <w:spacing w:val="-120"/>
        </w:rPr>
        <w:t>》</w:t>
      </w:r>
      <w:r>
        <w:rPr/>
        <w:t>（财税</w:t>
      </w:r>
      <w:r>
        <w:rPr>
          <w:rFonts w:ascii="宋体" w:hAnsi="宋体" w:cs="宋体" w:eastAsia="宋体" w:hint="default"/>
        </w:rPr>
        <w:t>[2011]100</w:t>
      </w:r>
      <w:r>
        <w:rPr>
          <w:rFonts w:ascii="宋体" w:hAnsi="宋体" w:cs="宋体" w:eastAsia="宋体" w:hint="default"/>
          <w:spacing w:val="-41"/>
        </w:rPr>
        <w:t> </w:t>
      </w:r>
      <w:r>
        <w:rPr/>
        <w:t>号）文件的规定，自</w:t>
      </w:r>
      <w:r>
        <w:rPr>
          <w:spacing w:val="-41"/>
        </w:rPr>
        <w:t> </w:t>
      </w:r>
      <w:r>
        <w:rPr>
          <w:rFonts w:ascii="宋体" w:hAnsi="宋体" w:cs="宋体" w:eastAsia="宋体" w:hint="default"/>
        </w:rPr>
        <w:t>2000</w:t>
      </w:r>
      <w:r>
        <w:rPr>
          <w:rFonts w:ascii="宋体" w:hAnsi="宋体" w:cs="宋体" w:eastAsia="宋体" w:hint="default"/>
          <w:spacing w:val="-41"/>
        </w:rPr>
        <w:t> </w:t>
      </w:r>
      <w:r>
        <w:rPr/>
        <w:t>年</w:t>
      </w:r>
      <w:r>
        <w:rPr>
          <w:spacing w:val="-40"/>
        </w:rPr>
        <w:t> </w:t>
      </w:r>
      <w:r>
        <w:rPr>
          <w:rFonts w:ascii="宋体" w:hAnsi="宋体" w:cs="宋体" w:eastAsia="宋体" w:hint="default"/>
        </w:rPr>
        <w:t>6</w:t>
      </w:r>
      <w:r>
        <w:rPr>
          <w:rFonts w:ascii="宋体" w:hAnsi="宋体" w:cs="宋体" w:eastAsia="宋体" w:hint="default"/>
          <w:spacing w:val="-41"/>
        </w:rPr>
        <w:t> </w:t>
      </w:r>
      <w:r>
        <w:rPr/>
        <w:t>月</w:t>
      </w:r>
    </w:p>
    <w:p>
      <w:pPr>
        <w:pStyle w:val="BodyText"/>
        <w:spacing w:line="357" w:lineRule="auto" w:before="154"/>
        <w:ind w:right="1113"/>
        <w:jc w:val="left"/>
      </w:pPr>
      <w:r>
        <w:rPr>
          <w:rFonts w:ascii="宋体" w:hAnsi="宋体" w:cs="宋体" w:eastAsia="宋体" w:hint="default"/>
        </w:rPr>
        <w:t>24 </w:t>
      </w:r>
      <w:r>
        <w:rPr/>
        <w:t>日起，对增值税一般纳税人销售其自行开发生产的软件产品，按</w:t>
      </w:r>
      <w:r>
        <w:rPr>
          <w:spacing w:val="-81"/>
        </w:rPr>
        <w:t> </w:t>
      </w:r>
      <w:r>
        <w:rPr>
          <w:rFonts w:ascii="宋体" w:hAnsi="宋体" w:cs="宋体" w:eastAsia="宋体" w:hint="default"/>
        </w:rPr>
        <w:t>17%</w:t>
      </w:r>
      <w:r>
        <w:rPr/>
        <w:t>的法定税率征收增值 税后，对其增值税实际税负超过</w:t>
      </w:r>
      <w:r>
        <w:rPr>
          <w:spacing w:val="-60"/>
        </w:rPr>
        <w:t> </w:t>
      </w:r>
      <w:r>
        <w:rPr>
          <w:rFonts w:ascii="宋体" w:hAnsi="宋体" w:cs="宋体" w:eastAsia="宋体" w:hint="default"/>
        </w:rPr>
        <w:t>3%</w:t>
      </w:r>
      <w:r>
        <w:rPr/>
        <w:t>的部分实行即征即退政策。</w:t>
      </w:r>
    </w:p>
    <w:p>
      <w:pPr>
        <w:spacing w:line="240" w:lineRule="auto" w:before="9"/>
        <w:rPr>
          <w:rFonts w:ascii="宋体" w:hAnsi="宋体" w:cs="宋体" w:eastAsia="宋体" w:hint="default"/>
          <w:sz w:val="19"/>
          <w:szCs w:val="19"/>
        </w:rPr>
      </w:pPr>
    </w:p>
    <w:p>
      <w:pPr>
        <w:pStyle w:val="Heading2"/>
        <w:spacing w:line="240" w:lineRule="auto" w:before="0"/>
        <w:ind w:right="1092"/>
        <w:jc w:val="left"/>
        <w:rPr>
          <w:b w:val="0"/>
          <w:bCs w:val="0"/>
        </w:rPr>
      </w:pPr>
      <w:bookmarkStart w:name="七、合并财务报表项目注释" w:id="224"/>
      <w:bookmarkEnd w:id="224"/>
      <w:r>
        <w:rPr>
          <w:b w:val="0"/>
          <w:bCs w:val="0"/>
        </w:rPr>
      </w:r>
      <w:r>
        <w:rPr/>
        <w:t>七、合并财务报表项目注释</w:t>
      </w:r>
      <w:r>
        <w:rPr>
          <w:b w:val="0"/>
          <w:bCs w:val="0"/>
        </w:rPr>
      </w:r>
    </w:p>
    <w:p>
      <w:pPr>
        <w:spacing w:line="240" w:lineRule="auto" w:before="9"/>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货币资金" w:id="225"/>
      <w:bookmarkEnd w:id="225"/>
      <w:r>
        <w:rPr/>
      </w:r>
      <w:r>
        <w:rPr>
          <w:rFonts w:ascii="宋体" w:hAnsi="宋体" w:cs="宋体" w:eastAsia="宋体"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163,079.35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18,520.88</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479,486,461.50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723,068,337.18</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5,106,660.00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36,393,200.00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484,756,200.85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759,480,058.06</w:t>
            </w:r>
          </w:p>
        </w:tc>
      </w:tr>
    </w:tbl>
    <w:p>
      <w:pPr>
        <w:spacing w:line="240" w:lineRule="auto" w:before="11"/>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5"/>
        <w:rPr>
          <w:rFonts w:ascii="宋体" w:hAnsi="宋体" w:cs="宋体" w:eastAsia="宋体" w:hint="default"/>
          <w:sz w:val="19"/>
          <w:szCs w:val="19"/>
        </w:rPr>
      </w:pPr>
    </w:p>
    <w:p>
      <w:pPr>
        <w:pStyle w:val="BodyText"/>
        <w:spacing w:line="357" w:lineRule="auto"/>
        <w:ind w:right="1114" w:firstLine="480"/>
        <w:jc w:val="left"/>
      </w:pPr>
      <w:r>
        <w:rPr/>
        <w:t>本</w:t>
      </w:r>
      <w:r>
        <w:rPr>
          <w:spacing w:val="-87"/>
        </w:rPr>
        <w:t> </w:t>
      </w:r>
      <w:r>
        <w:rPr/>
        <w:t>年</w:t>
      </w:r>
      <w:r>
        <w:rPr>
          <w:spacing w:val="-87"/>
        </w:rPr>
        <w:t> </w:t>
      </w:r>
      <w:r>
        <w:rPr/>
        <w:t>末</w:t>
      </w:r>
      <w:r>
        <w:rPr>
          <w:spacing w:val="-87"/>
        </w:rPr>
        <w:t> </w:t>
      </w:r>
      <w:r>
        <w:rPr/>
        <w:t>其</w:t>
      </w:r>
      <w:r>
        <w:rPr>
          <w:spacing w:val="-88"/>
        </w:rPr>
        <w:t> </w:t>
      </w:r>
      <w:r>
        <w:rPr/>
        <w:t>他</w:t>
      </w:r>
      <w:r>
        <w:rPr>
          <w:spacing w:val="-87"/>
        </w:rPr>
        <w:t> </w:t>
      </w:r>
      <w:r>
        <w:rPr/>
        <w:t>货</w:t>
      </w:r>
      <w:r>
        <w:rPr>
          <w:spacing w:val="-87"/>
        </w:rPr>
        <w:t> </w:t>
      </w:r>
      <w:r>
        <w:rPr/>
        <w:t>币</w:t>
      </w:r>
      <w:r>
        <w:rPr>
          <w:spacing w:val="-87"/>
        </w:rPr>
        <w:t> </w:t>
      </w:r>
      <w:r>
        <w:rPr/>
        <w:t>资</w:t>
      </w:r>
      <w:r>
        <w:rPr>
          <w:spacing w:val="-88"/>
        </w:rPr>
        <w:t> </w:t>
      </w:r>
      <w:r>
        <w:rPr/>
        <w:t>金</w:t>
      </w:r>
      <w:r>
        <w:rPr>
          <w:spacing w:val="-87"/>
        </w:rPr>
        <w:t> </w:t>
      </w:r>
      <w:r>
        <w:rPr/>
        <w:t>余</w:t>
      </w:r>
      <w:r>
        <w:rPr>
          <w:spacing w:val="-87"/>
        </w:rPr>
        <w:t> </w:t>
      </w:r>
      <w:r>
        <w:rPr/>
        <w:t>额</w:t>
      </w:r>
      <w:r>
        <w:rPr>
          <w:spacing w:val="36"/>
        </w:rPr>
        <w:t> </w:t>
      </w:r>
      <w:r>
        <w:rPr>
          <w:rFonts w:ascii="宋体" w:hAnsi="宋体" w:cs="宋体" w:eastAsia="宋体" w:hint="default"/>
        </w:rPr>
        <w:t>5,106,660.00</w:t>
      </w:r>
      <w:r>
        <w:rPr>
          <w:rFonts w:ascii="宋体" w:hAnsi="宋体" w:cs="宋体" w:eastAsia="宋体" w:hint="default"/>
          <w:spacing w:val="34"/>
        </w:rPr>
        <w:t> </w:t>
      </w:r>
      <w:r>
        <w:rPr>
          <w:spacing w:val="17"/>
        </w:rPr>
        <w:t>元中</w:t>
      </w:r>
      <w:r>
        <w:rPr>
          <w:spacing w:val="33"/>
        </w:rPr>
        <w:t> </w:t>
      </w:r>
      <w:r>
        <w:rPr>
          <w:rFonts w:ascii="宋体" w:hAnsi="宋体" w:cs="宋体" w:eastAsia="宋体" w:hint="default"/>
        </w:rPr>
        <w:t>3,047,700.00</w:t>
      </w:r>
      <w:r>
        <w:rPr>
          <w:rFonts w:ascii="宋体" w:hAnsi="宋体" w:cs="宋体" w:eastAsia="宋体" w:hint="default"/>
          <w:spacing w:val="34"/>
        </w:rPr>
        <w:t> </w:t>
      </w:r>
      <w:r>
        <w:rPr/>
        <w:t>元</w:t>
      </w:r>
      <w:r>
        <w:rPr>
          <w:spacing w:val="-87"/>
        </w:rPr>
        <w:t> </w:t>
      </w:r>
      <w:r>
        <w:rPr/>
        <w:t>为</w:t>
      </w:r>
      <w:r>
        <w:rPr>
          <w:spacing w:val="-87"/>
        </w:rPr>
        <w:t> </w:t>
      </w:r>
      <w:r>
        <w:rPr/>
        <w:t>保</w:t>
      </w:r>
      <w:r>
        <w:rPr>
          <w:spacing w:val="-88"/>
        </w:rPr>
        <w:t> </w:t>
      </w:r>
      <w:r>
        <w:rPr/>
        <w:t>函</w:t>
      </w:r>
      <w:r>
        <w:rPr>
          <w:spacing w:val="-87"/>
        </w:rPr>
        <w:t> </w:t>
      </w:r>
      <w:r>
        <w:rPr/>
        <w:t>保</w:t>
      </w:r>
      <w:r>
        <w:rPr>
          <w:spacing w:val="-87"/>
        </w:rPr>
        <w:t> </w:t>
      </w:r>
      <w:r>
        <w:rPr/>
        <w:t>证</w:t>
      </w:r>
      <w:r>
        <w:rPr>
          <w:spacing w:val="-87"/>
        </w:rPr>
        <w:t> </w:t>
      </w:r>
      <w:r>
        <w:rPr/>
        <w:t>金</w:t>
      </w:r>
      <w:r>
        <w:rPr>
          <w:spacing w:val="-88"/>
        </w:rPr>
        <w:t> </w:t>
      </w:r>
      <w:r>
        <w:rPr/>
        <w:t>，</w:t>
      </w:r>
      <w:r>
        <w:rPr/>
        <w:t> </w:t>
      </w:r>
      <w:r>
        <w:rPr>
          <w:rFonts w:ascii="宋体" w:hAnsi="宋体" w:cs="宋体" w:eastAsia="宋体" w:hint="default"/>
        </w:rPr>
        <w:t>2,058,960.00</w:t>
      </w:r>
      <w:r>
        <w:rPr>
          <w:rFonts w:ascii="宋体" w:hAnsi="宋体" w:cs="宋体" w:eastAsia="宋体" w:hint="default"/>
          <w:spacing w:val="-82"/>
        </w:rPr>
        <w:t> </w:t>
      </w:r>
      <w:r>
        <w:rPr/>
        <w:t>元为信用卡业务保证金，由于款项使用受限，因此不作为现金流量表中的现金</w:t>
      </w:r>
    </w:p>
    <w:p>
      <w:pPr>
        <w:spacing w:after="0" w:line="357"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9"/>
        <w:jc w:val="both"/>
      </w:pPr>
      <w:r>
        <w:rPr/>
        <w:t>及现金等价物，由此造成现金流量表期末现金及现金等价物与期末货币资金余额存在差异。 年末货币资金余额除其他货币资金外，不存在因抵押或冻结等对使用有限制、存放在境外、 有潜在回收风险的款项。</w:t>
      </w:r>
    </w:p>
    <w:p>
      <w:pPr>
        <w:spacing w:line="240" w:lineRule="auto" w:before="6"/>
        <w:rPr>
          <w:rFonts w:ascii="宋体" w:hAnsi="宋体" w:cs="宋体" w:eastAsia="宋体" w:hint="default"/>
          <w:sz w:val="21"/>
          <w:szCs w:val="21"/>
        </w:rPr>
      </w:pPr>
    </w:p>
    <w:p>
      <w:pPr>
        <w:spacing w:before="0"/>
        <w:ind w:left="154" w:right="0" w:firstLine="0"/>
        <w:jc w:val="both"/>
        <w:rPr>
          <w:rFonts w:ascii="宋体" w:hAnsi="宋体" w:cs="宋体" w:eastAsia="宋体" w:hint="default"/>
          <w:sz w:val="21"/>
          <w:szCs w:val="21"/>
        </w:rPr>
      </w:pPr>
      <w:bookmarkStart w:name="2、以公允价值计量且其变动计入当期损益的金融资产" w:id="226"/>
      <w:bookmarkEnd w:id="226"/>
      <w:r>
        <w:rPr/>
      </w:r>
      <w:r>
        <w:rPr>
          <w:rFonts w:ascii="宋体" w:hAnsi="宋体" w:cs="宋体" w:eastAsia="宋体" w:hint="default"/>
          <w:b/>
          <w:bCs/>
          <w:sz w:val="21"/>
          <w:szCs w:val="21"/>
        </w:rPr>
        <w:t>2</w:t>
      </w:r>
      <w:r>
        <w:rPr>
          <w:rFonts w:ascii="宋体" w:hAnsi="宋体" w:cs="宋体" w:eastAsia="宋体" w:hint="default"/>
          <w:b/>
          <w:bCs/>
          <w:sz w:val="21"/>
          <w:szCs w:val="21"/>
        </w:rPr>
        <w:t>、以公允价值计量且其变动计入当期损益的金融资产</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216,395,000.00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216,395,000.00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216,395,000.00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432" w:lineRule="auto" w:before="26"/>
        <w:ind w:left="634" w:right="1092"/>
        <w:jc w:val="left"/>
      </w:pPr>
      <w:r>
        <w:rPr/>
        <w:t>其他说明： </w:t>
      </w:r>
      <w:r>
        <w:rPr>
          <w:spacing w:val="3"/>
        </w:rPr>
        <w:t>注</w:t>
      </w:r>
      <w:r>
        <w:rPr>
          <w:rFonts w:ascii="宋体" w:hAnsi="宋体" w:cs="宋体" w:eastAsia="宋体" w:hint="default"/>
          <w:spacing w:val="3"/>
        </w:rPr>
        <w:t>:</w:t>
      </w:r>
      <w:r>
        <w:rPr>
          <w:spacing w:val="3"/>
        </w:rPr>
        <w:t>本期确认的以公允价值计量的且其变动计入当期损益的金融资产系晨之科未完成业</w:t>
      </w:r>
    </w:p>
    <w:p>
      <w:pPr>
        <w:pStyle w:val="BodyText"/>
        <w:spacing w:line="276" w:lineRule="exact"/>
        <w:ind w:right="1092"/>
        <w:jc w:val="left"/>
      </w:pPr>
      <w:r>
        <w:rPr/>
        <w:t>绩补偿的赔偿金额，根据本年晨之科业绩实际完成情况，按业绩补偿协议的约定原股东需补</w:t>
      </w:r>
    </w:p>
    <w:p>
      <w:pPr>
        <w:pStyle w:val="BodyText"/>
        <w:spacing w:line="240" w:lineRule="auto" w:before="154"/>
        <w:ind w:right="999"/>
        <w:jc w:val="left"/>
      </w:pPr>
      <w:r>
        <w:rPr/>
        <w:t>偿</w:t>
      </w:r>
      <w:r>
        <w:rPr>
          <w:spacing w:val="-60"/>
        </w:rPr>
        <w:t> </w:t>
      </w:r>
      <w:r>
        <w:rPr>
          <w:rFonts w:ascii="宋体" w:hAnsi="宋体" w:cs="宋体" w:eastAsia="宋体" w:hint="default"/>
        </w:rPr>
        <w:t>71,435.30</w:t>
      </w:r>
      <w:r>
        <w:rPr>
          <w:rFonts w:ascii="宋体" w:hAnsi="宋体" w:cs="宋体" w:eastAsia="宋体" w:hint="default"/>
          <w:spacing w:val="-60"/>
        </w:rPr>
        <w:t> </w:t>
      </w:r>
      <w:r>
        <w:rPr/>
        <w:t>万元，以重组时发行股权的对价</w:t>
      </w:r>
      <w:r>
        <w:rPr>
          <w:spacing w:val="-60"/>
        </w:rPr>
        <w:t> </w:t>
      </w:r>
      <w:r>
        <w:rPr>
          <w:rFonts w:ascii="宋体" w:hAnsi="宋体" w:cs="宋体" w:eastAsia="宋体" w:hint="default"/>
        </w:rPr>
        <w:t>15.98</w:t>
      </w:r>
      <w:r>
        <w:rPr>
          <w:rFonts w:ascii="宋体" w:hAnsi="宋体" w:cs="宋体" w:eastAsia="宋体" w:hint="default"/>
          <w:spacing w:val="-60"/>
        </w:rPr>
        <w:t> </w:t>
      </w:r>
      <w:r>
        <w:rPr/>
        <w:t>元每股计算应补偿</w:t>
      </w:r>
      <w:r>
        <w:rPr>
          <w:spacing w:val="-60"/>
        </w:rPr>
        <w:t> </w:t>
      </w:r>
      <w:r>
        <w:rPr>
          <w:rFonts w:ascii="宋体" w:hAnsi="宋体" w:cs="宋体" w:eastAsia="宋体" w:hint="default"/>
        </w:rPr>
        <w:t>4,470</w:t>
      </w:r>
      <w:r>
        <w:rPr>
          <w:rFonts w:ascii="宋体" w:hAnsi="宋体" w:cs="宋体" w:eastAsia="宋体" w:hint="default"/>
          <w:spacing w:val="-60"/>
        </w:rPr>
        <w:t> </w:t>
      </w:r>
      <w:r>
        <w:rPr/>
        <w:t>万股（取整</w:t>
      </w:r>
      <w:r>
        <w:rPr>
          <w:spacing w:val="-120"/>
        </w:rPr>
        <w:t>）</w:t>
      </w:r>
      <w:r>
        <w:rPr/>
        <w:t>。</w:t>
      </w:r>
    </w:p>
    <w:p>
      <w:pPr>
        <w:pStyle w:val="BodyText"/>
        <w:spacing w:line="360" w:lineRule="auto" w:before="154"/>
        <w:ind w:right="1118"/>
        <w:jc w:val="left"/>
      </w:pPr>
      <w:r>
        <w:rPr/>
        <w:t>按本公司</w:t>
      </w:r>
      <w:r>
        <w:rPr>
          <w:spacing w:val="-55"/>
        </w:rPr>
        <w:t> </w:t>
      </w:r>
      <w:r>
        <w:rPr>
          <w:rFonts w:ascii="宋体" w:hAnsi="宋体" w:cs="宋体" w:eastAsia="宋体" w:hint="default"/>
        </w:rPr>
        <w:t>2018</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31</w:t>
      </w:r>
      <w:r>
        <w:rPr>
          <w:rFonts w:ascii="宋体" w:hAnsi="宋体" w:cs="宋体" w:eastAsia="宋体" w:hint="default"/>
          <w:spacing w:val="-56"/>
        </w:rPr>
        <w:t> </w:t>
      </w:r>
      <w:r>
        <w:rPr/>
        <w:t>日股票收盘价值</w:t>
      </w:r>
      <w:r>
        <w:rPr>
          <w:spacing w:val="-55"/>
        </w:rPr>
        <w:t> </w:t>
      </w:r>
      <w:r>
        <w:rPr>
          <w:rFonts w:ascii="宋体" w:hAnsi="宋体" w:cs="宋体" w:eastAsia="宋体" w:hint="default"/>
        </w:rPr>
        <w:t>4.84</w:t>
      </w:r>
      <w:r>
        <w:rPr>
          <w:rFonts w:ascii="宋体" w:hAnsi="宋体" w:cs="宋体" w:eastAsia="宋体" w:hint="default"/>
          <w:spacing w:val="-56"/>
        </w:rPr>
        <w:t> </w:t>
      </w:r>
      <w:r>
        <w:rPr/>
        <w:t>元每股计算而得。报告期内，尚未进行实际 补偿。另见附注七、</w:t>
      </w:r>
      <w:r>
        <w:rPr>
          <w:rFonts w:ascii="宋体" w:hAnsi="宋体" w:cs="宋体" w:eastAsia="宋体" w:hint="default"/>
        </w:rPr>
        <w:t>61</w:t>
      </w:r>
      <w:r>
        <w:rPr/>
        <w:t>。附注十六、其他重要事项。</w:t>
      </w:r>
    </w:p>
    <w:p>
      <w:pPr>
        <w:spacing w:line="240" w:lineRule="auto" w:before="4"/>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3、衍生金融资产" w:id="227"/>
      <w:bookmarkEnd w:id="227"/>
      <w:r>
        <w:rPr/>
      </w:r>
      <w:r>
        <w:rPr>
          <w:rFonts w:ascii="宋体" w:hAnsi="宋体" w:cs="宋体" w:eastAsia="宋体" w:hint="default"/>
          <w:b/>
          <w:bCs/>
          <w:sz w:val="21"/>
          <w:szCs w:val="21"/>
        </w:rPr>
        <w:t>3</w:t>
      </w:r>
      <w:r>
        <w:rPr>
          <w:rFonts w:ascii="宋体" w:hAnsi="宋体" w:cs="宋体" w:eastAsia="宋体" w:hint="default"/>
          <w:b/>
          <w:bCs/>
          <w:sz w:val="21"/>
          <w:szCs w:val="21"/>
        </w:rPr>
        <w:t>、衍生金融资产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应收票据及应收账款" w:id="228"/>
      <w:bookmarkEnd w:id="228"/>
      <w:r>
        <w:rPr/>
      </w:r>
      <w:r>
        <w:rPr>
          <w:rFonts w:ascii="宋体" w:hAnsi="宋体" w:cs="宋体" w:eastAsia="宋体" w:hint="default"/>
          <w:b/>
          <w:bCs/>
          <w:sz w:val="21"/>
          <w:szCs w:val="21"/>
        </w:rPr>
        <w:t>4</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232,940,409.42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133,383,639.60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232,940,409.42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133,383,639.60</w:t>
            </w:r>
          </w:p>
        </w:tc>
      </w:tr>
    </w:tbl>
    <w:p>
      <w:pPr>
        <w:spacing w:line="240" w:lineRule="auto" w:before="2"/>
        <w:rPr>
          <w:rFonts w:ascii="宋体" w:hAnsi="宋体" w:cs="宋体" w:eastAsia="宋体" w:hint="default"/>
          <w:sz w:val="19"/>
          <w:szCs w:val="19"/>
        </w:rPr>
      </w:pPr>
    </w:p>
    <w:p>
      <w:pPr>
        <w:spacing w:before="35"/>
        <w:ind w:left="134" w:right="9380" w:firstLine="0"/>
        <w:jc w:val="center"/>
        <w:rPr>
          <w:rFonts w:ascii="宋体" w:hAnsi="宋体" w:cs="宋体" w:eastAsia="宋体" w:hint="default"/>
          <w:sz w:val="21"/>
          <w:szCs w:val="21"/>
        </w:rPr>
      </w:pPr>
      <w:bookmarkStart w:name="（1）应收票据" w:id="229"/>
      <w:bookmarkEnd w:id="229"/>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7"/>
        <w:rPr>
          <w:rFonts w:ascii="宋体" w:hAnsi="宋体" w:cs="宋体" w:eastAsia="宋体" w:hint="default"/>
          <w:sz w:val="30"/>
          <w:szCs w:val="30"/>
        </w:rPr>
      </w:pPr>
    </w:p>
    <w:p>
      <w:pPr>
        <w:spacing w:before="0"/>
        <w:ind w:left="134" w:right="9380" w:firstLine="0"/>
        <w:jc w:val="center"/>
        <w:rPr>
          <w:rFonts w:ascii="宋体" w:hAnsi="宋体" w:cs="宋体" w:eastAsia="宋体" w:hint="default"/>
          <w:sz w:val="21"/>
          <w:szCs w:val="21"/>
        </w:rPr>
      </w:pPr>
      <w:bookmarkStart w:name="（2）应收账款" w:id="230"/>
      <w:bookmarkEnd w:id="230"/>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rFonts w:ascii="宋体" w:hAnsi="宋体" w:cs="宋体" w:eastAsia="宋体" w:hint="default"/>
        </w:rPr>
        <w:t>1)</w:t>
      </w:r>
      <w:r>
        <w:rPr/>
        <w:t>应收账款分类披露</w:t>
      </w:r>
    </w:p>
    <w:p>
      <w:pPr>
        <w:spacing w:after="0" w:line="240" w:lineRule="auto"/>
        <w:jc w:val="left"/>
        <w:sectPr>
          <w:pgSz w:w="11910" w:h="16840"/>
          <w:pgMar w:header="877" w:footer="979" w:top="1100" w:bottom="1160" w:left="980" w:right="0"/>
        </w:sectPr>
      </w:pPr>
    </w:p>
    <w:p>
      <w:pPr>
        <w:spacing w:line="240" w:lineRule="auto" w:before="13"/>
        <w:rPr>
          <w:rFonts w:ascii="宋体" w:hAnsi="宋体" w:cs="宋体" w:eastAsia="宋体" w:hint="default"/>
          <w:sz w:val="21"/>
          <w:szCs w:val="21"/>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11"/>
        <w:gridCol w:w="775"/>
        <w:gridCol w:w="762"/>
        <w:gridCol w:w="762"/>
        <w:gridCol w:w="762"/>
        <w:gridCol w:w="790"/>
        <w:gridCol w:w="654"/>
        <w:gridCol w:w="762"/>
        <w:gridCol w:w="813"/>
        <w:gridCol w:w="932"/>
        <w:gridCol w:w="932"/>
      </w:tblGrid>
      <w:tr>
        <w:trPr>
          <w:trHeight w:val="403" w:hRule="exact"/>
        </w:trPr>
        <w:tc>
          <w:tcPr>
            <w:tcW w:w="1611" w:type="dxa"/>
            <w:vMerge w:val="restart"/>
            <w:tcBorders>
              <w:top w:val="single" w:sz="4" w:space="0" w:color="000000"/>
              <w:left w:val="single" w:sz="4" w:space="0" w:color="000000"/>
              <w:right w:val="single" w:sz="4" w:space="0" w:color="000000"/>
            </w:tcBorders>
            <w:shd w:val="clear" w:color="auto" w:fill="D2D2D2"/>
          </w:tcPr>
          <w:p>
            <w:pPr/>
          </w:p>
        </w:tc>
        <w:tc>
          <w:tcPr>
            <w:tcW w:w="385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1" w:hRule="exact"/>
        </w:trPr>
        <w:tc>
          <w:tcPr>
            <w:tcW w:w="1611" w:type="dxa"/>
            <w:vMerge/>
            <w:tcBorders>
              <w:left w:val="single" w:sz="4" w:space="0" w:color="000000"/>
              <w:bottom w:val="nil" w:sz="6" w:space="0" w:color="auto"/>
              <w:right w:val="single" w:sz="4" w:space="0" w:color="000000"/>
            </w:tcBorders>
            <w:shd w:val="clear" w:color="auto" w:fill="D2D2D2"/>
          </w:tcPr>
          <w:p>
            <w:pPr/>
          </w:p>
        </w:tc>
        <w:tc>
          <w:tcPr>
            <w:tcW w:w="153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11" w:type="dxa"/>
            <w:vMerge/>
            <w:tcBorders>
              <w:left w:val="single" w:sz="4" w:space="0" w:color="000000"/>
              <w:bottom w:val="single" w:sz="4" w:space="0" w:color="FFFFFF"/>
              <w:right w:val="single" w:sz="4" w:space="0" w:color="000000"/>
            </w:tcBorders>
            <w:shd w:val="clear" w:color="auto" w:fill="D2D2D2"/>
          </w:tcPr>
          <w:p>
            <w:pPr/>
          </w:p>
        </w:tc>
        <w:tc>
          <w:tcPr>
            <w:tcW w:w="775"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11" w:type="dxa"/>
            <w:vMerge w:val="restart"/>
            <w:tcBorders>
              <w:top w:val="single" w:sz="4" w:space="0" w:color="FFFFFF"/>
              <w:left w:val="single" w:sz="4" w:space="0" w:color="000000"/>
              <w:right w:val="single" w:sz="4" w:space="0" w:color="000000"/>
            </w:tcBorders>
            <w:shd w:val="clear" w:color="auto" w:fill="D2D2D2"/>
          </w:tcPr>
          <w:p>
            <w:pPr/>
          </w:p>
        </w:tc>
        <w:tc>
          <w:tcPr>
            <w:tcW w:w="775"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11" w:type="dxa"/>
            <w:vMerge/>
            <w:tcBorders>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1"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sz w:val="18"/>
              </w:rPr>
              <w:t>35,777,</w:t>
            </w:r>
          </w:p>
          <w:p>
            <w:pPr>
              <w:pStyle w:val="TableParagraph"/>
              <w:spacing w:line="240" w:lineRule="auto" w:before="76"/>
              <w:ind w:left="189" w:right="0"/>
              <w:jc w:val="left"/>
              <w:rPr>
                <w:rFonts w:ascii="宋体" w:hAnsi="宋体" w:cs="宋体" w:eastAsia="宋体" w:hint="default"/>
                <w:sz w:val="18"/>
                <w:szCs w:val="18"/>
              </w:rPr>
            </w:pPr>
            <w:r>
              <w:rPr>
                <w:rFonts w:ascii="宋体"/>
                <w:sz w:val="18"/>
              </w:rPr>
              <w:t>094.62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12.52%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sz w:val="18"/>
              </w:rPr>
              <w:t>32,773,</w:t>
            </w:r>
          </w:p>
          <w:p>
            <w:pPr>
              <w:pStyle w:val="TableParagraph"/>
              <w:spacing w:line="240" w:lineRule="auto" w:before="76"/>
              <w:ind w:left="188" w:right="0"/>
              <w:jc w:val="left"/>
              <w:rPr>
                <w:rFonts w:ascii="宋体" w:hAnsi="宋体" w:cs="宋体" w:eastAsia="宋体" w:hint="default"/>
                <w:sz w:val="18"/>
                <w:szCs w:val="18"/>
              </w:rPr>
            </w:pPr>
            <w:r>
              <w:rPr>
                <w:rFonts w:ascii="宋体"/>
                <w:sz w:val="18"/>
              </w:rPr>
              <w:t>113.42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91.60%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7" w:right="0"/>
              <w:jc w:val="left"/>
              <w:rPr>
                <w:rFonts w:ascii="宋体" w:hAnsi="宋体" w:cs="宋体" w:eastAsia="宋体" w:hint="default"/>
                <w:sz w:val="18"/>
                <w:szCs w:val="18"/>
              </w:rPr>
            </w:pPr>
            <w:r>
              <w:rPr>
                <w:rFonts w:ascii="宋体"/>
                <w:sz w:val="18"/>
              </w:rPr>
              <w:t>3,003,98</w:t>
            </w:r>
          </w:p>
          <w:p>
            <w:pPr>
              <w:pStyle w:val="TableParagraph"/>
              <w:spacing w:line="240" w:lineRule="auto" w:before="76"/>
              <w:ind w:left="397" w:right="0"/>
              <w:jc w:val="left"/>
              <w:rPr>
                <w:rFonts w:ascii="宋体" w:hAnsi="宋体" w:cs="宋体" w:eastAsia="宋体" w:hint="default"/>
                <w:sz w:val="18"/>
                <w:szCs w:val="18"/>
              </w:rPr>
            </w:pPr>
            <w:r>
              <w:rPr>
                <w:rFonts w:ascii="宋体"/>
                <w:sz w:val="18"/>
              </w:rPr>
              <w:t>1.20</w:t>
            </w: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sz w:val="18"/>
              </w:rPr>
              <w:t>250,006</w:t>
            </w:r>
          </w:p>
          <w:p>
            <w:pPr>
              <w:pStyle w:val="TableParagraph"/>
              <w:spacing w:line="240" w:lineRule="auto" w:before="76"/>
              <w:ind w:left="99" w:right="0"/>
              <w:jc w:val="left"/>
              <w:rPr>
                <w:rFonts w:ascii="宋体" w:hAnsi="宋体" w:cs="宋体" w:eastAsia="宋体" w:hint="default"/>
                <w:sz w:val="18"/>
                <w:szCs w:val="18"/>
              </w:rPr>
            </w:pPr>
            <w:r>
              <w:rPr>
                <w:rFonts w:ascii="宋体"/>
                <w:sz w:val="18"/>
              </w:rPr>
              <w:t>,773.59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87.48%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sz w:val="18"/>
              </w:rPr>
              <w:t>20,070,</w:t>
            </w:r>
          </w:p>
          <w:p>
            <w:pPr>
              <w:pStyle w:val="TableParagraph"/>
              <w:spacing w:line="240" w:lineRule="auto" w:before="76"/>
              <w:ind w:left="188" w:right="0"/>
              <w:jc w:val="left"/>
              <w:rPr>
                <w:rFonts w:ascii="宋体" w:hAnsi="宋体" w:cs="宋体" w:eastAsia="宋体" w:hint="default"/>
                <w:sz w:val="18"/>
                <w:szCs w:val="18"/>
              </w:rPr>
            </w:pPr>
            <w:r>
              <w:rPr>
                <w:rFonts w:ascii="宋体"/>
                <w:sz w:val="18"/>
              </w:rPr>
              <w:t>345.37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8.03%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 w:right="0"/>
              <w:jc w:val="center"/>
              <w:rPr>
                <w:rFonts w:ascii="宋体" w:hAnsi="宋体" w:cs="宋体" w:eastAsia="宋体" w:hint="default"/>
                <w:sz w:val="18"/>
                <w:szCs w:val="18"/>
              </w:rPr>
            </w:pPr>
            <w:r>
              <w:rPr>
                <w:rFonts w:ascii="宋体"/>
                <w:sz w:val="18"/>
              </w:rPr>
              <w:t>229,936,</w:t>
            </w:r>
          </w:p>
          <w:p>
            <w:pPr>
              <w:pStyle w:val="TableParagraph"/>
              <w:spacing w:line="240" w:lineRule="auto" w:before="76"/>
              <w:ind w:left="194" w:right="0"/>
              <w:jc w:val="center"/>
              <w:rPr>
                <w:rFonts w:ascii="宋体" w:hAnsi="宋体" w:cs="宋体" w:eastAsia="宋体" w:hint="default"/>
                <w:sz w:val="18"/>
                <w:szCs w:val="18"/>
              </w:rPr>
            </w:pPr>
            <w:r>
              <w:rPr>
                <w:rFonts w:ascii="宋体"/>
                <w:sz w:val="18"/>
              </w:rPr>
              <w:t>428.22</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143,35</w:t>
            </w:r>
          </w:p>
          <w:p>
            <w:pPr>
              <w:pStyle w:val="TableParagraph"/>
              <w:spacing w:line="240" w:lineRule="auto" w:before="75"/>
              <w:ind w:right="23"/>
              <w:jc w:val="right"/>
              <w:rPr>
                <w:rFonts w:ascii="宋体" w:hAnsi="宋体" w:cs="宋体" w:eastAsia="宋体" w:hint="default"/>
                <w:sz w:val="18"/>
                <w:szCs w:val="18"/>
              </w:rPr>
            </w:pPr>
            <w:r>
              <w:rPr>
                <w:rFonts w:ascii="宋体"/>
                <w:sz w:val="18"/>
              </w:rPr>
              <w:t>6,265.</w:t>
            </w:r>
          </w:p>
          <w:p>
            <w:pPr>
              <w:pStyle w:val="TableParagraph"/>
              <w:spacing w:line="240" w:lineRule="auto" w:before="77"/>
              <w:ind w:right="23"/>
              <w:jc w:val="right"/>
              <w:rPr>
                <w:rFonts w:ascii="宋体" w:hAnsi="宋体" w:cs="宋体" w:eastAsia="宋体" w:hint="default"/>
                <w:sz w:val="18"/>
                <w:szCs w:val="18"/>
              </w:rPr>
            </w:pPr>
            <w:r>
              <w:rPr>
                <w:rFonts w:ascii="宋体"/>
                <w:sz w:val="18"/>
              </w:rPr>
              <w:t>70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99.70%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9,972,62</w:t>
            </w:r>
          </w:p>
          <w:p>
            <w:pPr>
              <w:pStyle w:val="TableParagraph"/>
              <w:spacing w:line="240" w:lineRule="auto" w:before="76"/>
              <w:ind w:left="420" w:right="0"/>
              <w:jc w:val="left"/>
              <w:rPr>
                <w:rFonts w:ascii="宋体" w:hAnsi="宋体" w:cs="宋体" w:eastAsia="宋体" w:hint="default"/>
                <w:sz w:val="18"/>
                <w:szCs w:val="18"/>
              </w:rPr>
            </w:pPr>
            <w:r>
              <w:rPr>
                <w:rFonts w:ascii="宋体"/>
                <w:sz w:val="18"/>
              </w:rPr>
              <w:t>6.10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6.96%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sz w:val="18"/>
              </w:rPr>
              <w:t>133,383,6</w:t>
            </w:r>
          </w:p>
          <w:p>
            <w:pPr>
              <w:pStyle w:val="TableParagraph"/>
              <w:spacing w:line="240" w:lineRule="auto" w:before="76"/>
              <w:ind w:left="448" w:right="0"/>
              <w:jc w:val="left"/>
              <w:rPr>
                <w:rFonts w:ascii="宋体" w:hAnsi="宋体" w:cs="宋体" w:eastAsia="宋体" w:hint="default"/>
                <w:sz w:val="18"/>
                <w:szCs w:val="18"/>
              </w:rPr>
            </w:pPr>
            <w:r>
              <w:rPr>
                <w:rFonts w:ascii="宋体"/>
                <w:sz w:val="18"/>
              </w:rPr>
              <w:t>39.60</w:t>
            </w: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4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75" w:type="dxa"/>
            <w:tcBorders>
              <w:top w:val="single" w:sz="4" w:space="0" w:color="000000"/>
              <w:left w:val="single" w:sz="13" w:space="0" w:color="D2D2D2"/>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6" w:right="0"/>
              <w:jc w:val="center"/>
              <w:rPr>
                <w:rFonts w:ascii="宋体" w:hAnsi="宋体" w:cs="宋体" w:eastAsia="宋体" w:hint="default"/>
                <w:sz w:val="18"/>
                <w:szCs w:val="18"/>
              </w:rPr>
            </w:pPr>
            <w:r>
              <w:rPr>
                <w:rFonts w:ascii="宋体"/>
                <w:sz w:val="18"/>
              </w:rPr>
              <w:t>435,90</w:t>
            </w:r>
          </w:p>
          <w:p>
            <w:pPr>
              <w:pStyle w:val="TableParagraph"/>
              <w:spacing w:line="240" w:lineRule="auto" w:before="76"/>
              <w:ind w:left="236" w:right="0"/>
              <w:jc w:val="center"/>
              <w:rPr>
                <w:rFonts w:ascii="宋体" w:hAnsi="宋体" w:cs="宋体" w:eastAsia="宋体" w:hint="default"/>
                <w:sz w:val="18"/>
                <w:szCs w:val="18"/>
              </w:rPr>
            </w:pPr>
            <w:r>
              <w:rPr>
                <w:rFonts w:ascii="宋体"/>
                <w:sz w:val="18"/>
              </w:rPr>
              <w:t>0.06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0.30%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435,900.</w:t>
            </w:r>
          </w:p>
          <w:p>
            <w:pPr>
              <w:pStyle w:val="TableParagraph"/>
              <w:spacing w:line="240" w:lineRule="auto" w:before="76"/>
              <w:ind w:right="20"/>
              <w:jc w:val="right"/>
              <w:rPr>
                <w:rFonts w:ascii="宋体" w:hAnsi="宋体" w:cs="宋体" w:eastAsia="宋体" w:hint="default"/>
                <w:sz w:val="18"/>
                <w:szCs w:val="18"/>
              </w:rPr>
            </w:pPr>
            <w:r>
              <w:rPr>
                <w:rFonts w:ascii="宋体"/>
                <w:sz w:val="18"/>
              </w:rPr>
              <w:t>06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318"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sz w:val="18"/>
              </w:rPr>
              <w:t>285,783</w:t>
            </w:r>
          </w:p>
          <w:p>
            <w:pPr>
              <w:pStyle w:val="TableParagraph"/>
              <w:spacing w:line="240" w:lineRule="auto" w:before="76"/>
              <w:ind w:left="105" w:right="0"/>
              <w:jc w:val="left"/>
              <w:rPr>
                <w:rFonts w:ascii="宋体" w:hAnsi="宋体" w:cs="宋体" w:eastAsia="宋体" w:hint="default"/>
                <w:sz w:val="18"/>
                <w:szCs w:val="18"/>
              </w:rPr>
            </w:pPr>
            <w:r>
              <w:rPr>
                <w:rFonts w:ascii="宋体"/>
                <w:sz w:val="18"/>
              </w:rPr>
              <w:t>,868.21</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98" w:right="0"/>
              <w:jc w:val="left"/>
              <w:rPr>
                <w:rFonts w:ascii="宋体" w:hAnsi="宋体" w:cs="宋体" w:eastAsia="宋体" w:hint="default"/>
                <w:sz w:val="18"/>
                <w:szCs w:val="18"/>
              </w:rPr>
            </w:pPr>
            <w:r>
              <w:rPr>
                <w:rFonts w:ascii="宋体"/>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sz w:val="18"/>
              </w:rPr>
              <w:t>52,843,</w:t>
            </w:r>
          </w:p>
          <w:p>
            <w:pPr>
              <w:pStyle w:val="TableParagraph"/>
              <w:spacing w:line="240" w:lineRule="auto" w:before="76"/>
              <w:ind w:left="188" w:right="0"/>
              <w:jc w:val="left"/>
              <w:rPr>
                <w:rFonts w:ascii="宋体" w:hAnsi="宋体" w:cs="宋体" w:eastAsia="宋体" w:hint="default"/>
                <w:sz w:val="18"/>
                <w:szCs w:val="18"/>
              </w:rPr>
            </w:pPr>
            <w:r>
              <w:rPr>
                <w:rFonts w:ascii="宋体"/>
                <w:sz w:val="18"/>
              </w:rPr>
              <w:t>458.79</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89" w:right="0"/>
              <w:jc w:val="left"/>
              <w:rPr>
                <w:rFonts w:ascii="宋体" w:hAnsi="宋体" w:cs="宋体" w:eastAsia="宋体" w:hint="default"/>
                <w:sz w:val="18"/>
                <w:szCs w:val="18"/>
              </w:rPr>
            </w:pPr>
            <w:r>
              <w:rPr>
                <w:rFonts w:ascii="宋体"/>
                <w:sz w:val="18"/>
              </w:rPr>
              <w:t>18.49%</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 w:right="0"/>
              <w:jc w:val="center"/>
              <w:rPr>
                <w:rFonts w:ascii="宋体" w:hAnsi="宋体" w:cs="宋体" w:eastAsia="宋体" w:hint="default"/>
                <w:sz w:val="18"/>
                <w:szCs w:val="18"/>
              </w:rPr>
            </w:pPr>
            <w:r>
              <w:rPr>
                <w:rFonts w:ascii="宋体"/>
                <w:sz w:val="18"/>
              </w:rPr>
              <w:t>232,940,</w:t>
            </w:r>
          </w:p>
          <w:p>
            <w:pPr>
              <w:pStyle w:val="TableParagraph"/>
              <w:spacing w:line="240" w:lineRule="auto" w:before="76"/>
              <w:ind w:left="194" w:right="0"/>
              <w:jc w:val="center"/>
              <w:rPr>
                <w:rFonts w:ascii="宋体" w:hAnsi="宋体" w:cs="宋体" w:eastAsia="宋体" w:hint="default"/>
                <w:sz w:val="18"/>
                <w:szCs w:val="18"/>
              </w:rPr>
            </w:pPr>
            <w:r>
              <w:rPr>
                <w:rFonts w:ascii="宋体"/>
                <w:sz w:val="18"/>
              </w:rPr>
              <w:t>409.42</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143,79</w:t>
            </w:r>
          </w:p>
          <w:p>
            <w:pPr>
              <w:pStyle w:val="TableParagraph"/>
              <w:spacing w:line="240" w:lineRule="auto" w:before="75"/>
              <w:ind w:right="23"/>
              <w:jc w:val="right"/>
              <w:rPr>
                <w:rFonts w:ascii="宋体" w:hAnsi="宋体" w:cs="宋体" w:eastAsia="宋体" w:hint="default"/>
                <w:sz w:val="18"/>
                <w:szCs w:val="18"/>
              </w:rPr>
            </w:pPr>
            <w:r>
              <w:rPr>
                <w:rFonts w:ascii="宋体"/>
                <w:sz w:val="18"/>
              </w:rPr>
              <w:t>2,165.</w:t>
            </w:r>
          </w:p>
          <w:p>
            <w:pPr>
              <w:pStyle w:val="TableParagraph"/>
              <w:spacing w:line="240" w:lineRule="auto" w:before="77"/>
              <w:ind w:right="23"/>
              <w:jc w:val="right"/>
              <w:rPr>
                <w:rFonts w:ascii="宋体" w:hAnsi="宋体" w:cs="宋体" w:eastAsia="宋体" w:hint="default"/>
                <w:sz w:val="18"/>
                <w:szCs w:val="18"/>
              </w:rPr>
            </w:pPr>
            <w:r>
              <w:rPr>
                <w:rFonts w:ascii="宋体"/>
                <w:sz w:val="18"/>
              </w:rPr>
              <w:t>76</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98" w:right="0"/>
              <w:jc w:val="left"/>
              <w:rPr>
                <w:rFonts w:ascii="宋体" w:hAnsi="宋体" w:cs="宋体" w:eastAsia="宋体" w:hint="default"/>
                <w:sz w:val="18"/>
                <w:szCs w:val="18"/>
              </w:rPr>
            </w:pPr>
            <w:r>
              <w:rPr>
                <w:rFonts w:ascii="宋体"/>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10,408,5</w:t>
            </w:r>
          </w:p>
          <w:p>
            <w:pPr>
              <w:pStyle w:val="TableParagraph"/>
              <w:spacing w:line="240" w:lineRule="auto" w:before="76"/>
              <w:ind w:left="330" w:right="0"/>
              <w:jc w:val="left"/>
              <w:rPr>
                <w:rFonts w:ascii="宋体" w:hAnsi="宋体" w:cs="宋体" w:eastAsia="宋体" w:hint="default"/>
                <w:sz w:val="18"/>
                <w:szCs w:val="18"/>
              </w:rPr>
            </w:pPr>
            <w:r>
              <w:rPr>
                <w:rFonts w:ascii="宋体"/>
                <w:sz w:val="18"/>
              </w:rPr>
              <w:t>26.16</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49" w:right="0"/>
              <w:jc w:val="left"/>
              <w:rPr>
                <w:rFonts w:ascii="宋体" w:hAnsi="宋体" w:cs="宋体" w:eastAsia="宋体" w:hint="default"/>
                <w:sz w:val="18"/>
                <w:szCs w:val="18"/>
              </w:rPr>
            </w:pPr>
            <w:r>
              <w:rPr>
                <w:rFonts w:ascii="宋体"/>
                <w:sz w:val="18"/>
              </w:rPr>
              <w:t>7.24%</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sz w:val="18"/>
              </w:rPr>
              <w:t>133,383,6</w:t>
            </w:r>
          </w:p>
          <w:p>
            <w:pPr>
              <w:pStyle w:val="TableParagraph"/>
              <w:spacing w:line="240" w:lineRule="auto" w:before="76"/>
              <w:ind w:left="448" w:right="0"/>
              <w:jc w:val="left"/>
              <w:rPr>
                <w:rFonts w:ascii="宋体" w:hAnsi="宋体" w:cs="宋体" w:eastAsia="宋体" w:hint="default"/>
                <w:sz w:val="18"/>
                <w:szCs w:val="18"/>
              </w:rPr>
            </w:pPr>
            <w:r>
              <w:rPr>
                <w:rFonts w:ascii="宋体"/>
                <w:sz w:val="18"/>
              </w:rPr>
              <w:t>39.60</w:t>
            </w:r>
          </w:p>
        </w:tc>
      </w:tr>
      <w:tr>
        <w:trPr>
          <w:trHeight w:val="391"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318"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期末单项金额重大并单项计提坏账准备的应收账款：</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765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2,630,137.00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2,630,137.00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预计不能收回</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33,146,957.62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30,142,976.42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90.94%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预计不能收回</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35,777,094.62</w:t>
            </w:r>
          </w:p>
        </w:tc>
        <w:tc>
          <w:tcPr>
            <w:tcW w:w="1914"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1"/>
              <w:ind w:right="10"/>
              <w:jc w:val="right"/>
              <w:rPr>
                <w:rFonts w:ascii="宋体" w:hAnsi="宋体" w:cs="宋体" w:eastAsia="宋体" w:hint="default"/>
                <w:sz w:val="18"/>
                <w:szCs w:val="18"/>
              </w:rPr>
            </w:pPr>
            <w:r>
              <w:rPr>
                <w:rFonts w:ascii="宋体"/>
                <w:sz w:val="18"/>
              </w:rPr>
              <w:t>32,773,113.42</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组合中，按账龄分析法计提坏账准备的应收账款：</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192,461,058.48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3,842,204.59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192,461,058.48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3,842,204.59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43,988,306.40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6,599,145.97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15.00%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2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7,251,140.21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3,625,570.10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6,003,424.71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6,003,424.71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3,539,197.67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3,539,197.67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1,574,529.55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1,574,529.55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889,697.49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889,697.49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249,703,929.80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20,070,345.37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8.04%</w:t>
            </w:r>
          </w:p>
        </w:tc>
      </w:tr>
    </w:tbl>
    <w:p>
      <w:pPr>
        <w:spacing w:line="240" w:lineRule="auto" w:before="10"/>
        <w:rPr>
          <w:rFonts w:ascii="宋体" w:hAnsi="宋体" w:cs="宋体" w:eastAsia="宋体" w:hint="default"/>
          <w:sz w:val="8"/>
          <w:szCs w:val="8"/>
        </w:rPr>
      </w:pPr>
    </w:p>
    <w:p>
      <w:pPr>
        <w:pStyle w:val="BodyText"/>
        <w:spacing w:line="434" w:lineRule="auto" w:before="26"/>
        <w:ind w:left="694" w:right="4512"/>
        <w:jc w:val="left"/>
      </w:pPr>
      <w:r>
        <w:rPr/>
        <w:t>确定该组合依据的说明： 以应收账款的账龄为信用风险特征划分组合。 组合中，采用余额百分比法计提坏账准备的应收账款：</w:t>
      </w:r>
    </w:p>
    <w:p>
      <w:pPr>
        <w:pStyle w:val="BodyText"/>
        <w:spacing w:line="434" w:lineRule="auto" w:before="60"/>
        <w:ind w:left="694" w:right="3672"/>
        <w:jc w:val="left"/>
      </w:pPr>
      <w:r>
        <w:rPr/>
        <w:t>□ 适用 √ 不适用 组合中，采用其他方法计提坏账准备的应收账款： 与交易对象关系组合，为关联方</w:t>
      </w:r>
      <w:r>
        <w:rPr>
          <w:spacing w:val="-60"/>
        </w:rPr>
        <w:t> </w:t>
      </w:r>
      <w:r>
        <w:rPr>
          <w:rFonts w:ascii="宋体" w:hAnsi="宋体" w:cs="宋体" w:eastAsia="宋体" w:hint="default"/>
        </w:rPr>
        <w:t>302,843.79</w:t>
      </w:r>
      <w:r>
        <w:rPr>
          <w:rFonts w:ascii="宋体" w:hAnsi="宋体" w:cs="宋体" w:eastAsia="宋体" w:hint="default"/>
          <w:spacing w:val="-60"/>
        </w:rPr>
        <w:t> </w:t>
      </w:r>
      <w:r>
        <w:rPr/>
        <w:t>元，不计提坏账。 </w:t>
      </w:r>
      <w:r>
        <w:rPr>
          <w:rFonts w:ascii="宋体" w:hAnsi="宋体" w:cs="宋体" w:eastAsia="宋体" w:hint="default"/>
        </w:rPr>
        <w:t>2)</w:t>
      </w:r>
      <w:r>
        <w:rPr/>
        <w:t>本期计提、收回或转回的坏账准备情况</w:t>
      </w:r>
    </w:p>
    <w:p>
      <w:pPr>
        <w:pStyle w:val="BodyText"/>
        <w:spacing w:line="360" w:lineRule="auto" w:before="58"/>
        <w:ind w:left="214" w:right="1113" w:firstLine="480"/>
        <w:jc w:val="left"/>
      </w:pPr>
      <w:r>
        <w:rPr/>
        <w:t>本期计提坏账准备金额</w:t>
      </w:r>
      <w:r>
        <w:rPr>
          <w:spacing w:val="-67"/>
        </w:rPr>
        <w:t> </w:t>
      </w:r>
      <w:r>
        <w:rPr>
          <w:rFonts w:ascii="宋体" w:hAnsi="宋体" w:cs="宋体" w:eastAsia="宋体" w:hint="default"/>
        </w:rPr>
        <w:t>44,316,161.98</w:t>
      </w:r>
      <w:r>
        <w:rPr>
          <w:rFonts w:ascii="宋体" w:hAnsi="宋体" w:cs="宋体" w:eastAsia="宋体" w:hint="default"/>
          <w:spacing w:val="-67"/>
        </w:rPr>
        <w:t> </w:t>
      </w:r>
      <w:r>
        <w:rPr/>
        <w:t>元；本期收回或转回坏账准备金额</w:t>
      </w:r>
      <w:r>
        <w:rPr>
          <w:spacing w:val="-67"/>
        </w:rPr>
        <w:t> </w:t>
      </w:r>
      <w:r>
        <w:rPr>
          <w:rFonts w:ascii="宋体" w:hAnsi="宋体" w:cs="宋体" w:eastAsia="宋体" w:hint="default"/>
        </w:rPr>
        <w:t>3,280,108.44 </w:t>
      </w:r>
      <w:r>
        <w:rPr/>
        <w:t>元。</w:t>
      </w:r>
    </w:p>
    <w:p>
      <w:pPr>
        <w:pStyle w:val="BodyText"/>
        <w:spacing w:line="434" w:lineRule="auto" w:before="133"/>
        <w:ind w:left="694" w:right="3912"/>
        <w:jc w:val="left"/>
      </w:pPr>
      <w:r>
        <w:rPr/>
        <w:t>另：本年因合并范围变动增加坏账准备金额</w:t>
      </w:r>
      <w:r>
        <w:rPr>
          <w:spacing w:val="-60"/>
        </w:rPr>
        <w:t> </w:t>
      </w:r>
      <w:r>
        <w:rPr>
          <w:rFonts w:ascii="宋体" w:hAnsi="宋体" w:cs="宋体" w:eastAsia="宋体" w:hint="default"/>
        </w:rPr>
        <w:t>1,398,879.09</w:t>
      </w:r>
      <w:r>
        <w:rPr>
          <w:rFonts w:ascii="宋体" w:hAnsi="宋体" w:cs="宋体" w:eastAsia="宋体" w:hint="default"/>
          <w:spacing w:val="-60"/>
        </w:rPr>
        <w:t> </w:t>
      </w:r>
      <w:r>
        <w:rPr/>
        <w:t>元 </w:t>
      </w:r>
      <w:r>
        <w:rPr>
          <w:rFonts w:ascii="宋体" w:hAnsi="宋体" w:cs="宋体" w:eastAsia="宋体" w:hint="default"/>
        </w:rPr>
        <w:t>3)</w:t>
      </w:r>
      <w:r>
        <w:rPr/>
        <w:t>本期实际核销的应收账款情况</w:t>
      </w:r>
    </w:p>
    <w:p>
      <w:pPr>
        <w:pStyle w:val="BodyText"/>
        <w:spacing w:line="434" w:lineRule="auto" w:before="59"/>
        <w:ind w:left="694" w:right="4992"/>
        <w:jc w:val="left"/>
      </w:pPr>
      <w:r>
        <w:rPr/>
        <w:t>无。 </w:t>
      </w:r>
      <w:r>
        <w:rPr>
          <w:rFonts w:ascii="宋体" w:hAnsi="宋体" w:cs="宋体" w:eastAsia="宋体" w:hint="default"/>
        </w:rPr>
        <w:t>4)</w:t>
      </w:r>
      <w:r>
        <w:rPr/>
        <w:t>按欠款方归集的期末余额前五名的应收账款情况</w:t>
      </w:r>
    </w:p>
    <w:tbl>
      <w:tblPr>
        <w:tblW w:w="0" w:type="auto"/>
        <w:jc w:val="left"/>
        <w:tblInd w:w="101" w:type="dxa"/>
        <w:tblLayout w:type="fixed"/>
        <w:tblCellMar>
          <w:top w:w="0" w:type="dxa"/>
          <w:left w:w="0" w:type="dxa"/>
          <w:bottom w:w="0" w:type="dxa"/>
          <w:right w:w="0" w:type="dxa"/>
        </w:tblCellMar>
        <w:tblLook w:val="01E0"/>
      </w:tblPr>
      <w:tblGrid>
        <w:gridCol w:w="2198"/>
        <w:gridCol w:w="2249"/>
        <w:gridCol w:w="2249"/>
        <w:gridCol w:w="1286"/>
        <w:gridCol w:w="1874"/>
      </w:tblGrid>
      <w:tr>
        <w:trPr>
          <w:trHeight w:val="1338" w:hRule="exact"/>
        </w:trPr>
        <w:tc>
          <w:tcPr>
            <w:tcW w:w="21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2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2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87" w:right="186"/>
              <w:jc w:val="center"/>
              <w:rPr>
                <w:rFonts w:ascii="宋体" w:hAnsi="宋体" w:cs="宋体" w:eastAsia="宋体" w:hint="default"/>
                <w:sz w:val="18"/>
                <w:szCs w:val="18"/>
              </w:rPr>
            </w:pPr>
            <w:r>
              <w:rPr>
                <w:rFonts w:ascii="宋体" w:hAnsi="宋体" w:cs="宋体" w:eastAsia="宋体" w:hint="default"/>
                <w:sz w:val="18"/>
                <w:szCs w:val="18"/>
              </w:rPr>
              <w:t>占应收账款 年末余额合 计数的比例</w:t>
            </w:r>
          </w:p>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w:t>
            </w:r>
          </w:p>
        </w:tc>
        <w:tc>
          <w:tcPr>
            <w:tcW w:w="18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坏账准备年末余额</w:t>
            </w:r>
          </w:p>
        </w:tc>
      </w:tr>
      <w:tr>
        <w:trPr>
          <w:trHeight w:val="322" w:hRule="exact"/>
        </w:trPr>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z w:val="18"/>
                <w:szCs w:val="18"/>
              </w:rPr>
              <w:t>1</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55,000,454.61</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19.25</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1,100,009.09</w:t>
            </w:r>
          </w:p>
        </w:tc>
      </w:tr>
      <w:tr>
        <w:trPr>
          <w:trHeight w:val="322" w:hRule="exact"/>
        </w:trPr>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z w:val="18"/>
                <w:szCs w:val="18"/>
              </w:rPr>
              <w:t>2</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33,390,000.00</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r>
              <w:rPr>
                <w:rFonts w:ascii="宋体" w:hAnsi="宋体" w:cs="宋体" w:eastAsia="宋体" w:hint="default"/>
                <w:sz w:val="18"/>
                <w:szCs w:val="18"/>
              </w:rPr>
              <w:t>1-2</w:t>
            </w:r>
            <w:r>
              <w:rPr>
                <w:rFonts w:ascii="宋体" w:hAnsi="宋体" w:cs="宋体" w:eastAsia="宋体" w:hint="default"/>
                <w:sz w:val="18"/>
                <w:szCs w:val="18"/>
              </w:rPr>
              <w:t>年</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11.68</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3,272,220.00</w:t>
            </w:r>
          </w:p>
        </w:tc>
      </w:tr>
      <w:tr>
        <w:trPr>
          <w:trHeight w:val="323" w:hRule="exact"/>
        </w:trPr>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z w:val="18"/>
                <w:szCs w:val="18"/>
              </w:rPr>
              <w:t>3</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33,146,957.62</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r>
              <w:rPr>
                <w:rFonts w:ascii="宋体" w:hAnsi="宋体" w:cs="宋体" w:eastAsia="宋体" w:hint="default"/>
                <w:sz w:val="18"/>
                <w:szCs w:val="18"/>
              </w:rPr>
              <w:t>1-2</w:t>
            </w:r>
            <w:r>
              <w:rPr>
                <w:rFonts w:ascii="宋体" w:hAnsi="宋体" w:cs="宋体" w:eastAsia="宋体" w:hint="default"/>
                <w:sz w:val="18"/>
                <w:szCs w:val="18"/>
              </w:rPr>
              <w:t>年</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11.60</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30,142,976.42</w:t>
            </w:r>
          </w:p>
        </w:tc>
      </w:tr>
      <w:tr>
        <w:trPr>
          <w:trHeight w:val="322" w:hRule="exact"/>
        </w:trPr>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z w:val="18"/>
                <w:szCs w:val="18"/>
              </w:rPr>
              <w:t>4</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11,482,397.42</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4.02</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229,647.96</w:t>
            </w:r>
          </w:p>
        </w:tc>
      </w:tr>
      <w:tr>
        <w:trPr>
          <w:trHeight w:val="322" w:hRule="exact"/>
        </w:trPr>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z w:val="18"/>
                <w:szCs w:val="18"/>
              </w:rPr>
              <w:t>5</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10,339,269.07</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3.62</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206,785.38</w:t>
            </w:r>
          </w:p>
        </w:tc>
      </w:tr>
      <w:tr>
        <w:trPr>
          <w:trHeight w:val="323" w:hRule="exact"/>
        </w:trPr>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143,359,078.72</w:t>
            </w:r>
          </w:p>
        </w:tc>
        <w:tc>
          <w:tcPr>
            <w:tcW w:w="2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50.17</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34,951,638.85</w:t>
            </w:r>
          </w:p>
        </w:tc>
      </w:tr>
    </w:tbl>
    <w:p>
      <w:pPr>
        <w:spacing w:line="240" w:lineRule="auto" w:before="3"/>
        <w:rPr>
          <w:rFonts w:ascii="宋体" w:hAnsi="宋体" w:cs="宋体" w:eastAsia="宋体" w:hint="default"/>
          <w:sz w:val="10"/>
          <w:szCs w:val="10"/>
        </w:rPr>
      </w:pPr>
    </w:p>
    <w:p>
      <w:pPr>
        <w:pStyle w:val="BodyText"/>
        <w:spacing w:line="240" w:lineRule="auto" w:before="26"/>
        <w:ind w:left="814" w:right="1120"/>
        <w:jc w:val="left"/>
      </w:pPr>
      <w:r>
        <w:rPr/>
        <w:t>截止本报告出具之日，上述前五名应收账款已收回</w:t>
      </w:r>
      <w:r>
        <w:rPr>
          <w:spacing w:val="-60"/>
        </w:rPr>
        <w:t> </w:t>
      </w:r>
      <w:r>
        <w:rPr>
          <w:rFonts w:ascii="宋体" w:hAnsi="宋体" w:cs="宋体" w:eastAsia="宋体" w:hint="default"/>
        </w:rPr>
        <w:t>33,503,353.97</w:t>
      </w:r>
      <w:r>
        <w:rPr>
          <w:rFonts w:ascii="宋体" w:hAnsi="宋体" w:cs="宋体" w:eastAsia="宋体" w:hint="default"/>
          <w:spacing w:val="-60"/>
        </w:rPr>
        <w:t> </w:t>
      </w:r>
      <w:r>
        <w:rPr/>
        <w:t>元。</w:t>
      </w:r>
    </w:p>
    <w:p>
      <w:pPr>
        <w:spacing w:after="0" w:line="240" w:lineRule="auto"/>
        <w:jc w:val="left"/>
        <w:sectPr>
          <w:pgSz w:w="11910" w:h="16840"/>
          <w:pgMar w:header="877" w:footer="979" w:top="1100" w:bottom="1160" w:left="920" w:right="0"/>
        </w:sectPr>
      </w:pPr>
    </w:p>
    <w:p>
      <w:pPr>
        <w:spacing w:line="240" w:lineRule="auto" w:before="9"/>
        <w:rPr>
          <w:rFonts w:ascii="宋体" w:hAnsi="宋体" w:cs="宋体" w:eastAsia="宋体" w:hint="default"/>
          <w:sz w:val="25"/>
          <w:szCs w:val="25"/>
        </w:rPr>
      </w:pPr>
    </w:p>
    <w:p>
      <w:pPr>
        <w:pStyle w:val="BodyText"/>
        <w:spacing w:line="434" w:lineRule="auto" w:before="26"/>
        <w:ind w:left="694" w:right="5952"/>
        <w:jc w:val="left"/>
      </w:pPr>
      <w:r>
        <w:rPr>
          <w:rFonts w:ascii="宋体" w:hAnsi="宋体" w:cs="宋体" w:eastAsia="宋体" w:hint="default"/>
        </w:rPr>
        <w:t>5)</w:t>
      </w:r>
      <w:r>
        <w:rPr/>
        <w:t>因金融资产转移而终止确认的应收账款 无。</w:t>
      </w:r>
    </w:p>
    <w:p>
      <w:pPr>
        <w:pStyle w:val="BodyText"/>
        <w:spacing w:line="434" w:lineRule="auto" w:before="60"/>
        <w:ind w:left="694" w:right="4992"/>
        <w:jc w:val="left"/>
      </w:pPr>
      <w:r>
        <w:rPr>
          <w:rFonts w:ascii="宋体" w:hAnsi="宋体" w:cs="宋体" w:eastAsia="宋体" w:hint="default"/>
        </w:rPr>
        <w:t>6)</w:t>
      </w:r>
      <w:r>
        <w:rPr/>
        <w:t>转移应收账款且继续涉入形成的资产、负债金额 无。</w:t>
      </w:r>
    </w:p>
    <w:p>
      <w:pPr>
        <w:spacing w:before="203"/>
        <w:ind w:left="214" w:right="1120" w:firstLine="0"/>
        <w:jc w:val="left"/>
        <w:rPr>
          <w:rFonts w:ascii="宋体" w:hAnsi="宋体" w:cs="宋体" w:eastAsia="宋体" w:hint="default"/>
          <w:sz w:val="21"/>
          <w:szCs w:val="21"/>
        </w:rPr>
      </w:pPr>
      <w:bookmarkStart w:name="5、预付款项" w:id="231"/>
      <w:bookmarkEnd w:id="231"/>
      <w:r>
        <w:rPr/>
      </w:r>
      <w:r>
        <w:rPr>
          <w:rFonts w:ascii="宋体" w:hAnsi="宋体" w:cs="宋体" w:eastAsia="宋体" w:hint="default"/>
          <w:b/>
          <w:bCs/>
          <w:sz w:val="21"/>
          <w:szCs w:val="21"/>
        </w:rPr>
        <w:t>5</w:t>
      </w:r>
      <w:r>
        <w:rPr>
          <w:rFonts w:ascii="宋体" w:hAnsi="宋体" w:cs="宋体" w:eastAsia="宋体" w:hint="default"/>
          <w:b/>
          <w:bCs/>
          <w:sz w:val="21"/>
          <w:szCs w:val="21"/>
        </w:rPr>
        <w:t>、预付款项</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214" w:right="1120" w:firstLine="0"/>
        <w:jc w:val="left"/>
        <w:rPr>
          <w:rFonts w:ascii="宋体" w:hAnsi="宋体" w:cs="宋体" w:eastAsia="宋体" w:hint="default"/>
          <w:sz w:val="21"/>
          <w:szCs w:val="21"/>
        </w:rPr>
      </w:pPr>
      <w:bookmarkStart w:name="（1）预付款项按账龄列示" w:id="232"/>
      <w:bookmarkEnd w:id="232"/>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220" w:type="dxa"/>
        <w:tblLayout w:type="fixed"/>
        <w:tblCellMar>
          <w:top w:w="0" w:type="dxa"/>
          <w:left w:w="0" w:type="dxa"/>
          <w:bottom w:w="0" w:type="dxa"/>
          <w:right w:w="0" w:type="dxa"/>
        </w:tblCellMar>
        <w:tblLook w:val="01E0"/>
      </w:tblPr>
      <w:tblGrid>
        <w:gridCol w:w="1889"/>
        <w:gridCol w:w="1927"/>
        <w:gridCol w:w="1914"/>
        <w:gridCol w:w="1914"/>
        <w:gridCol w:w="1915"/>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5"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162,675,375.39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75.20%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58,901,820.54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90.06%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52,850,001.47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24.43%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6,428,257.24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9.83%</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771,267.53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0.35%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39,894.74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0.02%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70,894.74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0.11%</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52"/>
              <w:ind w:right="9"/>
              <w:jc w:val="right"/>
              <w:rPr>
                <w:rFonts w:ascii="宋体" w:hAnsi="宋体" w:cs="宋体" w:eastAsia="宋体" w:hint="default"/>
                <w:sz w:val="18"/>
                <w:szCs w:val="18"/>
              </w:rPr>
            </w:pPr>
            <w:r>
              <w:rPr>
                <w:rFonts w:ascii="宋体"/>
                <w:sz w:val="18"/>
              </w:rPr>
              <w:t>216,336,539.13</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sz w:val="18"/>
              </w:rPr>
              <w:t>--</w:t>
            </w:r>
          </w:p>
        </w:tc>
        <w:tc>
          <w:tcPr>
            <w:tcW w:w="19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65,400,972.52</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r>
    </w:tbl>
    <w:p>
      <w:pPr>
        <w:spacing w:line="240" w:lineRule="auto" w:before="3"/>
        <w:rPr>
          <w:rFonts w:ascii="宋体" w:hAnsi="宋体" w:cs="宋体" w:eastAsia="宋体" w:hint="default"/>
          <w:sz w:val="19"/>
          <w:szCs w:val="19"/>
        </w:rPr>
      </w:pPr>
    </w:p>
    <w:p>
      <w:pPr>
        <w:spacing w:before="35"/>
        <w:ind w:left="214" w:right="1120" w:firstLine="0"/>
        <w:jc w:val="left"/>
        <w:rPr>
          <w:rFonts w:ascii="宋体" w:hAnsi="宋体" w:cs="宋体" w:eastAsia="宋体" w:hint="default"/>
          <w:sz w:val="21"/>
          <w:szCs w:val="21"/>
        </w:rPr>
      </w:pPr>
      <w:bookmarkStart w:name="（2）按预付对象归集的期末余额前五名的预付款情况" w:id="233"/>
      <w:bookmarkEnd w:id="233"/>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）按预付对象归集的期末余额前五名的预付款情况</w:t>
      </w:r>
      <w:r>
        <w:rPr>
          <w:rFonts w:ascii="宋体" w:hAnsi="宋体" w:cs="宋体" w:eastAsia="宋体" w:hint="default"/>
          <w:sz w:val="21"/>
          <w:szCs w:val="21"/>
        </w:rPr>
      </w:r>
    </w:p>
    <w:p>
      <w:pPr>
        <w:spacing w:line="240" w:lineRule="auto" w:before="12"/>
        <w:rPr>
          <w:rFonts w:ascii="宋体" w:hAnsi="宋体" w:cs="宋体" w:eastAsia="宋体" w:hint="default"/>
          <w:b/>
          <w:bCs/>
          <w:sz w:val="26"/>
          <w:szCs w:val="26"/>
        </w:rPr>
      </w:pPr>
    </w:p>
    <w:tbl>
      <w:tblPr>
        <w:tblW w:w="0" w:type="auto"/>
        <w:jc w:val="left"/>
        <w:tblInd w:w="101" w:type="dxa"/>
        <w:tblLayout w:type="fixed"/>
        <w:tblCellMar>
          <w:top w:w="0" w:type="dxa"/>
          <w:left w:w="0" w:type="dxa"/>
          <w:bottom w:w="0" w:type="dxa"/>
          <w:right w:w="0" w:type="dxa"/>
        </w:tblCellMar>
        <w:tblLook w:val="01E0"/>
      </w:tblPr>
      <w:tblGrid>
        <w:gridCol w:w="3296"/>
        <w:gridCol w:w="1796"/>
        <w:gridCol w:w="1957"/>
        <w:gridCol w:w="1632"/>
        <w:gridCol w:w="1175"/>
      </w:tblGrid>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32"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6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584" w:right="180" w:hanging="405"/>
              <w:jc w:val="left"/>
              <w:rPr>
                <w:rFonts w:ascii="Times New Roman" w:hAnsi="Times New Roman" w:cs="Times New Roman" w:eastAsia="Times New Roman" w:hint="default"/>
                <w:sz w:val="18"/>
                <w:szCs w:val="18"/>
              </w:rPr>
            </w:pPr>
            <w:r>
              <w:rPr>
                <w:rFonts w:ascii="宋体" w:hAnsi="宋体" w:cs="宋体" w:eastAsia="宋体" w:hint="default"/>
                <w:sz w:val="18"/>
                <w:szCs w:val="18"/>
              </w:rPr>
              <w:t>占年末余额的比 例</w:t>
            </w:r>
            <w:r>
              <w:rPr>
                <w:rFonts w:ascii="Times New Roman" w:hAnsi="Times New Roman" w:cs="Times New Roman" w:eastAsia="Times New Roman" w:hint="default"/>
                <w:sz w:val="18"/>
                <w:szCs w:val="18"/>
              </w:rPr>
              <w:t>(%)</w:t>
            </w:r>
          </w:p>
        </w:tc>
        <w:tc>
          <w:tcPr>
            <w:tcW w:w="11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310" w:right="132" w:hanging="180"/>
              <w:jc w:val="left"/>
              <w:rPr>
                <w:rFonts w:ascii="宋体" w:hAnsi="宋体" w:cs="宋体" w:eastAsia="宋体" w:hint="default"/>
                <w:sz w:val="18"/>
                <w:szCs w:val="18"/>
              </w:rPr>
            </w:pPr>
            <w:r>
              <w:rPr>
                <w:rFonts w:ascii="宋体" w:hAnsi="宋体" w:cs="宋体" w:eastAsia="宋体" w:hint="default"/>
                <w:sz w:val="18"/>
                <w:szCs w:val="18"/>
              </w:rPr>
              <w:t>坏账准备年 末余额</w:t>
            </w: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22,300,000.00</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r>
              <w:rPr>
                <w:rFonts w:ascii="宋体" w:hAnsi="宋体" w:cs="宋体" w:eastAsia="宋体" w:hint="default"/>
                <w:sz w:val="18"/>
                <w:szCs w:val="18"/>
              </w:rPr>
              <w:t>1-2</w:t>
            </w:r>
            <w:r>
              <w:rPr>
                <w:rFonts w:ascii="宋体" w:hAnsi="宋体" w:cs="宋体" w:eastAsia="宋体" w:hint="default"/>
                <w:sz w:val="18"/>
                <w:szCs w:val="18"/>
              </w:rPr>
              <w:t>年</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9.53</w:t>
            </w:r>
          </w:p>
        </w:tc>
        <w:tc>
          <w:tcPr>
            <w:tcW w:w="117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10,000,000.00</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4.27</w:t>
            </w:r>
          </w:p>
        </w:tc>
        <w:tc>
          <w:tcPr>
            <w:tcW w:w="117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10,000,000.00</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4.27</w:t>
            </w:r>
          </w:p>
        </w:tc>
        <w:tc>
          <w:tcPr>
            <w:tcW w:w="117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8,000,000.00</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z w:val="18"/>
                <w:szCs w:val="18"/>
              </w:rPr>
              <w:t>年</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3.42</w:t>
            </w:r>
          </w:p>
        </w:tc>
        <w:tc>
          <w:tcPr>
            <w:tcW w:w="117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8,000,000.00</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z w:val="18"/>
                <w:szCs w:val="18"/>
              </w:rPr>
              <w:t>年</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3.42</w:t>
            </w:r>
          </w:p>
        </w:tc>
        <w:tc>
          <w:tcPr>
            <w:tcW w:w="117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58,300,000.00</w:t>
            </w:r>
          </w:p>
        </w:tc>
        <w:tc>
          <w:tcPr>
            <w:tcW w:w="1957" w:type="dxa"/>
            <w:tcBorders>
              <w:top w:val="single" w:sz="4" w:space="0" w:color="000000"/>
              <w:left w:val="single" w:sz="4" w:space="0" w:color="000000"/>
              <w:bottom w:val="single" w:sz="4" w:space="0" w:color="000000"/>
              <w:right w:val="single" w:sz="4" w:space="0" w:color="000000"/>
            </w:tcBorders>
          </w:tcPr>
          <w:p>
            <w:pP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24.91</w:t>
            </w:r>
          </w:p>
        </w:tc>
        <w:tc>
          <w:tcPr>
            <w:tcW w:w="117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b/>
          <w:bCs/>
          <w:sz w:val="8"/>
          <w:szCs w:val="8"/>
        </w:rPr>
      </w:pPr>
    </w:p>
    <w:p>
      <w:pPr>
        <w:pStyle w:val="BodyText"/>
        <w:spacing w:line="240" w:lineRule="auto" w:before="26"/>
        <w:ind w:left="694" w:right="1120"/>
        <w:jc w:val="left"/>
      </w:pPr>
      <w:r>
        <w:rPr/>
        <w:t>单项金额重大并单独计提坏账的预付账款：</w:t>
      </w:r>
    </w:p>
    <w:p>
      <w:pPr>
        <w:spacing w:line="240" w:lineRule="auto" w:before="4"/>
        <w:rPr>
          <w:rFonts w:ascii="宋体" w:hAnsi="宋体" w:cs="宋体" w:eastAsia="宋体"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3011"/>
        <w:gridCol w:w="2236"/>
        <w:gridCol w:w="2237"/>
        <w:gridCol w:w="2371"/>
      </w:tblGrid>
      <w:tr>
        <w:trPr>
          <w:trHeight w:val="402" w:hRule="exact"/>
        </w:trPr>
        <w:tc>
          <w:tcPr>
            <w:tcW w:w="301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684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年末余额</w:t>
            </w:r>
          </w:p>
        </w:tc>
      </w:tr>
      <w:tr>
        <w:trPr>
          <w:trHeight w:val="402" w:hRule="exact"/>
        </w:trPr>
        <w:tc>
          <w:tcPr>
            <w:tcW w:w="3011" w:type="dxa"/>
            <w:vMerge/>
            <w:tcBorders>
              <w:left w:val="single" w:sz="4" w:space="0" w:color="000000"/>
              <w:bottom w:val="single" w:sz="4" w:space="0" w:color="000000"/>
              <w:right w:val="single" w:sz="4" w:space="0" w:color="000000"/>
            </w:tcBorders>
            <w:shd w:val="clear" w:color="auto" w:fill="D9D9D9"/>
          </w:tcPr>
          <w:p>
            <w:pPr/>
          </w:p>
        </w:tc>
        <w:tc>
          <w:tcPr>
            <w:tcW w:w="22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预付账款</w:t>
            </w:r>
          </w:p>
        </w:tc>
        <w:tc>
          <w:tcPr>
            <w:tcW w:w="22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5"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6,660,377.20</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6,660,377.20</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3,378,640.79</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3,378,640.79</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2,075,471.64</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2,075,471.64</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100" w:bottom="1160" w:left="920" w:right="0"/>
        </w:sectPr>
      </w:pPr>
    </w:p>
    <w:p>
      <w:pPr>
        <w:spacing w:line="240" w:lineRule="auto" w:before="6"/>
        <w:rPr>
          <w:rFonts w:ascii="宋体" w:hAnsi="宋体" w:cs="宋体" w:eastAsia="宋体" w:hint="default"/>
          <w:sz w:val="24"/>
          <w:szCs w:val="24"/>
        </w:rPr>
      </w:pPr>
    </w:p>
    <w:tbl>
      <w:tblPr>
        <w:tblW w:w="0" w:type="auto"/>
        <w:jc w:val="left"/>
        <w:tblInd w:w="101" w:type="dxa"/>
        <w:tblLayout w:type="fixed"/>
        <w:tblCellMar>
          <w:top w:w="0" w:type="dxa"/>
          <w:left w:w="0" w:type="dxa"/>
          <w:bottom w:w="0" w:type="dxa"/>
          <w:right w:w="0" w:type="dxa"/>
        </w:tblCellMar>
        <w:tblLook w:val="01E0"/>
      </w:tblPr>
      <w:tblGrid>
        <w:gridCol w:w="3011"/>
        <w:gridCol w:w="2236"/>
        <w:gridCol w:w="2237"/>
        <w:gridCol w:w="2371"/>
      </w:tblGrid>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1,886,792.38</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1,886,792.38</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1,412,995.44</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1,412,995.44</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754,716.95</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754,716.95</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566,037.72</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566,037.72</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471,698.22</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471,698.22</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396,226.30</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396,226.30</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0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17,602,956.64</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17,602,956.64</w:t>
            </w:r>
          </w:p>
        </w:tc>
        <w:tc>
          <w:tcPr>
            <w:tcW w:w="237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357" w:lineRule="auto" w:before="26"/>
        <w:ind w:left="214" w:right="1139" w:firstLine="480"/>
        <w:jc w:val="both"/>
      </w:pPr>
      <w:r>
        <w:rPr/>
        <w:t>单项金额重大并单项计提坏账准备的预付账款系本年受游戏行业调控政策影响，本集团 游戏项目开发及推广处于停滞状态，本集团判断原在预付账款中核算之预付游戏版权金及分 成款，款项无法收回的风险较大，为了及时止损，本公司对游戏项目进行逐项判断，对收回 风险较大之预付版权金及分成款于年末对其进行个别认定计提坏账准备。</w:t>
      </w:r>
    </w:p>
    <w:p>
      <w:pPr>
        <w:spacing w:line="240" w:lineRule="auto" w:before="5"/>
        <w:rPr>
          <w:rFonts w:ascii="宋体" w:hAnsi="宋体" w:cs="宋体" w:eastAsia="宋体" w:hint="default"/>
          <w:sz w:val="21"/>
          <w:szCs w:val="21"/>
        </w:rPr>
      </w:pPr>
    </w:p>
    <w:p>
      <w:pPr>
        <w:spacing w:before="0"/>
        <w:ind w:left="214" w:right="1120" w:firstLine="0"/>
        <w:jc w:val="left"/>
        <w:rPr>
          <w:rFonts w:ascii="宋体" w:hAnsi="宋体" w:cs="宋体" w:eastAsia="宋体" w:hint="default"/>
          <w:sz w:val="21"/>
          <w:szCs w:val="21"/>
        </w:rPr>
      </w:pPr>
      <w:bookmarkStart w:name="6、其他应收款" w:id="234"/>
      <w:bookmarkEnd w:id="234"/>
      <w:r>
        <w:rPr/>
      </w:r>
      <w:r>
        <w:rPr>
          <w:rFonts w:ascii="宋体" w:hAnsi="宋体" w:cs="宋体" w:eastAsia="宋体" w:hint="default"/>
          <w:b/>
          <w:bCs/>
          <w:sz w:val="21"/>
          <w:szCs w:val="21"/>
        </w:rPr>
        <w:t>6</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22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126,433,272.75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14,846,995.32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126,433,272.75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14,846,995.32</w:t>
            </w:r>
          </w:p>
        </w:tc>
      </w:tr>
    </w:tbl>
    <w:p>
      <w:pPr>
        <w:spacing w:line="240" w:lineRule="auto" w:before="2"/>
        <w:rPr>
          <w:rFonts w:ascii="宋体" w:hAnsi="宋体" w:cs="宋体" w:eastAsia="宋体" w:hint="default"/>
          <w:sz w:val="19"/>
          <w:szCs w:val="19"/>
        </w:rPr>
      </w:pPr>
    </w:p>
    <w:p>
      <w:pPr>
        <w:spacing w:before="35"/>
        <w:ind w:left="194" w:right="9380" w:firstLine="0"/>
        <w:jc w:val="center"/>
        <w:rPr>
          <w:rFonts w:ascii="宋体" w:hAnsi="宋体" w:cs="宋体" w:eastAsia="宋体" w:hint="default"/>
          <w:sz w:val="21"/>
          <w:szCs w:val="21"/>
        </w:rPr>
      </w:pPr>
      <w:bookmarkStart w:name="（1）应收利息" w:id="235"/>
      <w:bookmarkEnd w:id="235"/>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）应收利息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94" w:right="9310"/>
        <w:jc w:val="center"/>
      </w:pPr>
      <w:r>
        <w:rPr/>
        <w:t>无。</w:t>
      </w:r>
    </w:p>
    <w:p>
      <w:pPr>
        <w:spacing w:line="240" w:lineRule="auto" w:before="6"/>
        <w:rPr>
          <w:rFonts w:ascii="宋体" w:hAnsi="宋体" w:cs="宋体" w:eastAsia="宋体" w:hint="default"/>
          <w:sz w:val="30"/>
          <w:szCs w:val="30"/>
        </w:rPr>
      </w:pPr>
    </w:p>
    <w:p>
      <w:pPr>
        <w:spacing w:before="0"/>
        <w:ind w:left="194" w:right="9380" w:firstLine="0"/>
        <w:jc w:val="center"/>
        <w:rPr>
          <w:rFonts w:ascii="宋体" w:hAnsi="宋体" w:cs="宋体" w:eastAsia="宋体" w:hint="default"/>
          <w:sz w:val="21"/>
          <w:szCs w:val="21"/>
        </w:rPr>
      </w:pPr>
      <w:bookmarkStart w:name="（2）应收股利" w:id="236"/>
      <w:bookmarkEnd w:id="236"/>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）应收股利</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94" w:right="9310"/>
        <w:jc w:val="center"/>
      </w:pPr>
      <w:r>
        <w:rPr/>
        <w:t>无。</w:t>
      </w:r>
    </w:p>
    <w:p>
      <w:pPr>
        <w:spacing w:line="240" w:lineRule="auto" w:before="5"/>
        <w:rPr>
          <w:rFonts w:ascii="宋体" w:hAnsi="宋体" w:cs="宋体" w:eastAsia="宋体" w:hint="default"/>
          <w:sz w:val="30"/>
          <w:szCs w:val="30"/>
        </w:rPr>
      </w:pPr>
    </w:p>
    <w:p>
      <w:pPr>
        <w:spacing w:before="0"/>
        <w:ind w:left="214" w:right="1120" w:firstLine="0"/>
        <w:jc w:val="left"/>
        <w:rPr>
          <w:rFonts w:ascii="宋体" w:hAnsi="宋体" w:cs="宋体" w:eastAsia="宋体" w:hint="default"/>
          <w:sz w:val="21"/>
          <w:szCs w:val="21"/>
        </w:rPr>
      </w:pPr>
      <w:bookmarkStart w:name="（3）其他应收款" w:id="237"/>
      <w:bookmarkEnd w:id="237"/>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94" w:right="1120"/>
        <w:jc w:val="left"/>
      </w:pPr>
      <w:r>
        <w:rPr>
          <w:rFonts w:ascii="宋体" w:hAnsi="宋体" w:cs="宋体" w:eastAsia="宋体" w:hint="default"/>
        </w:rPr>
        <w:t>1)</w:t>
      </w:r>
      <w:r>
        <w:rPr/>
        <w:t>其他应收款分类披露</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209" w:type="dxa"/>
        <w:tblLayout w:type="fixed"/>
        <w:tblCellMar>
          <w:top w:w="0" w:type="dxa"/>
          <w:left w:w="0" w:type="dxa"/>
          <w:bottom w:w="0" w:type="dxa"/>
          <w:right w:w="0" w:type="dxa"/>
        </w:tblCellMar>
        <w:tblLook w:val="01E0"/>
      </w:tblPr>
      <w:tblGrid>
        <w:gridCol w:w="1646"/>
        <w:gridCol w:w="752"/>
        <w:gridCol w:w="762"/>
        <w:gridCol w:w="774"/>
        <w:gridCol w:w="739"/>
        <w:gridCol w:w="800"/>
        <w:gridCol w:w="655"/>
        <w:gridCol w:w="762"/>
        <w:gridCol w:w="813"/>
        <w:gridCol w:w="932"/>
        <w:gridCol w:w="932"/>
      </w:tblGrid>
      <w:tr>
        <w:trPr>
          <w:trHeight w:val="403" w:hRule="exact"/>
        </w:trPr>
        <w:tc>
          <w:tcPr>
            <w:tcW w:w="1646" w:type="dxa"/>
            <w:vMerge w:val="restart"/>
            <w:tcBorders>
              <w:top w:val="single" w:sz="4" w:space="0" w:color="000000"/>
              <w:left w:val="single" w:sz="4" w:space="0" w:color="000000"/>
              <w:right w:val="single" w:sz="4" w:space="0" w:color="000000"/>
            </w:tcBorders>
            <w:shd w:val="clear" w:color="auto" w:fill="D2D2D2"/>
          </w:tcPr>
          <w:p>
            <w:pPr/>
          </w:p>
        </w:tc>
        <w:tc>
          <w:tcPr>
            <w:tcW w:w="3827"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1" w:hRule="exact"/>
        </w:trPr>
        <w:tc>
          <w:tcPr>
            <w:tcW w:w="1646" w:type="dxa"/>
            <w:vMerge/>
            <w:tcBorders>
              <w:left w:val="single" w:sz="4" w:space="0" w:color="000000"/>
              <w:bottom w:val="nil" w:sz="6" w:space="0" w:color="auto"/>
              <w:right w:val="single" w:sz="4" w:space="0" w:color="000000"/>
            </w:tcBorders>
            <w:shd w:val="clear" w:color="auto" w:fill="D2D2D2"/>
          </w:tcPr>
          <w:p>
            <w:pPr/>
          </w:p>
        </w:tc>
        <w:tc>
          <w:tcPr>
            <w:tcW w:w="151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8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1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800" w:type="dxa"/>
            <w:vMerge w:val="restart"/>
            <w:tcBorders>
              <w:top w:val="single" w:sz="4" w:space="0" w:color="000000"/>
              <w:left w:val="single" w:sz="4" w:space="0" w:color="000000"/>
              <w:right w:val="single" w:sz="4" w:space="0" w:color="000000"/>
            </w:tcBorders>
            <w:shd w:val="clear" w:color="auto" w:fill="D2D2D2"/>
          </w:tcPr>
          <w:p>
            <w:pPr/>
          </w:p>
        </w:tc>
        <w:tc>
          <w:tcPr>
            <w:tcW w:w="141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14" w:type="dxa"/>
            <w:gridSpan w:val="2"/>
            <w:vMerge/>
            <w:tcBorders>
              <w:left w:val="single" w:sz="4" w:space="0" w:color="000000"/>
              <w:bottom w:val="single" w:sz="4" w:space="0" w:color="000000"/>
              <w:right w:val="single" w:sz="4" w:space="0" w:color="000000"/>
            </w:tcBorders>
            <w:shd w:val="clear" w:color="auto" w:fill="D2D2D2"/>
          </w:tcPr>
          <w:p>
            <w:pPr/>
          </w:p>
        </w:tc>
        <w:tc>
          <w:tcPr>
            <w:tcW w:w="1513" w:type="dxa"/>
            <w:gridSpan w:val="2"/>
            <w:vMerge/>
            <w:tcBorders>
              <w:left w:val="single" w:sz="4" w:space="0" w:color="000000"/>
              <w:bottom w:val="single" w:sz="4" w:space="0" w:color="000000"/>
              <w:right w:val="single" w:sz="4" w:space="0" w:color="000000"/>
            </w:tcBorders>
            <w:shd w:val="clear" w:color="auto" w:fill="D2D2D2"/>
          </w:tcPr>
          <w:p>
            <w:pPr/>
          </w:p>
        </w:tc>
        <w:tc>
          <w:tcPr>
            <w:tcW w:w="800" w:type="dxa"/>
            <w:vMerge/>
            <w:tcBorders>
              <w:left w:val="single" w:sz="4" w:space="0" w:color="000000"/>
              <w:bottom w:val="nil" w:sz="6" w:space="0" w:color="auto"/>
              <w:right w:val="single" w:sz="4" w:space="0" w:color="000000"/>
            </w:tcBorders>
            <w:shd w:val="clear" w:color="auto" w:fill="D2D2D2"/>
          </w:tcPr>
          <w:p>
            <w:pPr/>
          </w:p>
        </w:tc>
        <w:tc>
          <w:tcPr>
            <w:tcW w:w="1417"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46" w:type="dxa"/>
            <w:vMerge/>
            <w:tcBorders>
              <w:left w:val="single" w:sz="4" w:space="0" w:color="000000"/>
              <w:bottom w:val="single" w:sz="4" w:space="0" w:color="FFFFFF"/>
              <w:right w:val="single" w:sz="4" w:space="0" w:color="000000"/>
            </w:tcBorders>
            <w:shd w:val="clear" w:color="auto" w:fill="D2D2D2"/>
          </w:tcPr>
          <w:p>
            <w:pPr/>
          </w:p>
        </w:tc>
        <w:tc>
          <w:tcPr>
            <w:tcW w:w="75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3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74" w:right="9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8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4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46" w:type="dxa"/>
            <w:vMerge w:val="restart"/>
            <w:tcBorders>
              <w:top w:val="single" w:sz="4" w:space="0" w:color="FFFFFF"/>
              <w:left w:val="single" w:sz="4" w:space="0" w:color="000000"/>
              <w:right w:val="single" w:sz="4" w:space="0" w:color="000000"/>
            </w:tcBorders>
            <w:shd w:val="clear" w:color="auto" w:fill="D2D2D2"/>
          </w:tcPr>
          <w:p>
            <w:pPr/>
          </w:p>
        </w:tc>
        <w:tc>
          <w:tcPr>
            <w:tcW w:w="75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8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39" w:type="dxa"/>
            <w:vMerge/>
            <w:tcBorders>
              <w:left w:val="single" w:sz="4" w:space="0" w:color="000000"/>
              <w:right w:val="single" w:sz="4" w:space="0" w:color="000000"/>
            </w:tcBorders>
            <w:shd w:val="clear" w:color="auto" w:fill="D2D2D2"/>
          </w:tcPr>
          <w:p>
            <w:pPr/>
          </w:p>
        </w:tc>
        <w:tc>
          <w:tcPr>
            <w:tcW w:w="800"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4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46" w:type="dxa"/>
            <w:vMerge/>
            <w:tcBorders>
              <w:left w:val="single" w:sz="4" w:space="0" w:color="000000"/>
              <w:right w:val="single" w:sz="4" w:space="0" w:color="000000"/>
            </w:tcBorders>
            <w:shd w:val="clear" w:color="auto" w:fill="D2D2D2"/>
          </w:tcPr>
          <w:p>
            <w:pPr/>
          </w:p>
        </w:tc>
        <w:tc>
          <w:tcPr>
            <w:tcW w:w="75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800"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46" w:type="dxa"/>
            <w:vMerge/>
            <w:tcBorders>
              <w:left w:val="single" w:sz="4" w:space="0" w:color="000000"/>
              <w:bottom w:val="single" w:sz="4" w:space="0" w:color="000000"/>
              <w:right w:val="single" w:sz="4" w:space="0" w:color="000000"/>
            </w:tcBorders>
            <w:shd w:val="clear" w:color="auto" w:fill="D2D2D2"/>
          </w:tcPr>
          <w:p>
            <w:pPr/>
          </w:p>
        </w:tc>
        <w:tc>
          <w:tcPr>
            <w:tcW w:w="75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9" w:type="dxa"/>
            <w:vMerge/>
            <w:tcBorders>
              <w:left w:val="single" w:sz="4" w:space="0" w:color="000000"/>
              <w:bottom w:val="single" w:sz="4" w:space="0" w:color="000000"/>
              <w:right w:val="single" w:sz="4" w:space="0" w:color="000000"/>
            </w:tcBorders>
            <w:shd w:val="clear" w:color="auto" w:fill="D2D2D2"/>
          </w:tcPr>
          <w:p>
            <w:pPr/>
          </w:p>
        </w:tc>
        <w:tc>
          <w:tcPr>
            <w:tcW w:w="800"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w:t>
            </w:r>
          </w:p>
        </w:tc>
        <w:tc>
          <w:tcPr>
            <w:tcW w:w="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1"/>
              <w:ind w:left="76" w:right="0"/>
              <w:jc w:val="left"/>
              <w:rPr>
                <w:rFonts w:ascii="宋体" w:hAnsi="宋体" w:cs="宋体" w:eastAsia="宋体" w:hint="default"/>
                <w:sz w:val="18"/>
                <w:szCs w:val="18"/>
              </w:rPr>
            </w:pPr>
            <w:r>
              <w:rPr>
                <w:rFonts w:ascii="宋体"/>
                <w:sz w:val="18"/>
              </w:rPr>
              <w:t>4,680,0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78" w:right="0"/>
              <w:jc w:val="left"/>
              <w:rPr>
                <w:rFonts w:ascii="宋体" w:hAnsi="宋体" w:cs="宋体" w:eastAsia="宋体" w:hint="default"/>
                <w:sz w:val="18"/>
                <w:szCs w:val="18"/>
              </w:rPr>
            </w:pPr>
            <w:r>
              <w:rPr>
                <w:rFonts w:ascii="宋体"/>
                <w:sz w:val="18"/>
              </w:rPr>
              <w:t>3.40%</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98" w:right="0"/>
              <w:jc w:val="left"/>
              <w:rPr>
                <w:rFonts w:ascii="宋体" w:hAnsi="宋体" w:cs="宋体" w:eastAsia="宋体" w:hint="default"/>
                <w:sz w:val="18"/>
                <w:szCs w:val="18"/>
              </w:rPr>
            </w:pPr>
            <w:r>
              <w:rPr>
                <w:rFonts w:ascii="宋体"/>
                <w:sz w:val="18"/>
              </w:rPr>
              <w:t>4,680,0</w:t>
            </w:r>
          </w:p>
        </w:tc>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宋体" w:hAnsi="宋体" w:cs="宋体" w:eastAsia="宋体" w:hint="default"/>
                <w:sz w:val="18"/>
                <w:szCs w:val="18"/>
              </w:rPr>
            </w:pPr>
            <w:r>
              <w:rPr>
                <w:rFonts w:ascii="宋体"/>
                <w:sz w:val="18"/>
              </w:rPr>
              <w:t>100.00%</w:t>
            </w:r>
          </w:p>
        </w:tc>
        <w:tc>
          <w:tcPr>
            <w:tcW w:w="800" w:type="dxa"/>
            <w:tcBorders>
              <w:top w:val="single" w:sz="4" w:space="0" w:color="000000"/>
              <w:left w:val="single" w:sz="4" w:space="0" w:color="000000"/>
              <w:bottom w:val="single" w:sz="4" w:space="0" w:color="000000"/>
              <w:right w:val="single" w:sz="4" w:space="0" w:color="000000"/>
            </w:tcBorders>
          </w:tcPr>
          <w:p>
            <w:pP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81" w:right="0"/>
              <w:jc w:val="left"/>
              <w:rPr>
                <w:rFonts w:ascii="宋体" w:hAnsi="宋体" w:cs="宋体" w:eastAsia="宋体" w:hint="default"/>
                <w:sz w:val="18"/>
                <w:szCs w:val="18"/>
              </w:rPr>
            </w:pPr>
            <w:r>
              <w:rPr>
                <w:rFonts w:ascii="宋体"/>
                <w:sz w:val="18"/>
              </w:rPr>
              <w:t>4,680,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88" w:right="0"/>
              <w:jc w:val="left"/>
              <w:rPr>
                <w:rFonts w:ascii="宋体" w:hAnsi="宋体" w:cs="宋体" w:eastAsia="宋体" w:hint="default"/>
                <w:sz w:val="18"/>
                <w:szCs w:val="18"/>
              </w:rPr>
            </w:pPr>
            <w:r>
              <w:rPr>
                <w:rFonts w:ascii="宋体"/>
                <w:sz w:val="18"/>
              </w:rPr>
              <w:t>21.45%</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59" w:right="0"/>
              <w:jc w:val="left"/>
              <w:rPr>
                <w:rFonts w:ascii="宋体" w:hAnsi="宋体" w:cs="宋体" w:eastAsia="宋体" w:hint="default"/>
                <w:sz w:val="18"/>
                <w:szCs w:val="18"/>
              </w:rPr>
            </w:pPr>
            <w:r>
              <w:rPr>
                <w:rFonts w:ascii="宋体"/>
                <w:sz w:val="18"/>
              </w:rPr>
              <w:t>4,680,00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69" w:right="0"/>
              <w:jc w:val="left"/>
              <w:rPr>
                <w:rFonts w:ascii="宋体" w:hAnsi="宋体" w:cs="宋体" w:eastAsia="宋体" w:hint="default"/>
                <w:sz w:val="18"/>
                <w:szCs w:val="18"/>
              </w:rPr>
            </w:pPr>
            <w:r>
              <w:rPr>
                <w:rFonts w:ascii="宋体"/>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2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67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22" w:right="159"/>
              <w:jc w:val="left"/>
              <w:rPr>
                <w:rFonts w:ascii="宋体" w:hAnsi="宋体" w:cs="宋体" w:eastAsia="宋体" w:hint="default"/>
                <w:sz w:val="18"/>
                <w:szCs w:val="18"/>
              </w:rPr>
            </w:pPr>
            <w:r>
              <w:rPr>
                <w:rFonts w:ascii="宋体" w:hAnsi="宋体" w:cs="宋体" w:eastAsia="宋体" w:hint="default"/>
                <w:sz w:val="18"/>
                <w:szCs w:val="18"/>
              </w:rPr>
              <w:t>独计提坏账准备的 其他应收款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80" w:right="0"/>
              <w:jc w:val="left"/>
              <w:rPr>
                <w:rFonts w:ascii="宋体" w:hAnsi="宋体" w:cs="宋体" w:eastAsia="宋体" w:hint="default"/>
                <w:sz w:val="18"/>
                <w:szCs w:val="18"/>
              </w:rPr>
            </w:pPr>
            <w:r>
              <w:rPr>
                <w:rFonts w:ascii="宋体"/>
                <w:sz w:val="18"/>
              </w:rPr>
              <w:t>00.00</w:t>
            </w: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78" w:right="0"/>
              <w:jc w:val="left"/>
              <w:rPr>
                <w:rFonts w:ascii="宋体" w:hAnsi="宋体" w:cs="宋体" w:eastAsia="宋体" w:hint="default"/>
                <w:sz w:val="18"/>
                <w:szCs w:val="18"/>
              </w:rPr>
            </w:pPr>
            <w:r>
              <w:rPr>
                <w:rFonts w:ascii="宋体"/>
                <w:sz w:val="18"/>
              </w:rPr>
              <w:t>00.00</w:t>
            </w: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80" w:right="0"/>
              <w:jc w:val="left"/>
              <w:rPr>
                <w:rFonts w:ascii="宋体" w:hAnsi="宋体" w:cs="宋体" w:eastAsia="宋体" w:hint="default"/>
                <w:sz w:val="18"/>
                <w:szCs w:val="18"/>
              </w:rPr>
            </w:pPr>
            <w:r>
              <w:rPr>
                <w:rFonts w:ascii="宋体"/>
                <w:sz w:val="18"/>
              </w:rPr>
              <w:t>000.00</w:t>
            </w: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20" w:right="0"/>
              <w:jc w:val="left"/>
              <w:rPr>
                <w:rFonts w:ascii="宋体" w:hAnsi="宋体" w:cs="宋体" w:eastAsia="宋体" w:hint="default"/>
                <w:sz w:val="18"/>
                <w:szCs w:val="18"/>
              </w:rPr>
            </w:pPr>
            <w:r>
              <w:rPr>
                <w:rFonts w:ascii="宋体"/>
                <w:sz w:val="18"/>
              </w:rPr>
              <w:t>0.00</w:t>
            </w: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133,080</w:t>
            </w:r>
          </w:p>
          <w:p>
            <w:pPr>
              <w:pStyle w:val="TableParagraph"/>
              <w:spacing w:line="240" w:lineRule="auto" w:before="77"/>
              <w:ind w:left="100" w:right="0"/>
              <w:jc w:val="left"/>
              <w:rPr>
                <w:rFonts w:ascii="宋体" w:hAnsi="宋体" w:cs="宋体" w:eastAsia="宋体" w:hint="default"/>
                <w:sz w:val="18"/>
                <w:szCs w:val="18"/>
              </w:rPr>
            </w:pPr>
            <w:r>
              <w:rPr>
                <w:rFonts w:ascii="宋体"/>
                <w:sz w:val="18"/>
              </w:rPr>
              <w:t>,896.93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4" w:right="0"/>
              <w:jc w:val="center"/>
              <w:rPr>
                <w:rFonts w:ascii="宋体" w:hAnsi="宋体" w:cs="宋体" w:eastAsia="宋体" w:hint="default"/>
                <w:sz w:val="18"/>
                <w:szCs w:val="18"/>
              </w:rPr>
            </w:pPr>
            <w:r>
              <w:rPr>
                <w:rFonts w:ascii="宋体"/>
                <w:sz w:val="18"/>
              </w:rPr>
              <w:t>96.60%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center"/>
              <w:rPr>
                <w:rFonts w:ascii="宋体" w:hAnsi="宋体" w:cs="宋体" w:eastAsia="宋体" w:hint="default"/>
                <w:sz w:val="18"/>
                <w:szCs w:val="18"/>
              </w:rPr>
            </w:pPr>
            <w:r>
              <w:rPr>
                <w:rFonts w:ascii="宋体"/>
                <w:sz w:val="18"/>
              </w:rPr>
              <w:t>6,647,6</w:t>
            </w:r>
          </w:p>
          <w:p>
            <w:pPr>
              <w:pStyle w:val="TableParagraph"/>
              <w:spacing w:line="240" w:lineRule="auto" w:before="77"/>
              <w:ind w:left="253" w:right="0"/>
              <w:jc w:val="center"/>
              <w:rPr>
                <w:rFonts w:ascii="宋体" w:hAnsi="宋体" w:cs="宋体" w:eastAsia="宋体" w:hint="default"/>
                <w:sz w:val="18"/>
                <w:szCs w:val="18"/>
              </w:rPr>
            </w:pPr>
            <w:r>
              <w:rPr>
                <w:rFonts w:ascii="宋体"/>
                <w:sz w:val="18"/>
              </w:rPr>
              <w:t>24.18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5.00%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center"/>
              <w:rPr>
                <w:rFonts w:ascii="宋体" w:hAnsi="宋体" w:cs="宋体" w:eastAsia="宋体" w:hint="default"/>
                <w:sz w:val="18"/>
                <w:szCs w:val="18"/>
              </w:rPr>
            </w:pPr>
            <w:r>
              <w:rPr>
                <w:rFonts w:ascii="宋体"/>
                <w:sz w:val="18"/>
              </w:rPr>
              <w:t>126,433,</w:t>
            </w:r>
          </w:p>
          <w:p>
            <w:pPr>
              <w:pStyle w:val="TableParagraph"/>
              <w:spacing w:line="240" w:lineRule="auto" w:before="77"/>
              <w:ind w:left="194" w:right="0"/>
              <w:jc w:val="center"/>
              <w:rPr>
                <w:rFonts w:ascii="宋体" w:hAnsi="宋体" w:cs="宋体" w:eastAsia="宋体" w:hint="default"/>
                <w:sz w:val="18"/>
                <w:szCs w:val="18"/>
              </w:rPr>
            </w:pPr>
            <w:r>
              <w:rPr>
                <w:rFonts w:ascii="宋体"/>
                <w:sz w:val="18"/>
              </w:rPr>
              <w:t>272.75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17,140</w:t>
            </w:r>
          </w:p>
          <w:p>
            <w:pPr>
              <w:pStyle w:val="TableParagraph"/>
              <w:spacing w:line="240" w:lineRule="auto" w:before="75"/>
              <w:ind w:right="23"/>
              <w:jc w:val="right"/>
              <w:rPr>
                <w:rFonts w:ascii="宋体" w:hAnsi="宋体" w:cs="宋体" w:eastAsia="宋体" w:hint="default"/>
                <w:sz w:val="18"/>
                <w:szCs w:val="18"/>
              </w:rPr>
            </w:pPr>
            <w:r>
              <w:rPr>
                <w:rFonts w:ascii="宋体"/>
                <w:sz w:val="18"/>
              </w:rPr>
              <w:t>,304.0</w:t>
            </w:r>
          </w:p>
          <w:p>
            <w:pPr>
              <w:pStyle w:val="TableParagraph"/>
              <w:spacing w:line="240" w:lineRule="auto" w:before="78"/>
              <w:ind w:right="23"/>
              <w:jc w:val="right"/>
              <w:rPr>
                <w:rFonts w:ascii="宋体" w:hAnsi="宋体" w:cs="宋体" w:eastAsia="宋体" w:hint="default"/>
                <w:sz w:val="18"/>
                <w:szCs w:val="18"/>
              </w:rPr>
            </w:pPr>
            <w:r>
              <w:rPr>
                <w:rFonts w:ascii="宋体"/>
                <w:sz w:val="18"/>
              </w:rPr>
              <w:t>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78.55%</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2,293,30</w:t>
            </w:r>
          </w:p>
          <w:p>
            <w:pPr>
              <w:pStyle w:val="TableParagraph"/>
              <w:spacing w:line="240" w:lineRule="auto" w:before="77"/>
              <w:ind w:left="420" w:right="0"/>
              <w:jc w:val="left"/>
              <w:rPr>
                <w:rFonts w:ascii="宋体" w:hAnsi="宋体" w:cs="宋体" w:eastAsia="宋体" w:hint="default"/>
                <w:sz w:val="18"/>
                <w:szCs w:val="18"/>
              </w:rPr>
            </w:pPr>
            <w:r>
              <w:rPr>
                <w:rFonts w:ascii="宋体"/>
                <w:sz w:val="18"/>
              </w:rPr>
              <w:t>8.69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13.38%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sz w:val="18"/>
              </w:rPr>
              <w:t>14,846,99</w:t>
            </w:r>
          </w:p>
          <w:p>
            <w:pPr>
              <w:pStyle w:val="TableParagraph"/>
              <w:spacing w:line="240" w:lineRule="auto" w:before="77"/>
              <w:ind w:left="538" w:right="0"/>
              <w:jc w:val="left"/>
              <w:rPr>
                <w:rFonts w:ascii="宋体" w:hAnsi="宋体" w:cs="宋体" w:eastAsia="宋体" w:hint="default"/>
                <w:sz w:val="18"/>
                <w:szCs w:val="18"/>
              </w:rPr>
            </w:pPr>
            <w:r>
              <w:rPr>
                <w:rFonts w:ascii="宋体"/>
                <w:sz w:val="18"/>
              </w:rPr>
              <w:t>5.32</w:t>
            </w: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137,760</w:t>
            </w:r>
          </w:p>
          <w:p>
            <w:pPr>
              <w:pStyle w:val="TableParagraph"/>
              <w:spacing w:line="240" w:lineRule="auto" w:before="76"/>
              <w:ind w:left="100" w:right="0"/>
              <w:jc w:val="left"/>
              <w:rPr>
                <w:rFonts w:ascii="宋体" w:hAnsi="宋体" w:cs="宋体" w:eastAsia="宋体" w:hint="default"/>
                <w:sz w:val="18"/>
                <w:szCs w:val="18"/>
              </w:rPr>
            </w:pPr>
            <w:r>
              <w:rPr>
                <w:rFonts w:ascii="宋体"/>
                <w:sz w:val="18"/>
              </w:rPr>
              <w:t>,896.93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4" w:right="0"/>
              <w:jc w:val="center"/>
              <w:rPr>
                <w:rFonts w:ascii="宋体" w:hAnsi="宋体" w:cs="宋体" w:eastAsia="宋体" w:hint="default"/>
                <w:sz w:val="18"/>
                <w:szCs w:val="18"/>
              </w:rPr>
            </w:pPr>
            <w:r>
              <w:rPr>
                <w:rFonts w:ascii="宋体"/>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sz w:val="18"/>
              </w:rPr>
              <w:t>11,327,</w:t>
            </w:r>
          </w:p>
          <w:p>
            <w:pPr>
              <w:pStyle w:val="TableParagraph"/>
              <w:spacing w:line="240" w:lineRule="auto" w:before="76"/>
              <w:ind w:left="188" w:right="0"/>
              <w:jc w:val="left"/>
              <w:rPr>
                <w:rFonts w:ascii="宋体" w:hAnsi="宋体" w:cs="宋体" w:eastAsia="宋体" w:hint="default"/>
                <w:sz w:val="18"/>
                <w:szCs w:val="18"/>
              </w:rPr>
            </w:pPr>
            <w:r>
              <w:rPr>
                <w:rFonts w:ascii="宋体"/>
                <w:sz w:val="18"/>
              </w:rPr>
              <w:t>624.18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8.22%</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center"/>
              <w:rPr>
                <w:rFonts w:ascii="宋体" w:hAnsi="宋体" w:cs="宋体" w:eastAsia="宋体" w:hint="default"/>
                <w:sz w:val="18"/>
                <w:szCs w:val="18"/>
              </w:rPr>
            </w:pPr>
            <w:r>
              <w:rPr>
                <w:rFonts w:ascii="宋体"/>
                <w:sz w:val="18"/>
              </w:rPr>
              <w:t>126,433,</w:t>
            </w:r>
          </w:p>
          <w:p>
            <w:pPr>
              <w:pStyle w:val="TableParagraph"/>
              <w:spacing w:line="240" w:lineRule="auto" w:before="76"/>
              <w:ind w:left="194" w:right="0"/>
              <w:jc w:val="center"/>
              <w:rPr>
                <w:rFonts w:ascii="宋体" w:hAnsi="宋体" w:cs="宋体" w:eastAsia="宋体" w:hint="default"/>
                <w:sz w:val="18"/>
                <w:szCs w:val="18"/>
              </w:rPr>
            </w:pPr>
            <w:r>
              <w:rPr>
                <w:rFonts w:ascii="宋体"/>
                <w:sz w:val="18"/>
              </w:rPr>
              <w:t>272.75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21,820</w:t>
            </w:r>
          </w:p>
          <w:p>
            <w:pPr>
              <w:pStyle w:val="TableParagraph"/>
              <w:spacing w:line="240" w:lineRule="auto" w:before="75"/>
              <w:ind w:right="23"/>
              <w:jc w:val="right"/>
              <w:rPr>
                <w:rFonts w:ascii="宋体" w:hAnsi="宋体" w:cs="宋体" w:eastAsia="宋体" w:hint="default"/>
                <w:sz w:val="18"/>
                <w:szCs w:val="18"/>
              </w:rPr>
            </w:pPr>
            <w:r>
              <w:rPr>
                <w:rFonts w:ascii="宋体"/>
                <w:sz w:val="18"/>
              </w:rPr>
              <w:t>,304.0</w:t>
            </w:r>
          </w:p>
          <w:p>
            <w:pPr>
              <w:pStyle w:val="TableParagraph"/>
              <w:spacing w:line="240" w:lineRule="auto" w:before="77"/>
              <w:ind w:right="23"/>
              <w:jc w:val="right"/>
              <w:rPr>
                <w:rFonts w:ascii="宋体" w:hAnsi="宋体" w:cs="宋体" w:eastAsia="宋体" w:hint="default"/>
                <w:sz w:val="18"/>
                <w:szCs w:val="18"/>
              </w:rPr>
            </w:pPr>
            <w:r>
              <w:rPr>
                <w:rFonts w:ascii="宋体"/>
                <w:sz w:val="18"/>
              </w:rPr>
              <w:t>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6,973,30</w:t>
            </w:r>
          </w:p>
          <w:p>
            <w:pPr>
              <w:pStyle w:val="TableParagraph"/>
              <w:spacing w:line="240" w:lineRule="auto" w:before="76"/>
              <w:ind w:left="420" w:right="0"/>
              <w:jc w:val="left"/>
              <w:rPr>
                <w:rFonts w:ascii="宋体" w:hAnsi="宋体" w:cs="宋体" w:eastAsia="宋体" w:hint="default"/>
                <w:sz w:val="18"/>
                <w:szCs w:val="18"/>
              </w:rPr>
            </w:pPr>
            <w:r>
              <w:rPr>
                <w:rFonts w:ascii="宋体"/>
                <w:sz w:val="18"/>
              </w:rPr>
              <w:t>8.69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31.96%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sz w:val="18"/>
              </w:rPr>
              <w:t>14,846,99</w:t>
            </w:r>
          </w:p>
          <w:p>
            <w:pPr>
              <w:pStyle w:val="TableParagraph"/>
              <w:spacing w:line="240" w:lineRule="auto" w:before="76"/>
              <w:ind w:left="538" w:right="0"/>
              <w:jc w:val="left"/>
              <w:rPr>
                <w:rFonts w:ascii="宋体" w:hAnsi="宋体" w:cs="宋体" w:eastAsia="宋体" w:hint="default"/>
                <w:sz w:val="18"/>
                <w:szCs w:val="18"/>
              </w:rPr>
            </w:pPr>
            <w:r>
              <w:rPr>
                <w:rFonts w:ascii="宋体"/>
                <w:sz w:val="18"/>
              </w:rPr>
              <w:t>5.32</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期末单项金额重大并单项计提坏账准备的其他应收款：</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76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16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4,680,000.00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4,680,000.00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50" w:right="0"/>
              <w:jc w:val="left"/>
              <w:rPr>
                <w:rFonts w:ascii="宋体" w:hAnsi="宋体" w:cs="宋体" w:eastAsia="宋体" w:hint="default"/>
                <w:sz w:val="18"/>
                <w:szCs w:val="18"/>
              </w:rPr>
            </w:pPr>
            <w:r>
              <w:rPr>
                <w:rFonts w:ascii="宋体"/>
                <w:sz w:val="18"/>
              </w:rPr>
              <w:t>100.00%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4,680,000.00</w:t>
            </w:r>
          </w:p>
        </w:tc>
        <w:tc>
          <w:tcPr>
            <w:tcW w:w="1914"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2"/>
              <w:ind w:right="15"/>
              <w:jc w:val="right"/>
              <w:rPr>
                <w:rFonts w:ascii="宋体" w:hAnsi="宋体" w:cs="宋体" w:eastAsia="宋体" w:hint="default"/>
                <w:sz w:val="18"/>
                <w:szCs w:val="18"/>
              </w:rPr>
            </w:pPr>
            <w:r>
              <w:rPr>
                <w:rFonts w:ascii="宋体"/>
                <w:sz w:val="18"/>
              </w:rPr>
              <w:t>4,680,000.00</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组合中，按账龄分析法计提坏账准备的其他应收款：</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114,896,469.61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2,297,929.40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114,896,469.61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2,297,929.40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6,054,637.78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908,195.67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4,953,032.00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2,476,515.99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964,983.12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964,983.12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694,644.20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694,644.20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129,100.00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129,100.00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141,238.92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141,238.92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126,869,122.51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6,647,624.18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5.24%</w:t>
            </w:r>
          </w:p>
        </w:tc>
      </w:tr>
    </w:tbl>
    <w:p>
      <w:pPr>
        <w:spacing w:line="240" w:lineRule="auto" w:before="11"/>
        <w:rPr>
          <w:rFonts w:ascii="宋体" w:hAnsi="宋体" w:cs="宋体" w:eastAsia="宋体" w:hint="default"/>
          <w:sz w:val="8"/>
          <w:szCs w:val="8"/>
        </w:rPr>
      </w:pPr>
    </w:p>
    <w:p>
      <w:pPr>
        <w:pStyle w:val="BodyText"/>
        <w:spacing w:line="434" w:lineRule="auto" w:before="26"/>
        <w:ind w:left="634" w:right="5232"/>
        <w:jc w:val="left"/>
      </w:pPr>
      <w:r>
        <w:rPr/>
        <w:t>确定该组合依据的说明： 以其他应收款的账龄为信用风险特征划分组合。</w:t>
      </w:r>
    </w:p>
    <w:p>
      <w:pPr>
        <w:spacing w:after="0" w:line="434"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left="634" w:right="1092"/>
        <w:jc w:val="left"/>
      </w:pPr>
      <w:r>
        <w:rPr/>
        <w:t>组合中，采用余额百分比法计提坏账准备的其他应收款：</w:t>
      </w:r>
    </w:p>
    <w:p>
      <w:pPr>
        <w:spacing w:line="240" w:lineRule="auto" w:before="5"/>
        <w:rPr>
          <w:rFonts w:ascii="宋体" w:hAnsi="宋体" w:cs="宋体" w:eastAsia="宋体" w:hint="default"/>
          <w:sz w:val="19"/>
          <w:szCs w:val="19"/>
        </w:rPr>
      </w:pPr>
    </w:p>
    <w:p>
      <w:pPr>
        <w:pStyle w:val="BodyText"/>
        <w:spacing w:line="434" w:lineRule="auto"/>
        <w:ind w:left="634" w:right="4752"/>
        <w:jc w:val="left"/>
      </w:pPr>
      <w:r>
        <w:rPr/>
        <w:t>□ 适用 √ 不适用 组合中，采用其他方法计提坏账准备的其他应收款：</w:t>
      </w:r>
    </w:p>
    <w:p>
      <w:pPr>
        <w:pStyle w:val="BodyText"/>
        <w:spacing w:line="240" w:lineRule="auto" w:before="59"/>
        <w:ind w:left="634" w:right="1092"/>
        <w:jc w:val="left"/>
      </w:pPr>
      <w:r>
        <w:rPr/>
        <w:t>√ 适用 □ 不适用</w:t>
      </w:r>
    </w:p>
    <w:p>
      <w:pPr>
        <w:spacing w:line="240" w:lineRule="auto" w:before="4"/>
        <w:rPr>
          <w:rFonts w:ascii="宋体" w:hAnsi="宋体" w:cs="宋体" w:eastAsia="宋体" w:hint="default"/>
          <w:sz w:val="19"/>
          <w:szCs w:val="19"/>
        </w:rPr>
      </w:pPr>
    </w:p>
    <w:p>
      <w:pPr>
        <w:pStyle w:val="BodyText"/>
        <w:tabs>
          <w:tab w:pos="6934" w:val="left" w:leader="none"/>
        </w:tabs>
        <w:spacing w:line="357" w:lineRule="auto"/>
        <w:ind w:right="1109" w:firstLine="480"/>
        <w:jc w:val="left"/>
      </w:pPr>
      <w:r>
        <w:rPr/>
        <w:t>与交易对象关系组合，为关联方组合，</w:t>
      </w:r>
      <w:r>
        <w:rPr>
          <w:rFonts w:ascii="宋体" w:hAnsi="宋体" w:cs="宋体" w:eastAsia="宋体" w:hint="default"/>
        </w:rPr>
        <w:t>4,762,722.41</w:t>
      </w:r>
      <w:r>
        <w:rPr>
          <w:rFonts w:ascii="宋体" w:hAnsi="宋体" w:cs="宋体" w:eastAsia="宋体" w:hint="default"/>
          <w:spacing w:val="-60"/>
        </w:rPr>
        <w:t> </w:t>
      </w:r>
      <w:r>
        <w:rPr/>
        <w:t>元；</w:t>
        <w:tab/>
        <w:t>款项性质组合（以保证金、 押金、备用金划分组合）</w:t>
      </w:r>
      <w:r>
        <w:rPr>
          <w:rFonts w:ascii="宋体" w:hAnsi="宋体" w:cs="宋体" w:eastAsia="宋体" w:hint="default"/>
        </w:rPr>
        <w:t>1,449,052.01</w:t>
      </w:r>
      <w:r>
        <w:rPr>
          <w:rFonts w:ascii="宋体" w:hAnsi="宋体" w:cs="宋体" w:eastAsia="宋体" w:hint="default"/>
          <w:spacing w:val="-60"/>
        </w:rPr>
        <w:t> </w:t>
      </w:r>
      <w:r>
        <w:rPr/>
        <w:t>元，不计提坏账。</w:t>
      </w:r>
    </w:p>
    <w:p>
      <w:pPr>
        <w:pStyle w:val="BodyText"/>
        <w:spacing w:line="240" w:lineRule="auto" w:before="137"/>
        <w:ind w:left="634" w:right="1092"/>
        <w:jc w:val="left"/>
      </w:pPr>
      <w:r>
        <w:rPr>
          <w:rFonts w:ascii="宋体" w:hAnsi="宋体" w:cs="宋体" w:eastAsia="宋体" w:hint="default"/>
        </w:rPr>
        <w:t>2)</w:t>
      </w:r>
      <w:r>
        <w:rPr/>
        <w:t>本期计提、收回或转回的坏账准备情况</w:t>
      </w:r>
    </w:p>
    <w:p>
      <w:pPr>
        <w:spacing w:line="240" w:lineRule="auto" w:before="4"/>
        <w:rPr>
          <w:rFonts w:ascii="宋体" w:hAnsi="宋体" w:cs="宋体" w:eastAsia="宋体" w:hint="default"/>
          <w:sz w:val="19"/>
          <w:szCs w:val="19"/>
        </w:rPr>
      </w:pPr>
    </w:p>
    <w:p>
      <w:pPr>
        <w:pStyle w:val="BodyText"/>
        <w:spacing w:line="357" w:lineRule="auto"/>
        <w:ind w:right="1116" w:firstLine="480"/>
        <w:jc w:val="left"/>
      </w:pPr>
      <w:r>
        <w:rPr/>
        <w:t>本期计提坏账准备金额 </w:t>
      </w:r>
      <w:r>
        <w:rPr>
          <w:rFonts w:ascii="宋体" w:hAnsi="宋体" w:cs="宋体" w:eastAsia="宋体" w:hint="default"/>
        </w:rPr>
        <w:t>5,793,661.35 </w:t>
      </w:r>
      <w:r>
        <w:rPr/>
        <w:t>元；本期收回或转回坏账准备金额</w:t>
      </w:r>
      <w:r>
        <w:rPr>
          <w:spacing w:val="-84"/>
        </w:rPr>
        <w:t> </w:t>
      </w:r>
      <w:r>
        <w:rPr>
          <w:rFonts w:ascii="宋体" w:hAnsi="宋体" w:cs="宋体" w:eastAsia="宋体" w:hint="default"/>
        </w:rPr>
        <w:t>1,201,604.48 </w:t>
      </w:r>
      <w:r>
        <w:rPr/>
        <w:t>元。</w:t>
      </w:r>
    </w:p>
    <w:p>
      <w:pPr>
        <w:pStyle w:val="BodyText"/>
        <w:spacing w:line="434" w:lineRule="auto" w:before="136"/>
        <w:ind w:left="634" w:right="4632"/>
        <w:jc w:val="left"/>
      </w:pPr>
      <w:r>
        <w:rPr/>
        <w:t>另：本年因企业合并减少坏账准备金额</w:t>
      </w:r>
      <w:r>
        <w:rPr>
          <w:spacing w:val="-60"/>
        </w:rPr>
        <w:t> </w:t>
      </w:r>
      <w:r>
        <w:rPr>
          <w:rFonts w:ascii="宋体" w:hAnsi="宋体" w:cs="宋体" w:eastAsia="宋体" w:hint="default"/>
        </w:rPr>
        <w:t>237,741.38</w:t>
      </w:r>
      <w:r>
        <w:rPr>
          <w:rFonts w:ascii="宋体" w:hAnsi="宋体" w:cs="宋体" w:eastAsia="宋体" w:hint="default"/>
          <w:spacing w:val="-60"/>
        </w:rPr>
        <w:t> </w:t>
      </w:r>
      <w:r>
        <w:rPr/>
        <w:t>元 </w:t>
      </w:r>
      <w:r>
        <w:rPr>
          <w:rFonts w:ascii="宋体" w:hAnsi="宋体" w:cs="宋体" w:eastAsia="宋体" w:hint="default"/>
        </w:rPr>
        <w:t>3)</w:t>
      </w:r>
      <w:r>
        <w:rPr/>
        <w:t>本期实际核销的其他应收款情况</w:t>
      </w:r>
    </w:p>
    <w:p>
      <w:pPr>
        <w:pStyle w:val="BodyText"/>
        <w:spacing w:line="434" w:lineRule="auto" w:before="59"/>
        <w:ind w:left="634" w:right="6672"/>
        <w:jc w:val="left"/>
      </w:pPr>
      <w:r>
        <w:rPr/>
        <w:t>无。 </w:t>
      </w:r>
      <w:r>
        <w:rPr>
          <w:rFonts w:ascii="宋体" w:hAnsi="宋体" w:cs="宋体" w:eastAsia="宋体" w:hint="default"/>
        </w:rPr>
        <w:t>4)</w:t>
      </w:r>
      <w:r>
        <w:rPr/>
        <w:t>其他应收款按款项性质分类情况</w:t>
      </w:r>
    </w:p>
    <w:p>
      <w:pPr>
        <w:spacing w:before="3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116,676,326.59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6,862,123.95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12,274,751.55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12,097,670.21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职工借款及备用金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8,809,818.79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2,860,509.85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137,760,896.93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21,820,304.01</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rFonts w:ascii="宋体" w:hAnsi="宋体" w:cs="宋体" w:eastAsia="宋体" w:hint="default"/>
        </w:rPr>
        <w:t>5)</w:t>
      </w:r>
      <w:r>
        <w:rPr/>
        <w:t>按欠款方归集的期末余额前五名的其他应收款情况</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83"/>
        <w:gridCol w:w="1606"/>
        <w:gridCol w:w="1594"/>
        <w:gridCol w:w="1594"/>
        <w:gridCol w:w="1596"/>
        <w:gridCol w:w="1595"/>
      </w:tblGrid>
      <w:tr>
        <w:trPr>
          <w:trHeight w:val="713"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6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54"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3"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107,317,400.00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77.90%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2,146,348.00</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4,680,000.00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3.40%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4,680,000.00</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3</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4,478,000.00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3.25%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2,239,000.00</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4</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3"/>
              <w:ind w:left="28"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4,268,690.64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3.10%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640,303.60</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5</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2,500,000.00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1.81%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50,000.00</w:t>
            </w:r>
          </w:p>
        </w:tc>
      </w:tr>
      <w:tr>
        <w:trPr>
          <w:trHeight w:val="403"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sz w:val="18"/>
              </w:rPr>
              <w:t>--</w:t>
            </w:r>
          </w:p>
        </w:tc>
        <w:tc>
          <w:tcPr>
            <w:tcW w:w="1594"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right="9"/>
              <w:jc w:val="right"/>
              <w:rPr>
                <w:rFonts w:ascii="宋体" w:hAnsi="宋体" w:cs="宋体" w:eastAsia="宋体" w:hint="default"/>
                <w:sz w:val="18"/>
                <w:szCs w:val="18"/>
              </w:rPr>
            </w:pPr>
            <w:r>
              <w:rPr>
                <w:rFonts w:ascii="宋体"/>
                <w:sz w:val="18"/>
              </w:rPr>
              <w:t>123,244,090.64</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89.46%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9,755,651.60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4" w:lineRule="auto" w:before="26"/>
        <w:ind w:left="634" w:right="7392"/>
        <w:jc w:val="left"/>
      </w:pPr>
      <w:r>
        <w:rPr>
          <w:rFonts w:ascii="宋体" w:hAnsi="宋体" w:cs="宋体" w:eastAsia="宋体" w:hint="default"/>
        </w:rPr>
        <w:t>6)</w:t>
      </w:r>
      <w:r>
        <w:rPr/>
        <w:t>涉及政府补助的应收款项 无。</w:t>
      </w:r>
    </w:p>
    <w:p>
      <w:pPr>
        <w:pStyle w:val="BodyText"/>
        <w:spacing w:line="434" w:lineRule="auto" w:before="60"/>
        <w:ind w:left="634" w:right="5712"/>
        <w:jc w:val="left"/>
      </w:pPr>
      <w:r>
        <w:rPr>
          <w:rFonts w:ascii="宋体" w:hAnsi="宋体" w:cs="宋体" w:eastAsia="宋体" w:hint="default"/>
        </w:rPr>
        <w:t>7)</w:t>
      </w:r>
      <w:r>
        <w:rPr/>
        <w:t>因金融资产转移而终止确认的其他应收款 无。</w:t>
      </w:r>
    </w:p>
    <w:p>
      <w:pPr>
        <w:pStyle w:val="BodyText"/>
        <w:spacing w:line="434" w:lineRule="auto" w:before="59"/>
        <w:ind w:left="634" w:right="4752"/>
        <w:jc w:val="left"/>
      </w:pPr>
      <w:r>
        <w:rPr>
          <w:rFonts w:ascii="宋体" w:hAnsi="宋体" w:cs="宋体" w:eastAsia="宋体" w:hint="default"/>
        </w:rPr>
        <w:t>8)</w:t>
      </w:r>
      <w:r>
        <w:rPr/>
        <w:t>转移其他应收款且继续涉入形成的资产、负债金额 无。</w:t>
      </w:r>
    </w:p>
    <w:p>
      <w:pPr>
        <w:spacing w:before="203"/>
        <w:ind w:left="154" w:right="1092" w:firstLine="0"/>
        <w:jc w:val="left"/>
        <w:rPr>
          <w:rFonts w:ascii="宋体" w:hAnsi="宋体" w:cs="宋体" w:eastAsia="宋体" w:hint="default"/>
          <w:sz w:val="21"/>
          <w:szCs w:val="21"/>
        </w:rPr>
      </w:pPr>
      <w:bookmarkStart w:name="7、存货" w:id="238"/>
      <w:bookmarkEnd w:id="238"/>
      <w:r>
        <w:rPr/>
      </w:r>
      <w:r>
        <w:rPr>
          <w:rFonts w:ascii="宋体" w:hAnsi="宋体" w:cs="宋体" w:eastAsia="宋体" w:hint="default"/>
          <w:b/>
          <w:bCs/>
          <w:sz w:val="21"/>
          <w:szCs w:val="21"/>
        </w:rPr>
        <w:t>7</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存货分类" w:id="239"/>
      <w:bookmarkEnd w:id="239"/>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）存货分类</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1,842,155.35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1,842,155.35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3,508,512.87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3,508,512.87</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6,622,582.62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6,622,582.62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1,436,527.00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188,218.14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1,248,308.86</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578,186.92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578,186.92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544,394.73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544,394.73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影视剧本</w:t>
            </w:r>
          </w:p>
        </w:tc>
        <w:tc>
          <w:tcPr>
            <w:tcW w:w="136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9,721,828.99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9,721,828.99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5,874,990.55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5,874,990.55</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18,764,753.88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18,764,753.88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11,364,425.15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188,218.14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11,176,207.01</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存货跌价准备" w:id="240"/>
      <w:bookmarkEnd w:id="240"/>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）存货跌价准备</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57"/>
        <w:gridCol w:w="1368"/>
        <w:gridCol w:w="1367"/>
        <w:gridCol w:w="1367"/>
        <w:gridCol w:w="1368"/>
        <w:gridCol w:w="1367"/>
        <w:gridCol w:w="1367"/>
      </w:tblGrid>
      <w:tr>
        <w:trPr>
          <w:trHeight w:val="206"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135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2735" w:type="dxa"/>
            <w:gridSpan w:val="2"/>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right w:val="single" w:sz="4" w:space="0" w:color="000000"/>
            </w:tcBorders>
            <w:shd w:val="clear" w:color="auto" w:fill="D2D2D2"/>
          </w:tcPr>
          <w:p>
            <w:pPr/>
          </w:p>
        </w:tc>
      </w:tr>
      <w:tr>
        <w:trPr>
          <w:trHeight w:val="200" w:hRule="exact"/>
        </w:trPr>
        <w:tc>
          <w:tcPr>
            <w:tcW w:w="1357" w:type="dxa"/>
            <w:vMerge/>
            <w:tcBorders>
              <w:left w:val="single" w:sz="4" w:space="0" w:color="000000"/>
              <w:bottom w:val="nil" w:sz="6" w:space="0" w:color="auto"/>
              <w:right w:val="single" w:sz="4" w:space="0" w:color="000000"/>
            </w:tcBorders>
            <w:shd w:val="clear" w:color="auto" w:fill="D2D2D2"/>
          </w:tcPr>
          <w:p>
            <w:pPr/>
          </w:p>
        </w:tc>
        <w:tc>
          <w:tcPr>
            <w:tcW w:w="1368" w:type="dxa"/>
            <w:vMerge/>
            <w:tcBorders>
              <w:left w:val="single" w:sz="4" w:space="0" w:color="000000"/>
              <w:bottom w:val="nil" w:sz="6" w:space="0" w:color="auto"/>
              <w:right w:val="single" w:sz="4" w:space="0" w:color="000000"/>
            </w:tcBorders>
            <w:shd w:val="clear" w:color="auto" w:fill="D2D2D2"/>
          </w:tcPr>
          <w:p>
            <w:pP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9"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right w:val="single" w:sz="4" w:space="0" w:color="000000"/>
            </w:tcBorders>
            <w:shd w:val="clear" w:color="auto" w:fill="D2D2D2"/>
          </w:tcPr>
          <w:p>
            <w:pPr/>
          </w:p>
        </w:tc>
      </w:tr>
      <w:tr>
        <w:trPr>
          <w:trHeight w:val="206"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188,218.14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188,218.14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188,218.14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188,218.14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存货期末余额含有借款费用资本化金额的说明" w:id="241"/>
      <w:bookmarkEnd w:id="241"/>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）存货期末余额含有借款费用资本化金额的说明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7"/>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期末建造合同形成的已完工未结算资产情况" w:id="242"/>
      <w:bookmarkEnd w:id="242"/>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）期末建造合同形成的已完工未结算资产情况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34" w:right="9169" w:firstLine="0"/>
        <w:jc w:val="center"/>
        <w:rPr>
          <w:rFonts w:ascii="宋体" w:hAnsi="宋体" w:cs="宋体" w:eastAsia="宋体" w:hint="default"/>
          <w:sz w:val="21"/>
          <w:szCs w:val="21"/>
        </w:rPr>
      </w:pPr>
      <w:bookmarkStart w:name="8、持有待售资产" w:id="243"/>
      <w:bookmarkEnd w:id="243"/>
      <w:r>
        <w:rPr/>
      </w:r>
      <w:r>
        <w:rPr>
          <w:rFonts w:ascii="宋体" w:hAnsi="宋体" w:cs="宋体" w:eastAsia="宋体" w:hint="default"/>
          <w:b/>
          <w:bCs/>
          <w:sz w:val="21"/>
          <w:szCs w:val="21"/>
        </w:rPr>
        <w:t>8</w:t>
      </w:r>
      <w:r>
        <w:rPr>
          <w:rFonts w:ascii="宋体" w:hAnsi="宋体" w:cs="宋体" w:eastAsia="宋体" w:hint="default"/>
          <w:b/>
          <w:bCs/>
          <w:sz w:val="21"/>
          <w:szCs w:val="21"/>
        </w:rPr>
        <w:t>、持有待售资产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34" w:right="9310"/>
        <w:jc w:val="center"/>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9、一年内到期的非流动资产" w:id="244"/>
      <w:bookmarkEnd w:id="244"/>
      <w:r>
        <w:rPr/>
      </w:r>
      <w:r>
        <w:rPr>
          <w:rFonts w:ascii="宋体" w:hAnsi="宋体" w:cs="宋体" w:eastAsia="宋体" w:hint="default"/>
          <w:b/>
          <w:bCs/>
          <w:sz w:val="21"/>
          <w:szCs w:val="21"/>
        </w:rPr>
        <w:t>9</w:t>
      </w:r>
      <w:r>
        <w:rPr>
          <w:rFonts w:ascii="宋体" w:hAnsi="宋体" w:cs="宋体" w:eastAsia="宋体" w:hint="default"/>
          <w:b/>
          <w:bCs/>
          <w:sz w:val="21"/>
          <w:szCs w:val="21"/>
        </w:rPr>
        <w:t>、一年内到期的非流动资产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34" w:right="9310"/>
        <w:jc w:val="center"/>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0、其他流动资产" w:id="245"/>
      <w:bookmarkEnd w:id="245"/>
      <w:r>
        <w:rPr/>
      </w:r>
      <w:r>
        <w:rPr>
          <w:rFonts w:ascii="宋体" w:hAnsi="宋体" w:cs="宋体" w:eastAsia="宋体" w:hint="default"/>
          <w:b/>
          <w:bCs/>
          <w:sz w:val="21"/>
          <w:szCs w:val="21"/>
        </w:rPr>
        <w:t>10</w:t>
      </w:r>
      <w:r>
        <w:rPr>
          <w:rFonts w:ascii="宋体" w:hAnsi="宋体" w:cs="宋体" w:eastAsia="宋体" w:hint="default"/>
          <w:b/>
          <w:bCs/>
          <w:sz w:val="21"/>
          <w:szCs w:val="21"/>
        </w:rPr>
        <w:t>、其他流动资产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6,458,890.94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10,355,870.05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预交所得税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19,744,987.74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10,986,879.12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留抵税额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7,115,473.85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2,768,509.74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预交增值税</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118.99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113,207.54</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33,432,560.07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24,111,377.90</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11、可供出售金融资产" w:id="246"/>
      <w:bookmarkEnd w:id="246"/>
      <w:r>
        <w:rPr/>
      </w:r>
      <w:r>
        <w:rPr>
          <w:rFonts w:ascii="宋体" w:hAnsi="宋体" w:cs="宋体" w:eastAsia="宋体" w:hint="default"/>
          <w:b/>
          <w:bCs/>
          <w:sz w:val="21"/>
          <w:szCs w:val="21"/>
        </w:rPr>
        <w:t>11</w:t>
      </w:r>
      <w:r>
        <w:rPr>
          <w:rFonts w:ascii="宋体" w:hAnsi="宋体" w:cs="宋体" w:eastAsia="宋体" w:hint="default"/>
          <w:b/>
          <w:bCs/>
          <w:sz w:val="21"/>
          <w:szCs w:val="21"/>
        </w:rPr>
        <w:t>、可供出售金融资产</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可供出售金融资产情况" w:id="247"/>
      <w:bookmarkEnd w:id="247"/>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）可供出售金融资产情况</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77"/>
        <w:gridCol w:w="1207"/>
        <w:gridCol w:w="1196"/>
        <w:gridCol w:w="1196"/>
        <w:gridCol w:w="1248"/>
        <w:gridCol w:w="1367"/>
        <w:gridCol w:w="1367"/>
      </w:tblGrid>
      <w:tr>
        <w:trPr>
          <w:trHeight w:val="206" w:hRule="exact"/>
        </w:trPr>
        <w:tc>
          <w:tcPr>
            <w:tcW w:w="1977" w:type="dxa"/>
            <w:tcBorders>
              <w:top w:val="single" w:sz="4" w:space="0" w:color="000000"/>
              <w:left w:val="single" w:sz="4" w:space="0" w:color="000000"/>
              <w:bottom w:val="nil" w:sz="6" w:space="0" w:color="auto"/>
              <w:right w:val="single" w:sz="4" w:space="0" w:color="000000"/>
            </w:tcBorders>
            <w:shd w:val="clear" w:color="auto" w:fill="D2D2D2"/>
          </w:tcPr>
          <w:p>
            <w:pPr/>
          </w:p>
        </w:tc>
        <w:tc>
          <w:tcPr>
            <w:tcW w:w="359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9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99"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77" w:type="dxa"/>
            <w:vMerge/>
            <w:tcBorders>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9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162" w:hRule="exact"/>
        </w:trPr>
        <w:tc>
          <w:tcPr>
            <w:tcW w:w="1977"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9" w:space="0" w:color="D2D2D2"/>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134,125,335.</w:t>
            </w:r>
          </w:p>
          <w:p>
            <w:pPr>
              <w:pStyle w:val="TableParagraph"/>
              <w:spacing w:line="240" w:lineRule="auto" w:before="76"/>
              <w:ind w:right="23"/>
              <w:jc w:val="right"/>
              <w:rPr>
                <w:rFonts w:ascii="宋体" w:hAnsi="宋体" w:cs="宋体" w:eastAsia="宋体" w:hint="default"/>
                <w:sz w:val="18"/>
                <w:szCs w:val="18"/>
              </w:rPr>
            </w:pPr>
            <w:r>
              <w:rPr>
                <w:rFonts w:ascii="宋体"/>
                <w:sz w:val="18"/>
              </w:rPr>
              <w:t>93</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49,727,018.2</w:t>
            </w:r>
          </w:p>
          <w:p>
            <w:pPr>
              <w:pStyle w:val="TableParagraph"/>
              <w:spacing w:line="240" w:lineRule="auto" w:before="76"/>
              <w:ind w:right="20"/>
              <w:jc w:val="right"/>
              <w:rPr>
                <w:rFonts w:ascii="宋体" w:hAnsi="宋体" w:cs="宋体" w:eastAsia="宋体" w:hint="default"/>
                <w:sz w:val="18"/>
                <w:szCs w:val="18"/>
              </w:rPr>
            </w:pPr>
            <w:r>
              <w:rPr>
                <w:rFonts w:ascii="宋体"/>
                <w:sz w:val="18"/>
              </w:rPr>
              <w:t>1</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84,398,317.7</w:t>
            </w:r>
          </w:p>
          <w:p>
            <w:pPr>
              <w:pStyle w:val="TableParagraph"/>
              <w:spacing w:line="240" w:lineRule="auto" w:before="76"/>
              <w:ind w:right="23"/>
              <w:jc w:val="right"/>
              <w:rPr>
                <w:rFonts w:ascii="宋体" w:hAnsi="宋体" w:cs="宋体" w:eastAsia="宋体" w:hint="default"/>
                <w:sz w:val="18"/>
                <w:szCs w:val="18"/>
              </w:rPr>
            </w:pPr>
            <w:r>
              <w:rPr>
                <w:rFonts w:ascii="宋体"/>
                <w:sz w:val="18"/>
              </w:rPr>
              <w:t>2</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208,782,270.9</w:t>
            </w:r>
          </w:p>
          <w:p>
            <w:pPr>
              <w:pStyle w:val="TableParagraph"/>
              <w:spacing w:line="240" w:lineRule="auto" w:before="76"/>
              <w:ind w:right="23"/>
              <w:jc w:val="right"/>
              <w:rPr>
                <w:rFonts w:ascii="宋体" w:hAnsi="宋体" w:cs="宋体" w:eastAsia="宋体" w:hint="default"/>
                <w:sz w:val="18"/>
                <w:szCs w:val="18"/>
              </w:rPr>
            </w:pPr>
            <w:r>
              <w:rPr>
                <w:rFonts w:ascii="宋体"/>
                <w:sz w:val="18"/>
              </w:rPr>
              <w:t>1</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208,782,270.91</w:t>
            </w:r>
          </w:p>
        </w:tc>
      </w:tr>
      <w:tr>
        <w:trPr>
          <w:trHeight w:val="391" w:hRule="exact"/>
        </w:trPr>
        <w:tc>
          <w:tcPr>
            <w:tcW w:w="19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207"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1" w:hRule="exact"/>
        </w:trPr>
        <w:tc>
          <w:tcPr>
            <w:tcW w:w="19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r>
        <w:trPr>
          <w:trHeight w:val="162" w:hRule="exact"/>
        </w:trPr>
        <w:tc>
          <w:tcPr>
            <w:tcW w:w="1977"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9" w:space="0" w:color="D2D2D2"/>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60,650,256.9</w:t>
            </w:r>
          </w:p>
          <w:p>
            <w:pPr>
              <w:pStyle w:val="TableParagraph"/>
              <w:spacing w:line="240" w:lineRule="auto" w:before="76"/>
              <w:ind w:right="23"/>
              <w:jc w:val="right"/>
              <w:rPr>
                <w:rFonts w:ascii="宋体" w:hAnsi="宋体" w:cs="宋体" w:eastAsia="宋体" w:hint="default"/>
                <w:sz w:val="18"/>
                <w:szCs w:val="18"/>
              </w:rPr>
            </w:pPr>
            <w:r>
              <w:rPr>
                <w:rFonts w:ascii="宋体"/>
                <w:sz w:val="18"/>
              </w:rPr>
              <w:t>9</w:t>
            </w:r>
          </w:p>
        </w:tc>
        <w:tc>
          <w:tcPr>
            <w:tcW w:w="1196"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60,650,256.9</w:t>
            </w:r>
          </w:p>
          <w:p>
            <w:pPr>
              <w:pStyle w:val="TableParagraph"/>
              <w:spacing w:line="240" w:lineRule="auto" w:before="76"/>
              <w:ind w:right="23"/>
              <w:jc w:val="right"/>
              <w:rPr>
                <w:rFonts w:ascii="宋体" w:hAnsi="宋体" w:cs="宋体" w:eastAsia="宋体" w:hint="default"/>
                <w:sz w:val="18"/>
                <w:szCs w:val="18"/>
              </w:rPr>
            </w:pPr>
            <w:r>
              <w:rPr>
                <w:rFonts w:ascii="宋体"/>
                <w:sz w:val="18"/>
              </w:rPr>
              <w:t>9</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331,384,618.9</w:t>
            </w:r>
          </w:p>
          <w:p>
            <w:pPr>
              <w:pStyle w:val="TableParagraph"/>
              <w:spacing w:line="240" w:lineRule="auto" w:before="76"/>
              <w:ind w:right="23"/>
              <w:jc w:val="right"/>
              <w:rPr>
                <w:rFonts w:ascii="宋体" w:hAnsi="宋体" w:cs="宋体" w:eastAsia="宋体" w:hint="default"/>
                <w:sz w:val="18"/>
                <w:szCs w:val="18"/>
              </w:rPr>
            </w:pPr>
            <w:r>
              <w:rPr>
                <w:rFonts w:ascii="宋体"/>
                <w:sz w:val="18"/>
              </w:rPr>
              <w:t>8</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331,384,618.98</w:t>
            </w:r>
          </w:p>
        </w:tc>
      </w:tr>
      <w:tr>
        <w:trPr>
          <w:trHeight w:val="391" w:hRule="exact"/>
        </w:trPr>
        <w:tc>
          <w:tcPr>
            <w:tcW w:w="19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207"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1" w:hRule="exact"/>
        </w:trPr>
        <w:tc>
          <w:tcPr>
            <w:tcW w:w="19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r>
        <w:trPr>
          <w:trHeight w:val="162" w:hRule="exact"/>
        </w:trPr>
        <w:tc>
          <w:tcPr>
            <w:tcW w:w="1977"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9" w:space="0" w:color="D2D2D2"/>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50,445,756.9</w:t>
            </w:r>
          </w:p>
          <w:p>
            <w:pPr>
              <w:pStyle w:val="TableParagraph"/>
              <w:spacing w:line="240" w:lineRule="auto" w:before="76"/>
              <w:ind w:right="23"/>
              <w:jc w:val="right"/>
              <w:rPr>
                <w:rFonts w:ascii="宋体" w:hAnsi="宋体" w:cs="宋体" w:eastAsia="宋体" w:hint="default"/>
                <w:sz w:val="18"/>
                <w:szCs w:val="18"/>
              </w:rPr>
            </w:pPr>
            <w:r>
              <w:rPr>
                <w:rFonts w:ascii="宋体"/>
                <w:sz w:val="18"/>
              </w:rPr>
              <w:t>9</w:t>
            </w:r>
          </w:p>
        </w:tc>
        <w:tc>
          <w:tcPr>
            <w:tcW w:w="1196"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50,445,756.9</w:t>
            </w:r>
          </w:p>
          <w:p>
            <w:pPr>
              <w:pStyle w:val="TableParagraph"/>
              <w:spacing w:line="240" w:lineRule="auto" w:before="76"/>
              <w:ind w:right="23"/>
              <w:jc w:val="right"/>
              <w:rPr>
                <w:rFonts w:ascii="宋体" w:hAnsi="宋体" w:cs="宋体" w:eastAsia="宋体" w:hint="default"/>
                <w:sz w:val="18"/>
                <w:szCs w:val="18"/>
              </w:rPr>
            </w:pPr>
            <w:r>
              <w:rPr>
                <w:rFonts w:ascii="宋体"/>
                <w:sz w:val="18"/>
              </w:rPr>
              <w:t>9</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sz w:val="18"/>
              </w:rPr>
              <w:t>75,180,118.98</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4" w:right="0"/>
              <w:jc w:val="left"/>
              <w:rPr>
                <w:rFonts w:ascii="宋体" w:hAnsi="宋体" w:cs="宋体" w:eastAsia="宋体" w:hint="default"/>
                <w:sz w:val="18"/>
                <w:szCs w:val="18"/>
              </w:rPr>
            </w:pPr>
            <w:r>
              <w:rPr>
                <w:rFonts w:ascii="宋体"/>
                <w:sz w:val="18"/>
              </w:rPr>
              <w:t>75,180,118.98</w:t>
            </w:r>
          </w:p>
        </w:tc>
      </w:tr>
      <w:tr>
        <w:trPr>
          <w:trHeight w:val="391" w:hRule="exact"/>
        </w:trPr>
        <w:tc>
          <w:tcPr>
            <w:tcW w:w="19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按公允价值计量的</w:t>
            </w:r>
          </w:p>
        </w:tc>
        <w:tc>
          <w:tcPr>
            <w:tcW w:w="1207"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1" w:hRule="exact"/>
        </w:trPr>
        <w:tc>
          <w:tcPr>
            <w:tcW w:w="19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r>
        <w:trPr>
          <w:trHeight w:val="162" w:hRule="exact"/>
        </w:trPr>
        <w:tc>
          <w:tcPr>
            <w:tcW w:w="1977"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9" w:space="0" w:color="D2D2D2"/>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10,204,500.0</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1196"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10,204,500.0</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256,204,500.0</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256,204,500.00</w:t>
            </w:r>
          </w:p>
        </w:tc>
      </w:tr>
      <w:tr>
        <w:trPr>
          <w:trHeight w:val="391" w:hRule="exact"/>
        </w:trPr>
        <w:tc>
          <w:tcPr>
            <w:tcW w:w="19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207"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1" w:hRule="exact"/>
        </w:trPr>
        <w:tc>
          <w:tcPr>
            <w:tcW w:w="19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r>
        <w:trPr>
          <w:trHeight w:val="162" w:hRule="exact"/>
        </w:trPr>
        <w:tc>
          <w:tcPr>
            <w:tcW w:w="1977"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9" w:space="0" w:color="D2D2D2"/>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194,775,592.</w:t>
            </w:r>
          </w:p>
          <w:p>
            <w:pPr>
              <w:pStyle w:val="TableParagraph"/>
              <w:spacing w:line="240" w:lineRule="auto" w:before="77"/>
              <w:ind w:right="23"/>
              <w:jc w:val="right"/>
              <w:rPr>
                <w:rFonts w:ascii="宋体" w:hAnsi="宋体" w:cs="宋体" w:eastAsia="宋体" w:hint="default"/>
                <w:sz w:val="18"/>
                <w:szCs w:val="18"/>
              </w:rPr>
            </w:pPr>
            <w:r>
              <w:rPr>
                <w:rFonts w:ascii="宋体"/>
                <w:sz w:val="18"/>
              </w:rPr>
              <w:t>92</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49,727,018.2</w:t>
            </w:r>
          </w:p>
          <w:p>
            <w:pPr>
              <w:pStyle w:val="TableParagraph"/>
              <w:spacing w:line="240" w:lineRule="auto" w:before="77"/>
              <w:ind w:right="20"/>
              <w:jc w:val="right"/>
              <w:rPr>
                <w:rFonts w:ascii="宋体" w:hAnsi="宋体" w:cs="宋体" w:eastAsia="宋体" w:hint="default"/>
                <w:sz w:val="18"/>
                <w:szCs w:val="18"/>
              </w:rPr>
            </w:pPr>
            <w:r>
              <w:rPr>
                <w:rFonts w:ascii="宋体"/>
                <w:sz w:val="18"/>
              </w:rPr>
              <w:t>1</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145,048,574.</w:t>
            </w:r>
          </w:p>
          <w:p>
            <w:pPr>
              <w:pStyle w:val="TableParagraph"/>
              <w:spacing w:line="240" w:lineRule="auto" w:before="77"/>
              <w:ind w:right="23"/>
              <w:jc w:val="right"/>
              <w:rPr>
                <w:rFonts w:ascii="宋体" w:hAnsi="宋体" w:cs="宋体" w:eastAsia="宋体" w:hint="default"/>
                <w:sz w:val="18"/>
                <w:szCs w:val="18"/>
              </w:rPr>
            </w:pPr>
            <w:r>
              <w:rPr>
                <w:rFonts w:ascii="宋体"/>
                <w:sz w:val="18"/>
              </w:rPr>
              <w:t>71</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540,166,889.8</w:t>
            </w:r>
          </w:p>
          <w:p>
            <w:pPr>
              <w:pStyle w:val="TableParagraph"/>
              <w:spacing w:line="240" w:lineRule="auto" w:before="77"/>
              <w:ind w:right="23"/>
              <w:jc w:val="right"/>
              <w:rPr>
                <w:rFonts w:ascii="宋体" w:hAnsi="宋体" w:cs="宋体" w:eastAsia="宋体" w:hint="default"/>
                <w:sz w:val="18"/>
                <w:szCs w:val="18"/>
              </w:rPr>
            </w:pPr>
            <w:r>
              <w:rPr>
                <w:rFonts w:ascii="宋体"/>
                <w:sz w:val="18"/>
              </w:rPr>
              <w:t>9</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540,166,889.89</w:t>
            </w:r>
          </w:p>
        </w:tc>
      </w:tr>
      <w:tr>
        <w:trPr>
          <w:trHeight w:val="392" w:hRule="exact"/>
        </w:trPr>
        <w:tc>
          <w:tcPr>
            <w:tcW w:w="19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7"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2" w:hRule="exact"/>
        </w:trPr>
        <w:tc>
          <w:tcPr>
            <w:tcW w:w="19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期末按公允价值计量的可供出售金融资产" w:id="248"/>
      <w:bookmarkEnd w:id="248"/>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）期末按公允价值计量的可供出售金融资产</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33" w:type="dxa"/>
        <w:tblLayout w:type="fixed"/>
        <w:tblCellMar>
          <w:top w:w="0" w:type="dxa"/>
          <w:left w:w="0" w:type="dxa"/>
          <w:bottom w:w="0" w:type="dxa"/>
          <w:right w:w="0" w:type="dxa"/>
        </w:tblCellMar>
        <w:tblLook w:val="01E0"/>
      </w:tblPr>
      <w:tblGrid>
        <w:gridCol w:w="4308"/>
        <w:gridCol w:w="1875"/>
        <w:gridCol w:w="1863"/>
        <w:gridCol w:w="1638"/>
      </w:tblGrid>
      <w:tr>
        <w:trPr>
          <w:trHeight w:val="403" w:hRule="exact"/>
        </w:trPr>
        <w:tc>
          <w:tcPr>
            <w:tcW w:w="4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49"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8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7"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6"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4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权益工具的成本</w:t>
            </w:r>
            <w:r>
              <w:rPr>
                <w:rFonts w:ascii="宋体" w:hAnsi="宋体" w:cs="宋体" w:eastAsia="宋体" w:hint="default"/>
                <w:sz w:val="18"/>
                <w:szCs w:val="18"/>
              </w:rPr>
              <w:t>/</w:t>
            </w:r>
            <w:r>
              <w:rPr>
                <w:rFonts w:ascii="宋体" w:hAnsi="宋体" w:cs="宋体" w:eastAsia="宋体" w:hint="default"/>
                <w:sz w:val="18"/>
                <w:szCs w:val="18"/>
              </w:rPr>
              <w:t>债务工具的摊余成本</w:t>
            </w:r>
          </w:p>
        </w:tc>
        <w:tc>
          <w:tcPr>
            <w:tcW w:w="18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70,629,300.00</w:t>
            </w:r>
          </w:p>
        </w:tc>
        <w:tc>
          <w:tcPr>
            <w:tcW w:w="1863" w:type="dxa"/>
            <w:tcBorders>
              <w:top w:val="single" w:sz="4" w:space="0" w:color="000000"/>
              <w:left w:val="single" w:sz="4" w:space="0" w:color="000000"/>
              <w:bottom w:val="single" w:sz="4" w:space="0" w:color="000000"/>
              <w:right w:val="single" w:sz="4" w:space="0" w:color="000000"/>
            </w:tcBorders>
          </w:tcPr>
          <w:p>
            <w:pP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70,629,300.00</w:t>
            </w:r>
          </w:p>
        </w:tc>
      </w:tr>
      <w:tr>
        <w:trPr>
          <w:trHeight w:val="402" w:hRule="exact"/>
        </w:trPr>
        <w:tc>
          <w:tcPr>
            <w:tcW w:w="4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8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50,445,756.99</w:t>
            </w:r>
          </w:p>
        </w:tc>
        <w:tc>
          <w:tcPr>
            <w:tcW w:w="1863" w:type="dxa"/>
            <w:tcBorders>
              <w:top w:val="single" w:sz="4" w:space="0" w:color="000000"/>
              <w:left w:val="single" w:sz="4" w:space="0" w:color="000000"/>
              <w:bottom w:val="single" w:sz="4" w:space="0" w:color="000000"/>
              <w:right w:val="single" w:sz="4" w:space="0" w:color="000000"/>
            </w:tcBorders>
          </w:tcPr>
          <w:p>
            <w:pP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50,445,756.99</w:t>
            </w:r>
          </w:p>
        </w:tc>
      </w:tr>
      <w:tr>
        <w:trPr>
          <w:trHeight w:val="403" w:hRule="exact"/>
        </w:trPr>
        <w:tc>
          <w:tcPr>
            <w:tcW w:w="4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累计计入其他综合收益的公允价值变动金额</w:t>
            </w:r>
          </w:p>
        </w:tc>
        <w:tc>
          <w:tcPr>
            <w:tcW w:w="18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-20,183,543.01</w:t>
            </w:r>
          </w:p>
        </w:tc>
        <w:tc>
          <w:tcPr>
            <w:tcW w:w="1863" w:type="dxa"/>
            <w:tcBorders>
              <w:top w:val="single" w:sz="4" w:space="0" w:color="000000"/>
              <w:left w:val="single" w:sz="4" w:space="0" w:color="000000"/>
              <w:bottom w:val="single" w:sz="4" w:space="0" w:color="000000"/>
              <w:right w:val="single" w:sz="4" w:space="0" w:color="000000"/>
            </w:tcBorders>
          </w:tcPr>
          <w:p>
            <w:pP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-20,183,543.01</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期末按成本计量的可供出售金融资产" w:id="249"/>
      <w:bookmarkEnd w:id="249"/>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）期末按成本计量的可供出售金融资产</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402" w:hRule="exact"/>
        </w:trPr>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35"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49" w:right="68"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63" w:type="dxa"/>
            <w:vMerge/>
            <w:tcBorders>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vMerge/>
            <w:tcBorders>
              <w:left w:val="single" w:sz="4" w:space="0" w:color="000000"/>
              <w:bottom w:val="single" w:sz="4" w:space="0" w:color="000000"/>
              <w:right w:val="single" w:sz="4" w:space="0" w:color="000000"/>
            </w:tcBorders>
            <w:shd w:val="clear" w:color="auto" w:fill="D2D2D2"/>
          </w:tcPr>
          <w:p>
            <w:pPr/>
          </w:p>
        </w:tc>
        <w:tc>
          <w:tcPr>
            <w:tcW w:w="870"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新浪阅读</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z w:val="18"/>
                <w:szCs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250,000,0</w:t>
            </w:r>
          </w:p>
          <w:p>
            <w:pPr>
              <w:pStyle w:val="TableParagraph"/>
              <w:spacing w:line="240" w:lineRule="auto" w:before="77"/>
              <w:ind w:left="386" w:right="0"/>
              <w:jc w:val="left"/>
              <w:rPr>
                <w:rFonts w:ascii="宋体" w:hAnsi="宋体" w:cs="宋体" w:eastAsia="宋体" w:hint="default"/>
                <w:sz w:val="18"/>
                <w:szCs w:val="18"/>
              </w:rPr>
            </w:pPr>
            <w:r>
              <w:rPr>
                <w:rFonts w:ascii="宋体"/>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250,000,0</w:t>
            </w:r>
          </w:p>
          <w:p>
            <w:pPr>
              <w:pStyle w:val="TableParagraph"/>
              <w:spacing w:line="240" w:lineRule="auto" w:before="77"/>
              <w:ind w:left="386" w:right="0"/>
              <w:jc w:val="left"/>
              <w:rPr>
                <w:rFonts w:ascii="宋体" w:hAnsi="宋体" w:cs="宋体" w:eastAsia="宋体" w:hint="default"/>
                <w:sz w:val="18"/>
                <w:szCs w:val="18"/>
              </w:rPr>
            </w:pPr>
            <w:r>
              <w:rPr>
                <w:rFonts w:ascii="宋体"/>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弹幕网络</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138,500,0</w:t>
            </w:r>
          </w:p>
          <w:p>
            <w:pPr>
              <w:pStyle w:val="TableParagraph"/>
              <w:spacing w:line="240" w:lineRule="auto" w:before="77"/>
              <w:ind w:left="386" w:right="0"/>
              <w:jc w:val="left"/>
              <w:rPr>
                <w:rFonts w:ascii="宋体" w:hAnsi="宋体" w:cs="宋体" w:eastAsia="宋体" w:hint="default"/>
                <w:sz w:val="18"/>
                <w:szCs w:val="18"/>
              </w:rPr>
            </w:pPr>
            <w:r>
              <w:rPr>
                <w:rFonts w:ascii="宋体"/>
                <w:sz w:val="18"/>
              </w:rPr>
              <w:t>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138,500,0</w:t>
            </w:r>
          </w:p>
          <w:p>
            <w:pPr>
              <w:pStyle w:val="TableParagraph"/>
              <w:spacing w:line="240" w:lineRule="auto" w:before="77"/>
              <w:ind w:left="386" w:right="0"/>
              <w:jc w:val="left"/>
              <w:rPr>
                <w:rFonts w:ascii="宋体" w:hAnsi="宋体" w:cs="宋体" w:eastAsia="宋体" w:hint="default"/>
                <w:sz w:val="18"/>
                <w:szCs w:val="18"/>
              </w:rPr>
            </w:pPr>
            <w:r>
              <w:rPr>
                <w:rFonts w:ascii="宋体"/>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珠海远洋 互动科技 有限公司</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sz w:val="18"/>
              </w:rPr>
              <w:t>4,000,000</w:t>
            </w:r>
          </w:p>
          <w:p>
            <w:pPr>
              <w:pStyle w:val="TableParagraph"/>
              <w:spacing w:line="240" w:lineRule="auto" w:before="78"/>
              <w:ind w:left="566" w:right="0"/>
              <w:jc w:val="left"/>
              <w:rPr>
                <w:rFonts w:ascii="宋体" w:hAnsi="宋体" w:cs="宋体" w:eastAsia="宋体" w:hint="default"/>
                <w:sz w:val="18"/>
                <w:szCs w:val="18"/>
              </w:rPr>
            </w:pPr>
            <w:r>
              <w:rPr>
                <w:rFonts w:ascii="宋体"/>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sz w:val="18"/>
              </w:rPr>
              <w:t>4,000,000</w:t>
            </w:r>
          </w:p>
          <w:p>
            <w:pPr>
              <w:pStyle w:val="TableParagraph"/>
              <w:spacing w:line="240" w:lineRule="auto" w:before="78"/>
              <w:ind w:left="566" w:right="0"/>
              <w:jc w:val="left"/>
              <w:rPr>
                <w:rFonts w:ascii="宋体" w:hAnsi="宋体" w:cs="宋体" w:eastAsia="宋体" w:hint="default"/>
                <w:sz w:val="18"/>
                <w:szCs w:val="18"/>
              </w:rPr>
            </w:pPr>
            <w:r>
              <w:rPr>
                <w:rFonts w:ascii="宋体"/>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86" w:right="0"/>
              <w:jc w:val="left"/>
              <w:rPr>
                <w:rFonts w:ascii="宋体" w:hAnsi="宋体" w:cs="宋体" w:eastAsia="宋体" w:hint="default"/>
                <w:sz w:val="18"/>
                <w:szCs w:val="18"/>
              </w:rPr>
            </w:pPr>
            <w:r>
              <w:rPr>
                <w:rFonts w:ascii="宋体"/>
                <w:sz w:val="18"/>
              </w:rPr>
              <w:t>8.00%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天津量子 时代网络 科技有限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sz w:val="18"/>
              </w:rPr>
              <w:t>85,500.00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sz w:val="18"/>
              </w:rPr>
              <w:t>85,500.00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96" w:right="0"/>
              <w:jc w:val="left"/>
              <w:rPr>
                <w:rFonts w:ascii="宋体" w:hAnsi="宋体" w:cs="宋体" w:eastAsia="宋体" w:hint="default"/>
                <w:sz w:val="18"/>
                <w:szCs w:val="18"/>
              </w:rPr>
            </w:pPr>
            <w:r>
              <w:rPr>
                <w:rFonts w:ascii="宋体"/>
                <w:sz w:val="18"/>
              </w:rPr>
              <w:t>11.80%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sz w:val="18"/>
              </w:rPr>
              <w:t>MOOC</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6,119,000</w:t>
            </w:r>
          </w:p>
          <w:p>
            <w:pPr>
              <w:pStyle w:val="TableParagraph"/>
              <w:spacing w:line="240" w:lineRule="auto" w:before="77"/>
              <w:ind w:left="566" w:right="0"/>
              <w:jc w:val="left"/>
              <w:rPr>
                <w:rFonts w:ascii="宋体" w:hAnsi="宋体" w:cs="宋体" w:eastAsia="宋体" w:hint="default"/>
                <w:sz w:val="18"/>
                <w:szCs w:val="18"/>
              </w:rPr>
            </w:pPr>
            <w:r>
              <w:rPr>
                <w:rFonts w:ascii="宋体"/>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6,119,000</w:t>
            </w:r>
          </w:p>
          <w:p>
            <w:pPr>
              <w:pStyle w:val="TableParagraph"/>
              <w:spacing w:line="240" w:lineRule="auto" w:before="77"/>
              <w:ind w:left="566" w:right="0"/>
              <w:jc w:val="left"/>
              <w:rPr>
                <w:rFonts w:ascii="宋体" w:hAnsi="宋体" w:cs="宋体" w:eastAsia="宋体" w:hint="default"/>
                <w:sz w:val="18"/>
                <w:szCs w:val="18"/>
              </w:rPr>
            </w:pPr>
            <w:r>
              <w:rPr>
                <w:rFonts w:ascii="宋体"/>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86" w:right="0"/>
              <w:jc w:val="left"/>
              <w:rPr>
                <w:rFonts w:ascii="宋体" w:hAnsi="宋体" w:cs="宋体" w:eastAsia="宋体" w:hint="default"/>
                <w:sz w:val="18"/>
                <w:szCs w:val="18"/>
              </w:rPr>
            </w:pPr>
            <w:r>
              <w:rPr>
                <w:rFonts w:ascii="宋体"/>
                <w:sz w:val="18"/>
              </w:rPr>
              <w:t>1.33%</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256,204,5</w:t>
            </w:r>
          </w:p>
          <w:p>
            <w:pPr>
              <w:pStyle w:val="TableParagraph"/>
              <w:spacing w:line="240" w:lineRule="auto" w:before="77"/>
              <w:ind w:left="386" w:right="0"/>
              <w:jc w:val="left"/>
              <w:rPr>
                <w:rFonts w:ascii="宋体" w:hAnsi="宋体" w:cs="宋体" w:eastAsia="宋体" w:hint="default"/>
                <w:sz w:val="18"/>
                <w:szCs w:val="18"/>
              </w:rPr>
            </w:pPr>
            <w:r>
              <w:rPr>
                <w:rFonts w:ascii="宋体"/>
                <w:sz w:val="18"/>
              </w:rPr>
              <w:t>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142,500,0</w:t>
            </w:r>
          </w:p>
          <w:p>
            <w:pPr>
              <w:pStyle w:val="TableParagraph"/>
              <w:spacing w:line="240" w:lineRule="auto" w:before="77"/>
              <w:ind w:left="386" w:right="0"/>
              <w:jc w:val="left"/>
              <w:rPr>
                <w:rFonts w:ascii="宋体" w:hAnsi="宋体" w:cs="宋体" w:eastAsia="宋体" w:hint="default"/>
                <w:sz w:val="18"/>
                <w:szCs w:val="18"/>
              </w:rPr>
            </w:pPr>
            <w:r>
              <w:rPr>
                <w:rFonts w:ascii="宋体"/>
                <w:sz w:val="18"/>
              </w:rPr>
              <w:t>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388,500,0</w:t>
            </w:r>
          </w:p>
          <w:p>
            <w:pPr>
              <w:pStyle w:val="TableParagraph"/>
              <w:spacing w:line="240" w:lineRule="auto" w:before="77"/>
              <w:ind w:left="386" w:right="0"/>
              <w:jc w:val="left"/>
              <w:rPr>
                <w:rFonts w:ascii="宋体" w:hAnsi="宋体" w:cs="宋体" w:eastAsia="宋体" w:hint="default"/>
                <w:sz w:val="18"/>
                <w:szCs w:val="18"/>
              </w:rPr>
            </w:pPr>
            <w:r>
              <w:rPr>
                <w:rFonts w:ascii="宋体"/>
                <w:sz w:val="18"/>
              </w:rPr>
              <w:t>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sz w:val="18"/>
              </w:rPr>
              <w:t>10,204,50</w:t>
            </w:r>
          </w:p>
          <w:p>
            <w:pPr>
              <w:pStyle w:val="TableParagraph"/>
              <w:spacing w:line="240" w:lineRule="auto" w:before="77"/>
              <w:ind w:left="476" w:right="0"/>
              <w:jc w:val="left"/>
              <w:rPr>
                <w:rFonts w:ascii="宋体" w:hAnsi="宋体" w:cs="宋体" w:eastAsia="宋体" w:hint="default"/>
                <w:sz w:val="18"/>
                <w:szCs w:val="18"/>
              </w:rPr>
            </w:pPr>
            <w:r>
              <w:rPr>
                <w:rFonts w:ascii="宋体"/>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9" w:right="0"/>
              <w:jc w:val="left"/>
              <w:rPr>
                <w:rFonts w:ascii="宋体" w:hAnsi="宋体" w:cs="宋体" w:eastAsia="宋体" w:hint="default"/>
                <w:sz w:val="18"/>
                <w:szCs w:val="18"/>
              </w:rPr>
            </w:pPr>
            <w:r>
              <w:rPr>
                <w:rFonts w:ascii="宋体"/>
                <w:sz w:val="18"/>
              </w:rPr>
              <w:t>--</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4）报告期内可供出售金融资产减值的变动情况" w:id="250"/>
      <w:bookmarkEnd w:id="250"/>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）报告期内可供出售金融资产减值的变动情况</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33" w:type="dxa"/>
        <w:tblLayout w:type="fixed"/>
        <w:tblCellMar>
          <w:top w:w="0" w:type="dxa"/>
          <w:left w:w="0" w:type="dxa"/>
          <w:bottom w:w="0" w:type="dxa"/>
          <w:right w:w="0" w:type="dxa"/>
        </w:tblCellMar>
        <w:tblLook w:val="01E0"/>
      </w:tblPr>
      <w:tblGrid>
        <w:gridCol w:w="2400"/>
        <w:gridCol w:w="2435"/>
        <w:gridCol w:w="2424"/>
        <w:gridCol w:w="2424"/>
      </w:tblGrid>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4"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2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7"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5"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2435" w:type="dxa"/>
            <w:tcBorders>
              <w:top w:val="single" w:sz="4" w:space="0" w:color="000000"/>
              <w:left w:val="single" w:sz="13" w:space="0" w:color="D2D2D2"/>
              <w:bottom w:val="single" w:sz="4" w:space="0" w:color="000000"/>
              <w:right w:val="single" w:sz="4" w:space="0" w:color="000000"/>
            </w:tcBorders>
          </w:tcPr>
          <w:p>
            <w:pP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49,727,018.21</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49,727,018.21</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期末已计提减值余额</w:t>
            </w:r>
          </w:p>
        </w:tc>
        <w:tc>
          <w:tcPr>
            <w:tcW w:w="2435" w:type="dxa"/>
            <w:tcBorders>
              <w:top w:val="single" w:sz="4" w:space="0" w:color="000000"/>
              <w:left w:val="single" w:sz="13" w:space="0" w:color="D2D2D2"/>
              <w:bottom w:val="single" w:sz="4" w:space="0" w:color="000000"/>
              <w:right w:val="single" w:sz="4" w:space="0" w:color="000000"/>
            </w:tcBorders>
          </w:tcPr>
          <w:p>
            <w:pP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49,727,018.21</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49,727,018.21</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可供出售权益工具期末公允价值严重下跌或非暂时性下跌但未计提减值准备的相关说" w:id="251"/>
      <w:bookmarkEnd w:id="251"/>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）可供出售权益工具期末公允价值严重下跌或非暂时性下跌但未计提减值准备的相关说明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left="634" w:right="1092"/>
        <w:jc w:val="left"/>
      </w:pPr>
      <w:r>
        <w:rPr/>
        <w:t>其他说明</w:t>
      </w:r>
    </w:p>
    <w:p>
      <w:pPr>
        <w:spacing w:line="240" w:lineRule="auto" w:before="4"/>
        <w:rPr>
          <w:rFonts w:ascii="宋体" w:hAnsi="宋体" w:cs="宋体" w:eastAsia="宋体" w:hint="default"/>
          <w:sz w:val="19"/>
          <w:szCs w:val="19"/>
        </w:rPr>
      </w:pPr>
    </w:p>
    <w:p>
      <w:pPr>
        <w:pStyle w:val="BodyText"/>
        <w:spacing w:line="357" w:lineRule="auto"/>
        <w:ind w:right="1137" w:firstLine="480"/>
        <w:jc w:val="both"/>
      </w:pPr>
      <w:r>
        <w:rPr/>
        <w:t>注</w:t>
      </w:r>
      <w:r>
        <w:rPr>
          <w:spacing w:val="3"/>
        </w:rPr>
        <w:t> </w:t>
      </w:r>
      <w:r>
        <w:rPr>
          <w:rFonts w:ascii="宋体" w:hAnsi="宋体" w:cs="宋体" w:eastAsia="宋体" w:hint="default"/>
        </w:rPr>
        <w:t>1</w:t>
      </w:r>
      <w:r>
        <w:rPr/>
        <w:t>：可供出售债务工具为本集团投资的合作影视剧拍摄项目。本集团于年末对于可供 出售金融资产中已于本年到期但未按期收回之影视产品投资进行个别认定并根据其可收回金 额计提坏账准备。</w:t>
      </w:r>
    </w:p>
    <w:p>
      <w:pPr>
        <w:pStyle w:val="BodyText"/>
        <w:spacing w:line="357" w:lineRule="auto" w:before="136"/>
        <w:ind w:right="999" w:firstLine="480"/>
        <w:jc w:val="left"/>
      </w:pPr>
      <w:r>
        <w:rPr/>
        <w:t>注</w:t>
      </w:r>
      <w:r>
        <w:rPr>
          <w:spacing w:val="-65"/>
        </w:rPr>
        <w:t> </w:t>
      </w:r>
      <w:r>
        <w:rPr>
          <w:rFonts w:ascii="宋体" w:hAnsi="宋体" w:cs="宋体" w:eastAsia="宋体" w:hint="default"/>
          <w:spacing w:val="-7"/>
        </w:rPr>
        <w:t>2</w:t>
      </w:r>
      <w:r>
        <w:rPr>
          <w:spacing w:val="-7"/>
        </w:rPr>
        <w:t>：</w:t>
      </w:r>
      <w:r>
        <w:rPr>
          <w:rFonts w:ascii="宋体" w:hAnsi="宋体" w:cs="宋体" w:eastAsia="宋体" w:hint="default"/>
          <w:spacing w:val="-7"/>
        </w:rPr>
        <w:t>2016</w:t>
      </w:r>
      <w:r>
        <w:rPr>
          <w:rFonts w:ascii="宋体" w:hAnsi="宋体" w:cs="宋体" w:eastAsia="宋体" w:hint="default"/>
          <w:spacing w:val="-65"/>
        </w:rPr>
        <w:t> </w:t>
      </w:r>
      <w:r>
        <w:rPr/>
        <w:t>年</w:t>
      </w:r>
      <w:r>
        <w:rPr>
          <w:spacing w:val="-65"/>
        </w:rPr>
        <w:t> </w:t>
      </w:r>
      <w:r>
        <w:rPr>
          <w:rFonts w:ascii="宋体" w:hAnsi="宋体" w:cs="宋体" w:eastAsia="宋体" w:hint="default"/>
        </w:rPr>
        <w:t>7</w:t>
      </w:r>
      <w:r>
        <w:rPr>
          <w:rFonts w:ascii="宋体" w:hAnsi="宋体" w:cs="宋体" w:eastAsia="宋体" w:hint="default"/>
          <w:spacing w:val="-65"/>
        </w:rPr>
        <w:t> </w:t>
      </w:r>
      <w:r>
        <w:rPr/>
        <w:t>月</w:t>
      </w:r>
      <w:r>
        <w:rPr>
          <w:spacing w:val="-65"/>
        </w:rPr>
        <w:t> </w:t>
      </w:r>
      <w:r>
        <w:rPr>
          <w:rFonts w:ascii="宋体" w:hAnsi="宋体" w:cs="宋体" w:eastAsia="宋体" w:hint="default"/>
        </w:rPr>
        <w:t>28</w:t>
      </w:r>
      <w:r>
        <w:rPr>
          <w:rFonts w:ascii="宋体" w:hAnsi="宋体" w:cs="宋体" w:eastAsia="宋体" w:hint="default"/>
          <w:spacing w:val="-65"/>
        </w:rPr>
        <w:t> </w:t>
      </w:r>
      <w:r>
        <w:rPr/>
        <w:t>日本公司第二届董事会第三十三次会议审议并通过了《关于出售资 </w:t>
      </w:r>
      <w:r>
        <w:rPr>
          <w:spacing w:val="-9"/>
        </w:rPr>
        <w:t>产的议案》，本公司与号百控股股份有限公司（以下简称“号百控股”）、中国电信集团公司、</w:t>
      </w:r>
      <w:r>
        <w:rPr>
          <w:spacing w:val="-102"/>
        </w:rPr>
        <w:t> </w:t>
      </w:r>
      <w:r>
        <w:rPr>
          <w:spacing w:val="-102"/>
        </w:rPr>
      </w:r>
      <w:r>
        <w:rPr/>
        <w:t>江苏凤凰出版传媒股份有限公司、新华网股份有限公司、杭州思本投资咨询合伙企业（有限 </w:t>
      </w:r>
      <w:r>
        <w:rPr>
          <w:spacing w:val="-14"/>
        </w:rPr>
        <w:t>合伙）、杭州万卷投资咨询合伙企业（有限合伙）签署了《发行股份及支付现金购买资产协议》，</w:t>
      </w:r>
      <w:r>
        <w:rPr>
          <w:spacing w:val="-82"/>
        </w:rPr>
        <w:t> </w:t>
      </w:r>
      <w:r>
        <w:rPr>
          <w:spacing w:val="-82"/>
        </w:rPr>
      </w:r>
      <w:r>
        <w:rPr>
          <w:spacing w:val="-3"/>
        </w:rPr>
        <w:t>本公司将其持有的天翼阅读文化传播有限公司（以下简称“天翼阅读”）</w:t>
      </w:r>
      <w:r>
        <w:rPr>
          <w:rFonts w:ascii="宋体" w:hAnsi="宋体" w:cs="宋体" w:eastAsia="宋体" w:hint="default"/>
          <w:spacing w:val="-3"/>
        </w:rPr>
        <w:t>10.526%</w:t>
      </w:r>
      <w:r>
        <w:rPr>
          <w:spacing w:val="-3"/>
        </w:rPr>
        <w:t>的股权出售</w:t>
      </w:r>
      <w:r>
        <w:rPr>
          <w:spacing w:val="-96"/>
        </w:rPr>
        <w:t> </w:t>
      </w:r>
      <w:r>
        <w:rPr>
          <w:spacing w:val="-96"/>
        </w:rPr>
      </w:r>
      <w:r>
        <w:rPr/>
        <w:t>给号百控股，交易对价为</w:t>
      </w:r>
      <w:r>
        <w:rPr>
          <w:spacing w:val="-47"/>
        </w:rPr>
        <w:t> </w:t>
      </w:r>
      <w:r>
        <w:rPr>
          <w:rFonts w:ascii="宋体" w:hAnsi="宋体" w:cs="宋体" w:eastAsia="宋体" w:hint="default"/>
        </w:rPr>
        <w:t>74,305,931.55</w:t>
      </w:r>
      <w:r>
        <w:rPr>
          <w:rFonts w:ascii="宋体" w:hAnsi="宋体" w:cs="宋体" w:eastAsia="宋体" w:hint="default"/>
          <w:spacing w:val="-47"/>
        </w:rPr>
        <w:t> </w:t>
      </w:r>
      <w:r>
        <w:rPr/>
        <w:t>元。</w:t>
      </w:r>
      <w:r>
        <w:rPr>
          <w:rFonts w:ascii="宋体" w:hAnsi="宋体" w:cs="宋体" w:eastAsia="宋体" w:hint="default"/>
        </w:rPr>
        <w:t>2017</w:t>
      </w:r>
      <w:r>
        <w:rPr>
          <w:rFonts w:ascii="宋体" w:hAnsi="宋体" w:cs="宋体" w:eastAsia="宋体" w:hint="default"/>
          <w:spacing w:val="-47"/>
        </w:rPr>
        <w:t> </w:t>
      </w:r>
      <w:r>
        <w:rPr/>
        <w:t>年</w:t>
      </w:r>
      <w:r>
        <w:rPr>
          <w:spacing w:val="-48"/>
        </w:rPr>
        <w:t> </w:t>
      </w:r>
      <w:r>
        <w:rPr>
          <w:rFonts w:ascii="宋体" w:hAnsi="宋体" w:cs="宋体" w:eastAsia="宋体" w:hint="default"/>
        </w:rPr>
        <w:t>2</w:t>
      </w:r>
      <w:r>
        <w:rPr>
          <w:rFonts w:ascii="宋体" w:hAnsi="宋体" w:cs="宋体" w:eastAsia="宋体" w:hint="default"/>
          <w:spacing w:val="-47"/>
        </w:rPr>
        <w:t> </w:t>
      </w:r>
      <w:r>
        <w:rPr/>
        <w:t>月</w:t>
      </w:r>
      <w:r>
        <w:rPr>
          <w:spacing w:val="-47"/>
        </w:rPr>
        <w:t> </w:t>
      </w:r>
      <w:r>
        <w:rPr>
          <w:rFonts w:ascii="宋体" w:hAnsi="宋体" w:cs="宋体" w:eastAsia="宋体" w:hint="default"/>
        </w:rPr>
        <w:t>21</w:t>
      </w:r>
      <w:r>
        <w:rPr>
          <w:rFonts w:ascii="宋体" w:hAnsi="宋体" w:cs="宋体" w:eastAsia="宋体" w:hint="default"/>
          <w:spacing w:val="-47"/>
        </w:rPr>
        <w:t> </w:t>
      </w:r>
      <w:r>
        <w:rPr/>
        <w:t>日，天翼阅读股权交割完毕，</w:t>
      </w:r>
    </w:p>
    <w:p>
      <w:pPr>
        <w:pStyle w:val="BodyText"/>
        <w:spacing w:line="240" w:lineRule="auto" w:before="36"/>
        <w:ind w:right="1092"/>
        <w:jc w:val="left"/>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10</w:t>
      </w:r>
      <w:r>
        <w:rPr>
          <w:rFonts w:ascii="宋体" w:hAnsi="宋体" w:cs="宋体" w:eastAsia="宋体" w:hint="default"/>
          <w:spacing w:val="-60"/>
        </w:rPr>
        <w:t> </w:t>
      </w:r>
      <w:r>
        <w:rPr>
          <w:spacing w:val="-3"/>
        </w:rPr>
        <w:t>日，号百控股完成了股权登记。交易完成后，本公司持有号百控股</w:t>
      </w:r>
      <w:r>
        <w:rPr>
          <w:spacing w:val="-60"/>
        </w:rPr>
        <w:t> </w:t>
      </w:r>
      <w:r>
        <w:rPr>
          <w:rFonts w:ascii="宋体" w:hAnsi="宋体" w:cs="宋体" w:eastAsia="宋体" w:hint="default"/>
        </w:rPr>
        <w:t>5,142,279</w:t>
      </w:r>
    </w:p>
    <w:p>
      <w:pPr>
        <w:pStyle w:val="BodyText"/>
        <w:spacing w:line="432" w:lineRule="auto" w:before="155"/>
        <w:ind w:left="634" w:right="1116" w:hanging="480"/>
        <w:jc w:val="left"/>
      </w:pPr>
      <w:r>
        <w:rPr/>
        <w:t>股份。</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日号百控股的股票收盘价为</w:t>
      </w:r>
      <w:r>
        <w:rPr>
          <w:spacing w:val="-60"/>
        </w:rPr>
        <w:t> </w:t>
      </w:r>
      <w:r>
        <w:rPr>
          <w:rFonts w:ascii="宋体" w:hAnsi="宋体" w:cs="宋体" w:eastAsia="宋体" w:hint="default"/>
        </w:rPr>
        <w:t>9.81</w:t>
      </w:r>
      <w:r>
        <w:rPr>
          <w:rFonts w:ascii="宋体" w:hAnsi="宋体" w:cs="宋体" w:eastAsia="宋体" w:hint="default"/>
          <w:spacing w:val="-60"/>
        </w:rPr>
        <w:t> </w:t>
      </w:r>
      <w:r>
        <w:rPr/>
        <w:t>元</w:t>
      </w:r>
      <w:r>
        <w:rPr>
          <w:rFonts w:ascii="宋体" w:hAnsi="宋体" w:cs="宋体" w:eastAsia="宋体" w:hint="default"/>
        </w:rPr>
        <w:t>/</w:t>
      </w:r>
      <w:r>
        <w:rPr/>
        <w:t>股，据此计算公允价值变动。 注 </w:t>
      </w:r>
      <w:r>
        <w:rPr>
          <w:rFonts w:ascii="宋体" w:hAnsi="宋体" w:cs="宋体" w:eastAsia="宋体" w:hint="default"/>
        </w:rPr>
        <w:t>3</w:t>
      </w:r>
      <w:r>
        <w:rPr/>
        <w:t>：于本年 </w:t>
      </w:r>
      <w:r>
        <w:rPr>
          <w:rFonts w:ascii="宋体" w:hAnsi="宋体" w:cs="宋体" w:eastAsia="宋体" w:hint="default"/>
        </w:rPr>
        <w:t>7</w:t>
      </w:r>
      <w:r>
        <w:rPr>
          <w:rFonts w:ascii="宋体" w:hAnsi="宋体" w:cs="宋体" w:eastAsia="宋体" w:hint="default"/>
          <w:spacing w:val="-84"/>
        </w:rPr>
        <w:t> </w:t>
      </w:r>
      <w:r>
        <w:rPr/>
        <w:t>月，本公司向北京新浪阅读信息技术有限公司董事会派驻一名董事，成</w:t>
      </w:r>
    </w:p>
    <w:p>
      <w:pPr>
        <w:pStyle w:val="BodyText"/>
        <w:spacing w:line="276" w:lineRule="exact"/>
        <w:ind w:right="0"/>
        <w:jc w:val="left"/>
      </w:pPr>
      <w:r>
        <w:rPr>
          <w:spacing w:val="-5"/>
        </w:rPr>
        <w:t>为本公司联营企业，转入长期投资核算，具体详见本“附注七、</w:t>
      </w:r>
      <w:r>
        <w:rPr>
          <w:rFonts w:ascii="宋体" w:hAnsi="宋体" w:cs="宋体" w:eastAsia="宋体" w:hint="default"/>
          <w:spacing w:val="-5"/>
        </w:rPr>
        <w:t>14.</w:t>
      </w:r>
      <w:r>
        <w:rPr>
          <w:spacing w:val="-5"/>
        </w:rPr>
        <w:t>长期股权投资以及附注九、</w:t>
      </w:r>
    </w:p>
    <w:p>
      <w:pPr>
        <w:pStyle w:val="BodyText"/>
        <w:spacing w:line="240" w:lineRule="auto" w:before="155"/>
        <w:ind w:right="1092"/>
        <w:jc w:val="left"/>
      </w:pPr>
      <w:r>
        <w:rPr/>
        <w:t>在其他主体中的权益”相关内容。</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2、持有至到期投资" w:id="252"/>
      <w:bookmarkEnd w:id="252"/>
      <w:r>
        <w:rPr/>
      </w:r>
      <w:r>
        <w:rPr>
          <w:rFonts w:ascii="宋体" w:hAnsi="宋体" w:cs="宋体" w:eastAsia="宋体" w:hint="default"/>
          <w:b/>
          <w:bCs/>
          <w:sz w:val="21"/>
          <w:szCs w:val="21"/>
        </w:rPr>
        <w:t>12</w:t>
      </w:r>
      <w:r>
        <w:rPr>
          <w:rFonts w:ascii="宋体" w:hAnsi="宋体" w:cs="宋体" w:eastAsia="宋体" w:hint="default"/>
          <w:b/>
          <w:bCs/>
          <w:sz w:val="21"/>
          <w:szCs w:val="21"/>
        </w:rPr>
        <w:t>、持有至到期投资</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持有至到期投资情况" w:id="253"/>
      <w:bookmarkEnd w:id="253"/>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）持有至到期投资情况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期末重要的持有至到期投资" w:id="254"/>
      <w:bookmarkEnd w:id="254"/>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）期末重要的持有至到期投资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本期重分类的持有至到期投资" w:id="255"/>
      <w:bookmarkEnd w:id="255"/>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）本期重分类的持有至到期投资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13、长期应收款" w:id="256"/>
      <w:bookmarkEnd w:id="256"/>
      <w:r>
        <w:rPr/>
      </w:r>
      <w:r>
        <w:rPr>
          <w:rFonts w:ascii="宋体" w:hAnsi="宋体" w:cs="宋体" w:eastAsia="宋体" w:hint="default"/>
          <w:b/>
          <w:bCs/>
          <w:sz w:val="21"/>
          <w:szCs w:val="21"/>
        </w:rPr>
        <w:t>13</w:t>
      </w:r>
      <w:r>
        <w:rPr>
          <w:rFonts w:ascii="宋体" w:hAnsi="宋体" w:cs="宋体" w:eastAsia="宋体" w:hint="default"/>
          <w:b/>
          <w:bCs/>
          <w:sz w:val="21"/>
          <w:szCs w:val="21"/>
        </w:rPr>
        <w:t>、长期应收款</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长期应收款情况" w:id="257"/>
      <w:bookmarkEnd w:id="257"/>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）长期应收款情况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134" w:right="9310"/>
        <w:jc w:val="center"/>
      </w:pPr>
      <w:r>
        <w:rPr/>
        <w:t>无。</w:t>
      </w:r>
    </w:p>
    <w:p>
      <w:pPr>
        <w:spacing w:line="240" w:lineRule="auto" w:before="3"/>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1415"/>
        <w:gridCol w:w="1156"/>
        <w:gridCol w:w="1167"/>
        <w:gridCol w:w="1168"/>
        <w:gridCol w:w="1166"/>
        <w:gridCol w:w="1169"/>
        <w:gridCol w:w="1164"/>
        <w:gridCol w:w="1165"/>
      </w:tblGrid>
      <w:tr>
        <w:trPr>
          <w:trHeight w:val="402" w:hRule="exact"/>
        </w:trPr>
        <w:tc>
          <w:tcPr>
            <w:tcW w:w="1415" w:type="dxa"/>
            <w:tcBorders>
              <w:top w:val="single" w:sz="4" w:space="0" w:color="000000"/>
              <w:left w:val="single" w:sz="4" w:space="0" w:color="000000"/>
              <w:bottom w:val="single" w:sz="4" w:space="0" w:color="000000"/>
              <w:right w:val="single" w:sz="9" w:space="0" w:color="D2D2D2"/>
            </w:tcBorders>
          </w:tcPr>
          <w:p>
            <w:pPr/>
          </w:p>
        </w:tc>
        <w:tc>
          <w:tcPr>
            <w:tcW w:w="11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因金融资产转移而终止确认的长期应收款" w:id="258"/>
      <w:bookmarkEnd w:id="258"/>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）因金融资产转移而终止确认的长期应收款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转移长期应收款且继续涉入形成的资产、负债金额" w:id="259"/>
      <w:bookmarkEnd w:id="259"/>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）转移长期应收款且继续涉入形成的资产、负债金额</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4、长期股权投资" w:id="260"/>
      <w:bookmarkEnd w:id="260"/>
      <w:r>
        <w:rPr/>
      </w:r>
      <w:r>
        <w:rPr>
          <w:rFonts w:ascii="宋体" w:hAnsi="宋体" w:cs="宋体" w:eastAsia="宋体" w:hint="default"/>
          <w:b/>
          <w:bCs/>
          <w:sz w:val="21"/>
          <w:szCs w:val="21"/>
        </w:rPr>
        <w:t>14</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02" w:right="33"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1"/>
              <w:jc w:val="left"/>
              <w:rPr>
                <w:rFonts w:ascii="宋体" w:hAnsi="宋体" w:cs="宋体" w:eastAsia="宋体" w:hint="default"/>
                <w:sz w:val="18"/>
                <w:szCs w:val="18"/>
              </w:rPr>
            </w:pPr>
            <w:r>
              <w:rPr>
                <w:rFonts w:ascii="宋体"/>
                <w:sz w:val="18"/>
              </w:rPr>
              <w:t>JOINGEAR LIMITED</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z w:val="18"/>
                <w:szCs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center"/>
              <w:rPr>
                <w:rFonts w:ascii="宋体" w:hAnsi="宋体" w:cs="宋体" w:eastAsia="宋体" w:hint="default"/>
                <w:sz w:val="18"/>
                <w:szCs w:val="18"/>
              </w:rPr>
            </w:pPr>
            <w:r>
              <w:rPr>
                <w:rFonts w:ascii="宋体"/>
                <w:sz w:val="18"/>
              </w:rPr>
              <w:t>179,627,</w:t>
            </w:r>
          </w:p>
          <w:p>
            <w:pPr>
              <w:pStyle w:val="TableParagraph"/>
              <w:spacing w:line="240" w:lineRule="auto" w:before="76"/>
              <w:ind w:left="202" w:right="0"/>
              <w:jc w:val="center"/>
              <w:rPr>
                <w:rFonts w:ascii="宋体" w:hAnsi="宋体" w:cs="宋体" w:eastAsia="宋体" w:hint="default"/>
                <w:sz w:val="18"/>
                <w:szCs w:val="18"/>
              </w:rPr>
            </w:pPr>
            <w:r>
              <w:rPr>
                <w:rFonts w:ascii="宋体"/>
                <w:sz w:val="18"/>
              </w:rPr>
              <w:t>609.12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center"/>
              <w:rPr>
                <w:rFonts w:ascii="宋体" w:hAnsi="宋体" w:cs="宋体" w:eastAsia="宋体" w:hint="default"/>
                <w:sz w:val="18"/>
                <w:szCs w:val="18"/>
              </w:rPr>
            </w:pPr>
            <w:r>
              <w:rPr>
                <w:rFonts w:ascii="宋体"/>
                <w:sz w:val="18"/>
              </w:rPr>
              <w:t>206,007,</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500.00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center"/>
              <w:rPr>
                <w:rFonts w:ascii="宋体" w:hAnsi="宋体" w:cs="宋体" w:eastAsia="宋体" w:hint="default"/>
                <w:sz w:val="18"/>
                <w:szCs w:val="18"/>
              </w:rPr>
            </w:pPr>
            <w:r>
              <w:rPr>
                <w:rFonts w:ascii="宋体"/>
                <w:sz w:val="18"/>
              </w:rPr>
              <w:t>-26,379,</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890.88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41"/>
              <w:jc w:val="right"/>
              <w:rPr>
                <w:rFonts w:ascii="宋体" w:hAnsi="宋体" w:cs="宋体" w:eastAsia="宋体" w:hint="default"/>
                <w:sz w:val="18"/>
                <w:szCs w:val="18"/>
              </w:rPr>
            </w:pPr>
            <w:r>
              <w:rPr>
                <w:rFonts w:ascii="宋体" w:hAnsi="宋体" w:cs="宋体" w:eastAsia="宋体" w:hint="default"/>
                <w:sz w:val="18"/>
                <w:szCs w:val="18"/>
              </w:rPr>
              <w:t>中经文睿</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5" w:right="0"/>
              <w:jc w:val="left"/>
              <w:rPr>
                <w:rFonts w:ascii="宋体" w:hAnsi="宋体" w:cs="宋体" w:eastAsia="宋体" w:hint="default"/>
                <w:sz w:val="18"/>
                <w:szCs w:val="18"/>
              </w:rPr>
            </w:pPr>
            <w:r>
              <w:rPr>
                <w:rFonts w:ascii="宋体"/>
                <w:sz w:val="18"/>
              </w:rPr>
              <w:t>4,861,11</w:t>
            </w:r>
          </w:p>
          <w:p>
            <w:pPr>
              <w:pStyle w:val="TableParagraph"/>
              <w:spacing w:line="240" w:lineRule="auto" w:before="76"/>
              <w:ind w:left="405" w:right="0"/>
              <w:jc w:val="left"/>
              <w:rPr>
                <w:rFonts w:ascii="宋体" w:hAnsi="宋体" w:cs="宋体" w:eastAsia="宋体" w:hint="default"/>
                <w:sz w:val="18"/>
                <w:szCs w:val="18"/>
              </w:rPr>
            </w:pPr>
            <w:r>
              <w:rPr>
                <w:rFonts w:ascii="宋体"/>
                <w:sz w:val="18"/>
              </w:rPr>
              <w:t>6.01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-611,111</w:t>
            </w:r>
          </w:p>
          <w:p>
            <w:pPr>
              <w:pStyle w:val="TableParagraph"/>
              <w:spacing w:line="240" w:lineRule="auto" w:before="76"/>
              <w:ind w:left="494" w:right="0"/>
              <w:jc w:val="left"/>
              <w:rPr>
                <w:rFonts w:ascii="宋体" w:hAnsi="宋体" w:cs="宋体" w:eastAsia="宋体" w:hint="default"/>
                <w:sz w:val="18"/>
                <w:szCs w:val="18"/>
              </w:rPr>
            </w:pPr>
            <w:r>
              <w:rPr>
                <w:rFonts w:ascii="宋体"/>
                <w:sz w:val="18"/>
              </w:rPr>
              <w:t>.34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4,250,00</w:t>
            </w:r>
          </w:p>
          <w:p>
            <w:pPr>
              <w:pStyle w:val="TableParagraph"/>
              <w:spacing w:line="240" w:lineRule="auto" w:before="76"/>
              <w:ind w:left="404" w:right="0"/>
              <w:jc w:val="left"/>
              <w:rPr>
                <w:rFonts w:ascii="宋体" w:hAnsi="宋体" w:cs="宋体" w:eastAsia="宋体" w:hint="default"/>
                <w:sz w:val="18"/>
                <w:szCs w:val="18"/>
              </w:rPr>
            </w:pPr>
            <w:r>
              <w:rPr>
                <w:rFonts w:ascii="宋体"/>
                <w:sz w:val="18"/>
              </w:rPr>
              <w:t>4.67</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both"/>
              <w:rPr>
                <w:rFonts w:ascii="宋体" w:hAnsi="宋体" w:cs="宋体" w:eastAsia="宋体" w:hint="default"/>
                <w:sz w:val="18"/>
                <w:szCs w:val="18"/>
              </w:rPr>
            </w:pPr>
            <w:r>
              <w:rPr>
                <w:rFonts w:ascii="宋体" w:hAnsi="宋体" w:cs="宋体" w:eastAsia="宋体" w:hint="default"/>
                <w:sz w:val="18"/>
                <w:szCs w:val="18"/>
              </w:rPr>
              <w:t>中文在线</w:t>
            </w:r>
          </w:p>
          <w:p>
            <w:pPr>
              <w:pStyle w:val="TableParagraph"/>
              <w:spacing w:line="319" w:lineRule="auto" w:before="75"/>
              <w:ind w:left="22" w:right="41"/>
              <w:jc w:val="both"/>
              <w:rPr>
                <w:rFonts w:ascii="宋体" w:hAnsi="宋体" w:cs="宋体" w:eastAsia="宋体" w:hint="default"/>
                <w:sz w:val="18"/>
                <w:szCs w:val="18"/>
              </w:rPr>
            </w:pPr>
            <w:r>
              <w:rPr>
                <w:rFonts w:ascii="宋体" w:hAnsi="宋体" w:cs="宋体" w:eastAsia="宋体" w:hint="default"/>
                <w:sz w:val="18"/>
                <w:szCs w:val="18"/>
              </w:rPr>
              <w:t>（天津） 文化教育 产业投资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609,406.</w:t>
            </w:r>
          </w:p>
          <w:p>
            <w:pPr>
              <w:pStyle w:val="TableParagraph"/>
              <w:spacing w:line="240" w:lineRule="auto" w:before="76"/>
              <w:ind w:right="20"/>
              <w:jc w:val="right"/>
              <w:rPr>
                <w:rFonts w:ascii="宋体" w:hAnsi="宋体" w:cs="宋体" w:eastAsia="宋体" w:hint="default"/>
                <w:sz w:val="18"/>
                <w:szCs w:val="18"/>
              </w:rPr>
            </w:pPr>
            <w:r>
              <w:rPr>
                <w:rFonts w:ascii="宋体"/>
                <w:sz w:val="18"/>
              </w:rPr>
              <w:t>64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34,151.4</w:t>
            </w:r>
          </w:p>
          <w:p>
            <w:pPr>
              <w:pStyle w:val="TableParagraph"/>
              <w:spacing w:line="240" w:lineRule="auto" w:before="76"/>
              <w:ind w:right="23"/>
              <w:jc w:val="right"/>
              <w:rPr>
                <w:rFonts w:ascii="宋体" w:hAnsi="宋体" w:cs="宋体" w:eastAsia="宋体" w:hint="default"/>
                <w:sz w:val="18"/>
                <w:szCs w:val="18"/>
              </w:rPr>
            </w:pPr>
            <w:r>
              <w:rPr>
                <w:rFonts w:ascii="宋体"/>
                <w:sz w:val="18"/>
              </w:rPr>
              <w:t>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643,558.</w:t>
            </w:r>
          </w:p>
          <w:p>
            <w:pPr>
              <w:pStyle w:val="TableParagraph"/>
              <w:spacing w:line="240" w:lineRule="auto" w:before="76"/>
              <w:ind w:right="23"/>
              <w:jc w:val="right"/>
              <w:rPr>
                <w:rFonts w:ascii="宋体" w:hAnsi="宋体" w:cs="宋体" w:eastAsia="宋体" w:hint="default"/>
                <w:sz w:val="18"/>
                <w:szCs w:val="18"/>
              </w:rPr>
            </w:pPr>
            <w:r>
              <w:rPr>
                <w:rFonts w:ascii="宋体"/>
                <w:sz w:val="18"/>
              </w:rPr>
              <w:t>10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晨之科</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z w:val="18"/>
                <w:szCs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center"/>
              <w:rPr>
                <w:rFonts w:ascii="宋体" w:hAnsi="宋体" w:cs="宋体" w:eastAsia="宋体" w:hint="default"/>
                <w:sz w:val="18"/>
                <w:szCs w:val="18"/>
              </w:rPr>
            </w:pPr>
            <w:r>
              <w:rPr>
                <w:rFonts w:ascii="宋体"/>
                <w:sz w:val="18"/>
              </w:rPr>
              <w:t>279,753,</w:t>
            </w:r>
          </w:p>
          <w:p>
            <w:pPr>
              <w:pStyle w:val="TableParagraph"/>
              <w:spacing w:line="240" w:lineRule="auto" w:before="77"/>
              <w:ind w:left="202" w:right="0"/>
              <w:jc w:val="center"/>
              <w:rPr>
                <w:rFonts w:ascii="宋体" w:hAnsi="宋体" w:cs="宋体" w:eastAsia="宋体" w:hint="default"/>
                <w:sz w:val="18"/>
                <w:szCs w:val="18"/>
              </w:rPr>
            </w:pPr>
            <w:r>
              <w:rPr>
                <w:rFonts w:ascii="宋体"/>
                <w:sz w:val="18"/>
              </w:rPr>
              <w:t>464.73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1,504,93</w:t>
            </w:r>
          </w:p>
          <w:p>
            <w:pPr>
              <w:pStyle w:val="TableParagraph"/>
              <w:spacing w:line="240" w:lineRule="auto" w:before="77"/>
              <w:ind w:left="44" w:right="0"/>
              <w:jc w:val="left"/>
              <w:rPr>
                <w:rFonts w:ascii="宋体" w:hAnsi="宋体" w:cs="宋体" w:eastAsia="宋体" w:hint="default"/>
                <w:sz w:val="18"/>
                <w:szCs w:val="18"/>
              </w:rPr>
            </w:pPr>
            <w:r>
              <w:rPr>
                <w:rFonts w:ascii="宋体"/>
                <w:sz w:val="18"/>
              </w:rPr>
              <w:t>3,185.87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2,579,72</w:t>
            </w:r>
          </w:p>
          <w:p>
            <w:pPr>
              <w:pStyle w:val="TableParagraph"/>
              <w:spacing w:line="240" w:lineRule="auto" w:before="77"/>
              <w:ind w:left="404" w:right="0"/>
              <w:jc w:val="left"/>
              <w:rPr>
                <w:rFonts w:ascii="宋体" w:hAnsi="宋体" w:cs="宋体" w:eastAsia="宋体" w:hint="default"/>
                <w:sz w:val="18"/>
                <w:szCs w:val="18"/>
              </w:rPr>
            </w:pPr>
            <w:r>
              <w:rPr>
                <w:rFonts w:ascii="宋体"/>
                <w:sz w:val="18"/>
              </w:rPr>
              <w:t>1.14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1,787,26</w:t>
            </w:r>
          </w:p>
          <w:p>
            <w:pPr>
              <w:pStyle w:val="TableParagraph"/>
              <w:spacing w:line="240" w:lineRule="auto" w:before="77"/>
              <w:ind w:left="44" w:right="0"/>
              <w:jc w:val="left"/>
              <w:rPr>
                <w:rFonts w:ascii="宋体" w:hAnsi="宋体" w:cs="宋体" w:eastAsia="宋体" w:hint="default"/>
                <w:sz w:val="18"/>
                <w:szCs w:val="18"/>
              </w:rPr>
            </w:pPr>
            <w:r>
              <w:rPr>
                <w:rFonts w:ascii="宋体"/>
                <w:sz w:val="18"/>
              </w:rPr>
              <w:t>6,371.74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41"/>
              <w:jc w:val="right"/>
              <w:rPr>
                <w:rFonts w:ascii="宋体" w:hAnsi="宋体" w:cs="宋体" w:eastAsia="宋体" w:hint="default"/>
                <w:sz w:val="18"/>
                <w:szCs w:val="18"/>
              </w:rPr>
            </w:pPr>
            <w:r>
              <w:rPr>
                <w:rFonts w:ascii="宋体" w:hAnsi="宋体" w:cs="宋体" w:eastAsia="宋体" w:hint="default"/>
                <w:sz w:val="18"/>
                <w:szCs w:val="18"/>
              </w:rPr>
              <w:t>星偶时代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5" w:right="0"/>
              <w:jc w:val="left"/>
              <w:rPr>
                <w:rFonts w:ascii="宋体" w:hAnsi="宋体" w:cs="宋体" w:eastAsia="宋体" w:hint="default"/>
                <w:sz w:val="18"/>
                <w:szCs w:val="18"/>
              </w:rPr>
            </w:pPr>
            <w:r>
              <w:rPr>
                <w:rFonts w:ascii="宋体"/>
                <w:sz w:val="18"/>
              </w:rPr>
              <w:t>19,939,0</w:t>
            </w:r>
          </w:p>
          <w:p>
            <w:pPr>
              <w:pStyle w:val="TableParagraph"/>
              <w:spacing w:line="240" w:lineRule="auto" w:before="76"/>
              <w:ind w:left="315" w:right="0"/>
              <w:jc w:val="left"/>
              <w:rPr>
                <w:rFonts w:ascii="宋体" w:hAnsi="宋体" w:cs="宋体" w:eastAsia="宋体" w:hint="default"/>
                <w:sz w:val="18"/>
                <w:szCs w:val="18"/>
              </w:rPr>
            </w:pPr>
            <w:r>
              <w:rPr>
                <w:rFonts w:ascii="宋体"/>
                <w:sz w:val="18"/>
              </w:rPr>
              <w:t>14.75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-32,638.</w:t>
            </w:r>
          </w:p>
          <w:p>
            <w:pPr>
              <w:pStyle w:val="TableParagraph"/>
              <w:spacing w:line="240" w:lineRule="auto" w:before="76"/>
              <w:ind w:right="23"/>
              <w:jc w:val="right"/>
              <w:rPr>
                <w:rFonts w:ascii="宋体" w:hAnsi="宋体" w:cs="宋体" w:eastAsia="宋体" w:hint="default"/>
                <w:sz w:val="18"/>
                <w:szCs w:val="18"/>
              </w:rPr>
            </w:pPr>
            <w:r>
              <w:rPr>
                <w:rFonts w:ascii="宋体"/>
                <w:sz w:val="18"/>
              </w:rPr>
              <w:t>23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19,906,3</w:t>
            </w:r>
          </w:p>
          <w:p>
            <w:pPr>
              <w:pStyle w:val="TableParagraph"/>
              <w:spacing w:line="240" w:lineRule="auto" w:before="76"/>
              <w:ind w:left="314" w:right="0"/>
              <w:jc w:val="left"/>
              <w:rPr>
                <w:rFonts w:ascii="宋体" w:hAnsi="宋体" w:cs="宋体" w:eastAsia="宋体" w:hint="default"/>
                <w:sz w:val="18"/>
                <w:szCs w:val="18"/>
              </w:rPr>
            </w:pPr>
            <w:r>
              <w:rPr>
                <w:rFonts w:ascii="宋体"/>
                <w:sz w:val="18"/>
              </w:rPr>
              <w:t>76.52</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6"/>
        <w:rPr>
          <w:rFonts w:ascii="宋体" w:hAnsi="宋体" w:cs="宋体" w:eastAsia="宋体" w:hint="default"/>
          <w:sz w:val="24"/>
          <w:szCs w:val="24"/>
        </w:rPr>
      </w:pPr>
      <w:r>
        <w:rPr/>
        <w:pict>
          <v:shape style="position:absolute;margin-left:90.559998pt;margin-top:194.719986pt;width:45.55pt;height:31.2pt;mso-position-horizontal-relative:page;mso-position-vertical-relative:page;z-index:-1153120" type="#_x0000_t202" filled="false" stroked="false">
            <v:textbox inset="0,0,0,0">
              <w:txbxContent>
                <w:p>
                  <w:pPr>
                    <w:spacing w:line="240" w:lineRule="auto" w:before="9"/>
                    <w:rPr>
                      <w:rFonts w:ascii="宋体" w:hAnsi="宋体" w:cs="宋体" w:eastAsia="宋体"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新浪阅读</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z w:val="18"/>
                <w:szCs w:val="18"/>
              </w:rPr>
              <w:t>）</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-4,484,8</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20.42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250,000,</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000.00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9" w:right="0"/>
              <w:jc w:val="center"/>
              <w:rPr>
                <w:rFonts w:ascii="宋体" w:hAnsi="宋体" w:cs="宋体" w:eastAsia="宋体" w:hint="default"/>
                <w:sz w:val="18"/>
                <w:szCs w:val="18"/>
              </w:rPr>
            </w:pPr>
            <w:r>
              <w:rPr>
                <w:rFonts w:ascii="宋体"/>
                <w:sz w:val="18"/>
              </w:rPr>
              <w:t>208,015,</w:t>
            </w:r>
          </w:p>
          <w:p>
            <w:pPr>
              <w:pStyle w:val="TableParagraph"/>
              <w:spacing w:line="240" w:lineRule="auto" w:before="77"/>
              <w:ind w:left="199" w:right="0"/>
              <w:jc w:val="center"/>
              <w:rPr>
                <w:rFonts w:ascii="宋体" w:hAnsi="宋体" w:cs="宋体" w:eastAsia="宋体" w:hint="default"/>
                <w:sz w:val="18"/>
                <w:szCs w:val="18"/>
              </w:rPr>
            </w:pPr>
            <w:r>
              <w:rPr>
                <w:rFonts w:ascii="宋体"/>
                <w:sz w:val="18"/>
              </w:rPr>
              <w:t>379.58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37,499,8</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208,015,</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379.58</w:t>
            </w: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中文万维</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z w:val="18"/>
                <w:szCs w:val="18"/>
              </w:rPr>
              <w:t>）</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1,869,88</w:t>
            </w:r>
          </w:p>
          <w:p>
            <w:pPr>
              <w:pStyle w:val="TableParagraph"/>
              <w:spacing w:line="240" w:lineRule="auto" w:before="77"/>
              <w:ind w:left="404" w:right="0"/>
              <w:jc w:val="left"/>
              <w:rPr>
                <w:rFonts w:ascii="宋体" w:hAnsi="宋体" w:cs="宋体" w:eastAsia="宋体" w:hint="default"/>
                <w:sz w:val="18"/>
                <w:szCs w:val="18"/>
              </w:rPr>
            </w:pPr>
            <w:r>
              <w:rPr>
                <w:rFonts w:ascii="宋体"/>
                <w:sz w:val="18"/>
              </w:rPr>
              <w:t>9.83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96,830,9</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76.69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98,700,8</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66.52</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全美在线 </w:t>
            </w:r>
            <w:r>
              <w:rPr>
                <w:rFonts w:ascii="宋体" w:hAnsi="宋体" w:cs="宋体" w:eastAsia="宋体" w:hint="default"/>
                <w:sz w:val="18"/>
                <w:szCs w:val="18"/>
              </w:rPr>
              <w:t>(</w:t>
            </w:r>
            <w:r>
              <w:rPr>
                <w:rFonts w:ascii="宋体" w:hAnsi="宋体" w:cs="宋体" w:eastAsia="宋体" w:hint="default"/>
                <w:sz w:val="18"/>
                <w:szCs w:val="18"/>
              </w:rPr>
              <w:t>北京</w:t>
            </w:r>
            <w:r>
              <w:rPr>
                <w:rFonts w:ascii="宋体" w:hAnsi="宋体" w:cs="宋体" w:eastAsia="宋体" w:hint="default"/>
                <w:sz w:val="18"/>
                <w:szCs w:val="18"/>
              </w:rPr>
              <w:t>)</w:t>
            </w:r>
            <w:r>
              <w:rPr>
                <w:rFonts w:ascii="宋体" w:hAnsi="宋体" w:cs="宋体" w:eastAsia="宋体" w:hint="default"/>
                <w:sz w:val="18"/>
                <w:szCs w:val="18"/>
              </w:rPr>
              <w:t>教 育科技股 份有限公 </w:t>
            </w:r>
            <w:r>
              <w:rPr>
                <w:rFonts w:ascii="宋体" w:hAnsi="宋体" w:cs="宋体" w:eastAsia="宋体" w:hint="default"/>
                <w:spacing w:val="-9"/>
                <w:sz w:val="18"/>
                <w:szCs w:val="18"/>
              </w:rPr>
              <w:t>司（注</w:t>
            </w:r>
            <w:r>
              <w:rPr>
                <w:rFonts w:ascii="宋体" w:hAnsi="宋体" w:cs="宋体" w:eastAsia="宋体" w:hint="default"/>
                <w:spacing w:val="-45"/>
                <w:sz w:val="18"/>
                <w:szCs w:val="18"/>
              </w:rPr>
              <w:t> </w:t>
            </w:r>
            <w:r>
              <w:rPr>
                <w:rFonts w:ascii="宋体" w:hAnsi="宋体" w:cs="宋体" w:eastAsia="宋体" w:hint="default"/>
                <w:sz w:val="18"/>
                <w:szCs w:val="18"/>
              </w:rPr>
              <w:t>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624" w:lineRule="exact"/>
              <w:ind w:left="1" w:right="-49"/>
              <w:jc w:val="left"/>
              <w:rPr>
                <w:rFonts w:ascii="宋体" w:hAnsi="宋体" w:cs="宋体" w:eastAsia="宋体" w:hint="default"/>
                <w:sz w:val="20"/>
                <w:szCs w:val="20"/>
              </w:rPr>
            </w:pPr>
            <w:r>
              <w:rPr>
                <w:rFonts w:ascii="宋体" w:hAnsi="宋体" w:cs="宋体" w:eastAsia="宋体" w:hint="default"/>
                <w:position w:val="-11"/>
                <w:sz w:val="20"/>
                <w:szCs w:val="20"/>
              </w:rPr>
              <w:pict>
                <v:group style="width:39.3pt;height:31.2pt;mso-position-horizontal-relative:char;mso-position-vertical-relative:line" coordorigin="0,0" coordsize="786,624">
                  <v:group style="position:absolute;left:0;top:0;width:786;height:624" coordorigin="0,0" coordsize="786,624">
                    <v:shape style="position:absolute;left:0;top:0;width:786;height:624" coordorigin="0,0" coordsize="786,624" path="m0,624l786,624,786,0,0,0,0,624xe" filled="true" fillcolor="#ffffff" stroked="false">
                      <v:path arrowok="t"/>
                      <v:fill type="solid"/>
                    </v:shape>
                  </v:group>
                </v:group>
              </w:pict>
            </w:r>
            <w:r>
              <w:rPr>
                <w:rFonts w:ascii="宋体" w:hAnsi="宋体" w:cs="宋体" w:eastAsia="宋体" w:hint="default"/>
                <w:position w:val="-11"/>
                <w:sz w:val="20"/>
                <w:szCs w:val="20"/>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4" w:right="0"/>
              <w:jc w:val="left"/>
              <w:rPr>
                <w:rFonts w:ascii="宋体" w:hAnsi="宋体" w:cs="宋体" w:eastAsia="宋体" w:hint="default"/>
                <w:sz w:val="18"/>
                <w:szCs w:val="18"/>
              </w:rPr>
            </w:pPr>
            <w:r>
              <w:rPr>
                <w:rFonts w:ascii="宋体"/>
                <w:sz w:val="18"/>
              </w:rPr>
              <w:t>75,632,6</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77.52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4" w:right="0"/>
              <w:jc w:val="left"/>
              <w:rPr>
                <w:rFonts w:ascii="宋体" w:hAnsi="宋体" w:cs="宋体" w:eastAsia="宋体" w:hint="default"/>
                <w:sz w:val="18"/>
                <w:szCs w:val="18"/>
              </w:rPr>
            </w:pPr>
            <w:r>
              <w:rPr>
                <w:rFonts w:ascii="宋体"/>
                <w:sz w:val="18"/>
              </w:rPr>
              <w:t>75,632,6</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77.52</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sz w:val="18"/>
              </w:rPr>
              <w:t>WUXIAWOR LD LIMITED</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z w:val="18"/>
                <w:szCs w:val="18"/>
              </w:rPr>
              <w:t>）</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 w:right="0"/>
              <w:jc w:val="left"/>
              <w:rPr>
                <w:rFonts w:ascii="宋体" w:hAnsi="宋体" w:cs="宋体" w:eastAsia="宋体" w:hint="default"/>
                <w:sz w:val="18"/>
                <w:szCs w:val="18"/>
              </w:rPr>
            </w:pPr>
            <w:r>
              <w:rPr>
                <w:rFonts w:ascii="宋体"/>
                <w:sz w:val="18"/>
              </w:rPr>
              <w:t>19,479,6</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 w:right="0"/>
              <w:jc w:val="left"/>
              <w:rPr>
                <w:rFonts w:ascii="宋体" w:hAnsi="宋体" w:cs="宋体" w:eastAsia="宋体" w:hint="default"/>
                <w:sz w:val="18"/>
                <w:szCs w:val="18"/>
              </w:rPr>
            </w:pPr>
            <w:r>
              <w:rPr>
                <w:rFonts w:ascii="宋体"/>
                <w:sz w:val="18"/>
              </w:rPr>
              <w:t>2,077,86</w:t>
            </w:r>
          </w:p>
          <w:p>
            <w:pPr>
              <w:pStyle w:val="TableParagraph"/>
              <w:spacing w:line="240" w:lineRule="auto" w:before="77"/>
              <w:ind w:left="404" w:right="0"/>
              <w:jc w:val="left"/>
              <w:rPr>
                <w:rFonts w:ascii="宋体" w:hAnsi="宋体" w:cs="宋体" w:eastAsia="宋体" w:hint="default"/>
                <w:sz w:val="18"/>
                <w:szCs w:val="18"/>
              </w:rPr>
            </w:pPr>
            <w:r>
              <w:rPr>
                <w:rFonts w:ascii="宋体"/>
                <w:sz w:val="18"/>
              </w:rPr>
              <w:t>0.97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 w:right="0"/>
              <w:jc w:val="left"/>
              <w:rPr>
                <w:rFonts w:ascii="宋体" w:hAnsi="宋体" w:cs="宋体" w:eastAsia="宋体" w:hint="default"/>
                <w:sz w:val="18"/>
                <w:szCs w:val="18"/>
              </w:rPr>
            </w:pPr>
            <w:r>
              <w:rPr>
                <w:rFonts w:ascii="宋体"/>
                <w:sz w:val="18"/>
              </w:rPr>
              <w:t>21,557,4</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60.97</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北京爆炸 兔科技有 限公司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sz w:val="18"/>
              </w:rPr>
              <w:t>-5,055,3</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96.19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sz w:val="18"/>
              </w:rPr>
              <w:t>5,055,39</w:t>
            </w:r>
          </w:p>
          <w:p>
            <w:pPr>
              <w:pStyle w:val="TableParagraph"/>
              <w:spacing w:line="240" w:lineRule="auto" w:before="77"/>
              <w:ind w:left="404" w:right="0"/>
              <w:jc w:val="left"/>
              <w:rPr>
                <w:rFonts w:ascii="宋体" w:hAnsi="宋体" w:cs="宋体" w:eastAsia="宋体" w:hint="default"/>
                <w:sz w:val="18"/>
                <w:szCs w:val="18"/>
              </w:rPr>
            </w:pPr>
            <w:r>
              <w:rPr>
                <w:rFonts w:ascii="宋体"/>
                <w:sz w:val="18"/>
              </w:rPr>
              <w:t>6.19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成都博拉 维科技有 限公司</w:t>
            </w:r>
          </w:p>
          <w:p>
            <w:pPr>
              <w:pStyle w:val="TableParagraph"/>
              <w:spacing w:line="240" w:lineRule="auto" w:before="20"/>
              <w:ind w:left="22" w:right="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z w:val="18"/>
                <w:szCs w:val="18"/>
              </w:rPr>
              <w:t>）</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 w:right="0"/>
              <w:jc w:val="left"/>
              <w:rPr>
                <w:rFonts w:ascii="宋体" w:hAnsi="宋体" w:cs="宋体" w:eastAsia="宋体" w:hint="default"/>
                <w:sz w:val="18"/>
                <w:szCs w:val="18"/>
              </w:rPr>
            </w:pPr>
            <w:r>
              <w:rPr>
                <w:rFonts w:ascii="宋体"/>
                <w:sz w:val="18"/>
              </w:rPr>
              <w:t>3,500,00</w:t>
            </w:r>
          </w:p>
          <w:p>
            <w:pPr>
              <w:pStyle w:val="TableParagraph"/>
              <w:spacing w:line="240" w:lineRule="auto" w:before="77"/>
              <w:ind w:left="404" w:right="0"/>
              <w:jc w:val="left"/>
              <w:rPr>
                <w:rFonts w:ascii="宋体" w:hAnsi="宋体" w:cs="宋体" w:eastAsia="宋体" w:hint="default"/>
                <w:sz w:val="18"/>
                <w:szCs w:val="18"/>
              </w:rPr>
            </w:pPr>
            <w:r>
              <w:rPr>
                <w:rFonts w:ascii="宋体"/>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 w:right="0"/>
              <w:jc w:val="left"/>
              <w:rPr>
                <w:rFonts w:ascii="宋体" w:hAnsi="宋体" w:cs="宋体" w:eastAsia="宋体" w:hint="default"/>
                <w:sz w:val="18"/>
                <w:szCs w:val="18"/>
              </w:rPr>
            </w:pPr>
            <w:r>
              <w:rPr>
                <w:rFonts w:ascii="宋体"/>
                <w:sz w:val="18"/>
              </w:rPr>
              <w:t>-367,245</w:t>
            </w:r>
          </w:p>
          <w:p>
            <w:pPr>
              <w:pStyle w:val="TableParagraph"/>
              <w:spacing w:line="240" w:lineRule="auto" w:before="77"/>
              <w:ind w:left="494" w:right="0"/>
              <w:jc w:val="left"/>
              <w:rPr>
                <w:rFonts w:ascii="宋体" w:hAnsi="宋体" w:cs="宋体" w:eastAsia="宋体" w:hint="default"/>
                <w:sz w:val="18"/>
                <w:szCs w:val="18"/>
              </w:rPr>
            </w:pPr>
            <w:r>
              <w:rPr>
                <w:rFonts w:ascii="宋体"/>
                <w:sz w:val="18"/>
              </w:rPr>
              <w:t>.34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 w:right="0"/>
              <w:jc w:val="left"/>
              <w:rPr>
                <w:rFonts w:ascii="宋体" w:hAnsi="宋体" w:cs="宋体" w:eastAsia="宋体" w:hint="default"/>
                <w:sz w:val="18"/>
                <w:szCs w:val="18"/>
              </w:rPr>
            </w:pPr>
            <w:r>
              <w:rPr>
                <w:rFonts w:ascii="宋体"/>
                <w:sz w:val="18"/>
              </w:rPr>
              <w:t>3,132,75</w:t>
            </w:r>
          </w:p>
          <w:p>
            <w:pPr>
              <w:pStyle w:val="TableParagraph"/>
              <w:spacing w:line="240" w:lineRule="auto" w:before="77"/>
              <w:ind w:left="404" w:right="0"/>
              <w:jc w:val="left"/>
              <w:rPr>
                <w:rFonts w:ascii="宋体" w:hAnsi="宋体" w:cs="宋体" w:eastAsia="宋体" w:hint="default"/>
                <w:sz w:val="18"/>
                <w:szCs w:val="18"/>
              </w:rPr>
            </w:pPr>
            <w:r>
              <w:rPr>
                <w:rFonts w:ascii="宋体"/>
                <w:sz w:val="18"/>
              </w:rPr>
              <w:t>4.66</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宋体" w:hAnsi="宋体" w:cs="宋体" w:eastAsia="宋体" w:hint="default"/>
                <w:sz w:val="18"/>
                <w:szCs w:val="18"/>
              </w:rPr>
            </w:pPr>
            <w:r>
              <w:rPr>
                <w:rFonts w:ascii="宋体"/>
                <w:sz w:val="18"/>
              </w:rPr>
              <w:t>484,790,</w:t>
            </w:r>
          </w:p>
          <w:p>
            <w:pPr>
              <w:pStyle w:val="TableParagraph"/>
              <w:spacing w:line="240" w:lineRule="auto" w:before="77"/>
              <w:ind w:left="202" w:right="0"/>
              <w:jc w:val="center"/>
              <w:rPr>
                <w:rFonts w:ascii="宋体" w:hAnsi="宋体" w:cs="宋体" w:eastAsia="宋体" w:hint="default"/>
                <w:sz w:val="18"/>
                <w:szCs w:val="18"/>
              </w:rPr>
            </w:pPr>
            <w:r>
              <w:rPr>
                <w:rFonts w:ascii="宋体"/>
                <w:sz w:val="18"/>
              </w:rPr>
              <w:t>611.25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1,603,54</w:t>
            </w:r>
          </w:p>
          <w:p>
            <w:pPr>
              <w:pStyle w:val="TableParagraph"/>
              <w:spacing w:line="240" w:lineRule="auto" w:before="77"/>
              <w:ind w:left="44" w:right="0"/>
              <w:jc w:val="left"/>
              <w:rPr>
                <w:rFonts w:ascii="宋体" w:hAnsi="宋体" w:cs="宋体" w:eastAsia="宋体" w:hint="default"/>
                <w:sz w:val="18"/>
                <w:szCs w:val="18"/>
              </w:rPr>
            </w:pPr>
            <w:r>
              <w:rPr>
                <w:rFonts w:ascii="宋体"/>
                <w:sz w:val="18"/>
              </w:rPr>
              <w:t>5,463.39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206,007,</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500.00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-3,989,5</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88.12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351,886,</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372.88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9" w:right="0"/>
              <w:jc w:val="center"/>
              <w:rPr>
                <w:rFonts w:ascii="宋体" w:hAnsi="宋体" w:cs="宋体" w:eastAsia="宋体" w:hint="default"/>
                <w:sz w:val="18"/>
                <w:szCs w:val="18"/>
              </w:rPr>
            </w:pPr>
            <w:r>
              <w:rPr>
                <w:rFonts w:ascii="宋体"/>
                <w:sz w:val="18"/>
              </w:rPr>
              <w:t>208,015,</w:t>
            </w:r>
          </w:p>
          <w:p>
            <w:pPr>
              <w:pStyle w:val="TableParagraph"/>
              <w:spacing w:line="240" w:lineRule="auto" w:before="77"/>
              <w:ind w:left="199" w:right="0"/>
              <w:jc w:val="center"/>
              <w:rPr>
                <w:rFonts w:ascii="宋体" w:hAnsi="宋体" w:cs="宋体" w:eastAsia="宋体" w:hint="default"/>
                <w:sz w:val="18"/>
                <w:szCs w:val="18"/>
              </w:rPr>
            </w:pPr>
            <w:r>
              <w:rPr>
                <w:rFonts w:ascii="宋体"/>
                <w:sz w:val="18"/>
              </w:rPr>
              <w:t>379.58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1,760,88</w:t>
            </w:r>
          </w:p>
          <w:p>
            <w:pPr>
              <w:pStyle w:val="TableParagraph"/>
              <w:spacing w:line="240" w:lineRule="auto" w:before="77"/>
              <w:ind w:left="44" w:right="0"/>
              <w:jc w:val="left"/>
              <w:rPr>
                <w:rFonts w:ascii="宋体" w:hAnsi="宋体" w:cs="宋体" w:eastAsia="宋体" w:hint="default"/>
                <w:sz w:val="18"/>
                <w:szCs w:val="18"/>
              </w:rPr>
            </w:pPr>
            <w:r>
              <w:rPr>
                <w:rFonts w:ascii="宋体"/>
                <w:sz w:val="18"/>
              </w:rPr>
              <w:t>6,480.86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261,323,</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498.96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208,015,</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379.58</w:t>
            </w: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宋体" w:hAnsi="宋体" w:cs="宋体" w:eastAsia="宋体" w:hint="default"/>
                <w:sz w:val="18"/>
                <w:szCs w:val="18"/>
              </w:rPr>
            </w:pPr>
            <w:r>
              <w:rPr>
                <w:rFonts w:ascii="宋体"/>
                <w:sz w:val="18"/>
              </w:rPr>
              <w:t>484,790,</w:t>
            </w:r>
          </w:p>
          <w:p>
            <w:pPr>
              <w:pStyle w:val="TableParagraph"/>
              <w:spacing w:line="240" w:lineRule="auto" w:before="77"/>
              <w:ind w:left="202" w:right="0"/>
              <w:jc w:val="center"/>
              <w:rPr>
                <w:rFonts w:ascii="宋体" w:hAnsi="宋体" w:cs="宋体" w:eastAsia="宋体" w:hint="default"/>
                <w:sz w:val="18"/>
                <w:szCs w:val="18"/>
              </w:rPr>
            </w:pPr>
            <w:r>
              <w:rPr>
                <w:rFonts w:ascii="宋体"/>
                <w:sz w:val="18"/>
              </w:rPr>
              <w:t>611.25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1,603,54</w:t>
            </w:r>
          </w:p>
          <w:p>
            <w:pPr>
              <w:pStyle w:val="TableParagraph"/>
              <w:spacing w:line="240" w:lineRule="auto" w:before="77"/>
              <w:ind w:left="44" w:right="0"/>
              <w:jc w:val="left"/>
              <w:rPr>
                <w:rFonts w:ascii="宋体" w:hAnsi="宋体" w:cs="宋体" w:eastAsia="宋体" w:hint="default"/>
                <w:sz w:val="18"/>
                <w:szCs w:val="18"/>
              </w:rPr>
            </w:pPr>
            <w:r>
              <w:rPr>
                <w:rFonts w:ascii="宋体"/>
                <w:sz w:val="18"/>
              </w:rPr>
              <w:t>5,463.39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206,007,</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500.00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-3,989,5</w:t>
            </w:r>
          </w:p>
          <w:p>
            <w:pPr>
              <w:pStyle w:val="TableParagraph"/>
              <w:spacing w:line="240" w:lineRule="auto" w:before="77"/>
              <w:ind w:left="314" w:right="0"/>
              <w:jc w:val="left"/>
              <w:rPr>
                <w:rFonts w:ascii="宋体" w:hAnsi="宋体" w:cs="宋体" w:eastAsia="宋体" w:hint="default"/>
                <w:sz w:val="18"/>
                <w:szCs w:val="18"/>
              </w:rPr>
            </w:pPr>
            <w:r>
              <w:rPr>
                <w:rFonts w:ascii="宋体"/>
                <w:sz w:val="18"/>
              </w:rPr>
              <w:t>88.12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351,886,</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372.88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9" w:right="0"/>
              <w:jc w:val="center"/>
              <w:rPr>
                <w:rFonts w:ascii="宋体" w:hAnsi="宋体" w:cs="宋体" w:eastAsia="宋体" w:hint="default"/>
                <w:sz w:val="18"/>
                <w:szCs w:val="18"/>
              </w:rPr>
            </w:pPr>
            <w:r>
              <w:rPr>
                <w:rFonts w:ascii="宋体"/>
                <w:sz w:val="18"/>
              </w:rPr>
              <w:t>208,015,</w:t>
            </w:r>
          </w:p>
          <w:p>
            <w:pPr>
              <w:pStyle w:val="TableParagraph"/>
              <w:spacing w:line="240" w:lineRule="auto" w:before="77"/>
              <w:ind w:left="199" w:right="0"/>
              <w:jc w:val="center"/>
              <w:rPr>
                <w:rFonts w:ascii="宋体" w:hAnsi="宋体" w:cs="宋体" w:eastAsia="宋体" w:hint="default"/>
                <w:sz w:val="18"/>
                <w:szCs w:val="18"/>
              </w:rPr>
            </w:pPr>
            <w:r>
              <w:rPr>
                <w:rFonts w:ascii="宋体"/>
                <w:sz w:val="18"/>
              </w:rPr>
              <w:t>379.58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宋体" w:hAnsi="宋体" w:cs="宋体" w:eastAsia="宋体" w:hint="default"/>
                <w:sz w:val="18"/>
                <w:szCs w:val="18"/>
              </w:rPr>
            </w:pPr>
            <w:r>
              <w:rPr>
                <w:rFonts w:ascii="宋体"/>
                <w:sz w:val="18"/>
              </w:rPr>
              <w:t>1,760,88</w:t>
            </w:r>
          </w:p>
          <w:p>
            <w:pPr>
              <w:pStyle w:val="TableParagraph"/>
              <w:spacing w:line="240" w:lineRule="auto" w:before="77"/>
              <w:ind w:left="44" w:right="0"/>
              <w:jc w:val="left"/>
              <w:rPr>
                <w:rFonts w:ascii="宋体" w:hAnsi="宋体" w:cs="宋体" w:eastAsia="宋体" w:hint="default"/>
                <w:sz w:val="18"/>
                <w:szCs w:val="18"/>
              </w:rPr>
            </w:pPr>
            <w:r>
              <w:rPr>
                <w:rFonts w:ascii="宋体"/>
                <w:sz w:val="18"/>
              </w:rPr>
              <w:t>6,480.86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261,323,</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498.96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208,015,</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379.58</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5"/>
        <w:rPr>
          <w:rFonts w:ascii="宋体" w:hAnsi="宋体" w:cs="宋体" w:eastAsia="宋体" w:hint="default"/>
          <w:sz w:val="19"/>
          <w:szCs w:val="19"/>
        </w:rPr>
      </w:pPr>
    </w:p>
    <w:p>
      <w:pPr>
        <w:pStyle w:val="BodyText"/>
        <w:spacing w:line="357" w:lineRule="auto"/>
        <w:ind w:right="1130" w:firstLine="480"/>
        <w:jc w:val="both"/>
        <w:rPr>
          <w:rFonts w:ascii="宋体" w:hAnsi="宋体" w:cs="宋体" w:eastAsia="宋体" w:hint="default"/>
        </w:rPr>
      </w:pPr>
      <w:r>
        <w:rPr/>
        <w:t>注</w:t>
      </w:r>
      <w:r>
        <w:rPr>
          <w:spacing w:val="-69"/>
        </w:rPr>
        <w:t> </w:t>
      </w:r>
      <w:r>
        <w:rPr>
          <w:rFonts w:ascii="宋体" w:hAnsi="宋体" w:cs="宋体" w:eastAsia="宋体" w:hint="default"/>
          <w:spacing w:val="-5"/>
        </w:rPr>
        <w:t>1</w:t>
      </w:r>
      <w:r>
        <w:rPr>
          <w:spacing w:val="-5"/>
        </w:rPr>
        <w:t>：</w:t>
      </w:r>
      <w:r>
        <w:rPr>
          <w:rFonts w:ascii="宋体" w:hAnsi="宋体" w:cs="宋体" w:eastAsia="宋体" w:hint="default"/>
          <w:spacing w:val="-5"/>
        </w:rPr>
        <w:t>2015</w:t>
      </w:r>
      <w:r>
        <w:rPr>
          <w:rFonts w:ascii="宋体" w:hAnsi="宋体" w:cs="宋体" w:eastAsia="宋体" w:hint="default"/>
          <w:spacing w:val="-69"/>
        </w:rPr>
        <w:t> </w:t>
      </w:r>
      <w:r>
        <w:rPr/>
        <w:t>年</w:t>
      </w:r>
      <w:r>
        <w:rPr>
          <w:spacing w:val="-69"/>
        </w:rPr>
        <w:t> </w:t>
      </w:r>
      <w:r>
        <w:rPr>
          <w:rFonts w:ascii="宋体" w:hAnsi="宋体" w:cs="宋体" w:eastAsia="宋体" w:hint="default"/>
        </w:rPr>
        <w:t>12</w:t>
      </w:r>
      <w:r>
        <w:rPr>
          <w:rFonts w:ascii="宋体" w:hAnsi="宋体" w:cs="宋体" w:eastAsia="宋体" w:hint="default"/>
          <w:spacing w:val="-69"/>
        </w:rPr>
        <w:t> </w:t>
      </w:r>
      <w:r>
        <w:rPr/>
        <w:t>月</w:t>
      </w:r>
      <w:r>
        <w:rPr>
          <w:spacing w:val="-69"/>
        </w:rPr>
        <w:t> </w:t>
      </w:r>
      <w:r>
        <w:rPr>
          <w:rFonts w:ascii="宋体" w:hAnsi="宋体" w:cs="宋体" w:eastAsia="宋体" w:hint="default"/>
        </w:rPr>
        <w:t>9</w:t>
      </w:r>
      <w:r>
        <w:rPr>
          <w:rFonts w:ascii="宋体" w:hAnsi="宋体" w:cs="宋体" w:eastAsia="宋体" w:hint="default"/>
          <w:spacing w:val="-69"/>
        </w:rPr>
        <w:t> </w:t>
      </w:r>
      <w:r>
        <w:rPr/>
        <w:t>日，本公司董事会会议决议，本公司之二级子公司中文在线集团有 </w:t>
      </w:r>
      <w:r>
        <w:rPr>
          <w:spacing w:val="-8"/>
        </w:rPr>
        <w:t>限公司（以下简称“香港公司”）以</w:t>
      </w:r>
      <w:r>
        <w:rPr/>
        <w:t> </w:t>
      </w:r>
      <w:r>
        <w:rPr>
          <w:rFonts w:ascii="宋体" w:hAnsi="宋体" w:cs="宋体" w:eastAsia="宋体" w:hint="default"/>
        </w:rPr>
        <w:t>2,300 </w:t>
      </w:r>
      <w:r>
        <w:rPr/>
        <w:t>万美元投资 </w:t>
      </w:r>
      <w:r>
        <w:rPr>
          <w:rFonts w:ascii="宋体" w:hAnsi="宋体" w:cs="宋体" w:eastAsia="宋体" w:hint="default"/>
        </w:rPr>
        <w:t>JOINGEAR</w:t>
      </w:r>
      <w:r>
        <w:rPr>
          <w:rFonts w:ascii="宋体" w:hAnsi="宋体" w:cs="宋体" w:eastAsia="宋体" w:hint="default"/>
          <w:spacing w:val="-76"/>
        </w:rPr>
        <w:t> </w:t>
      </w:r>
      <w:r>
        <w:rPr>
          <w:rFonts w:ascii="宋体" w:hAnsi="宋体" w:cs="宋体" w:eastAsia="宋体" w:hint="default"/>
        </w:rPr>
        <w:t>LIMITED</w:t>
      </w:r>
      <w:r>
        <w:rPr/>
        <w:t>（一家英属维京群 岛法律下设立的</w:t>
      </w:r>
      <w:r>
        <w:rPr>
          <w:spacing w:val="-44"/>
        </w:rPr>
        <w:t> </w:t>
      </w:r>
      <w:r>
        <w:rPr>
          <w:rFonts w:ascii="宋体" w:hAnsi="宋体" w:cs="宋体" w:eastAsia="宋体" w:hint="default"/>
        </w:rPr>
        <w:t>BVI</w:t>
      </w:r>
      <w:r>
        <w:rPr>
          <w:rFonts w:ascii="宋体" w:hAnsi="宋体" w:cs="宋体" w:eastAsia="宋体" w:hint="default"/>
          <w:spacing w:val="-45"/>
        </w:rPr>
        <w:t> </w:t>
      </w:r>
      <w:r>
        <w:rPr/>
        <w:t>公司）获得其</w:t>
      </w:r>
      <w:r>
        <w:rPr>
          <w:spacing w:val="-45"/>
        </w:rPr>
        <w:t> </w:t>
      </w:r>
      <w:r>
        <w:rPr>
          <w:rFonts w:ascii="宋体" w:hAnsi="宋体" w:cs="宋体" w:eastAsia="宋体" w:hint="default"/>
        </w:rPr>
        <w:t>38.33%</w:t>
      </w:r>
      <w:r>
        <w:rPr/>
        <w:t>的股权，收购款</w:t>
      </w:r>
      <w:r>
        <w:rPr>
          <w:spacing w:val="-45"/>
        </w:rPr>
        <w:t> </w:t>
      </w:r>
      <w:r>
        <w:rPr>
          <w:rFonts w:ascii="宋体" w:hAnsi="宋体" w:cs="宋体" w:eastAsia="宋体" w:hint="default"/>
        </w:rPr>
        <w:t>2,300</w:t>
      </w:r>
      <w:r>
        <w:rPr>
          <w:rFonts w:ascii="宋体" w:hAnsi="宋体" w:cs="宋体" w:eastAsia="宋体" w:hint="default"/>
          <w:spacing w:val="-45"/>
        </w:rPr>
        <w:t> </w:t>
      </w:r>
      <w:r>
        <w:rPr/>
        <w:t>万美元于</w:t>
      </w:r>
      <w:r>
        <w:rPr>
          <w:spacing w:val="-44"/>
        </w:rPr>
        <w:t> </w:t>
      </w:r>
      <w:r>
        <w:rPr>
          <w:rFonts w:ascii="宋体" w:hAnsi="宋体" w:cs="宋体" w:eastAsia="宋体" w:hint="default"/>
        </w:rPr>
        <w:t>2015</w:t>
      </w:r>
      <w:r>
        <w:rPr>
          <w:rFonts w:ascii="宋体" w:hAnsi="宋体" w:cs="宋体" w:eastAsia="宋体" w:hint="default"/>
          <w:spacing w:val="-45"/>
        </w:rPr>
        <w:t> </w:t>
      </w:r>
      <w:r>
        <w:rPr/>
        <w:t>年</w:t>
      </w:r>
      <w:r>
        <w:rPr>
          <w:spacing w:val="-45"/>
        </w:rPr>
        <w:t> </w:t>
      </w:r>
      <w:r>
        <w:rPr>
          <w:rFonts w:ascii="宋体" w:hAnsi="宋体" w:cs="宋体" w:eastAsia="宋体" w:hint="default"/>
        </w:rPr>
        <w:t>12</w:t>
      </w:r>
      <w:r>
        <w:rPr>
          <w:rFonts w:ascii="宋体" w:hAnsi="宋体" w:cs="宋体" w:eastAsia="宋体" w:hint="default"/>
          <w:spacing w:val="-45"/>
        </w:rPr>
        <w:t> </w:t>
      </w:r>
      <w:r>
        <w:rPr/>
        <w:t>月</w:t>
      </w:r>
      <w:r>
        <w:rPr>
          <w:spacing w:val="-45"/>
        </w:rPr>
        <w:t> </w:t>
      </w:r>
      <w:r>
        <w:rPr>
          <w:rFonts w:ascii="宋体" w:hAnsi="宋体" w:cs="宋体" w:eastAsia="宋体" w:hint="default"/>
        </w:rPr>
        <w:t>28</w:t>
      </w:r>
      <w:r>
        <w:rPr>
          <w:rFonts w:ascii="宋体" w:hAnsi="宋体" w:cs="宋体" w:eastAsia="宋体" w:hint="default"/>
          <w:spacing w:val="1"/>
        </w:rPr>
        <w:t> </w:t>
      </w:r>
      <w:r>
        <w:rPr/>
        <w:t>日支付。</w:t>
      </w:r>
      <w:r>
        <w:rPr>
          <w:rFonts w:ascii="宋体" w:hAnsi="宋体" w:cs="宋体" w:eastAsia="宋体" w:hint="default"/>
        </w:rPr>
        <w:t>2015</w:t>
      </w:r>
      <w:r>
        <w:rPr>
          <w:rFonts w:ascii="宋体" w:hAnsi="宋体" w:cs="宋体" w:eastAsia="宋体" w:hint="default"/>
          <w:spacing w:val="-71"/>
        </w:rPr>
        <w:t> </w:t>
      </w:r>
      <w:r>
        <w:rPr/>
        <w:t>年</w:t>
      </w:r>
      <w:r>
        <w:rPr>
          <w:spacing w:val="-71"/>
        </w:rPr>
        <w:t> </w:t>
      </w:r>
      <w:r>
        <w:rPr>
          <w:rFonts w:ascii="宋体" w:hAnsi="宋体" w:cs="宋体" w:eastAsia="宋体" w:hint="default"/>
        </w:rPr>
        <w:t>12</w:t>
      </w:r>
      <w:r>
        <w:rPr>
          <w:rFonts w:ascii="宋体" w:hAnsi="宋体" w:cs="宋体" w:eastAsia="宋体" w:hint="default"/>
          <w:spacing w:val="-70"/>
        </w:rPr>
        <w:t> </w:t>
      </w:r>
      <w:r>
        <w:rPr/>
        <w:t>月</w:t>
      </w:r>
      <w:r>
        <w:rPr>
          <w:spacing w:val="-70"/>
        </w:rPr>
        <w:t> </w:t>
      </w:r>
      <w:r>
        <w:rPr>
          <w:rFonts w:ascii="宋体" w:hAnsi="宋体" w:cs="宋体" w:eastAsia="宋体" w:hint="default"/>
        </w:rPr>
        <w:t>30</w:t>
      </w:r>
      <w:r>
        <w:rPr>
          <w:rFonts w:ascii="宋体" w:hAnsi="宋体" w:cs="宋体" w:eastAsia="宋体" w:hint="default"/>
          <w:spacing w:val="-71"/>
        </w:rPr>
        <w:t> </w:t>
      </w:r>
      <w:r>
        <w:rPr>
          <w:spacing w:val="-12"/>
        </w:rPr>
        <w:t>日，</w:t>
      </w:r>
      <w:r>
        <w:rPr>
          <w:rFonts w:ascii="宋体" w:hAnsi="宋体" w:cs="宋体" w:eastAsia="宋体" w:hint="default"/>
          <w:spacing w:val="-12"/>
        </w:rPr>
        <w:t>JOINGEAR</w:t>
      </w:r>
      <w:r>
        <w:rPr>
          <w:rFonts w:ascii="宋体" w:hAnsi="宋体" w:cs="宋体" w:eastAsia="宋体" w:hint="default"/>
          <w:spacing w:val="-59"/>
        </w:rPr>
        <w:t> </w:t>
      </w:r>
      <w:r>
        <w:rPr>
          <w:rFonts w:ascii="宋体" w:hAnsi="宋体" w:cs="宋体" w:eastAsia="宋体" w:hint="default"/>
        </w:rPr>
        <w:t>LIMITED</w:t>
      </w:r>
      <w:r>
        <w:rPr>
          <w:rFonts w:ascii="宋体" w:hAnsi="宋体" w:cs="宋体" w:eastAsia="宋体" w:hint="default"/>
          <w:spacing w:val="-71"/>
        </w:rPr>
        <w:t> </w:t>
      </w:r>
      <w:r>
        <w:rPr/>
        <w:t>向</w:t>
      </w:r>
      <w:r>
        <w:rPr>
          <w:spacing w:val="-71"/>
        </w:rPr>
        <w:t> </w:t>
      </w:r>
      <w:r>
        <w:rPr>
          <w:rFonts w:ascii="宋体" w:hAnsi="宋体" w:cs="宋体" w:eastAsia="宋体" w:hint="default"/>
        </w:rPr>
        <w:t>ATA</w:t>
      </w:r>
      <w:r>
        <w:rPr>
          <w:rFonts w:ascii="宋体" w:hAnsi="宋体" w:cs="宋体" w:eastAsia="宋体" w:hint="default"/>
          <w:spacing w:val="-59"/>
        </w:rPr>
        <w:t> </w:t>
      </w:r>
      <w:r>
        <w:rPr>
          <w:rFonts w:ascii="宋体" w:hAnsi="宋体" w:cs="宋体" w:eastAsia="宋体" w:hint="default"/>
          <w:spacing w:val="-18"/>
        </w:rPr>
        <w:t>Inc.</w:t>
      </w:r>
      <w:r>
        <w:rPr>
          <w:spacing w:val="-18"/>
        </w:rPr>
        <w:t>（</w:t>
      </w:r>
      <w:r>
        <w:rPr>
          <w:rFonts w:ascii="宋体" w:hAnsi="宋体" w:cs="宋体" w:eastAsia="宋体" w:hint="default"/>
          <w:spacing w:val="-18"/>
        </w:rPr>
        <w:t>Cayman</w:t>
      </w:r>
      <w:r>
        <w:rPr>
          <w:spacing w:val="-18"/>
        </w:rPr>
        <w:t>）股东</w:t>
      </w:r>
      <w:r>
        <w:rPr>
          <w:spacing w:val="-71"/>
        </w:rPr>
        <w:t> </w:t>
      </w:r>
      <w:r>
        <w:rPr>
          <w:rFonts w:ascii="宋体" w:hAnsi="宋体" w:cs="宋体" w:eastAsia="宋体" w:hint="default"/>
        </w:rPr>
        <w:t>SB</w:t>
      </w:r>
      <w:r>
        <w:rPr>
          <w:rFonts w:ascii="宋体" w:hAnsi="宋体" w:cs="宋体" w:eastAsia="宋体" w:hint="default"/>
          <w:spacing w:val="-59"/>
        </w:rPr>
        <w:t> </w:t>
      </w:r>
      <w:r>
        <w:rPr>
          <w:rFonts w:ascii="宋体" w:hAnsi="宋体" w:cs="宋体" w:eastAsia="宋体" w:hint="default"/>
        </w:rPr>
        <w:t>Asia</w:t>
      </w:r>
      <w:r>
        <w:rPr>
          <w:rFonts w:ascii="宋体" w:hAnsi="宋体" w:cs="宋体" w:eastAsia="宋体" w:hint="default"/>
          <w:spacing w:val="-59"/>
        </w:rPr>
        <w:t> </w:t>
      </w:r>
      <w:r>
        <w:rPr>
          <w:rFonts w:ascii="宋体" w:hAnsi="宋体" w:cs="宋体" w:eastAsia="宋体" w:hint="default"/>
        </w:rPr>
        <w:t>Investment</w:t>
      </w:r>
      <w:r>
        <w:rPr>
          <w:rFonts w:ascii="宋体" w:hAnsi="宋体" w:cs="宋体" w:eastAsia="宋体" w:hint="default"/>
        </w:rPr>
        <w:t> Fund II L.P.</w:t>
      </w:r>
      <w:r>
        <w:rPr/>
        <w:t>和</w:t>
      </w:r>
      <w:r>
        <w:rPr>
          <w:spacing w:val="-17"/>
        </w:rPr>
        <w:t> </w:t>
      </w:r>
      <w:r>
        <w:rPr>
          <w:rFonts w:ascii="宋体" w:hAnsi="宋体" w:cs="宋体" w:eastAsia="宋体" w:hint="default"/>
        </w:rPr>
        <w:t>Treasure Master International</w:t>
      </w:r>
      <w:r>
        <w:rPr>
          <w:rFonts w:ascii="宋体" w:hAnsi="宋体" w:cs="宋体" w:eastAsia="宋体" w:hint="default"/>
          <w:spacing w:val="-17"/>
        </w:rPr>
        <w:t> </w:t>
      </w:r>
      <w:r>
        <w:rPr/>
        <w:t>支付</w:t>
      </w:r>
      <w:r>
        <w:rPr>
          <w:spacing w:val="-16"/>
        </w:rPr>
        <w:t> </w:t>
      </w:r>
      <w:r>
        <w:rPr>
          <w:rFonts w:ascii="宋体" w:hAnsi="宋体" w:cs="宋体" w:eastAsia="宋体" w:hint="default"/>
        </w:rPr>
        <w:t>7,248</w:t>
      </w:r>
      <w:r>
        <w:rPr>
          <w:rFonts w:ascii="宋体" w:hAnsi="宋体" w:cs="宋体" w:eastAsia="宋体" w:hint="default"/>
          <w:spacing w:val="-17"/>
        </w:rPr>
        <w:t> </w:t>
      </w:r>
      <w:r>
        <w:rPr/>
        <w:t>万美金，合计收购</w:t>
      </w:r>
      <w:r>
        <w:rPr>
          <w:spacing w:val="-17"/>
        </w:rPr>
        <w:t> </w:t>
      </w:r>
      <w:r>
        <w:rPr>
          <w:rFonts w:ascii="宋体" w:hAnsi="宋体" w:cs="宋体" w:eastAsia="宋体" w:hint="default"/>
        </w:rPr>
        <w:t>ATA Inc.</w:t>
      </w:r>
    </w:p>
    <w:p>
      <w:pPr>
        <w:pStyle w:val="BodyText"/>
        <w:spacing w:line="357" w:lineRule="auto" w:before="36"/>
        <w:ind w:right="1129"/>
        <w:jc w:val="both"/>
        <w:rPr>
          <w:rFonts w:ascii="宋体" w:hAnsi="宋体" w:cs="宋体" w:eastAsia="宋体" w:hint="default"/>
        </w:rPr>
      </w:pPr>
      <w:r>
        <w:rPr/>
        <w:t>（</w:t>
      </w:r>
      <w:r>
        <w:rPr>
          <w:rFonts w:ascii="宋体" w:hAnsi="宋体" w:cs="宋体" w:eastAsia="宋体" w:hint="default"/>
        </w:rPr>
        <w:t>Cayman</w:t>
      </w:r>
      <w:r>
        <w:rPr/>
        <w:t>）</w:t>
      </w:r>
      <w:r>
        <w:rPr>
          <w:rFonts w:ascii="宋体" w:hAnsi="宋体" w:cs="宋体" w:eastAsia="宋体" w:hint="default"/>
        </w:rPr>
        <w:t>31.68%</w:t>
      </w:r>
      <w:r>
        <w:rPr/>
        <w:t>股权，即香港公司间接持有</w:t>
      </w:r>
      <w:r>
        <w:rPr>
          <w:spacing w:val="-60"/>
        </w:rPr>
        <w:t> </w:t>
      </w:r>
      <w:r>
        <w:rPr>
          <w:rFonts w:ascii="宋体" w:hAnsi="宋体" w:cs="宋体" w:eastAsia="宋体" w:hint="default"/>
        </w:rPr>
        <w:t>ATA</w:t>
      </w:r>
      <w:r>
        <w:rPr>
          <w:rFonts w:ascii="宋体" w:hAnsi="宋体" w:cs="宋体" w:eastAsia="宋体" w:hint="default"/>
          <w:spacing w:val="-22"/>
        </w:rPr>
        <w:t> </w:t>
      </w:r>
      <w:r>
        <w:rPr>
          <w:rFonts w:ascii="宋体" w:hAnsi="宋体" w:cs="宋体" w:eastAsia="宋体" w:hint="default"/>
        </w:rPr>
        <w:t>Inc.</w:t>
      </w:r>
      <w:r>
        <w:rPr/>
        <w:t>（</w:t>
      </w:r>
      <w:r>
        <w:rPr>
          <w:rFonts w:ascii="宋体" w:hAnsi="宋体" w:cs="宋体" w:eastAsia="宋体" w:hint="default"/>
        </w:rPr>
        <w:t>Cayman</w:t>
      </w:r>
      <w:r>
        <w:rPr/>
        <w:t>）</w:t>
      </w:r>
      <w:r>
        <w:rPr>
          <w:rFonts w:ascii="宋体" w:hAnsi="宋体" w:cs="宋体" w:eastAsia="宋体" w:hint="default"/>
        </w:rPr>
        <w:t>12.14%</w:t>
      </w:r>
      <w:r>
        <w:rPr/>
        <w:t>的股权。</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6 </w:t>
      </w:r>
      <w:r>
        <w:rPr/>
        <w:t>月</w:t>
      </w:r>
      <w:r>
        <w:rPr>
          <w:spacing w:val="-71"/>
        </w:rPr>
        <w:t> </w:t>
      </w:r>
      <w:r>
        <w:rPr>
          <w:rFonts w:ascii="宋体" w:hAnsi="宋体" w:cs="宋体" w:eastAsia="宋体" w:hint="default"/>
        </w:rPr>
        <w:t>30</w:t>
      </w:r>
      <w:r>
        <w:rPr>
          <w:rFonts w:ascii="宋体" w:hAnsi="宋体" w:cs="宋体" w:eastAsia="宋体" w:hint="default"/>
          <w:spacing w:val="-71"/>
        </w:rPr>
        <w:t> </w:t>
      </w:r>
      <w:r>
        <w:rPr/>
        <w:t>日香港公司以 </w:t>
      </w:r>
      <w:r>
        <w:rPr>
          <w:rFonts w:ascii="宋体" w:hAnsi="宋体" w:cs="宋体" w:eastAsia="宋体" w:hint="default"/>
        </w:rPr>
        <w:t>860 </w:t>
      </w:r>
      <w:r>
        <w:rPr/>
        <w:t>万美元自有资金收购自然人马肖风持有的 </w:t>
      </w:r>
      <w:r>
        <w:rPr>
          <w:rFonts w:ascii="宋体" w:hAnsi="宋体" w:cs="宋体" w:eastAsia="宋体" w:hint="default"/>
        </w:rPr>
        <w:t>JOINGEAR</w:t>
      </w:r>
      <w:r>
        <w:rPr>
          <w:rFonts w:ascii="宋体" w:hAnsi="宋体" w:cs="宋体" w:eastAsia="宋体" w:hint="default"/>
          <w:spacing w:val="-60"/>
        </w:rPr>
        <w:t> </w:t>
      </w:r>
      <w:r>
        <w:rPr>
          <w:rFonts w:ascii="宋体" w:hAnsi="宋体" w:cs="宋体" w:eastAsia="宋体" w:hint="default"/>
        </w:rPr>
        <w:t>LIMITED11.66%</w:t>
      </w:r>
      <w:r>
        <w:rPr>
          <w:rFonts w:ascii="宋体" w:hAnsi="宋体" w:cs="宋体" w:eastAsia="宋体" w:hint="default"/>
        </w:rPr>
        <w:t> </w:t>
      </w:r>
      <w:r>
        <w:rPr>
          <w:spacing w:val="-6"/>
        </w:rPr>
        <w:t>的股权。收购完成后，香港公司持有</w:t>
      </w:r>
      <w:r>
        <w:rPr>
          <w:spacing w:val="2"/>
        </w:rPr>
        <w:t> </w:t>
      </w:r>
      <w:r>
        <w:rPr>
          <w:rFonts w:ascii="宋体" w:hAnsi="宋体" w:cs="宋体" w:eastAsia="宋体" w:hint="default"/>
        </w:rPr>
        <w:t>JOINGEAR</w:t>
      </w:r>
      <w:r>
        <w:rPr>
          <w:rFonts w:ascii="宋体" w:hAnsi="宋体" w:cs="宋体" w:eastAsia="宋体" w:hint="default"/>
          <w:spacing w:val="-59"/>
        </w:rPr>
        <w:t> </w:t>
      </w:r>
      <w:r>
        <w:rPr>
          <w:rFonts w:ascii="宋体" w:hAnsi="宋体" w:cs="宋体" w:eastAsia="宋体" w:hint="default"/>
        </w:rPr>
        <w:t>LIMITED</w:t>
      </w:r>
      <w:r>
        <w:rPr>
          <w:rFonts w:ascii="宋体" w:hAnsi="宋体" w:cs="宋体" w:eastAsia="宋体" w:hint="default"/>
          <w:spacing w:val="-59"/>
        </w:rPr>
        <w:t> </w:t>
      </w:r>
      <w:r>
        <w:rPr>
          <w:rFonts w:ascii="宋体" w:hAnsi="宋体" w:cs="宋体" w:eastAsia="宋体" w:hint="default"/>
          <w:spacing w:val="-3"/>
        </w:rPr>
        <w:t>49.99%</w:t>
      </w:r>
      <w:r>
        <w:rPr>
          <w:spacing w:val="-3"/>
        </w:rPr>
        <w:t>的股权，</w:t>
      </w:r>
      <w:r>
        <w:rPr>
          <w:rFonts w:ascii="宋体" w:hAnsi="宋体" w:cs="宋体" w:eastAsia="宋体" w:hint="default"/>
          <w:spacing w:val="-3"/>
        </w:rPr>
        <w:t>JOINGEAR</w:t>
      </w:r>
      <w:r>
        <w:rPr>
          <w:rFonts w:ascii="宋体" w:hAnsi="宋体" w:cs="宋体" w:eastAsia="宋体" w:hint="default"/>
          <w:spacing w:val="-59"/>
        </w:rPr>
        <w:t> </w:t>
      </w:r>
      <w:r>
        <w:rPr>
          <w:rFonts w:ascii="宋体" w:hAnsi="宋体" w:cs="宋体" w:eastAsia="宋体" w:hint="default"/>
        </w:rPr>
        <w:t>LIMITED</w:t>
      </w:r>
      <w:r>
        <w:rPr>
          <w:rFonts w:ascii="宋体" w:hAnsi="宋体" w:cs="宋体" w:eastAsia="宋体" w:hint="default"/>
          <w:spacing w:val="2"/>
        </w:rPr>
        <w:t> </w:t>
      </w:r>
      <w:r>
        <w:rPr/>
        <w:t>持 有</w:t>
      </w:r>
      <w:r>
        <w:rPr>
          <w:spacing w:val="-11"/>
        </w:rPr>
        <w:t> </w:t>
      </w:r>
      <w:r>
        <w:rPr>
          <w:rFonts w:ascii="宋体" w:hAnsi="宋体" w:cs="宋体" w:eastAsia="宋体" w:hint="default"/>
        </w:rPr>
        <w:t>ATA</w:t>
      </w:r>
      <w:r>
        <w:rPr>
          <w:rFonts w:ascii="宋体" w:hAnsi="宋体" w:cs="宋体" w:eastAsia="宋体" w:hint="default"/>
          <w:spacing w:val="-66"/>
        </w:rPr>
        <w:t> </w:t>
      </w:r>
      <w:r>
        <w:rPr>
          <w:rFonts w:ascii="宋体" w:hAnsi="宋体" w:cs="宋体" w:eastAsia="宋体" w:hint="default"/>
        </w:rPr>
        <w:t>Inc.</w:t>
      </w:r>
      <w:r>
        <w:rPr/>
        <w:t>（</w:t>
      </w:r>
      <w:r>
        <w:rPr>
          <w:rFonts w:ascii="宋体" w:hAnsi="宋体" w:cs="宋体" w:eastAsia="宋体" w:hint="default"/>
        </w:rPr>
        <w:t>Cayman</w:t>
      </w:r>
      <w:r>
        <w:rPr/>
        <w:t>）</w:t>
      </w:r>
      <w:r>
        <w:rPr>
          <w:rFonts w:ascii="宋体" w:hAnsi="宋体" w:cs="宋体" w:eastAsia="宋体" w:hint="default"/>
        </w:rPr>
        <w:t>40.2%</w:t>
      </w:r>
      <w:r>
        <w:rPr/>
        <w:t>的股权，即香港公司间接持有</w:t>
      </w:r>
      <w:r>
        <w:rPr>
          <w:spacing w:val="-11"/>
        </w:rPr>
        <w:t> </w:t>
      </w:r>
      <w:r>
        <w:rPr>
          <w:rFonts w:ascii="宋体" w:hAnsi="宋体" w:cs="宋体" w:eastAsia="宋体" w:hint="default"/>
        </w:rPr>
        <w:t>ATA</w:t>
      </w:r>
      <w:r>
        <w:rPr>
          <w:rFonts w:ascii="宋体" w:hAnsi="宋体" w:cs="宋体" w:eastAsia="宋体" w:hint="default"/>
          <w:spacing w:val="-66"/>
        </w:rPr>
        <w:t> </w:t>
      </w:r>
      <w:r>
        <w:rPr>
          <w:rFonts w:ascii="宋体" w:hAnsi="宋体" w:cs="宋体" w:eastAsia="宋体" w:hint="default"/>
          <w:spacing w:val="-3"/>
        </w:rPr>
        <w:t>Inc.</w:t>
      </w:r>
      <w:r>
        <w:rPr>
          <w:spacing w:val="-3"/>
        </w:rPr>
        <w:t>（</w:t>
      </w:r>
      <w:r>
        <w:rPr>
          <w:rFonts w:ascii="宋体" w:hAnsi="宋体" w:cs="宋体" w:eastAsia="宋体" w:hint="default"/>
          <w:spacing w:val="-3"/>
        </w:rPr>
        <w:t>Cayman</w:t>
      </w:r>
      <w:r>
        <w:rPr>
          <w:spacing w:val="-3"/>
        </w:rPr>
        <w:t>）总计</w:t>
      </w:r>
      <w:r>
        <w:rPr>
          <w:spacing w:val="-11"/>
        </w:rPr>
        <w:t> </w:t>
      </w:r>
      <w:r>
        <w:rPr>
          <w:rFonts w:ascii="宋体" w:hAnsi="宋体" w:cs="宋体" w:eastAsia="宋体" w:hint="default"/>
        </w:rPr>
        <w:t>20.09% </w:t>
      </w:r>
      <w:r>
        <w:rPr/>
        <w:t>股权。</w:t>
      </w:r>
      <w:r>
        <w:rPr>
          <w:rFonts w:ascii="宋体" w:hAnsi="宋体" w:cs="宋体" w:eastAsia="宋体" w:hint="default"/>
        </w:rPr>
        <w:t>2017</w:t>
      </w:r>
      <w:r>
        <w:rPr>
          <w:rFonts w:ascii="宋体" w:hAnsi="宋体" w:cs="宋体" w:eastAsia="宋体" w:hint="default"/>
          <w:spacing w:val="-63"/>
        </w:rPr>
        <w:t> </w:t>
      </w:r>
      <w:r>
        <w:rPr/>
        <w:t>年</w:t>
      </w:r>
      <w:r>
        <w:rPr>
          <w:spacing w:val="-63"/>
        </w:rPr>
        <w:t> </w:t>
      </w:r>
      <w:r>
        <w:rPr>
          <w:rFonts w:ascii="宋体" w:hAnsi="宋体" w:cs="宋体" w:eastAsia="宋体" w:hint="default"/>
        </w:rPr>
        <w:t>1</w:t>
      </w:r>
      <w:r>
        <w:rPr>
          <w:rFonts w:ascii="宋体" w:hAnsi="宋体" w:cs="宋体" w:eastAsia="宋体" w:hint="default"/>
          <w:spacing w:val="-63"/>
        </w:rPr>
        <w:t> </w:t>
      </w:r>
      <w:r>
        <w:rPr/>
        <w:t>月</w:t>
      </w:r>
      <w:r>
        <w:rPr>
          <w:spacing w:val="-63"/>
        </w:rPr>
        <w:t> </w:t>
      </w:r>
      <w:r>
        <w:rPr>
          <w:rFonts w:ascii="宋体" w:hAnsi="宋体" w:cs="宋体" w:eastAsia="宋体" w:hint="default"/>
        </w:rPr>
        <w:t>ATA</w:t>
      </w:r>
      <w:r>
        <w:rPr>
          <w:rFonts w:ascii="宋体" w:hAnsi="宋体" w:cs="宋体" w:eastAsia="宋体" w:hint="default"/>
          <w:spacing w:val="-63"/>
        </w:rPr>
        <w:t> </w:t>
      </w:r>
      <w:r>
        <w:rPr>
          <w:rFonts w:ascii="宋体" w:hAnsi="宋体" w:cs="宋体" w:eastAsia="宋体" w:hint="default"/>
        </w:rPr>
        <w:t>Inc.</w:t>
      </w:r>
      <w:r>
        <w:rPr/>
        <w:t>（</w:t>
      </w:r>
      <w:r>
        <w:rPr>
          <w:rFonts w:ascii="宋体" w:hAnsi="宋体" w:cs="宋体" w:eastAsia="宋体" w:hint="default"/>
        </w:rPr>
        <w:t>Cayman</w:t>
      </w:r>
      <w:r>
        <w:rPr/>
        <w:t>）对员工实施股权激励，</w:t>
      </w:r>
      <w:r>
        <w:rPr>
          <w:rFonts w:ascii="宋体" w:hAnsi="宋体" w:cs="宋体" w:eastAsia="宋体" w:hint="default"/>
        </w:rPr>
        <w:t>JOINGEAR</w:t>
      </w:r>
      <w:r>
        <w:rPr>
          <w:rFonts w:ascii="宋体" w:hAnsi="宋体" w:cs="宋体" w:eastAsia="宋体" w:hint="default"/>
          <w:spacing w:val="-63"/>
        </w:rPr>
        <w:t> </w:t>
      </w:r>
      <w:r>
        <w:rPr>
          <w:rFonts w:ascii="宋体" w:hAnsi="宋体" w:cs="宋体" w:eastAsia="宋体" w:hint="default"/>
        </w:rPr>
        <w:t>LIMITED</w:t>
      </w:r>
      <w:r>
        <w:rPr>
          <w:rFonts w:ascii="宋体" w:hAnsi="宋体" w:cs="宋体" w:eastAsia="宋体" w:hint="default"/>
          <w:spacing w:val="-63"/>
        </w:rPr>
        <w:t> </w:t>
      </w:r>
      <w:r>
        <w:rPr/>
        <w:t>对</w:t>
      </w:r>
      <w:r>
        <w:rPr>
          <w:spacing w:val="-63"/>
        </w:rPr>
        <w:t> </w:t>
      </w:r>
      <w:r>
        <w:rPr>
          <w:rFonts w:ascii="宋体" w:hAnsi="宋体" w:cs="宋体" w:eastAsia="宋体" w:hint="default"/>
        </w:rPr>
        <w:t>ATA</w:t>
      </w:r>
      <w:r>
        <w:rPr>
          <w:rFonts w:ascii="宋体" w:hAnsi="宋体" w:cs="宋体" w:eastAsia="宋体" w:hint="default"/>
          <w:spacing w:val="-63"/>
        </w:rPr>
        <w:t> </w:t>
      </w:r>
      <w:r>
        <w:rPr>
          <w:rFonts w:ascii="宋体" w:hAnsi="宋体" w:cs="宋体" w:eastAsia="宋体" w:hint="default"/>
        </w:rPr>
        <w:t>Inc.</w:t>
      </w:r>
    </w:p>
    <w:p>
      <w:pPr>
        <w:pStyle w:val="BodyText"/>
        <w:spacing w:line="240" w:lineRule="auto" w:before="36"/>
        <w:ind w:right="0"/>
        <w:jc w:val="both"/>
      </w:pPr>
      <w:r>
        <w:rPr>
          <w:spacing w:val="-4"/>
        </w:rPr>
        <w:t>（</w:t>
      </w:r>
      <w:r>
        <w:rPr>
          <w:rFonts w:ascii="宋体" w:hAnsi="宋体" w:cs="宋体" w:eastAsia="宋体" w:hint="default"/>
          <w:spacing w:val="-4"/>
        </w:rPr>
        <w:t>Cayman</w:t>
      </w:r>
      <w:r>
        <w:rPr>
          <w:spacing w:val="-4"/>
        </w:rPr>
        <w:t>）持股比例被稀释为</w:t>
      </w:r>
      <w:r>
        <w:rPr>
          <w:spacing w:val="-57"/>
        </w:rPr>
        <w:t> </w:t>
      </w:r>
      <w:r>
        <w:rPr>
          <w:rFonts w:ascii="宋体" w:hAnsi="宋体" w:cs="宋体" w:eastAsia="宋体" w:hint="default"/>
          <w:spacing w:val="-4"/>
        </w:rPr>
        <w:t>38%</w:t>
      </w:r>
      <w:r>
        <w:rPr>
          <w:spacing w:val="-4"/>
        </w:rPr>
        <w:t>，即香港公司间接持有</w:t>
      </w:r>
      <w:r>
        <w:rPr>
          <w:spacing w:val="-57"/>
        </w:rPr>
        <w:t> </w:t>
      </w:r>
      <w:r>
        <w:rPr>
          <w:rFonts w:ascii="宋体" w:hAnsi="宋体" w:cs="宋体" w:eastAsia="宋体" w:hint="default"/>
        </w:rPr>
        <w:t>ATA</w:t>
      </w:r>
      <w:r>
        <w:rPr>
          <w:rFonts w:ascii="宋体" w:hAnsi="宋体" w:cs="宋体" w:eastAsia="宋体" w:hint="default"/>
          <w:spacing w:val="-57"/>
        </w:rPr>
        <w:t> </w:t>
      </w:r>
      <w:r>
        <w:rPr>
          <w:rFonts w:ascii="宋体" w:hAnsi="宋体" w:cs="宋体" w:eastAsia="宋体" w:hint="default"/>
          <w:spacing w:val="-6"/>
        </w:rPr>
        <w:t>Inc.</w:t>
      </w:r>
      <w:r>
        <w:rPr>
          <w:spacing w:val="-6"/>
        </w:rPr>
        <w:t>（</w:t>
      </w:r>
      <w:r>
        <w:rPr>
          <w:rFonts w:ascii="宋体" w:hAnsi="宋体" w:cs="宋体" w:eastAsia="宋体" w:hint="default"/>
          <w:spacing w:val="-6"/>
        </w:rPr>
        <w:t>Cayman</w:t>
      </w:r>
      <w:r>
        <w:rPr>
          <w:spacing w:val="-6"/>
        </w:rPr>
        <w:t>）的股权变为</w:t>
      </w:r>
      <w:r>
        <w:rPr>
          <w:spacing w:val="-57"/>
        </w:rPr>
        <w:t> </w:t>
      </w:r>
      <w:r>
        <w:rPr>
          <w:rFonts w:ascii="宋体" w:hAnsi="宋体" w:cs="宋体" w:eastAsia="宋体" w:hint="default"/>
        </w:rPr>
        <w:t>19%</w:t>
      </w:r>
      <w:r>
        <w:rPr/>
        <w:t>。</w:t>
      </w:r>
    </w:p>
    <w:p>
      <w:pPr>
        <w:spacing w:after="0" w:line="240"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30"/>
        <w:jc w:val="both"/>
        <w:rPr>
          <w:rFonts w:ascii="宋体" w:hAnsi="宋体" w:cs="宋体" w:eastAsia="宋体" w:hint="default"/>
        </w:rPr>
      </w:pPr>
      <w:r>
        <w:rPr/>
        <w:t>香港公司因持</w:t>
      </w:r>
      <w:r>
        <w:rPr>
          <w:spacing w:val="-41"/>
        </w:rPr>
        <w:t> </w:t>
      </w:r>
      <w:r>
        <w:rPr>
          <w:rFonts w:ascii="宋体" w:hAnsi="宋体" w:cs="宋体" w:eastAsia="宋体" w:hint="default"/>
        </w:rPr>
        <w:t>JOINGEAR LIMITED 49.99%</w:t>
      </w:r>
      <w:r>
        <w:rPr/>
        <w:t>的股权，故对其采用权益法核算。</w:t>
      </w:r>
      <w:r>
        <w:rPr>
          <w:rFonts w:ascii="宋体" w:hAnsi="宋体" w:cs="宋体" w:eastAsia="宋体" w:hint="default"/>
        </w:rPr>
        <w:t>2018</w:t>
      </w:r>
      <w:r>
        <w:rPr>
          <w:rFonts w:ascii="宋体" w:hAnsi="宋体" w:cs="宋体" w:eastAsia="宋体" w:hint="default"/>
          <w:spacing w:val="-41"/>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r>
        <w:rPr>
          <w:spacing w:val="-40"/>
        </w:rPr>
        <w:t> </w:t>
      </w:r>
      <w:r>
        <w:rPr>
          <w:rFonts w:ascii="宋体" w:hAnsi="宋体" w:cs="宋体" w:eastAsia="宋体" w:hint="default"/>
        </w:rPr>
        <w:t>21 </w:t>
      </w:r>
      <w:r>
        <w:rPr/>
        <w:t>日本公司与</w:t>
      </w:r>
      <w:r>
        <w:rPr>
          <w:spacing w:val="-41"/>
        </w:rPr>
        <w:t> </w:t>
      </w:r>
      <w:r>
        <w:rPr>
          <w:rFonts w:ascii="宋体" w:hAnsi="宋体" w:cs="宋体" w:eastAsia="宋体" w:hint="default"/>
        </w:rPr>
        <w:t>JOINGEAR LIMITED</w:t>
      </w:r>
      <w:r>
        <w:rPr>
          <w:rFonts w:ascii="宋体" w:hAnsi="宋体" w:cs="宋体" w:eastAsia="宋体" w:hint="default"/>
          <w:spacing w:val="-41"/>
        </w:rPr>
        <w:t> </w:t>
      </w:r>
      <w:r>
        <w:rPr/>
        <w:t>签订了股权回购协议，协议约定</w:t>
      </w:r>
      <w:r>
        <w:rPr>
          <w:spacing w:val="-41"/>
        </w:rPr>
        <w:t> </w:t>
      </w:r>
      <w:r>
        <w:rPr>
          <w:rFonts w:ascii="宋体" w:hAnsi="宋体" w:cs="宋体" w:eastAsia="宋体" w:hint="default"/>
        </w:rPr>
        <w:t>JOINGEAR LIMITED</w:t>
      </w:r>
      <w:r>
        <w:rPr>
          <w:rFonts w:ascii="宋体" w:hAnsi="宋体" w:cs="宋体" w:eastAsia="宋体" w:hint="default"/>
          <w:spacing w:val="-41"/>
        </w:rPr>
        <w:t> </w:t>
      </w:r>
      <w:r>
        <w:rPr/>
        <w:t>以</w:t>
      </w:r>
      <w:r>
        <w:rPr>
          <w:spacing w:val="-41"/>
        </w:rPr>
        <w:t> </w:t>
      </w:r>
      <w:r>
        <w:rPr>
          <w:rFonts w:ascii="宋体" w:hAnsi="宋体" w:cs="宋体" w:eastAsia="宋体" w:hint="default"/>
        </w:rPr>
        <w:t>3,160 </w:t>
      </w:r>
      <w:r>
        <w:rPr/>
        <w:t>万美元回购本公司持其全部的股份。于</w:t>
      </w:r>
      <w:r>
        <w:rPr>
          <w:spacing w:val="-64"/>
        </w:rPr>
        <w:t> </w:t>
      </w:r>
      <w:r>
        <w:rPr>
          <w:rFonts w:ascii="宋体" w:hAnsi="宋体" w:cs="宋体" w:eastAsia="宋体" w:hint="default"/>
        </w:rPr>
        <w:t>2018</w:t>
      </w:r>
      <w:r>
        <w:rPr>
          <w:rFonts w:ascii="宋体" w:hAnsi="宋体" w:cs="宋体" w:eastAsia="宋体" w:hint="default"/>
          <w:spacing w:val="-64"/>
        </w:rPr>
        <w:t> </w:t>
      </w:r>
      <w:r>
        <w:rPr/>
        <w:t>年</w:t>
      </w:r>
      <w:r>
        <w:rPr>
          <w:spacing w:val="-64"/>
        </w:rPr>
        <w:t> </w:t>
      </w:r>
      <w:r>
        <w:rPr>
          <w:rFonts w:ascii="宋体" w:hAnsi="宋体" w:cs="宋体" w:eastAsia="宋体" w:hint="default"/>
        </w:rPr>
        <w:t>12</w:t>
      </w:r>
      <w:r>
        <w:rPr>
          <w:rFonts w:ascii="宋体" w:hAnsi="宋体" w:cs="宋体" w:eastAsia="宋体" w:hint="default"/>
          <w:spacing w:val="-64"/>
        </w:rPr>
        <w:t> </w:t>
      </w:r>
      <w:r>
        <w:rPr/>
        <w:t>月</w:t>
      </w:r>
      <w:r>
        <w:rPr>
          <w:spacing w:val="-64"/>
        </w:rPr>
        <w:t> </w:t>
      </w:r>
      <w:r>
        <w:rPr>
          <w:rFonts w:ascii="宋体" w:hAnsi="宋体" w:cs="宋体" w:eastAsia="宋体" w:hint="default"/>
        </w:rPr>
        <w:t>26</w:t>
      </w:r>
      <w:r>
        <w:rPr>
          <w:rFonts w:ascii="宋体" w:hAnsi="宋体" w:cs="宋体" w:eastAsia="宋体" w:hint="default"/>
          <w:spacing w:val="-64"/>
        </w:rPr>
        <w:t> </w:t>
      </w:r>
      <w:r>
        <w:rPr/>
        <w:t>日，本公司已收到股权回购款</w:t>
      </w:r>
      <w:r>
        <w:rPr>
          <w:spacing w:val="-64"/>
        </w:rPr>
        <w:t> </w:t>
      </w:r>
      <w:r>
        <w:rPr>
          <w:rFonts w:ascii="宋体" w:hAnsi="宋体" w:cs="宋体" w:eastAsia="宋体" w:hint="default"/>
        </w:rPr>
        <w:t>1,600</w:t>
      </w:r>
    </w:p>
    <w:p>
      <w:pPr>
        <w:pStyle w:val="BodyText"/>
        <w:spacing w:line="240" w:lineRule="auto" w:before="38"/>
        <w:ind w:right="0"/>
        <w:jc w:val="both"/>
      </w:pPr>
      <w:r>
        <w:rPr/>
        <w:t>万美元等值人民币</w:t>
      </w:r>
      <w:r>
        <w:rPr>
          <w:spacing w:val="-60"/>
        </w:rPr>
        <w:t> </w:t>
      </w:r>
      <w:r>
        <w:rPr>
          <w:rFonts w:ascii="宋体" w:hAnsi="宋体" w:cs="宋体" w:eastAsia="宋体" w:hint="default"/>
        </w:rPr>
        <w:t>11,016.96</w:t>
      </w:r>
      <w:r>
        <w:rPr>
          <w:rFonts w:ascii="宋体" w:hAnsi="宋体" w:cs="宋体" w:eastAsia="宋体" w:hint="default"/>
          <w:spacing w:val="-60"/>
        </w:rPr>
        <w:t> </w:t>
      </w:r>
      <w:r>
        <w:rPr/>
        <w:t>万元。于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月完成工商变更手续。</w:t>
      </w:r>
    </w:p>
    <w:p>
      <w:pPr>
        <w:spacing w:line="240" w:lineRule="auto" w:before="4"/>
        <w:rPr>
          <w:rFonts w:ascii="宋体" w:hAnsi="宋体" w:cs="宋体" w:eastAsia="宋体" w:hint="default"/>
          <w:sz w:val="19"/>
          <w:szCs w:val="19"/>
        </w:rPr>
      </w:pPr>
    </w:p>
    <w:p>
      <w:pPr>
        <w:pStyle w:val="BodyText"/>
        <w:spacing w:line="240" w:lineRule="auto"/>
        <w:ind w:left="634" w:right="1092"/>
        <w:jc w:val="left"/>
      </w:pPr>
      <w:r>
        <w:rPr/>
        <w:t>注</w:t>
      </w:r>
      <w:r>
        <w:rPr>
          <w:spacing w:val="-57"/>
        </w:rPr>
        <w:t> </w:t>
      </w:r>
      <w:r>
        <w:rPr>
          <w:rFonts w:ascii="宋体" w:hAnsi="宋体" w:cs="宋体" w:eastAsia="宋体" w:hint="default"/>
          <w:spacing w:val="-15"/>
        </w:rPr>
        <w:t>2</w:t>
      </w:r>
      <w:r>
        <w:rPr>
          <w:spacing w:val="-15"/>
        </w:rPr>
        <w:t>：本公司于</w:t>
      </w:r>
      <w:r>
        <w:rPr>
          <w:spacing w:val="-57"/>
        </w:rPr>
        <w:t> </w:t>
      </w:r>
      <w:r>
        <w:rPr>
          <w:rFonts w:ascii="宋体" w:hAnsi="宋体" w:cs="宋体" w:eastAsia="宋体" w:hint="default"/>
        </w:rPr>
        <w:t>2016</w:t>
      </w:r>
      <w:r>
        <w:rPr>
          <w:rFonts w:ascii="宋体" w:hAnsi="宋体" w:cs="宋体" w:eastAsia="宋体" w:hint="default"/>
          <w:spacing w:val="-57"/>
        </w:rPr>
        <w:t> </w:t>
      </w:r>
      <w:r>
        <w:rPr/>
        <w:t>年</w:t>
      </w:r>
      <w:r>
        <w:rPr>
          <w:spacing w:val="-57"/>
        </w:rPr>
        <w:t> </w:t>
      </w:r>
      <w:r>
        <w:rPr>
          <w:rFonts w:ascii="宋体" w:hAnsi="宋体" w:cs="宋体" w:eastAsia="宋体" w:hint="default"/>
        </w:rPr>
        <w:t>11</w:t>
      </w:r>
      <w:r>
        <w:rPr>
          <w:rFonts w:ascii="宋体" w:hAnsi="宋体" w:cs="宋体" w:eastAsia="宋体" w:hint="default"/>
          <w:spacing w:val="-57"/>
        </w:rPr>
        <w:t> </w:t>
      </w:r>
      <w:r>
        <w:rPr/>
        <w:t>月</w:t>
      </w:r>
      <w:r>
        <w:rPr>
          <w:spacing w:val="-57"/>
        </w:rPr>
        <w:t> </w:t>
      </w:r>
      <w:r>
        <w:rPr>
          <w:rFonts w:ascii="宋体" w:hAnsi="宋体" w:cs="宋体" w:eastAsia="宋体" w:hint="default"/>
        </w:rPr>
        <w:t>21</w:t>
      </w:r>
      <w:r>
        <w:rPr>
          <w:rFonts w:ascii="宋体" w:hAnsi="宋体" w:cs="宋体" w:eastAsia="宋体" w:hint="default"/>
          <w:spacing w:val="-57"/>
        </w:rPr>
        <w:t> </w:t>
      </w:r>
      <w:r>
        <w:rPr>
          <w:spacing w:val="-8"/>
        </w:rPr>
        <w:t>日召开了第二届董事会第三十九次会议，审议通过了《关</w:t>
      </w:r>
    </w:p>
    <w:p>
      <w:pPr>
        <w:pStyle w:val="BodyText"/>
        <w:spacing w:line="357" w:lineRule="auto" w:before="154"/>
        <w:ind w:right="1130"/>
        <w:jc w:val="both"/>
      </w:pPr>
      <w:r>
        <w:rPr>
          <w:spacing w:val="-6"/>
        </w:rPr>
        <w:t>于投资上海晨之科信息技术有限公司的议案》，本公司于</w:t>
      </w:r>
      <w:r>
        <w:rPr>
          <w:spacing w:val="-59"/>
        </w:rPr>
        <w:t> </w:t>
      </w:r>
      <w:r>
        <w:rPr>
          <w:rFonts w:ascii="宋体" w:hAnsi="宋体" w:cs="宋体" w:eastAsia="宋体" w:hint="default"/>
        </w:rPr>
        <w:t>2016</w:t>
      </w:r>
      <w:r>
        <w:rPr>
          <w:rFonts w:ascii="宋体" w:hAnsi="宋体" w:cs="宋体" w:eastAsia="宋体" w:hint="default"/>
          <w:spacing w:val="-59"/>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12</w:t>
      </w:r>
      <w:r>
        <w:rPr>
          <w:rFonts w:ascii="宋体" w:hAnsi="宋体" w:cs="宋体" w:eastAsia="宋体" w:hint="default"/>
          <w:spacing w:val="-59"/>
        </w:rPr>
        <w:t> </w:t>
      </w:r>
      <w:r>
        <w:rPr/>
        <w:t>日现金出资</w:t>
      </w:r>
      <w:r>
        <w:rPr>
          <w:spacing w:val="-59"/>
        </w:rPr>
        <w:t> </w:t>
      </w:r>
      <w:r>
        <w:rPr>
          <w:rFonts w:ascii="宋体" w:hAnsi="宋体" w:cs="宋体" w:eastAsia="宋体" w:hint="default"/>
        </w:rPr>
        <w:t>25,000 </w:t>
      </w:r>
      <w:r>
        <w:rPr>
          <w:spacing w:val="-3"/>
        </w:rPr>
        <w:t>万元，收购了上海晨之科信息技术有限公司（以下简称“晨之科”）</w:t>
      </w:r>
      <w:r>
        <w:rPr>
          <w:rFonts w:ascii="宋体" w:hAnsi="宋体" w:cs="宋体" w:eastAsia="宋体" w:hint="default"/>
          <w:spacing w:val="-3"/>
        </w:rPr>
        <w:t>20%</w:t>
      </w:r>
      <w:r>
        <w:rPr>
          <w:spacing w:val="-3"/>
        </w:rPr>
        <w:t>的股权，采用权益法</w:t>
      </w:r>
      <w:r>
        <w:rPr>
          <w:spacing w:val="-107"/>
        </w:rPr>
        <w:t> </w:t>
      </w:r>
      <w:r>
        <w:rPr/>
        <w:t>核算。报告期内，公司通过重大资产重组获得晨之科剩余</w:t>
      </w:r>
      <w:r>
        <w:rPr>
          <w:spacing w:val="-64"/>
        </w:rPr>
        <w:t> </w:t>
      </w:r>
      <w:r>
        <w:rPr>
          <w:rFonts w:ascii="宋体" w:hAnsi="宋体" w:cs="宋体" w:eastAsia="宋体" w:hint="default"/>
        </w:rPr>
        <w:t>80%</w:t>
      </w:r>
      <w:r>
        <w:rPr/>
        <w:t>股权，于</w:t>
      </w:r>
      <w:r>
        <w:rPr>
          <w:spacing w:val="-64"/>
        </w:rPr>
        <w:t> </w:t>
      </w:r>
      <w:r>
        <w:rPr>
          <w:rFonts w:ascii="宋体" w:hAnsi="宋体" w:cs="宋体" w:eastAsia="宋体" w:hint="default"/>
        </w:rPr>
        <w:t>2018</w:t>
      </w:r>
      <w:r>
        <w:rPr>
          <w:rFonts w:ascii="宋体" w:hAnsi="宋体" w:cs="宋体" w:eastAsia="宋体" w:hint="default"/>
          <w:spacing w:val="-64"/>
        </w:rPr>
        <w:t> </w:t>
      </w:r>
      <w:r>
        <w:rPr/>
        <w:t>年</w:t>
      </w:r>
      <w:r>
        <w:rPr>
          <w:spacing w:val="-64"/>
        </w:rPr>
        <w:t> </w:t>
      </w:r>
      <w:r>
        <w:rPr>
          <w:rFonts w:ascii="宋体" w:hAnsi="宋体" w:cs="宋体" w:eastAsia="宋体" w:hint="default"/>
        </w:rPr>
        <w:t>3</w:t>
      </w:r>
      <w:r>
        <w:rPr>
          <w:rFonts w:ascii="宋体" w:hAnsi="宋体" w:cs="宋体" w:eastAsia="宋体" w:hint="default"/>
          <w:spacing w:val="-64"/>
        </w:rPr>
        <w:t> </w:t>
      </w:r>
      <w:r>
        <w:rPr/>
        <w:t>月</w:t>
      </w:r>
      <w:r>
        <w:rPr>
          <w:spacing w:val="-64"/>
        </w:rPr>
        <w:t> </w:t>
      </w:r>
      <w:r>
        <w:rPr>
          <w:rFonts w:ascii="宋体" w:hAnsi="宋体" w:cs="宋体" w:eastAsia="宋体" w:hint="default"/>
        </w:rPr>
        <w:t>5</w:t>
      </w:r>
      <w:r>
        <w:rPr>
          <w:rFonts w:ascii="宋体" w:hAnsi="宋体" w:cs="宋体" w:eastAsia="宋体" w:hint="default"/>
          <w:spacing w:val="-64"/>
        </w:rPr>
        <w:t> </w:t>
      </w:r>
      <w:r>
        <w:rPr/>
        <w:t>日完成 了晨之科资产股权过户手续，至此，本公司持有晨之科</w:t>
      </w:r>
      <w:r>
        <w:rPr>
          <w:spacing w:val="-81"/>
        </w:rPr>
        <w:t> </w:t>
      </w:r>
      <w:r>
        <w:rPr>
          <w:rFonts w:ascii="宋体" w:hAnsi="宋体" w:cs="宋体" w:eastAsia="宋体" w:hint="default"/>
        </w:rPr>
        <w:t>100%</w:t>
      </w:r>
      <w:r>
        <w:rPr/>
        <w:t>的股份。本报告期由于晨之科未 </w:t>
      </w:r>
      <w:r>
        <w:rPr>
          <w:spacing w:val="-3"/>
        </w:rPr>
        <w:t>完成业绩对赌承诺，根据中瑞世联资产评估（北京）有限公司中瑞评报字</w:t>
      </w:r>
      <w:r>
        <w:rPr>
          <w:rFonts w:ascii="宋体" w:hAnsi="宋体" w:cs="宋体" w:eastAsia="宋体" w:hint="default"/>
          <w:spacing w:val="-3"/>
        </w:rPr>
        <w:t>[2019]</w:t>
      </w:r>
      <w:r>
        <w:rPr>
          <w:spacing w:val="-3"/>
        </w:rPr>
        <w:t>第</w:t>
      </w:r>
      <w:r>
        <w:rPr>
          <w:spacing w:val="-45"/>
        </w:rPr>
        <w:t> </w:t>
      </w:r>
      <w:r>
        <w:rPr>
          <w:rFonts w:ascii="宋体" w:hAnsi="宋体" w:cs="宋体" w:eastAsia="宋体" w:hint="default"/>
        </w:rPr>
        <w:t>000362</w:t>
      </w:r>
      <w:r>
        <w:rPr>
          <w:rFonts w:ascii="宋体" w:hAnsi="宋体" w:cs="宋体" w:eastAsia="宋体" w:hint="default"/>
          <w:spacing w:val="-45"/>
        </w:rPr>
        <w:t> </w:t>
      </w:r>
      <w:r>
        <w:rPr/>
        <w:t>号</w:t>
      </w:r>
      <w:r>
        <w:rPr>
          <w:spacing w:val="-118"/>
        </w:rPr>
        <w:t> </w:t>
      </w:r>
      <w:r>
        <w:rPr/>
        <w:t>评估报告，本公司对收购其形成的商誉全额计提了减值。另见本“附注七、</w:t>
      </w:r>
      <w:r>
        <w:rPr>
          <w:rFonts w:ascii="宋体" w:hAnsi="宋体" w:cs="宋体" w:eastAsia="宋体" w:hint="default"/>
        </w:rPr>
        <w:t>22</w:t>
      </w:r>
      <w:r>
        <w:rPr>
          <w:rFonts w:ascii="宋体" w:hAnsi="宋体" w:cs="宋体" w:eastAsia="宋体" w:hint="default"/>
          <w:spacing w:val="-80"/>
        </w:rPr>
        <w:t> </w:t>
      </w:r>
      <w:r>
        <w:rPr/>
        <w:t>商誉以及附注 十六、其他重要事项”所述。</w:t>
      </w:r>
    </w:p>
    <w:p>
      <w:pPr>
        <w:pStyle w:val="BodyText"/>
        <w:spacing w:line="357" w:lineRule="auto" w:before="136"/>
        <w:ind w:right="1130" w:firstLine="480"/>
        <w:jc w:val="both"/>
      </w:pPr>
      <w:r>
        <w:rPr/>
        <w:t>注</w:t>
      </w:r>
      <w:r>
        <w:rPr>
          <w:spacing w:val="-57"/>
        </w:rPr>
        <w:t> </w:t>
      </w:r>
      <w:r>
        <w:rPr>
          <w:rFonts w:ascii="宋体" w:hAnsi="宋体" w:cs="宋体" w:eastAsia="宋体" w:hint="default"/>
          <w:spacing w:val="-3"/>
        </w:rPr>
        <w:t>3</w:t>
      </w:r>
      <w:r>
        <w:rPr>
          <w:spacing w:val="-3"/>
        </w:rPr>
        <w:t>：</w:t>
      </w:r>
      <w:r>
        <w:rPr>
          <w:rFonts w:ascii="宋体" w:hAnsi="宋体" w:cs="宋体" w:eastAsia="宋体" w:hint="default"/>
          <w:spacing w:val="-3"/>
        </w:rPr>
        <w:t>2016</w:t>
      </w:r>
      <w:r>
        <w:rPr>
          <w:rFonts w:ascii="宋体" w:hAnsi="宋体" w:cs="宋体" w:eastAsia="宋体" w:hint="default"/>
          <w:spacing w:val="-57"/>
        </w:rPr>
        <w:t> </w:t>
      </w:r>
      <w:r>
        <w:rPr/>
        <w:t>年</w:t>
      </w:r>
      <w:r>
        <w:rPr>
          <w:spacing w:val="-57"/>
        </w:rPr>
        <w:t> </w:t>
      </w:r>
      <w:r>
        <w:rPr>
          <w:rFonts w:ascii="宋体" w:hAnsi="宋体" w:cs="宋体" w:eastAsia="宋体" w:hint="default"/>
        </w:rPr>
        <w:t>8</w:t>
      </w:r>
      <w:r>
        <w:rPr>
          <w:rFonts w:ascii="宋体" w:hAnsi="宋体" w:cs="宋体" w:eastAsia="宋体" w:hint="default"/>
          <w:spacing w:val="-57"/>
        </w:rPr>
        <w:t> </w:t>
      </w:r>
      <w:r>
        <w:rPr/>
        <w:t>月</w:t>
      </w:r>
      <w:r>
        <w:rPr>
          <w:spacing w:val="-57"/>
        </w:rPr>
        <w:t> </w:t>
      </w:r>
      <w:r>
        <w:rPr>
          <w:rFonts w:ascii="宋体" w:hAnsi="宋体" w:cs="宋体" w:eastAsia="宋体" w:hint="default"/>
        </w:rPr>
        <w:t>30</w:t>
      </w:r>
      <w:r>
        <w:rPr>
          <w:rFonts w:ascii="宋体" w:hAnsi="宋体" w:cs="宋体" w:eastAsia="宋体" w:hint="default"/>
          <w:spacing w:val="-57"/>
        </w:rPr>
        <w:t> </w:t>
      </w:r>
      <w:r>
        <w:rPr>
          <w:spacing w:val="-3"/>
        </w:rPr>
        <w:t>日，本公司、北京微梦创科网络技术有限公司（以下简称“微梦创</w:t>
      </w:r>
      <w:r>
        <w:rPr/>
        <w:t> </w:t>
      </w:r>
      <w:r>
        <w:rPr>
          <w:spacing w:val="-6"/>
        </w:rPr>
        <w:t>科”）与北京新浪阅读信息技术有限公司（以下简称“新浪阅读”）及其原股东签署《关于北</w:t>
      </w:r>
      <w:r>
        <w:rPr>
          <w:spacing w:val="-112"/>
        </w:rPr>
        <w:t> </w:t>
      </w:r>
      <w:r>
        <w:rPr>
          <w:spacing w:val="-112"/>
        </w:rPr>
      </w:r>
      <w:r>
        <w:rPr>
          <w:spacing w:val="6"/>
        </w:rPr>
        <w:t>京新浪阅读信息技术有限公司之增资及股权转让协议》，协议约定“中文在线以现金出资</w:t>
      </w:r>
      <w:r>
        <w:rPr>
          <w:spacing w:val="-104"/>
        </w:rPr>
        <w:t> </w:t>
      </w:r>
      <w:r>
        <w:rPr>
          <w:spacing w:val="-104"/>
        </w:rPr>
      </w:r>
      <w:r>
        <w:rPr>
          <w:rFonts w:ascii="宋体" w:hAnsi="宋体" w:cs="宋体" w:eastAsia="宋体" w:hint="default"/>
        </w:rPr>
        <w:t>20,000</w:t>
      </w:r>
      <w:r>
        <w:rPr>
          <w:rFonts w:ascii="宋体" w:hAnsi="宋体" w:cs="宋体" w:eastAsia="宋体" w:hint="default"/>
          <w:spacing w:val="-60"/>
        </w:rPr>
        <w:t> </w:t>
      </w:r>
      <w:r>
        <w:rPr/>
        <w:t>万元认购新浪阅读</w:t>
      </w:r>
      <w:r>
        <w:rPr>
          <w:spacing w:val="-60"/>
        </w:rPr>
        <w:t> </w:t>
      </w:r>
      <w:r>
        <w:rPr>
          <w:rFonts w:ascii="宋体" w:hAnsi="宋体" w:cs="宋体" w:eastAsia="宋体" w:hint="default"/>
          <w:spacing w:val="-4"/>
        </w:rPr>
        <w:t>13.333%</w:t>
      </w:r>
      <w:r>
        <w:rPr>
          <w:spacing w:val="-4"/>
        </w:rPr>
        <w:t>的股权，微梦创科拟以现金出资</w:t>
      </w:r>
      <w:r>
        <w:rPr>
          <w:spacing w:val="-60"/>
        </w:rPr>
        <w:t> </w:t>
      </w:r>
      <w:r>
        <w:rPr>
          <w:rFonts w:ascii="宋体" w:hAnsi="宋体" w:cs="宋体" w:eastAsia="宋体" w:hint="default"/>
        </w:rPr>
        <w:t>10,000</w:t>
      </w:r>
      <w:r>
        <w:rPr>
          <w:rFonts w:ascii="宋体" w:hAnsi="宋体" w:cs="宋体" w:eastAsia="宋体" w:hint="default"/>
          <w:spacing w:val="-60"/>
        </w:rPr>
        <w:t> </w:t>
      </w:r>
      <w:r>
        <w:rPr/>
        <w:t>万元认购新浪阅读</w:t>
      </w:r>
    </w:p>
    <w:p>
      <w:pPr>
        <w:pStyle w:val="BodyText"/>
        <w:spacing w:line="240" w:lineRule="auto" w:before="36"/>
        <w:ind w:right="0"/>
        <w:jc w:val="both"/>
      </w:pPr>
      <w:r>
        <w:rPr>
          <w:rFonts w:ascii="宋体" w:hAnsi="宋体" w:cs="宋体" w:eastAsia="宋体" w:hint="default"/>
          <w:spacing w:val="2"/>
        </w:rPr>
        <w:t>6.667%</w:t>
      </w:r>
      <w:r>
        <w:rPr>
          <w:spacing w:val="2"/>
        </w:rPr>
        <w:t>的股权；同时中文在线拟以现金出资 </w:t>
      </w:r>
      <w:r>
        <w:rPr>
          <w:rFonts w:ascii="宋体" w:hAnsi="宋体" w:cs="宋体" w:eastAsia="宋体" w:hint="default"/>
        </w:rPr>
        <w:t>5,000</w:t>
      </w:r>
      <w:r>
        <w:rPr>
          <w:rFonts w:ascii="宋体" w:hAnsi="宋体" w:cs="宋体" w:eastAsia="宋体" w:hint="default"/>
          <w:spacing w:val="38"/>
        </w:rPr>
        <w:t> </w:t>
      </w:r>
      <w:r>
        <w:rPr>
          <w:spacing w:val="3"/>
        </w:rPr>
        <w:t>万元收购原股东吕廷斌持有的新浪阅读</w:t>
      </w:r>
    </w:p>
    <w:p>
      <w:pPr>
        <w:pStyle w:val="BodyText"/>
        <w:spacing w:line="357" w:lineRule="auto" w:before="154"/>
        <w:ind w:right="999"/>
        <w:jc w:val="left"/>
      </w:pPr>
      <w:r>
        <w:rPr>
          <w:rFonts w:ascii="宋体" w:hAnsi="宋体" w:cs="宋体" w:eastAsia="宋体" w:hint="default"/>
          <w:spacing w:val="-5"/>
        </w:rPr>
        <w:t>3.334%</w:t>
      </w:r>
      <w:r>
        <w:rPr>
          <w:spacing w:val="-5"/>
        </w:rPr>
        <w:t>的股权。”上述增资及收购完成后，本公司获得新浪阅读</w:t>
      </w:r>
      <w:r>
        <w:rPr>
          <w:spacing w:val="-52"/>
        </w:rPr>
        <w:t> </w:t>
      </w:r>
      <w:r>
        <w:rPr>
          <w:rFonts w:ascii="宋体" w:hAnsi="宋体" w:cs="宋体" w:eastAsia="宋体" w:hint="default"/>
          <w:spacing w:val="-1"/>
        </w:rPr>
        <w:t>16.667%</w:t>
      </w:r>
      <w:r>
        <w:rPr>
          <w:spacing w:val="-1"/>
        </w:rPr>
        <w:t>的股权。由于本公司</w:t>
      </w:r>
      <w:r>
        <w:rPr>
          <w:spacing w:val="-102"/>
        </w:rPr>
        <w:t> </w:t>
      </w:r>
      <w:r>
        <w:rPr>
          <w:spacing w:val="-102"/>
        </w:rPr>
      </w:r>
      <w:r>
        <w:rPr/>
        <w:t>对新浪阅读的持股比例低于</w:t>
      </w:r>
      <w:r>
        <w:rPr>
          <w:spacing w:val="4"/>
        </w:rPr>
        <w:t> </w:t>
      </w:r>
      <w:r>
        <w:rPr>
          <w:rFonts w:ascii="宋体" w:hAnsi="宋体" w:cs="宋体" w:eastAsia="宋体" w:hint="default"/>
        </w:rPr>
        <w:t>20%</w:t>
      </w:r>
      <w:r>
        <w:rPr/>
        <w:t>，且新浪阅读在实际经营过程中，并未设董事会，只有一名 执行董事为吕廷斌，因此，本公司从投资后开始一直并未对新浪阅读的经营产生影响。故采 </w:t>
      </w:r>
      <w:r>
        <w:rPr>
          <w:spacing w:val="-6"/>
        </w:rPr>
        <w:t>用成本法核算列示在可供出售金融资产中。</w:t>
      </w:r>
      <w:r>
        <w:rPr>
          <w:rFonts w:ascii="宋体" w:hAnsi="宋体" w:cs="宋体" w:eastAsia="宋体" w:hint="default"/>
          <w:spacing w:val="-6"/>
        </w:rPr>
        <w:t>2018</w:t>
      </w:r>
      <w:r>
        <w:rPr>
          <w:rFonts w:ascii="宋体" w:hAnsi="宋体" w:cs="宋体" w:eastAsia="宋体" w:hint="default"/>
          <w:spacing w:val="-63"/>
        </w:rPr>
        <w:t> </w:t>
      </w:r>
      <w:r>
        <w:rPr/>
        <w:t>年</w:t>
      </w:r>
      <w:r>
        <w:rPr>
          <w:spacing w:val="-63"/>
        </w:rPr>
        <w:t> </w:t>
      </w:r>
      <w:r>
        <w:rPr>
          <w:rFonts w:ascii="宋体" w:hAnsi="宋体" w:cs="宋体" w:eastAsia="宋体" w:hint="default"/>
        </w:rPr>
        <w:t>7</w:t>
      </w:r>
      <w:r>
        <w:rPr>
          <w:rFonts w:ascii="宋体" w:hAnsi="宋体" w:cs="宋体" w:eastAsia="宋体" w:hint="default"/>
          <w:spacing w:val="-63"/>
        </w:rPr>
        <w:t> </w:t>
      </w:r>
      <w:r>
        <w:rPr/>
        <w:t>月新浪阅读通过股东会决议成立董事会， 董事会成员共有 </w:t>
      </w:r>
      <w:r>
        <w:rPr>
          <w:rFonts w:ascii="宋体" w:hAnsi="宋体" w:cs="宋体" w:eastAsia="宋体" w:hint="default"/>
        </w:rPr>
        <w:t>5</w:t>
      </w:r>
      <w:r>
        <w:rPr>
          <w:rFonts w:ascii="宋体" w:hAnsi="宋体" w:cs="宋体" w:eastAsia="宋体" w:hint="default"/>
          <w:spacing w:val="-82"/>
        </w:rPr>
        <w:t> </w:t>
      </w:r>
      <w:r>
        <w:rPr/>
        <w:t>名，本公司派一名董事，对新浪阅读的经营产生重大影响，因此从影响之</w:t>
      </w:r>
    </w:p>
    <w:p>
      <w:pPr>
        <w:pStyle w:val="BodyText"/>
        <w:spacing w:line="357" w:lineRule="auto" w:before="36"/>
        <w:ind w:right="1130"/>
        <w:jc w:val="both"/>
      </w:pPr>
      <w:r>
        <w:rPr>
          <w:spacing w:val="-4"/>
        </w:rPr>
        <w:t>日起采用权益法核算。根据</w:t>
      </w:r>
      <w:r>
        <w:rPr>
          <w:spacing w:val="-66"/>
        </w:rPr>
        <w:t> </w:t>
      </w:r>
      <w:r>
        <w:rPr>
          <w:rFonts w:ascii="宋体" w:hAnsi="宋体" w:cs="宋体" w:eastAsia="宋体" w:hint="default"/>
        </w:rPr>
        <w:t>2019</w:t>
      </w:r>
      <w:r>
        <w:rPr>
          <w:rFonts w:ascii="宋体" w:hAnsi="宋体" w:cs="宋体" w:eastAsia="宋体" w:hint="default"/>
          <w:spacing w:val="-66"/>
        </w:rPr>
        <w:t> </w:t>
      </w:r>
      <w:r>
        <w:rPr/>
        <w:t>年</w:t>
      </w:r>
      <w:r>
        <w:rPr>
          <w:spacing w:val="-66"/>
        </w:rPr>
        <w:t> </w:t>
      </w:r>
      <w:r>
        <w:rPr>
          <w:rFonts w:ascii="宋体" w:hAnsi="宋体" w:cs="宋体" w:eastAsia="宋体" w:hint="default"/>
        </w:rPr>
        <w:t>3</w:t>
      </w:r>
      <w:r>
        <w:rPr>
          <w:rFonts w:ascii="宋体" w:hAnsi="宋体" w:cs="宋体" w:eastAsia="宋体" w:hint="default"/>
          <w:spacing w:val="-66"/>
        </w:rPr>
        <w:t> </w:t>
      </w:r>
      <w:r>
        <w:rPr/>
        <w:t>月</w:t>
      </w:r>
      <w:r>
        <w:rPr>
          <w:spacing w:val="-66"/>
        </w:rPr>
        <w:t> </w:t>
      </w:r>
      <w:r>
        <w:rPr>
          <w:rFonts w:ascii="宋体" w:hAnsi="宋体" w:cs="宋体" w:eastAsia="宋体" w:hint="default"/>
        </w:rPr>
        <w:t>1</w:t>
      </w:r>
      <w:r>
        <w:rPr>
          <w:rFonts w:ascii="宋体" w:hAnsi="宋体" w:cs="宋体" w:eastAsia="宋体" w:hint="default"/>
          <w:spacing w:val="-66"/>
        </w:rPr>
        <w:t> </w:t>
      </w:r>
      <w:r>
        <w:rPr/>
        <w:t>日北方亚事资产评估事务所《中文在线拟对长期投 </w:t>
      </w:r>
      <w:r>
        <w:rPr>
          <w:spacing w:val="-5"/>
        </w:rPr>
        <w:t>资减值测试涉及新浪阅读可收回价值的资产评估咨询报告书》，评估采用新浪阅读未来现金流</w:t>
      </w:r>
      <w:r>
        <w:rPr>
          <w:spacing w:val="-117"/>
        </w:rPr>
        <w:t> </w:t>
      </w:r>
      <w:r>
        <w:rPr>
          <w:spacing w:val="-117"/>
        </w:rPr>
      </w:r>
      <w:r>
        <w:rPr/>
        <w:t>量的现值减去处置费用后的净额，截止</w:t>
      </w:r>
      <w:r>
        <w:rPr>
          <w:spacing w:val="-46"/>
        </w:rPr>
        <w:t> </w:t>
      </w:r>
      <w:r>
        <w:rPr>
          <w:rFonts w:ascii="宋体" w:hAnsi="宋体" w:cs="宋体" w:eastAsia="宋体" w:hint="default"/>
        </w:rPr>
        <w:t>2018</w:t>
      </w:r>
      <w:r>
        <w:rPr>
          <w:rFonts w:ascii="宋体" w:hAnsi="宋体" w:cs="宋体" w:eastAsia="宋体" w:hint="default"/>
          <w:spacing w:val="-48"/>
        </w:rPr>
        <w:t> </w:t>
      </w:r>
      <w:r>
        <w:rPr/>
        <w:t>年</w:t>
      </w:r>
      <w:r>
        <w:rPr>
          <w:spacing w:val="-47"/>
        </w:rPr>
        <w:t> </w:t>
      </w:r>
      <w:r>
        <w:rPr>
          <w:rFonts w:ascii="宋体" w:hAnsi="宋体" w:cs="宋体" w:eastAsia="宋体" w:hint="default"/>
        </w:rPr>
        <w:t>12</w:t>
      </w:r>
      <w:r>
        <w:rPr>
          <w:rFonts w:ascii="宋体" w:hAnsi="宋体" w:cs="宋体" w:eastAsia="宋体" w:hint="default"/>
          <w:spacing w:val="-47"/>
        </w:rPr>
        <w:t> </w:t>
      </w:r>
      <w:r>
        <w:rPr/>
        <w:t>月</w:t>
      </w:r>
      <w:r>
        <w:rPr>
          <w:spacing w:val="-47"/>
        </w:rPr>
        <w:t> </w:t>
      </w:r>
      <w:r>
        <w:rPr>
          <w:rFonts w:ascii="宋体" w:hAnsi="宋体" w:cs="宋体" w:eastAsia="宋体" w:hint="default"/>
        </w:rPr>
        <w:t>31</w:t>
      </w:r>
      <w:r>
        <w:rPr>
          <w:rFonts w:ascii="宋体" w:hAnsi="宋体" w:cs="宋体" w:eastAsia="宋体" w:hint="default"/>
          <w:spacing w:val="-47"/>
        </w:rPr>
        <w:t> </w:t>
      </w:r>
      <w:r>
        <w:rPr/>
        <w:t>日经评估后的中文在线</w:t>
      </w:r>
      <w:r>
        <w:rPr>
          <w:spacing w:val="-47"/>
        </w:rPr>
        <w:t> </w:t>
      </w:r>
      <w:r>
        <w:rPr>
          <w:rFonts w:ascii="宋体" w:hAnsi="宋体" w:cs="宋体" w:eastAsia="宋体" w:hint="default"/>
        </w:rPr>
        <w:t>16.67%</w:t>
      </w:r>
      <w:r>
        <w:rPr/>
        <w:t>的股</w:t>
      </w:r>
    </w:p>
    <w:p>
      <w:pPr>
        <w:pStyle w:val="BodyText"/>
        <w:spacing w:line="240" w:lineRule="auto" w:before="37"/>
        <w:ind w:right="0"/>
        <w:jc w:val="both"/>
      </w:pPr>
      <w:r>
        <w:rPr/>
        <w:t>权可收回价值为</w:t>
      </w:r>
      <w:r>
        <w:rPr>
          <w:spacing w:val="-60"/>
        </w:rPr>
        <w:t> </w:t>
      </w:r>
      <w:r>
        <w:rPr>
          <w:rFonts w:ascii="宋体" w:hAnsi="宋体" w:cs="宋体" w:eastAsia="宋体" w:hint="default"/>
        </w:rPr>
        <w:t>3,749.98</w:t>
      </w:r>
      <w:r>
        <w:rPr>
          <w:rFonts w:ascii="宋体" w:hAnsi="宋体" w:cs="宋体" w:eastAsia="宋体" w:hint="default"/>
          <w:spacing w:val="-60"/>
        </w:rPr>
        <w:t> </w:t>
      </w:r>
      <w:r>
        <w:rPr/>
        <w:t>万元，本公司管理层据此计提减值准备</w:t>
      </w:r>
      <w:r>
        <w:rPr>
          <w:spacing w:val="-60"/>
        </w:rPr>
        <w:t> </w:t>
      </w:r>
      <w:r>
        <w:rPr>
          <w:rFonts w:ascii="宋体" w:hAnsi="宋体" w:cs="宋体" w:eastAsia="宋体" w:hint="default"/>
        </w:rPr>
        <w:t>2.08</w:t>
      </w:r>
      <w:r>
        <w:rPr>
          <w:rFonts w:ascii="宋体" w:hAnsi="宋体" w:cs="宋体" w:eastAsia="宋体" w:hint="default"/>
          <w:spacing w:val="-60"/>
        </w:rPr>
        <w:t> </w:t>
      </w:r>
      <w:r>
        <w:rPr/>
        <w:t>亿元。</w:t>
      </w:r>
    </w:p>
    <w:p>
      <w:pPr>
        <w:spacing w:line="240" w:lineRule="auto" w:before="4"/>
        <w:rPr>
          <w:rFonts w:ascii="宋体" w:hAnsi="宋体" w:cs="宋体" w:eastAsia="宋体" w:hint="default"/>
          <w:sz w:val="19"/>
          <w:szCs w:val="19"/>
        </w:rPr>
      </w:pPr>
    </w:p>
    <w:p>
      <w:pPr>
        <w:pStyle w:val="BodyText"/>
        <w:spacing w:line="357" w:lineRule="auto"/>
        <w:ind w:right="1130" w:firstLine="480"/>
        <w:jc w:val="both"/>
      </w:pPr>
      <w:r>
        <w:rPr/>
        <w:t>注</w:t>
      </w:r>
      <w:r>
        <w:rPr>
          <w:spacing w:val="-57"/>
        </w:rPr>
        <w:t> </w:t>
      </w:r>
      <w:r>
        <w:rPr>
          <w:rFonts w:ascii="宋体" w:hAnsi="宋体" w:cs="宋体" w:eastAsia="宋体" w:hint="default"/>
          <w:spacing w:val="-5"/>
        </w:rPr>
        <w:t>4</w:t>
      </w:r>
      <w:r>
        <w:rPr>
          <w:spacing w:val="-5"/>
        </w:rPr>
        <w:t>：本公司之子公司中文在线天津公司持</w:t>
      </w:r>
      <w:r>
        <w:rPr>
          <w:spacing w:val="-57"/>
        </w:rPr>
        <w:t> </w:t>
      </w:r>
      <w:r>
        <w:rPr>
          <w:rFonts w:ascii="宋体" w:hAnsi="宋体" w:cs="宋体" w:eastAsia="宋体" w:hint="default"/>
        </w:rPr>
        <w:t>70%</w:t>
      </w:r>
      <w:r>
        <w:rPr/>
        <w:t>股权比例的子公司北京中文万维科技有限 </w:t>
      </w:r>
      <w:r>
        <w:rPr>
          <w:spacing w:val="-4"/>
        </w:rPr>
        <w:t>公司（以下简称中文万维）于</w:t>
      </w:r>
      <w:r>
        <w:rPr>
          <w:spacing w:val="-59"/>
        </w:rPr>
        <w:t> </w:t>
      </w:r>
      <w:r>
        <w:rPr>
          <w:rFonts w:ascii="宋体" w:hAnsi="宋体" w:cs="宋体" w:eastAsia="宋体" w:hint="default"/>
        </w:rPr>
        <w:t>2018</w:t>
      </w:r>
      <w:r>
        <w:rPr>
          <w:rFonts w:ascii="宋体" w:hAnsi="宋体" w:cs="宋体" w:eastAsia="宋体" w:hint="default"/>
          <w:spacing w:val="-59"/>
        </w:rPr>
        <w:t> </w:t>
      </w:r>
      <w:r>
        <w:rPr/>
        <w:t>年</w:t>
      </w:r>
      <w:r>
        <w:rPr>
          <w:spacing w:val="-59"/>
        </w:rPr>
        <w:t> </w:t>
      </w:r>
      <w:r>
        <w:rPr>
          <w:rFonts w:ascii="宋体" w:hAnsi="宋体" w:cs="宋体" w:eastAsia="宋体" w:hint="default"/>
        </w:rPr>
        <w:t>10</w:t>
      </w:r>
      <w:r>
        <w:rPr>
          <w:rFonts w:ascii="宋体" w:hAnsi="宋体" w:cs="宋体" w:eastAsia="宋体" w:hint="default"/>
          <w:spacing w:val="-59"/>
        </w:rPr>
        <w:t> </w:t>
      </w:r>
      <w:r>
        <w:rPr/>
        <w:t>月</w:t>
      </w:r>
      <w:r>
        <w:rPr>
          <w:spacing w:val="-59"/>
        </w:rPr>
        <w:t> </w:t>
      </w:r>
      <w:r>
        <w:rPr>
          <w:rFonts w:ascii="宋体" w:hAnsi="宋体" w:cs="宋体" w:eastAsia="宋体" w:hint="default"/>
        </w:rPr>
        <w:t>31</w:t>
      </w:r>
      <w:r>
        <w:rPr>
          <w:rFonts w:ascii="宋体" w:hAnsi="宋体" w:cs="宋体" w:eastAsia="宋体" w:hint="default"/>
          <w:spacing w:val="-59"/>
        </w:rPr>
        <w:t> </w:t>
      </w:r>
      <w:r>
        <w:rPr/>
        <w:t>日完成</w:t>
      </w:r>
      <w:r>
        <w:rPr>
          <w:spacing w:val="-59"/>
        </w:rPr>
        <w:t> </w:t>
      </w:r>
      <w:r>
        <w:rPr>
          <w:rFonts w:ascii="宋体" w:hAnsi="宋体" w:cs="宋体" w:eastAsia="宋体" w:hint="default"/>
        </w:rPr>
        <w:t>MBO</w:t>
      </w:r>
      <w:r>
        <w:rPr>
          <w:rFonts w:ascii="宋体" w:hAnsi="宋体" w:cs="宋体" w:eastAsia="宋体" w:hint="default"/>
          <w:spacing w:val="-59"/>
        </w:rPr>
        <w:t> </w:t>
      </w:r>
      <w:r>
        <w:rPr>
          <w:spacing w:val="-3"/>
        </w:rPr>
        <w:t>及投资方永利投资咨询（广州）有</w:t>
      </w:r>
      <w:r>
        <w:rPr/>
        <w:t> 限公司的增资，股权变更后，中文在线天津公司持股由 </w:t>
      </w:r>
      <w:r>
        <w:rPr>
          <w:rFonts w:ascii="宋体" w:hAnsi="宋体" w:cs="宋体" w:eastAsia="宋体" w:hint="default"/>
        </w:rPr>
        <w:t>70%</w:t>
      </w:r>
      <w:r>
        <w:rPr/>
        <w:t>减少为</w:t>
      </w:r>
      <w:r>
        <w:rPr>
          <w:spacing w:val="-81"/>
        </w:rPr>
        <w:t> </w:t>
      </w:r>
      <w:r>
        <w:rPr>
          <w:rFonts w:ascii="宋体" w:hAnsi="宋体" w:cs="宋体" w:eastAsia="宋体" w:hint="default"/>
        </w:rPr>
        <w:t>34.41%</w:t>
      </w:r>
      <w:r>
        <w:rPr/>
        <w:t>，姜斌通过直接和</w:t>
      </w:r>
    </w:p>
    <w:p>
      <w:pPr>
        <w:spacing w:after="0" w:line="357" w:lineRule="auto"/>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240" w:lineRule="auto" w:before="26"/>
        <w:ind w:right="0"/>
        <w:jc w:val="both"/>
        <w:rPr>
          <w:rFonts w:ascii="宋体" w:hAnsi="宋体" w:cs="宋体" w:eastAsia="宋体" w:hint="default"/>
        </w:rPr>
      </w:pPr>
      <w:r>
        <w:rPr/>
        <w:t>间接持</w:t>
      </w:r>
      <w:r>
        <w:rPr>
          <w:spacing w:val="-5"/>
        </w:rPr>
        <w:t>股</w:t>
      </w:r>
      <w:r>
        <w:rPr/>
        <w:t>（员工激励股权持股平台恒</w:t>
      </w:r>
      <w:r>
        <w:rPr>
          <w:spacing w:val="-5"/>
        </w:rPr>
        <w:t>正</w:t>
      </w:r>
      <w:r>
        <w:rPr/>
        <w:t>（天津</w:t>
      </w:r>
      <w:r>
        <w:rPr>
          <w:spacing w:val="-5"/>
        </w:rPr>
        <w:t>）</w:t>
      </w:r>
      <w:r>
        <w:rPr/>
        <w:t>文化合伙企</w:t>
      </w:r>
      <w:r>
        <w:rPr>
          <w:spacing w:val="-5"/>
        </w:rPr>
        <w:t>业</w:t>
      </w:r>
      <w:r>
        <w:rPr/>
        <w:t>（有限合伙</w:t>
      </w:r>
      <w:r>
        <w:rPr>
          <w:spacing w:val="-120"/>
        </w:rPr>
        <w:t>）</w:t>
      </w:r>
      <w:r>
        <w:rPr>
          <w:spacing w:val="-5"/>
        </w:rPr>
        <w:t>）</w:t>
      </w:r>
      <w:r>
        <w:rPr/>
        <w:t>实际共持有</w:t>
      </w:r>
      <w:r>
        <w:rPr>
          <w:spacing w:val="-59"/>
        </w:rPr>
        <w:t> </w:t>
      </w:r>
      <w:r>
        <w:rPr>
          <w:rFonts w:ascii="宋体" w:hAnsi="宋体" w:cs="宋体" w:eastAsia="宋体" w:hint="default"/>
        </w:rPr>
        <w:t>45%</w:t>
      </w:r>
    </w:p>
    <w:p>
      <w:pPr>
        <w:pStyle w:val="BodyText"/>
        <w:spacing w:line="357" w:lineRule="auto" w:before="154"/>
        <w:ind w:right="1131"/>
        <w:jc w:val="both"/>
      </w:pPr>
      <w:r>
        <w:rPr>
          <w:spacing w:val="-3"/>
        </w:rPr>
        <w:t>的股权，成为中文万维的第一大股东。因此，中文在线天津公司于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日丧失对 中文万维的控制权，中文万维的最终控制方由本公司变更为自然人股东姜斌。同时，本公司 对中文万维全资子公司的霍尔果斯爱看书网信息科技有限公司、霍尔果斯鸿鹭华阅文化传播 </w:t>
      </w:r>
      <w:r>
        <w:rPr>
          <w:spacing w:val="-5"/>
        </w:rPr>
        <w:t>有限公司失去控制。从</w:t>
      </w:r>
      <w:r>
        <w:rPr>
          <w:spacing w:val="-66"/>
        </w:rPr>
        <w:t> </w:t>
      </w:r>
      <w:r>
        <w:rPr>
          <w:rFonts w:ascii="宋体" w:hAnsi="宋体" w:cs="宋体" w:eastAsia="宋体" w:hint="default"/>
        </w:rPr>
        <w:t>2018</w:t>
      </w:r>
      <w:r>
        <w:rPr>
          <w:rFonts w:ascii="宋体" w:hAnsi="宋体" w:cs="宋体" w:eastAsia="宋体" w:hint="default"/>
          <w:spacing w:val="-66"/>
        </w:rPr>
        <w:t> </w:t>
      </w:r>
      <w:r>
        <w:rPr/>
        <w:t>年</w:t>
      </w:r>
      <w:r>
        <w:rPr>
          <w:spacing w:val="-66"/>
        </w:rPr>
        <w:t> </w:t>
      </w:r>
      <w:r>
        <w:rPr>
          <w:rFonts w:ascii="宋体" w:hAnsi="宋体" w:cs="宋体" w:eastAsia="宋体" w:hint="default"/>
        </w:rPr>
        <w:t>10</w:t>
      </w:r>
      <w:r>
        <w:rPr>
          <w:rFonts w:ascii="宋体" w:hAnsi="宋体" w:cs="宋体" w:eastAsia="宋体" w:hint="default"/>
          <w:spacing w:val="-66"/>
        </w:rPr>
        <w:t> </w:t>
      </w:r>
      <w:r>
        <w:rPr/>
        <w:t>月</w:t>
      </w:r>
      <w:r>
        <w:rPr>
          <w:spacing w:val="-66"/>
        </w:rPr>
        <w:t> </w:t>
      </w:r>
      <w:r>
        <w:rPr>
          <w:rFonts w:ascii="宋体" w:hAnsi="宋体" w:cs="宋体" w:eastAsia="宋体" w:hint="default"/>
        </w:rPr>
        <w:t>31</w:t>
      </w:r>
      <w:r>
        <w:rPr>
          <w:rFonts w:ascii="宋体" w:hAnsi="宋体" w:cs="宋体" w:eastAsia="宋体" w:hint="default"/>
          <w:spacing w:val="-66"/>
        </w:rPr>
        <w:t> </w:t>
      </w:r>
      <w:r>
        <w:rPr/>
        <w:t>日后不再将中文万维纳入合并范围。根据中文万维修</w:t>
      </w:r>
    </w:p>
    <w:p>
      <w:pPr>
        <w:pStyle w:val="BodyText"/>
        <w:spacing w:line="357" w:lineRule="auto" w:before="36"/>
        <w:ind w:right="1132"/>
        <w:jc w:val="both"/>
      </w:pPr>
      <w:r>
        <w:rPr/>
        <w:t>改后的公司章程，中文万维董事会设四人，本公司委派</w:t>
      </w:r>
      <w:r>
        <w:rPr>
          <w:spacing w:val="-40"/>
        </w:rPr>
        <w:t> </w:t>
      </w:r>
      <w:r>
        <w:rPr>
          <w:rFonts w:ascii="宋体" w:hAnsi="宋体" w:cs="宋体" w:eastAsia="宋体" w:hint="default"/>
        </w:rPr>
        <w:t>1</w:t>
      </w:r>
      <w:r>
        <w:rPr>
          <w:rFonts w:ascii="宋体" w:hAnsi="宋体" w:cs="宋体" w:eastAsia="宋体" w:hint="default"/>
          <w:spacing w:val="-41"/>
        </w:rPr>
        <w:t> </w:t>
      </w:r>
      <w:r>
        <w:rPr/>
        <w:t>人，姜斌委派</w:t>
      </w:r>
      <w:r>
        <w:rPr>
          <w:spacing w:val="-41"/>
        </w:rPr>
        <w:t> </w:t>
      </w:r>
      <w:r>
        <w:rPr>
          <w:rFonts w:ascii="宋体" w:hAnsi="宋体" w:cs="宋体" w:eastAsia="宋体" w:hint="default"/>
        </w:rPr>
        <w:t>2</w:t>
      </w:r>
      <w:r>
        <w:rPr>
          <w:rFonts w:ascii="宋体" w:hAnsi="宋体" w:cs="宋体" w:eastAsia="宋体" w:hint="default"/>
          <w:spacing w:val="-41"/>
        </w:rPr>
        <w:t> </w:t>
      </w:r>
      <w:r>
        <w:rPr/>
        <w:t>人，投资方委派</w:t>
      </w:r>
      <w:r>
        <w:rPr>
          <w:spacing w:val="-41"/>
        </w:rPr>
        <w:t> </w:t>
      </w:r>
      <w:r>
        <w:rPr>
          <w:rFonts w:ascii="宋体" w:hAnsi="宋体" w:cs="宋体" w:eastAsia="宋体" w:hint="default"/>
        </w:rPr>
        <w:t>1 </w:t>
      </w:r>
      <w:r>
        <w:rPr/>
        <w:t>人，本公司对中文万维的经营仍然产生重大影响而采用权益法核算。</w:t>
      </w:r>
    </w:p>
    <w:p>
      <w:pPr>
        <w:pStyle w:val="BodyText"/>
        <w:spacing w:line="357" w:lineRule="auto" w:before="134"/>
        <w:ind w:right="1130" w:firstLine="480"/>
        <w:jc w:val="both"/>
      </w:pPr>
      <w:r>
        <w:rPr/>
        <w:t>注</w:t>
      </w:r>
      <w:r>
        <w:rPr>
          <w:spacing w:val="-62"/>
        </w:rPr>
        <w:t> </w:t>
      </w:r>
      <w:r>
        <w:rPr>
          <w:rFonts w:ascii="宋体" w:hAnsi="宋体" w:cs="宋体" w:eastAsia="宋体" w:hint="default"/>
          <w:spacing w:val="-4"/>
        </w:rPr>
        <w:t>5</w:t>
      </w:r>
      <w:r>
        <w:rPr>
          <w:spacing w:val="-4"/>
        </w:rPr>
        <w:t>：于</w:t>
      </w:r>
      <w:r>
        <w:rPr>
          <w:spacing w:val="-62"/>
        </w:rPr>
        <w:t> </w:t>
      </w:r>
      <w:r>
        <w:rPr>
          <w:rFonts w:ascii="宋体" w:hAnsi="宋体" w:cs="宋体" w:eastAsia="宋体" w:hint="default"/>
        </w:rPr>
        <w:t>2018</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2"/>
        </w:rPr>
        <w:t> </w:t>
      </w:r>
      <w:r>
        <w:rPr>
          <w:rFonts w:ascii="宋体" w:hAnsi="宋体" w:cs="宋体" w:eastAsia="宋体" w:hint="default"/>
        </w:rPr>
        <w:t>21</w:t>
      </w:r>
      <w:r>
        <w:rPr>
          <w:rFonts w:ascii="宋体" w:hAnsi="宋体" w:cs="宋体" w:eastAsia="宋体" w:hint="default"/>
          <w:spacing w:val="-62"/>
        </w:rPr>
        <w:t> </w:t>
      </w:r>
      <w:r>
        <w:rPr/>
        <w:t>日，本公司向全美教育技术股份有限公司支付</w:t>
      </w:r>
      <w:r>
        <w:rPr>
          <w:spacing w:val="-62"/>
        </w:rPr>
        <w:t> </w:t>
      </w:r>
      <w:r>
        <w:rPr>
          <w:rFonts w:ascii="宋体" w:hAnsi="宋体" w:cs="宋体" w:eastAsia="宋体" w:hint="default"/>
        </w:rPr>
        <w:t>11,016.96</w:t>
      </w:r>
      <w:r>
        <w:rPr>
          <w:rFonts w:ascii="宋体" w:hAnsi="宋体" w:cs="宋体" w:eastAsia="宋体" w:hint="default"/>
          <w:spacing w:val="-62"/>
        </w:rPr>
        <w:t> </w:t>
      </w:r>
      <w:r>
        <w:rPr/>
        <w:t>万元 收购其持有全美在线（北京）教育科技股份有限公司</w:t>
      </w:r>
      <w:r>
        <w:rPr>
          <w:spacing w:val="-68"/>
        </w:rPr>
        <w:t> </w:t>
      </w:r>
      <w:r>
        <w:rPr>
          <w:rFonts w:ascii="宋体" w:hAnsi="宋体" w:cs="宋体" w:eastAsia="宋体" w:hint="default"/>
        </w:rPr>
        <w:t>8%</w:t>
      </w:r>
      <w:r>
        <w:rPr/>
        <w:t>的股份，本公司有权推荐</w:t>
      </w:r>
      <w:r>
        <w:rPr>
          <w:spacing w:val="-68"/>
        </w:rPr>
        <w:t> </w:t>
      </w:r>
      <w:r>
        <w:rPr>
          <w:rFonts w:ascii="宋体" w:hAnsi="宋体" w:cs="宋体" w:eastAsia="宋体" w:hint="default"/>
        </w:rPr>
        <w:t>1</w:t>
      </w:r>
      <w:r>
        <w:rPr>
          <w:rFonts w:ascii="宋体" w:hAnsi="宋体" w:cs="宋体" w:eastAsia="宋体" w:hint="default"/>
          <w:spacing w:val="-68"/>
        </w:rPr>
        <w:t> </w:t>
      </w:r>
      <w:r>
        <w:rPr/>
        <w:t>名董事人 </w:t>
      </w:r>
      <w:r>
        <w:rPr>
          <w:spacing w:val="-4"/>
        </w:rPr>
        <w:t>选，故本公司从</w:t>
      </w:r>
      <w:r>
        <w:rPr>
          <w:spacing w:val="-57"/>
        </w:rPr>
        <w:t> </w:t>
      </w:r>
      <w:r>
        <w:rPr>
          <w:rFonts w:ascii="宋体" w:hAnsi="宋体" w:cs="宋体" w:eastAsia="宋体" w:hint="default"/>
        </w:rPr>
        <w:t>2018</w:t>
      </w:r>
      <w:r>
        <w:rPr>
          <w:rFonts w:ascii="宋体" w:hAnsi="宋体" w:cs="宋体" w:eastAsia="宋体" w:hint="default"/>
          <w:spacing w:val="-57"/>
        </w:rPr>
        <w:t> </w:t>
      </w:r>
      <w:r>
        <w:rPr/>
        <w:t>年</w:t>
      </w:r>
      <w:r>
        <w:rPr>
          <w:spacing w:val="-57"/>
        </w:rPr>
        <w:t> </w:t>
      </w:r>
      <w:r>
        <w:rPr>
          <w:rFonts w:ascii="宋体" w:hAnsi="宋体" w:cs="宋体" w:eastAsia="宋体" w:hint="default"/>
        </w:rPr>
        <w:t>12</w:t>
      </w:r>
      <w:r>
        <w:rPr>
          <w:rFonts w:ascii="宋体" w:hAnsi="宋体" w:cs="宋体" w:eastAsia="宋体" w:hint="default"/>
          <w:spacing w:val="-57"/>
        </w:rPr>
        <w:t> </w:t>
      </w:r>
      <w:r>
        <w:rPr/>
        <w:t>月</w:t>
      </w:r>
      <w:r>
        <w:rPr>
          <w:spacing w:val="-57"/>
        </w:rPr>
        <w:t> </w:t>
      </w:r>
      <w:r>
        <w:rPr>
          <w:rFonts w:ascii="宋体" w:hAnsi="宋体" w:cs="宋体" w:eastAsia="宋体" w:hint="default"/>
        </w:rPr>
        <w:t>31</w:t>
      </w:r>
      <w:r>
        <w:rPr>
          <w:rFonts w:ascii="宋体" w:hAnsi="宋体" w:cs="宋体" w:eastAsia="宋体" w:hint="default"/>
          <w:spacing w:val="-57"/>
        </w:rPr>
        <w:t> </w:t>
      </w:r>
      <w:r>
        <w:rPr>
          <w:spacing w:val="-3"/>
        </w:rPr>
        <w:t>日开始对全美在线（北京）教育科技股份有限公司采用权益</w:t>
      </w:r>
      <w:r>
        <w:rPr/>
        <w:t> 法核算。</w:t>
      </w:r>
    </w:p>
    <w:p>
      <w:pPr>
        <w:pStyle w:val="BodyText"/>
        <w:spacing w:line="357" w:lineRule="auto" w:before="136"/>
        <w:ind w:right="1123" w:firstLine="480"/>
        <w:jc w:val="both"/>
      </w:pPr>
      <w:r>
        <w:rPr/>
        <w:t>注 </w:t>
      </w:r>
      <w:r>
        <w:rPr>
          <w:rFonts w:ascii="宋体" w:hAnsi="宋体" w:cs="宋体" w:eastAsia="宋体" w:hint="default"/>
          <w:spacing w:val="9"/>
        </w:rPr>
        <w:t>6</w:t>
      </w:r>
      <w:r>
        <w:rPr>
          <w:spacing w:val="9"/>
        </w:rPr>
        <w:t>：系本年度本公司之子公司香港公司新增对游戏公司 </w:t>
      </w:r>
      <w:r>
        <w:rPr>
          <w:rFonts w:ascii="宋体" w:hAnsi="宋体" w:cs="宋体" w:eastAsia="宋体" w:hint="default"/>
        </w:rPr>
        <w:t>WUXIAWORLD LIMITED</w:t>
      </w:r>
      <w:r>
        <w:rPr>
          <w:rFonts w:ascii="宋体" w:hAnsi="宋体" w:cs="宋体" w:eastAsia="宋体" w:hint="default"/>
          <w:spacing w:val="31"/>
        </w:rPr>
        <w:t> </w:t>
      </w:r>
      <w:r>
        <w:rPr>
          <w:spacing w:val="9"/>
        </w:rPr>
        <w:t>投资 </w:t>
      </w:r>
      <w:r>
        <w:rPr>
          <w:rFonts w:ascii="宋体" w:hAnsi="宋体" w:cs="宋体" w:eastAsia="宋体" w:hint="default"/>
        </w:rPr>
        <w:t>1,947.96</w:t>
      </w:r>
      <w:r>
        <w:rPr>
          <w:rFonts w:ascii="宋体" w:hAnsi="宋体" w:cs="宋体" w:eastAsia="宋体" w:hint="default"/>
          <w:spacing w:val="-60"/>
        </w:rPr>
        <w:t> </w:t>
      </w:r>
      <w:r>
        <w:rPr/>
        <w:t>万元，占</w:t>
      </w:r>
      <w:r>
        <w:rPr>
          <w:spacing w:val="-60"/>
        </w:rPr>
        <w:t> </w:t>
      </w:r>
      <w:r>
        <w:rPr>
          <w:rFonts w:ascii="宋体" w:hAnsi="宋体" w:cs="宋体" w:eastAsia="宋体" w:hint="default"/>
        </w:rPr>
        <w:t>30%</w:t>
      </w:r>
      <w:r>
        <w:rPr/>
        <w:t>的比例，对其经营具有重大影响，采用权益法算。</w:t>
      </w:r>
    </w:p>
    <w:p>
      <w:pPr>
        <w:pStyle w:val="BodyText"/>
        <w:spacing w:line="357" w:lineRule="auto" w:before="134"/>
        <w:ind w:right="1130" w:firstLine="480"/>
        <w:jc w:val="both"/>
      </w:pPr>
      <w:r>
        <w:rPr/>
        <w:t>注</w:t>
      </w:r>
      <w:r>
        <w:rPr>
          <w:spacing w:val="-62"/>
        </w:rPr>
        <w:t> </w:t>
      </w:r>
      <w:r>
        <w:rPr>
          <w:rFonts w:ascii="宋体" w:hAnsi="宋体" w:cs="宋体" w:eastAsia="宋体" w:hint="default"/>
          <w:spacing w:val="-4"/>
        </w:rPr>
        <w:t>7</w:t>
      </w:r>
      <w:r>
        <w:rPr>
          <w:spacing w:val="-4"/>
        </w:rPr>
        <w:t>：于</w:t>
      </w:r>
      <w:r>
        <w:rPr>
          <w:spacing w:val="-62"/>
        </w:rPr>
        <w:t> </w:t>
      </w:r>
      <w:r>
        <w:rPr>
          <w:rFonts w:ascii="宋体" w:hAnsi="宋体" w:cs="宋体" w:eastAsia="宋体" w:hint="default"/>
        </w:rPr>
        <w:t>2018</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2"/>
        </w:rPr>
        <w:t> </w:t>
      </w:r>
      <w:r>
        <w:rPr>
          <w:rFonts w:ascii="宋体" w:hAnsi="宋体" w:cs="宋体" w:eastAsia="宋体" w:hint="default"/>
        </w:rPr>
        <w:t>21</w:t>
      </w:r>
      <w:r>
        <w:rPr>
          <w:rFonts w:ascii="宋体" w:hAnsi="宋体" w:cs="宋体" w:eastAsia="宋体" w:hint="default"/>
          <w:spacing w:val="-62"/>
        </w:rPr>
        <w:t> </w:t>
      </w:r>
      <w:r>
        <w:rPr/>
        <w:t>日，晨之科同成都博拉维科技有限公司创始股东股东签订股东 协议：晨之科以人民币 </w:t>
      </w:r>
      <w:r>
        <w:rPr>
          <w:rFonts w:ascii="宋体" w:hAnsi="宋体" w:cs="宋体" w:eastAsia="宋体" w:hint="default"/>
        </w:rPr>
        <w:t>350 </w:t>
      </w:r>
      <w:r>
        <w:rPr/>
        <w:t>万元认购成都博拉维科技有限公司</w:t>
      </w:r>
      <w:r>
        <w:rPr>
          <w:spacing w:val="-84"/>
        </w:rPr>
        <w:t> </w:t>
      </w:r>
      <w:r>
        <w:rPr>
          <w:rFonts w:ascii="宋体" w:hAnsi="宋体" w:cs="宋体" w:eastAsia="宋体" w:hint="default"/>
        </w:rPr>
        <w:t>20%</w:t>
      </w:r>
      <w:r>
        <w:rPr/>
        <w:t>的出资额（成都博拉维科 技有限公司对应的投资后的估值为人民币</w:t>
      </w:r>
      <w:r>
        <w:rPr>
          <w:spacing w:val="-55"/>
        </w:rPr>
        <w:t> </w:t>
      </w:r>
      <w:r>
        <w:rPr>
          <w:rFonts w:ascii="宋体" w:hAnsi="宋体" w:cs="宋体" w:eastAsia="宋体" w:hint="default"/>
        </w:rPr>
        <w:t>1,750</w:t>
      </w:r>
      <w:r>
        <w:rPr>
          <w:rFonts w:ascii="宋体" w:hAnsi="宋体" w:cs="宋体" w:eastAsia="宋体" w:hint="default"/>
          <w:spacing w:val="-56"/>
        </w:rPr>
        <w:t> </w:t>
      </w:r>
      <w:r>
        <w:rPr>
          <w:spacing w:val="-20"/>
        </w:rPr>
        <w:t>万元），截止</w:t>
      </w:r>
      <w:r>
        <w:rPr>
          <w:spacing w:val="-56"/>
        </w:rPr>
        <w:t> </w:t>
      </w:r>
      <w:r>
        <w:rPr>
          <w:rFonts w:ascii="宋体" w:hAnsi="宋体" w:cs="宋体" w:eastAsia="宋体" w:hint="default"/>
        </w:rPr>
        <w:t>2018</w:t>
      </w:r>
      <w:r>
        <w:rPr>
          <w:rFonts w:ascii="宋体" w:hAnsi="宋体" w:cs="宋体" w:eastAsia="宋体" w:hint="default"/>
          <w:spacing w:val="-56"/>
        </w:rPr>
        <w:t> </w:t>
      </w:r>
      <w:r>
        <w:rPr/>
        <w:t>年</w:t>
      </w:r>
      <w:r>
        <w:rPr>
          <w:spacing w:val="-55"/>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31</w:t>
      </w:r>
      <w:r>
        <w:rPr>
          <w:rFonts w:ascii="宋体" w:hAnsi="宋体" w:cs="宋体" w:eastAsia="宋体" w:hint="default"/>
          <w:spacing w:val="-56"/>
        </w:rPr>
        <w:t> </w:t>
      </w:r>
      <w:r>
        <w:rPr/>
        <w:t>日，晨之科已 全额出资完毕。</w:t>
      </w:r>
    </w:p>
    <w:p>
      <w:pPr>
        <w:spacing w:line="240" w:lineRule="auto" w:before="5"/>
        <w:rPr>
          <w:rFonts w:ascii="宋体" w:hAnsi="宋体" w:cs="宋体" w:eastAsia="宋体" w:hint="default"/>
          <w:sz w:val="21"/>
          <w:szCs w:val="21"/>
        </w:rPr>
      </w:pPr>
    </w:p>
    <w:p>
      <w:pPr>
        <w:spacing w:before="0"/>
        <w:ind w:left="154" w:right="0" w:firstLine="0"/>
        <w:jc w:val="both"/>
        <w:rPr>
          <w:rFonts w:ascii="宋体" w:hAnsi="宋体" w:cs="宋体" w:eastAsia="宋体" w:hint="default"/>
          <w:sz w:val="21"/>
          <w:szCs w:val="21"/>
        </w:rPr>
      </w:pPr>
      <w:bookmarkStart w:name="15、投资性房地产" w:id="261"/>
      <w:bookmarkEnd w:id="261"/>
      <w:r>
        <w:rPr/>
      </w:r>
      <w:r>
        <w:rPr>
          <w:rFonts w:ascii="宋体" w:hAnsi="宋体" w:cs="宋体" w:eastAsia="宋体" w:hint="default"/>
          <w:b/>
          <w:bCs/>
          <w:sz w:val="21"/>
          <w:szCs w:val="21"/>
        </w:rPr>
        <w:t>15</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0" w:firstLine="0"/>
        <w:jc w:val="both"/>
        <w:rPr>
          <w:rFonts w:ascii="宋体" w:hAnsi="宋体" w:cs="宋体" w:eastAsia="宋体" w:hint="default"/>
          <w:sz w:val="21"/>
          <w:szCs w:val="21"/>
        </w:rPr>
      </w:pPr>
      <w:bookmarkStart w:name="（1）采用成本计量模式的投资性房地产" w:id="262"/>
      <w:bookmarkEnd w:id="262"/>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）采用成本计量模式的投资性房地产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line="240" w:lineRule="auto" w:before="2"/>
        <w:rPr>
          <w:rFonts w:ascii="宋体" w:hAnsi="宋体" w:cs="宋体" w:eastAsia="宋体" w:hint="default"/>
          <w:sz w:val="17"/>
          <w:szCs w:val="1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21,977,484.94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21,977,484.94</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25,859,213.98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25,859,213.98</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）外购</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65"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）存货</w:t>
            </w:r>
            <w:r>
              <w:rPr>
                <w:rFonts w:ascii="宋体" w:hAnsi="宋体" w:cs="宋体" w:eastAsia="宋体" w:hint="default"/>
                <w:sz w:val="18"/>
                <w:szCs w:val="18"/>
              </w:rPr>
              <w:t>\</w:t>
            </w:r>
            <w:r>
              <w:rPr>
                <w:rFonts w:ascii="宋体" w:hAnsi="宋体" w:cs="宋体" w:eastAsia="宋体" w:hint="default"/>
                <w:sz w:val="18"/>
                <w:szCs w:val="18"/>
              </w:rPr>
              <w:t>固定资 产</w:t>
            </w:r>
            <w:r>
              <w:rPr>
                <w:rFonts w:ascii="宋体" w:hAnsi="宋体" w:cs="宋体" w:eastAsia="宋体" w:hint="default"/>
                <w:sz w:val="18"/>
                <w:szCs w:val="18"/>
              </w:rPr>
              <w:t>\</w:t>
            </w:r>
            <w:r>
              <w:rPr>
                <w:rFonts w:ascii="宋体" w:hAnsi="宋体" w:cs="宋体" w:eastAsia="宋体" w:hint="default"/>
                <w:sz w:val="18"/>
                <w:szCs w:val="18"/>
              </w:rPr>
              <w:t>在建工程转入</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25,859,213.98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25,859,213.98</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4"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宋体" w:hAnsi="宋体" w:cs="宋体" w:eastAsia="宋体" w:hint="default"/>
                <w:spacing w:val="-2"/>
                <w:sz w:val="18"/>
                <w:szCs w:val="18"/>
              </w:rPr>
              <w:t>3</w:t>
            </w:r>
            <w:r>
              <w:rPr>
                <w:rFonts w:ascii="宋体" w:hAnsi="宋体" w:cs="宋体" w:eastAsia="宋体" w:hint="default"/>
                <w:spacing w:val="-2"/>
                <w:sz w:val="18"/>
                <w:szCs w:val="18"/>
              </w:rPr>
              <w:t>）企业合并增加</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47,836,698.92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47,836,698.92</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238,612.68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238,612.68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829,346.31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829,346.31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7"/>
              <w:jc w:val="righ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）计提或摊销</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598,687.70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598,687.70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）其他增加</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230,658.61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230,658.61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1,067,958.99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1,067,958.99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7"/>
              <w:jc w:val="righ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期末账面价值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46,768,739.93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46,768,739.93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期初账面价值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21,738,872.26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21,738,872.26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采用公允价值计量模式的投资性房地产" w:id="263"/>
      <w:bookmarkEnd w:id="263"/>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）采用公允价值计量模式的投资性房地产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未办妥产权证书的投资性房地产情况" w:id="264"/>
      <w:bookmarkEnd w:id="264"/>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）未办妥产权证书的投资性房地产情况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6、固定资产" w:id="265"/>
      <w:bookmarkEnd w:id="265"/>
      <w:r>
        <w:rPr/>
      </w:r>
      <w:r>
        <w:rPr>
          <w:rFonts w:ascii="宋体" w:hAnsi="宋体" w:cs="宋体" w:eastAsia="宋体" w:hint="default"/>
          <w:b/>
          <w:bCs/>
          <w:sz w:val="21"/>
          <w:szCs w:val="21"/>
        </w:rPr>
        <w:t>16</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60" w:type="dxa"/>
        <w:tblLayout w:type="fixed"/>
        <w:tblCellMar>
          <w:top w:w="0" w:type="dxa"/>
          <w:left w:w="0" w:type="dxa"/>
          <w:bottom w:w="0" w:type="dxa"/>
          <w:right w:w="0" w:type="dxa"/>
        </w:tblCellMar>
        <w:tblLook w:val="01E0"/>
      </w:tblPr>
      <w:tblGrid>
        <w:gridCol w:w="3171"/>
        <w:gridCol w:w="3200"/>
        <w:gridCol w:w="318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95,391,564.50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26,426,666.86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95,391,564.50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26,426,666.86</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1）固定资产情况" w:id="266"/>
      <w:bookmarkEnd w:id="266"/>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9" w:space="0" w:color="D9D9D9"/>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办公及其他设备</w:t>
            </w:r>
          </w:p>
        </w:tc>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2,397,374.54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22,613,581.14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14,163,673.07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39,174,628.75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7,912,533.08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4,742,537.17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93,574,961.92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106,230,032.17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）购置</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1,758,212.82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11,502.87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1,769,715.69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pacing w:val="-2"/>
                <w:w w:val="95"/>
                <w:sz w:val="18"/>
                <w:szCs w:val="18"/>
              </w:rPr>
              <w:t>（</w:t>
            </w:r>
            <w:r>
              <w:rPr>
                <w:rFonts w:ascii="宋体" w:hAnsi="宋体" w:cs="宋体" w:eastAsia="宋体" w:hint="default"/>
                <w:spacing w:val="-2"/>
                <w:w w:val="95"/>
                <w:sz w:val="18"/>
                <w:szCs w:val="18"/>
              </w:rPr>
              <w:t>2</w:t>
            </w:r>
            <w:r>
              <w:rPr>
                <w:rFonts w:ascii="宋体" w:hAnsi="宋体" w:cs="宋体" w:eastAsia="宋体" w:hint="default"/>
                <w:spacing w:val="-2"/>
                <w:w w:val="95"/>
                <w:sz w:val="18"/>
                <w:szCs w:val="18"/>
              </w:rPr>
              <w:t>）在建工程转入</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93,563,459.05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93,563,459.05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pacing w:val="-2"/>
                <w:w w:val="95"/>
                <w:sz w:val="18"/>
                <w:szCs w:val="18"/>
              </w:rPr>
              <w:t>（</w:t>
            </w:r>
            <w:r>
              <w:rPr>
                <w:rFonts w:ascii="宋体" w:hAnsi="宋体" w:cs="宋体" w:eastAsia="宋体" w:hint="default"/>
                <w:spacing w:val="-2"/>
                <w:w w:val="95"/>
                <w:sz w:val="18"/>
                <w:szCs w:val="18"/>
              </w:rPr>
              <w:t>3</w:t>
            </w:r>
            <w:r>
              <w:rPr>
                <w:rFonts w:ascii="宋体" w:hAnsi="宋体" w:cs="宋体" w:eastAsia="宋体" w:hint="default"/>
                <w:spacing w:val="-2"/>
                <w:w w:val="95"/>
                <w:sz w:val="18"/>
                <w:szCs w:val="18"/>
              </w:rPr>
              <w:t>）企业合并增加</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6,940,289.65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2,983,740.26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9,924,029.91</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）其他</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972,243.43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584.09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972,827.52</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74,283.30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1,296,965.67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25,859,213.98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27,230,462.95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74,283.30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257,423.97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331,707.27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1,039,541.70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25,859,213.98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26,898,755.68</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10,235,624.32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26,059,152.64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81,879,421.01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118,174,197.97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1,940,955.67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10,653,229.22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153,777.00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12,747,961.89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4,475,145.78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4,840,598.46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1,444,108.79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10,759,853.03</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2,258,111.81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3,907,394.99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1,444,108.79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7,609,615.59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3"/>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宋体" w:hAnsi="宋体" w:cs="宋体" w:eastAsia="宋体" w:hint="default"/>
                <w:spacing w:val="-4"/>
                <w:sz w:val="18"/>
                <w:szCs w:val="18"/>
              </w:rPr>
              <w:t>2</w:t>
            </w:r>
            <w:r>
              <w:rPr>
                <w:rFonts w:ascii="宋体" w:hAnsi="宋体" w:cs="宋体" w:eastAsia="宋体" w:hint="default"/>
                <w:spacing w:val="-4"/>
                <w:sz w:val="18"/>
                <w:szCs w:val="18"/>
              </w:rPr>
              <w:t>）企业合并增加</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2,217,033.97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933,203.47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3,150,237.44</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70,569.13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423,953.71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230,658.61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725,181.45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70,569.13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173,755.23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244,324.36</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）其他</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250,198.48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230,658.61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480,857.09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6,345,532.32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15,069,873.97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1,367,227.18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22,782,633.47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4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期末账面价值</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3,890,092.00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10,989,278.67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80,512,193.83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95,391,564.50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41"/>
              <w:jc w:val="righ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期初账面价值</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456,418.87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11,960,351.92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14,009,896.07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26,426,666.86</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暂时闲置的固定资产情况" w:id="267"/>
      <w:bookmarkEnd w:id="267"/>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）暂时闲置的固定资产情况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通过融资租赁租入的固定资产情况" w:id="268"/>
      <w:bookmarkEnd w:id="268"/>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）通过融资租赁租入的固定资产情况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通过经营租赁租出的固定资产" w:id="269"/>
      <w:bookmarkEnd w:id="269"/>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）通过经营租赁租出的固定资产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未办妥产权证书的固定资产情况" w:id="270"/>
      <w:bookmarkEnd w:id="270"/>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）未办妥产权证书的固定资产情况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6）固定资产清理" w:id="271"/>
      <w:bookmarkEnd w:id="271"/>
      <w:r>
        <w:rPr/>
      </w:r>
      <w:r>
        <w:rPr>
          <w:rFonts w:ascii="宋体" w:hAnsi="宋体" w:cs="宋体" w:eastAsia="宋体" w:hint="default"/>
          <w:b/>
          <w:bCs/>
          <w:sz w:val="21"/>
          <w:szCs w:val="21"/>
        </w:rPr>
        <w:t>（</w:t>
      </w:r>
      <w:r>
        <w:rPr>
          <w:rFonts w:ascii="宋体" w:hAnsi="宋体" w:cs="宋体" w:eastAsia="宋体" w:hint="default"/>
          <w:b/>
          <w:bCs/>
          <w:sz w:val="21"/>
          <w:szCs w:val="21"/>
        </w:rPr>
        <w:t>6</w:t>
      </w:r>
      <w:r>
        <w:rPr>
          <w:rFonts w:ascii="宋体" w:hAnsi="宋体" w:cs="宋体" w:eastAsia="宋体" w:hint="default"/>
          <w:b/>
          <w:bCs/>
          <w:sz w:val="21"/>
          <w:szCs w:val="21"/>
        </w:rPr>
        <w:t>）固定资产清理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3"/>
        <w:ind w:left="634" w:right="9072"/>
        <w:jc w:val="left"/>
      </w:pPr>
      <w:r>
        <w:rPr/>
        <w:t>无。 其他说明：</w:t>
      </w:r>
    </w:p>
    <w:p>
      <w:pPr>
        <w:spacing w:line="475" w:lineRule="auto" w:before="74"/>
        <w:ind w:left="594" w:right="3932" w:firstLine="0"/>
        <w:jc w:val="left"/>
        <w:rPr>
          <w:rFonts w:ascii="宋体" w:hAnsi="宋体" w:cs="宋体" w:eastAsia="宋体" w:hint="default"/>
          <w:sz w:val="22"/>
          <w:szCs w:val="22"/>
        </w:rPr>
      </w:pPr>
      <w:r>
        <w:rPr>
          <w:rFonts w:ascii="宋体" w:hAnsi="宋体" w:cs="宋体" w:eastAsia="宋体" w:hint="default"/>
          <w:sz w:val="22"/>
          <w:szCs w:val="22"/>
        </w:rPr>
        <w:t>本年增加的累计折旧中，本年计提</w:t>
      </w:r>
      <w:r>
        <w:rPr>
          <w:rFonts w:ascii="宋体" w:hAnsi="宋体" w:cs="宋体" w:eastAsia="宋体" w:hint="default"/>
          <w:spacing w:val="-53"/>
          <w:sz w:val="22"/>
          <w:szCs w:val="22"/>
        </w:rPr>
        <w:t> </w:t>
      </w:r>
      <w:r>
        <w:rPr>
          <w:rFonts w:ascii="宋体" w:hAnsi="宋体" w:cs="宋体" w:eastAsia="宋体" w:hint="default"/>
          <w:sz w:val="22"/>
          <w:szCs w:val="22"/>
        </w:rPr>
        <w:t>7,609,615.59</w:t>
      </w:r>
      <w:r>
        <w:rPr>
          <w:rFonts w:ascii="宋体" w:hAnsi="宋体" w:cs="宋体" w:eastAsia="宋体" w:hint="default"/>
          <w:spacing w:val="-56"/>
          <w:sz w:val="22"/>
          <w:szCs w:val="22"/>
        </w:rPr>
        <w:t> </w:t>
      </w:r>
      <w:r>
        <w:rPr>
          <w:rFonts w:ascii="宋体" w:hAnsi="宋体" w:cs="宋体" w:eastAsia="宋体" w:hint="default"/>
          <w:sz w:val="22"/>
          <w:szCs w:val="22"/>
        </w:rPr>
        <w:t>元。</w:t>
      </w:r>
      <w:r>
        <w:rPr>
          <w:rFonts w:ascii="宋体" w:hAnsi="宋体" w:cs="宋体" w:eastAsia="宋体" w:hint="default"/>
          <w:w w:val="99"/>
          <w:sz w:val="22"/>
          <w:szCs w:val="22"/>
        </w:rPr>
        <w:t> </w:t>
      </w:r>
      <w:r>
        <w:rPr>
          <w:rFonts w:ascii="宋体" w:hAnsi="宋体" w:cs="宋体" w:eastAsia="宋体" w:hint="default"/>
          <w:sz w:val="22"/>
          <w:szCs w:val="22"/>
        </w:rPr>
        <w:t>本集团固定资产年末不存在减值情形，未计提固定资产减值准备。</w:t>
      </w:r>
    </w:p>
    <w:p>
      <w:pPr>
        <w:spacing w:before="193"/>
        <w:ind w:left="154" w:right="1092" w:firstLine="0"/>
        <w:jc w:val="left"/>
        <w:rPr>
          <w:rFonts w:ascii="宋体" w:hAnsi="宋体" w:cs="宋体" w:eastAsia="宋体" w:hint="default"/>
          <w:sz w:val="21"/>
          <w:szCs w:val="21"/>
        </w:rPr>
      </w:pPr>
      <w:bookmarkStart w:name="17、在建工程" w:id="272"/>
      <w:bookmarkEnd w:id="272"/>
      <w:r>
        <w:rPr/>
      </w:r>
      <w:r>
        <w:rPr>
          <w:rFonts w:ascii="宋体" w:hAnsi="宋体" w:cs="宋体" w:eastAsia="宋体" w:hint="default"/>
          <w:b/>
          <w:bCs/>
          <w:sz w:val="21"/>
          <w:szCs w:val="21"/>
        </w:rPr>
        <w:t>17</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在建工程情况" w:id="273"/>
      <w:bookmarkEnd w:id="273"/>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）在建工程情况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重要在建工程项目本期变动情况" w:id="274"/>
      <w:bookmarkEnd w:id="274"/>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）重要在建工程项目本期变动情况</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338"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0" w:right="90" w:hanging="180"/>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92" w:right="91"/>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92" w:right="93"/>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0"/>
              <w:jc w:val="center"/>
              <w:rPr>
                <w:rFonts w:ascii="宋体" w:hAnsi="宋体" w:cs="宋体" w:eastAsia="宋体" w:hint="default"/>
                <w:sz w:val="18"/>
                <w:szCs w:val="18"/>
              </w:rPr>
            </w:pPr>
            <w:r>
              <w:rPr>
                <w:rFonts w:ascii="宋体" w:hAnsi="宋体" w:cs="宋体" w:eastAsia="宋体" w:hint="default"/>
                <w:spacing w:val="-10"/>
                <w:sz w:val="18"/>
                <w:szCs w:val="18"/>
              </w:rPr>
              <w:t>其中：本</w:t>
            </w:r>
            <w:r>
              <w:rPr>
                <w:rFonts w:ascii="宋体" w:hAnsi="宋体" w:cs="宋体" w:eastAsia="宋体" w:hint="default"/>
                <w:sz w:val="18"/>
                <w:szCs w:val="18"/>
              </w:rPr>
              <w:t> 期利息 资本化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杭州佳 源银座 房产</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left"/>
              <w:rPr>
                <w:rFonts w:ascii="宋体" w:hAnsi="宋体" w:cs="宋体" w:eastAsia="宋体" w:hint="default"/>
                <w:sz w:val="18"/>
                <w:szCs w:val="18"/>
              </w:rPr>
            </w:pPr>
            <w:r>
              <w:rPr>
                <w:rFonts w:ascii="宋体"/>
                <w:sz w:val="18"/>
              </w:rPr>
              <w:t>94,749,</w:t>
            </w:r>
          </w:p>
          <w:p>
            <w:pPr>
              <w:pStyle w:val="TableParagraph"/>
              <w:spacing w:line="240" w:lineRule="auto" w:before="77"/>
              <w:ind w:left="163" w:right="0"/>
              <w:jc w:val="left"/>
              <w:rPr>
                <w:rFonts w:ascii="宋体" w:hAnsi="宋体" w:cs="宋体" w:eastAsia="宋体" w:hint="default"/>
                <w:sz w:val="18"/>
                <w:szCs w:val="18"/>
              </w:rPr>
            </w:pPr>
            <w:r>
              <w:rPr>
                <w:rFonts w:ascii="宋体"/>
                <w:sz w:val="18"/>
              </w:rPr>
              <w:t>717.78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left"/>
              <w:rPr>
                <w:rFonts w:ascii="宋体" w:hAnsi="宋体" w:cs="宋体" w:eastAsia="宋体" w:hint="default"/>
                <w:sz w:val="18"/>
                <w:szCs w:val="18"/>
              </w:rPr>
            </w:pPr>
            <w:r>
              <w:rPr>
                <w:rFonts w:ascii="宋体"/>
                <w:sz w:val="18"/>
              </w:rPr>
              <w:t>93,546,</w:t>
            </w:r>
          </w:p>
          <w:p>
            <w:pPr>
              <w:pStyle w:val="TableParagraph"/>
              <w:spacing w:line="240" w:lineRule="auto" w:before="77"/>
              <w:ind w:left="163" w:right="0"/>
              <w:jc w:val="left"/>
              <w:rPr>
                <w:rFonts w:ascii="宋体" w:hAnsi="宋体" w:cs="宋体" w:eastAsia="宋体" w:hint="default"/>
                <w:sz w:val="18"/>
                <w:szCs w:val="18"/>
              </w:rPr>
            </w:pPr>
            <w:r>
              <w:rPr>
                <w:rFonts w:ascii="宋体"/>
                <w:sz w:val="18"/>
              </w:rPr>
              <w:t>409.05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2" w:right="0"/>
              <w:jc w:val="center"/>
              <w:rPr>
                <w:rFonts w:ascii="宋体" w:hAnsi="宋体" w:cs="宋体" w:eastAsia="宋体" w:hint="default"/>
                <w:sz w:val="18"/>
                <w:szCs w:val="18"/>
              </w:rPr>
            </w:pPr>
            <w:r>
              <w:rPr>
                <w:rFonts w:ascii="宋体"/>
                <w:sz w:val="18"/>
              </w:rPr>
              <w:t>1,203,3</w:t>
            </w:r>
          </w:p>
          <w:p>
            <w:pPr>
              <w:pStyle w:val="TableParagraph"/>
              <w:spacing w:line="240" w:lineRule="auto" w:before="77"/>
              <w:ind w:left="232" w:right="0"/>
              <w:jc w:val="center"/>
              <w:rPr>
                <w:rFonts w:ascii="宋体" w:hAnsi="宋体" w:cs="宋体" w:eastAsia="宋体" w:hint="default"/>
                <w:sz w:val="18"/>
                <w:szCs w:val="18"/>
              </w:rPr>
            </w:pPr>
            <w:r>
              <w:rPr>
                <w:rFonts w:ascii="宋体"/>
                <w:sz w:val="18"/>
              </w:rPr>
              <w:t>08.73</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50" w:right="0"/>
              <w:jc w:val="center"/>
              <w:rPr>
                <w:rFonts w:ascii="宋体" w:hAnsi="宋体" w:cs="宋体" w:eastAsia="宋体" w:hint="default"/>
                <w:sz w:val="18"/>
                <w:szCs w:val="18"/>
              </w:rPr>
            </w:pPr>
            <w:r>
              <w:rPr>
                <w:rFonts w:ascii="宋体"/>
                <w:sz w:val="18"/>
              </w:rPr>
              <w:t>100.00%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47"/>
              <w:jc w:val="center"/>
              <w:rPr>
                <w:rFonts w:ascii="宋体" w:hAnsi="宋体" w:cs="宋体" w:eastAsia="宋体" w:hint="default"/>
                <w:sz w:val="18"/>
                <w:szCs w:val="18"/>
              </w:rPr>
            </w:pPr>
            <w:r>
              <w:rPr>
                <w:rFonts w:ascii="宋体"/>
                <w:sz w:val="18"/>
              </w:rPr>
              <w:t>100.00%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714"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3" w:right="0"/>
              <w:jc w:val="left"/>
              <w:rPr>
                <w:rFonts w:ascii="宋体" w:hAnsi="宋体" w:cs="宋体" w:eastAsia="宋体" w:hint="default"/>
                <w:sz w:val="18"/>
                <w:szCs w:val="18"/>
              </w:rPr>
            </w:pPr>
            <w:r>
              <w:rPr>
                <w:rFonts w:ascii="宋体"/>
                <w:sz w:val="18"/>
              </w:rPr>
              <w:t>94,749,</w:t>
            </w:r>
          </w:p>
          <w:p>
            <w:pPr>
              <w:pStyle w:val="TableParagraph"/>
              <w:spacing w:line="240" w:lineRule="auto" w:before="77"/>
              <w:ind w:left="163" w:right="0"/>
              <w:jc w:val="left"/>
              <w:rPr>
                <w:rFonts w:ascii="宋体" w:hAnsi="宋体" w:cs="宋体" w:eastAsia="宋体" w:hint="default"/>
                <w:sz w:val="18"/>
                <w:szCs w:val="18"/>
              </w:rPr>
            </w:pPr>
            <w:r>
              <w:rPr>
                <w:rFonts w:ascii="宋体"/>
                <w:sz w:val="18"/>
              </w:rPr>
              <w:t>717.78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3" w:right="0"/>
              <w:jc w:val="left"/>
              <w:rPr>
                <w:rFonts w:ascii="宋体" w:hAnsi="宋体" w:cs="宋体" w:eastAsia="宋体" w:hint="default"/>
                <w:sz w:val="18"/>
                <w:szCs w:val="18"/>
              </w:rPr>
            </w:pPr>
            <w:r>
              <w:rPr>
                <w:rFonts w:ascii="宋体"/>
                <w:sz w:val="18"/>
              </w:rPr>
              <w:t>93,546,</w:t>
            </w:r>
          </w:p>
          <w:p>
            <w:pPr>
              <w:pStyle w:val="TableParagraph"/>
              <w:spacing w:line="240" w:lineRule="auto" w:before="77"/>
              <w:ind w:left="163" w:right="0"/>
              <w:jc w:val="left"/>
              <w:rPr>
                <w:rFonts w:ascii="宋体" w:hAnsi="宋体" w:cs="宋体" w:eastAsia="宋体" w:hint="default"/>
                <w:sz w:val="18"/>
                <w:szCs w:val="18"/>
              </w:rPr>
            </w:pPr>
            <w:r>
              <w:rPr>
                <w:rFonts w:ascii="宋体"/>
                <w:sz w:val="18"/>
              </w:rPr>
              <w:t>409.05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 w:right="0"/>
              <w:jc w:val="center"/>
              <w:rPr>
                <w:rFonts w:ascii="宋体" w:hAnsi="宋体" w:cs="宋体" w:eastAsia="宋体" w:hint="default"/>
                <w:sz w:val="18"/>
                <w:szCs w:val="18"/>
              </w:rPr>
            </w:pPr>
            <w:r>
              <w:rPr>
                <w:rFonts w:ascii="宋体"/>
                <w:sz w:val="18"/>
              </w:rPr>
              <w:t>1,203,3</w:t>
            </w:r>
          </w:p>
          <w:p>
            <w:pPr>
              <w:pStyle w:val="TableParagraph"/>
              <w:spacing w:line="240" w:lineRule="auto" w:before="77"/>
              <w:ind w:left="232" w:right="0"/>
              <w:jc w:val="center"/>
              <w:rPr>
                <w:rFonts w:ascii="宋体" w:hAnsi="宋体" w:cs="宋体" w:eastAsia="宋体" w:hint="default"/>
                <w:sz w:val="18"/>
                <w:szCs w:val="18"/>
              </w:rPr>
            </w:pPr>
            <w:r>
              <w:rPr>
                <w:rFonts w:ascii="宋体"/>
                <w:sz w:val="18"/>
              </w:rPr>
              <w:t>08.73</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本期计提在建工程减值准备情况" w:id="275"/>
      <w:bookmarkEnd w:id="275"/>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）本期计提在建工程减值准备情况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工程物资" w:id="276"/>
      <w:bookmarkEnd w:id="276"/>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）工程物资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8、生产性生物资产" w:id="277"/>
      <w:bookmarkEnd w:id="277"/>
      <w:r>
        <w:rPr/>
      </w:r>
      <w:r>
        <w:rPr>
          <w:rFonts w:ascii="宋体" w:hAnsi="宋体" w:cs="宋体" w:eastAsia="宋体" w:hint="default"/>
          <w:b/>
          <w:bCs/>
          <w:sz w:val="21"/>
          <w:szCs w:val="21"/>
        </w:rPr>
        <w:t>18</w:t>
      </w:r>
      <w:r>
        <w:rPr>
          <w:rFonts w:ascii="宋体" w:hAnsi="宋体" w:cs="宋体" w:eastAsia="宋体" w:hint="default"/>
          <w:b/>
          <w:bCs/>
          <w:sz w:val="21"/>
          <w:szCs w:val="21"/>
        </w:rPr>
        <w:t>、生产性生物资产</w:t>
      </w:r>
      <w:r>
        <w:rPr>
          <w:rFonts w:ascii="宋体" w:hAnsi="宋体" w:cs="宋体" w:eastAsia="宋体" w:hint="default"/>
          <w:sz w:val="21"/>
          <w:szCs w:val="21"/>
        </w:rPr>
      </w:r>
    </w:p>
    <w:p>
      <w:pPr>
        <w:spacing w:line="240" w:lineRule="auto" w:before="13"/>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采用成本计量模式的生产性生物资产" w:id="278"/>
      <w:bookmarkEnd w:id="278"/>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）采用成本计量模式的生产性生物资产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采用公允价值计量模式的生产性生物资产" w:id="279"/>
      <w:bookmarkEnd w:id="279"/>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）采用公允价值计量模式的生产性生物资产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19、油气资产" w:id="280"/>
      <w:bookmarkEnd w:id="280"/>
      <w:r>
        <w:rPr/>
      </w:r>
      <w:r>
        <w:rPr>
          <w:rFonts w:ascii="宋体" w:hAnsi="宋体" w:cs="宋体" w:eastAsia="宋体" w:hint="default"/>
          <w:b/>
          <w:bCs/>
          <w:sz w:val="21"/>
          <w:szCs w:val="21"/>
        </w:rPr>
        <w:t>19</w:t>
      </w:r>
      <w:r>
        <w:rPr>
          <w:rFonts w:ascii="宋体" w:hAnsi="宋体" w:cs="宋体" w:eastAsia="宋体" w:hint="default"/>
          <w:b/>
          <w:bCs/>
          <w:sz w:val="21"/>
          <w:szCs w:val="21"/>
        </w:rPr>
        <w:t>、油气资产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0、无形资产" w:id="281"/>
      <w:bookmarkEnd w:id="281"/>
      <w:r>
        <w:rPr/>
      </w:r>
      <w:r>
        <w:rPr>
          <w:rFonts w:ascii="宋体" w:hAnsi="宋体" w:cs="宋体" w:eastAsia="宋体" w:hint="default"/>
          <w:b/>
          <w:bCs/>
          <w:sz w:val="21"/>
          <w:szCs w:val="21"/>
        </w:rPr>
        <w:t>20</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无形资产情况" w:id="282"/>
      <w:bookmarkEnd w:id="282"/>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173"/>
        <w:gridCol w:w="1207"/>
        <w:gridCol w:w="1196"/>
        <w:gridCol w:w="1197"/>
        <w:gridCol w:w="1195"/>
        <w:gridCol w:w="1197"/>
        <w:gridCol w:w="1196"/>
        <w:gridCol w:w="1195"/>
      </w:tblGrid>
      <w:tr>
        <w:trPr>
          <w:trHeight w:val="402"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23"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43"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195" w:type="dxa"/>
            <w:tcBorders>
              <w:top w:val="single" w:sz="4" w:space="0" w:color="000000"/>
              <w:left w:val="single" w:sz="13" w:space="0" w:color="D2D2D2"/>
              <w:bottom w:val="single" w:sz="4" w:space="0" w:color="000000"/>
              <w:right w:val="single" w:sz="4" w:space="0" w:color="000000"/>
            </w:tcBorders>
            <w:shd w:val="clear" w:color="auto" w:fill="D9D9D9"/>
          </w:tcPr>
          <w:p>
            <w:pPr>
              <w:pStyle w:val="TableParagraph"/>
              <w:spacing w:line="240" w:lineRule="auto" w:before="53"/>
              <w:ind w:left="130" w:right="0"/>
              <w:jc w:val="left"/>
              <w:rPr>
                <w:rFonts w:ascii="宋体" w:hAnsi="宋体" w:cs="宋体" w:eastAsia="宋体" w:hint="default"/>
                <w:sz w:val="18"/>
                <w:szCs w:val="18"/>
              </w:rPr>
            </w:pPr>
            <w:r>
              <w:rPr>
                <w:rFonts w:ascii="宋体" w:hAnsi="宋体" w:cs="宋体" w:eastAsia="宋体" w:hint="default"/>
                <w:sz w:val="18"/>
                <w:szCs w:val="18"/>
              </w:rPr>
              <w:t>软件使用权</w:t>
            </w:r>
          </w:p>
        </w:tc>
        <w:tc>
          <w:tcPr>
            <w:tcW w:w="11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买断版权</w:t>
            </w:r>
          </w:p>
        </w:tc>
        <w:tc>
          <w:tcPr>
            <w:tcW w:w="11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70"/>
              <w:jc w:val="right"/>
              <w:rPr>
                <w:rFonts w:ascii="宋体" w:hAnsi="宋体" w:cs="宋体" w:eastAsia="宋体" w:hint="default"/>
                <w:sz w:val="18"/>
                <w:szCs w:val="18"/>
              </w:rPr>
            </w:pPr>
            <w:r>
              <w:rPr>
                <w:rFonts w:ascii="宋体" w:hAnsi="宋体" w:cs="宋体" w:eastAsia="宋体" w:hint="default"/>
                <w:sz w:val="18"/>
                <w:szCs w:val="18"/>
              </w:rPr>
              <w:t>一、账面原值</w:t>
            </w:r>
          </w:p>
        </w:tc>
        <w:tc>
          <w:tcPr>
            <w:tcW w:w="1207" w:type="dxa"/>
            <w:tcBorders>
              <w:top w:val="single" w:sz="4" w:space="0" w:color="000000"/>
              <w:left w:val="single" w:sz="13" w:space="0" w:color="D2D2D2"/>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71"/>
              <w:jc w:val="righ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w:t>
            </w:r>
          </w:p>
        </w:tc>
        <w:tc>
          <w:tcPr>
            <w:tcW w:w="1207" w:type="dxa"/>
            <w:tcBorders>
              <w:top w:val="single" w:sz="4" w:space="0" w:color="000000"/>
              <w:left w:val="single" w:sz="13" w:space="0" w:color="D2D2D2"/>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3" w:right="0"/>
              <w:jc w:val="left"/>
              <w:rPr>
                <w:rFonts w:ascii="宋体" w:hAnsi="宋体" w:cs="宋体" w:eastAsia="宋体" w:hint="default"/>
                <w:sz w:val="18"/>
                <w:szCs w:val="18"/>
              </w:rPr>
            </w:pPr>
            <w:r>
              <w:rPr>
                <w:rFonts w:ascii="宋体"/>
                <w:sz w:val="18"/>
              </w:rPr>
              <w:t>8,000.00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82" w:right="0"/>
              <w:jc w:val="left"/>
              <w:rPr>
                <w:rFonts w:ascii="宋体" w:hAnsi="宋体" w:cs="宋体" w:eastAsia="宋体" w:hint="default"/>
                <w:sz w:val="18"/>
                <w:szCs w:val="18"/>
              </w:rPr>
            </w:pPr>
            <w:r>
              <w:rPr>
                <w:rFonts w:ascii="宋体"/>
                <w:sz w:val="18"/>
              </w:rPr>
              <w:t>11,845,601.2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82" w:right="0"/>
              <w:jc w:val="left"/>
              <w:rPr>
                <w:rFonts w:ascii="宋体" w:hAnsi="宋体" w:cs="宋体" w:eastAsia="宋体" w:hint="default"/>
                <w:sz w:val="18"/>
                <w:szCs w:val="18"/>
              </w:rPr>
            </w:pPr>
            <w:r>
              <w:rPr>
                <w:rFonts w:ascii="宋体"/>
                <w:sz w:val="18"/>
              </w:rPr>
              <w:t>11,148,939.6</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60" w:right="0"/>
              <w:jc w:val="center"/>
              <w:rPr>
                <w:rFonts w:ascii="宋体" w:hAnsi="宋体" w:cs="宋体" w:eastAsia="宋体" w:hint="default"/>
                <w:sz w:val="18"/>
                <w:szCs w:val="18"/>
              </w:rPr>
            </w:pPr>
            <w:r>
              <w:rPr>
                <w:rFonts w:ascii="宋体"/>
                <w:sz w:val="18"/>
              </w:rPr>
              <w:t>728,491,918.</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59" w:right="0"/>
              <w:jc w:val="center"/>
              <w:rPr>
                <w:rFonts w:ascii="宋体" w:hAnsi="宋体" w:cs="宋体" w:eastAsia="宋体" w:hint="default"/>
                <w:sz w:val="18"/>
                <w:szCs w:val="18"/>
              </w:rPr>
            </w:pPr>
            <w:r>
              <w:rPr>
                <w:rFonts w:ascii="宋体"/>
                <w:sz w:val="18"/>
              </w:rPr>
              <w:t>751,494,459.</w:t>
            </w:r>
          </w:p>
        </w:tc>
      </w:tr>
    </w:tbl>
    <w:p>
      <w:pPr>
        <w:spacing w:after="0" w:line="240" w:lineRule="auto"/>
        <w:jc w:val="center"/>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197"/>
        <w:gridCol w:w="1195"/>
        <w:gridCol w:w="1196"/>
        <w:gridCol w:w="1197"/>
        <w:gridCol w:w="1195"/>
        <w:gridCol w:w="1197"/>
        <w:gridCol w:w="1196"/>
        <w:gridCol w:w="1195"/>
      </w:tblGrid>
      <w:tr>
        <w:trPr>
          <w:trHeight w:val="36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
              <w:jc w:val="right"/>
              <w:rPr>
                <w:rFonts w:ascii="宋体" w:hAnsi="宋体" w:cs="宋体" w:eastAsia="宋体" w:hint="default"/>
                <w:sz w:val="18"/>
                <w:szCs w:val="18"/>
              </w:rPr>
            </w:pPr>
            <w:r>
              <w:rPr>
                <w:rFonts w:ascii="宋体"/>
                <w:sz w:val="18"/>
              </w:rPr>
              <w:t>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z w:val="18"/>
              </w:rPr>
              <w:t>8</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1"/>
              <w:jc w:val="right"/>
              <w:rPr>
                <w:rFonts w:ascii="宋体" w:hAnsi="宋体" w:cs="宋体" w:eastAsia="宋体" w:hint="default"/>
                <w:sz w:val="18"/>
                <w:szCs w:val="18"/>
              </w:rPr>
            </w:pPr>
            <w:r>
              <w:rPr>
                <w:rFonts w:ascii="宋体"/>
                <w:sz w:val="18"/>
              </w:rPr>
              <w:t>17</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
              <w:jc w:val="right"/>
              <w:rPr>
                <w:rFonts w:ascii="宋体" w:hAnsi="宋体" w:cs="宋体" w:eastAsia="宋体" w:hint="default"/>
                <w:sz w:val="18"/>
                <w:szCs w:val="18"/>
              </w:rPr>
            </w:pPr>
            <w:r>
              <w:rPr>
                <w:rFonts w:ascii="宋体"/>
                <w:sz w:val="18"/>
              </w:rPr>
              <w:t>14</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firstLine="36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 加金额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24,399,658.1</w:t>
            </w:r>
          </w:p>
          <w:p>
            <w:pPr>
              <w:pStyle w:val="TableParagraph"/>
              <w:spacing w:line="240" w:lineRule="auto" w:before="76"/>
              <w:ind w:right="23"/>
              <w:jc w:val="right"/>
              <w:rPr>
                <w:rFonts w:ascii="宋体" w:hAnsi="宋体" w:cs="宋体" w:eastAsia="宋体" w:hint="default"/>
                <w:sz w:val="18"/>
                <w:szCs w:val="18"/>
              </w:rPr>
            </w:pPr>
            <w:r>
              <w:rPr>
                <w:rFonts w:ascii="宋体"/>
                <w:sz w:val="18"/>
              </w:rPr>
              <w:t>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471,760.48</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256,964,917.</w:t>
            </w:r>
          </w:p>
          <w:p>
            <w:pPr>
              <w:pStyle w:val="TableParagraph"/>
              <w:spacing w:line="240" w:lineRule="auto" w:before="76"/>
              <w:ind w:right="21"/>
              <w:jc w:val="right"/>
              <w:rPr>
                <w:rFonts w:ascii="宋体" w:hAnsi="宋体" w:cs="宋体" w:eastAsia="宋体" w:hint="default"/>
                <w:sz w:val="18"/>
                <w:szCs w:val="18"/>
              </w:rPr>
            </w:pPr>
            <w:r>
              <w:rPr>
                <w:rFonts w:ascii="宋体"/>
                <w:sz w:val="18"/>
              </w:rPr>
              <w:t>76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3,777,239.00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285,613,575.</w:t>
            </w:r>
          </w:p>
          <w:p>
            <w:pPr>
              <w:pStyle w:val="TableParagraph"/>
              <w:spacing w:line="240" w:lineRule="auto" w:before="76"/>
              <w:ind w:right="20"/>
              <w:jc w:val="right"/>
              <w:rPr>
                <w:rFonts w:ascii="宋体" w:hAnsi="宋体" w:cs="宋体" w:eastAsia="宋体" w:hint="default"/>
                <w:sz w:val="18"/>
                <w:szCs w:val="18"/>
              </w:rPr>
            </w:pPr>
            <w:r>
              <w:rPr>
                <w:rFonts w:ascii="宋体"/>
                <w:sz w:val="18"/>
              </w:rPr>
              <w:t>35</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宋体" w:hAnsi="宋体" w:cs="宋体" w:eastAsia="宋体" w:hint="default"/>
                <w:spacing w:val="-8"/>
                <w:sz w:val="18"/>
                <w:szCs w:val="18"/>
              </w:rPr>
              <w:t>1</w:t>
            </w:r>
            <w:r>
              <w:rPr>
                <w:rFonts w:ascii="宋体" w:hAnsi="宋体" w:cs="宋体" w:eastAsia="宋体" w:hint="default"/>
                <w:spacing w:val="-8"/>
                <w:sz w:val="18"/>
                <w:szCs w:val="18"/>
              </w:rPr>
              <w:t>）购</w:t>
            </w:r>
            <w:r>
              <w:rPr>
                <w:rFonts w:ascii="宋体" w:hAnsi="宋体" w:cs="宋体" w:eastAsia="宋体" w:hint="default"/>
                <w:sz w:val="18"/>
                <w:szCs w:val="18"/>
              </w:rPr>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宋体" w:hAnsi="宋体" w:cs="宋体" w:eastAsia="宋体" w:hint="default"/>
                <w:sz w:val="18"/>
                <w:szCs w:val="18"/>
              </w:rPr>
            </w:pPr>
            <w:r>
              <w:rPr>
                <w:rFonts w:ascii="宋体"/>
                <w:sz w:val="18"/>
              </w:rPr>
              <w:t>2,580,827.69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367,341.67</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256,964,917.</w:t>
            </w:r>
          </w:p>
          <w:p>
            <w:pPr>
              <w:pStyle w:val="TableParagraph"/>
              <w:spacing w:line="240" w:lineRule="auto" w:before="77"/>
              <w:ind w:right="21"/>
              <w:jc w:val="right"/>
              <w:rPr>
                <w:rFonts w:ascii="宋体" w:hAnsi="宋体" w:cs="宋体" w:eastAsia="宋体" w:hint="default"/>
                <w:sz w:val="18"/>
                <w:szCs w:val="18"/>
              </w:rPr>
            </w:pPr>
            <w:r>
              <w:rPr>
                <w:rFonts w:ascii="宋体"/>
                <w:sz w:val="18"/>
              </w:rPr>
              <w:t>76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3,777,239.00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263,690,326.</w:t>
            </w:r>
          </w:p>
          <w:p>
            <w:pPr>
              <w:pStyle w:val="TableParagraph"/>
              <w:spacing w:line="240" w:lineRule="auto" w:before="77"/>
              <w:ind w:right="20"/>
              <w:jc w:val="right"/>
              <w:rPr>
                <w:rFonts w:ascii="宋体" w:hAnsi="宋体" w:cs="宋体" w:eastAsia="宋体" w:hint="default"/>
                <w:sz w:val="18"/>
                <w:szCs w:val="18"/>
              </w:rPr>
            </w:pPr>
            <w:r>
              <w:rPr>
                <w:rFonts w:ascii="宋体"/>
                <w:sz w:val="18"/>
              </w:rPr>
              <w:t>12</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35" w:firstLine="526"/>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宋体" w:hAnsi="宋体" w:cs="宋体" w:eastAsia="宋体" w:hint="default"/>
                <w:spacing w:val="-8"/>
                <w:sz w:val="18"/>
                <w:szCs w:val="18"/>
              </w:rPr>
              <w:t>2</w:t>
            </w:r>
            <w:r>
              <w:rPr>
                <w:rFonts w:ascii="宋体" w:hAnsi="宋体" w:cs="宋体" w:eastAsia="宋体" w:hint="default"/>
                <w:spacing w:val="-8"/>
                <w:sz w:val="18"/>
                <w:szCs w:val="18"/>
              </w:rPr>
              <w:t>）内</w:t>
            </w:r>
            <w:r>
              <w:rPr>
                <w:rFonts w:ascii="宋体" w:hAnsi="宋体" w:cs="宋体" w:eastAsia="宋体" w:hint="default"/>
                <w:spacing w:val="-15"/>
                <w:sz w:val="18"/>
                <w:szCs w:val="18"/>
              </w:rPr>
              <w:t> </w:t>
            </w:r>
            <w:r>
              <w:rPr>
                <w:rFonts w:ascii="宋体" w:hAnsi="宋体" w:cs="宋体" w:eastAsia="宋体" w:hint="default"/>
                <w:sz w:val="18"/>
                <w:szCs w:val="18"/>
              </w:rPr>
              <w:t>部研发</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21,818,830.4</w:t>
            </w:r>
          </w:p>
          <w:p>
            <w:pPr>
              <w:pStyle w:val="TableParagraph"/>
              <w:spacing w:line="240" w:lineRule="auto" w:before="76"/>
              <w:ind w:right="23"/>
              <w:jc w:val="right"/>
              <w:rPr>
                <w:rFonts w:ascii="宋体" w:hAnsi="宋体" w:cs="宋体" w:eastAsia="宋体" w:hint="default"/>
                <w:sz w:val="18"/>
                <w:szCs w:val="18"/>
              </w:rPr>
            </w:pPr>
            <w:r>
              <w:rPr>
                <w:rFonts w:ascii="宋体"/>
                <w:sz w:val="18"/>
              </w:rPr>
              <w:t>2</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21,818,830.4</w:t>
            </w:r>
          </w:p>
          <w:p>
            <w:pPr>
              <w:pStyle w:val="TableParagraph"/>
              <w:spacing w:line="240" w:lineRule="auto" w:before="76"/>
              <w:ind w:right="20"/>
              <w:jc w:val="right"/>
              <w:rPr>
                <w:rFonts w:ascii="宋体" w:hAnsi="宋体" w:cs="宋体" w:eastAsia="宋体" w:hint="default"/>
                <w:sz w:val="18"/>
                <w:szCs w:val="18"/>
              </w:rPr>
            </w:pPr>
            <w:r>
              <w:rPr>
                <w:rFonts w:ascii="宋体"/>
                <w:sz w:val="18"/>
              </w:rPr>
              <w:t>2</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35" w:firstLine="526"/>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宋体" w:hAnsi="宋体" w:cs="宋体" w:eastAsia="宋体" w:hint="default"/>
                <w:spacing w:val="-8"/>
                <w:sz w:val="18"/>
                <w:szCs w:val="18"/>
              </w:rPr>
              <w:t>3</w:t>
            </w:r>
            <w:r>
              <w:rPr>
                <w:rFonts w:ascii="宋体" w:hAnsi="宋体" w:cs="宋体" w:eastAsia="宋体" w:hint="default"/>
                <w:spacing w:val="-8"/>
                <w:sz w:val="18"/>
                <w:szCs w:val="18"/>
              </w:rPr>
              <w:t>）企</w:t>
            </w:r>
            <w:r>
              <w:rPr>
                <w:rFonts w:ascii="宋体" w:hAnsi="宋体" w:cs="宋体" w:eastAsia="宋体" w:hint="default"/>
                <w:spacing w:val="-15"/>
                <w:sz w:val="18"/>
                <w:szCs w:val="18"/>
              </w:rPr>
              <w:t> </w:t>
            </w:r>
            <w:r>
              <w:rPr>
                <w:rFonts w:ascii="宋体" w:hAnsi="宋体" w:cs="宋体" w:eastAsia="宋体" w:hint="default"/>
                <w:sz w:val="18"/>
                <w:szCs w:val="18"/>
              </w:rPr>
              <w:t>业合并增加</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104,418.81</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104,418.81</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2" w:firstLine="18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 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宋体" w:hAnsi="宋体" w:cs="宋体" w:eastAsia="宋体" w:hint="default"/>
                <w:sz w:val="18"/>
                <w:szCs w:val="18"/>
              </w:rPr>
            </w:pPr>
            <w:r>
              <w:rPr>
                <w:rFonts w:ascii="宋体"/>
                <w:sz w:val="18"/>
              </w:rPr>
              <w:t>4,853,647.33</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4,853,647.33</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宋体" w:hAnsi="宋体" w:cs="宋体" w:eastAsia="宋体" w:hint="default"/>
                <w:spacing w:val="-8"/>
                <w:sz w:val="18"/>
                <w:szCs w:val="18"/>
              </w:rPr>
              <w:t>1</w:t>
            </w:r>
            <w:r>
              <w:rPr>
                <w:rFonts w:ascii="宋体" w:hAnsi="宋体" w:cs="宋体" w:eastAsia="宋体" w:hint="default"/>
                <w:spacing w:val="-8"/>
                <w:sz w:val="18"/>
                <w:szCs w:val="18"/>
              </w:rPr>
              <w:t>）处</w:t>
            </w:r>
            <w:r>
              <w:rPr>
                <w:rFonts w:ascii="宋体" w:hAnsi="宋体" w:cs="宋体" w:eastAsia="宋体" w:hint="default"/>
                <w:sz w:val="18"/>
                <w:szCs w:val="18"/>
              </w:rPr>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宋体" w:hAnsi="宋体" w:cs="宋体" w:eastAsia="宋体" w:hint="default"/>
                <w:sz w:val="18"/>
                <w:szCs w:val="18"/>
              </w:rPr>
            </w:pPr>
            <w:r>
              <w:rPr>
                <w:rFonts w:ascii="宋体"/>
                <w:sz w:val="18"/>
              </w:rPr>
              <w:t>4,853,647.33</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4,853,647.33</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8,000.00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36,245,259.4</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11,620,700.1</w:t>
            </w:r>
          </w:p>
          <w:p>
            <w:pPr>
              <w:pStyle w:val="TableParagraph"/>
              <w:spacing w:line="240" w:lineRule="auto" w:before="76"/>
              <w:ind w:right="20"/>
              <w:jc w:val="right"/>
              <w:rPr>
                <w:rFonts w:ascii="宋体" w:hAnsi="宋体" w:cs="宋体" w:eastAsia="宋体" w:hint="default"/>
                <w:sz w:val="18"/>
                <w:szCs w:val="18"/>
              </w:rPr>
            </w:pPr>
            <w:r>
              <w:rPr>
                <w:rFonts w:ascii="宋体"/>
                <w:sz w:val="18"/>
              </w:rPr>
              <w:t>6</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980,603,188.</w:t>
            </w:r>
          </w:p>
          <w:p>
            <w:pPr>
              <w:pStyle w:val="TableParagraph"/>
              <w:spacing w:line="240" w:lineRule="auto" w:before="76"/>
              <w:ind w:right="21"/>
              <w:jc w:val="right"/>
              <w:rPr>
                <w:rFonts w:ascii="宋体" w:hAnsi="宋体" w:cs="宋体" w:eastAsia="宋体" w:hint="default"/>
                <w:sz w:val="18"/>
                <w:szCs w:val="18"/>
              </w:rPr>
            </w:pPr>
            <w:r>
              <w:rPr>
                <w:rFonts w:ascii="宋体"/>
                <w:sz w:val="18"/>
              </w:rPr>
              <w:t>60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3,777,239.00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1,032,254,38</w:t>
            </w:r>
          </w:p>
          <w:p>
            <w:pPr>
              <w:pStyle w:val="TableParagraph"/>
              <w:spacing w:line="240" w:lineRule="auto" w:before="76"/>
              <w:ind w:right="20"/>
              <w:jc w:val="right"/>
              <w:rPr>
                <w:rFonts w:ascii="宋体" w:hAnsi="宋体" w:cs="宋体" w:eastAsia="宋体" w:hint="default"/>
                <w:sz w:val="18"/>
                <w:szCs w:val="18"/>
              </w:rPr>
            </w:pPr>
            <w:r>
              <w:rPr>
                <w:rFonts w:ascii="宋体"/>
                <w:sz w:val="18"/>
              </w:rPr>
              <w:t>7.16</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3,533.51</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宋体" w:hAnsi="宋体" w:cs="宋体" w:eastAsia="宋体" w:hint="default"/>
                <w:sz w:val="18"/>
                <w:szCs w:val="18"/>
              </w:rPr>
            </w:pPr>
            <w:r>
              <w:rPr>
                <w:rFonts w:ascii="宋体"/>
                <w:sz w:val="18"/>
              </w:rPr>
              <w:t>5,457,766.69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2,098,413.24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255,208,061.</w:t>
            </w:r>
          </w:p>
          <w:p>
            <w:pPr>
              <w:pStyle w:val="TableParagraph"/>
              <w:spacing w:line="240" w:lineRule="auto" w:before="76"/>
              <w:ind w:right="21"/>
              <w:jc w:val="right"/>
              <w:rPr>
                <w:rFonts w:ascii="宋体" w:hAnsi="宋体" w:cs="宋体" w:eastAsia="宋体" w:hint="default"/>
                <w:sz w:val="18"/>
                <w:szCs w:val="18"/>
              </w:rPr>
            </w:pPr>
            <w:r>
              <w:rPr>
                <w:rFonts w:ascii="宋体"/>
                <w:sz w:val="18"/>
              </w:rPr>
              <w:t>81</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262,767,775.</w:t>
            </w:r>
          </w:p>
          <w:p>
            <w:pPr>
              <w:pStyle w:val="TableParagraph"/>
              <w:spacing w:line="240" w:lineRule="auto" w:before="76"/>
              <w:ind w:right="20"/>
              <w:jc w:val="right"/>
              <w:rPr>
                <w:rFonts w:ascii="宋体" w:hAnsi="宋体" w:cs="宋体" w:eastAsia="宋体" w:hint="default"/>
                <w:sz w:val="18"/>
                <w:szCs w:val="18"/>
              </w:rPr>
            </w:pPr>
            <w:r>
              <w:rPr>
                <w:rFonts w:ascii="宋体"/>
                <w:sz w:val="18"/>
              </w:rPr>
              <w:t>25</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3" w:firstLine="36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 加金额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800.04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宋体" w:hAnsi="宋体" w:cs="宋体" w:eastAsia="宋体" w:hint="default"/>
                <w:sz w:val="18"/>
                <w:szCs w:val="18"/>
              </w:rPr>
            </w:pPr>
            <w:r>
              <w:rPr>
                <w:rFonts w:ascii="宋体"/>
                <w:sz w:val="18"/>
              </w:rPr>
              <w:t>5,015,141.56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2,130,304.30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142,087,447.</w:t>
            </w:r>
          </w:p>
          <w:p>
            <w:pPr>
              <w:pStyle w:val="TableParagraph"/>
              <w:spacing w:line="240" w:lineRule="auto" w:before="77"/>
              <w:ind w:right="21"/>
              <w:jc w:val="right"/>
              <w:rPr>
                <w:rFonts w:ascii="宋体" w:hAnsi="宋体" w:cs="宋体" w:eastAsia="宋体" w:hint="default"/>
                <w:sz w:val="18"/>
                <w:szCs w:val="18"/>
              </w:rPr>
            </w:pPr>
            <w:r>
              <w:rPr>
                <w:rFonts w:ascii="宋体"/>
                <w:sz w:val="18"/>
              </w:rPr>
              <w:t>59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440,677.86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149,674,371.</w:t>
            </w:r>
          </w:p>
          <w:p>
            <w:pPr>
              <w:pStyle w:val="TableParagraph"/>
              <w:spacing w:line="240" w:lineRule="auto" w:before="77"/>
              <w:ind w:right="20"/>
              <w:jc w:val="right"/>
              <w:rPr>
                <w:rFonts w:ascii="宋体" w:hAnsi="宋体" w:cs="宋体" w:eastAsia="宋体" w:hint="default"/>
                <w:sz w:val="18"/>
                <w:szCs w:val="18"/>
              </w:rPr>
            </w:pPr>
            <w:r>
              <w:rPr>
                <w:rFonts w:ascii="宋体"/>
                <w:sz w:val="18"/>
              </w:rPr>
              <w:t>35</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宋体" w:hAnsi="宋体" w:cs="宋体" w:eastAsia="宋体" w:hint="default"/>
                <w:spacing w:val="-8"/>
                <w:sz w:val="18"/>
                <w:szCs w:val="18"/>
              </w:rPr>
              <w:t>1</w:t>
            </w:r>
            <w:r>
              <w:rPr>
                <w:rFonts w:ascii="宋体" w:hAnsi="宋体" w:cs="宋体" w:eastAsia="宋体" w:hint="default"/>
                <w:spacing w:val="-8"/>
                <w:sz w:val="18"/>
                <w:szCs w:val="18"/>
              </w:rPr>
              <w:t>）计</w:t>
            </w:r>
            <w:r>
              <w:rPr>
                <w:rFonts w:ascii="宋体" w:hAnsi="宋体" w:cs="宋体" w:eastAsia="宋体" w:hint="default"/>
                <w:sz w:val="18"/>
                <w:szCs w:val="18"/>
              </w:rPr>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800.04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2"/>
              <w:jc w:val="right"/>
              <w:rPr>
                <w:rFonts w:ascii="宋体" w:hAnsi="宋体" w:cs="宋体" w:eastAsia="宋体" w:hint="default"/>
                <w:sz w:val="18"/>
                <w:szCs w:val="18"/>
              </w:rPr>
            </w:pPr>
            <w:r>
              <w:rPr>
                <w:rFonts w:ascii="宋体"/>
                <w:sz w:val="18"/>
              </w:rPr>
              <w:t>5,015,141.56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2,062,325.25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142,087,447.</w:t>
            </w:r>
          </w:p>
          <w:p>
            <w:pPr>
              <w:pStyle w:val="TableParagraph"/>
              <w:spacing w:line="240" w:lineRule="auto" w:before="76"/>
              <w:ind w:right="21"/>
              <w:jc w:val="right"/>
              <w:rPr>
                <w:rFonts w:ascii="宋体" w:hAnsi="宋体" w:cs="宋体" w:eastAsia="宋体" w:hint="default"/>
                <w:sz w:val="18"/>
                <w:szCs w:val="18"/>
              </w:rPr>
            </w:pPr>
            <w:r>
              <w:rPr>
                <w:rFonts w:ascii="宋体"/>
                <w:sz w:val="18"/>
              </w:rPr>
              <w:t>59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440,677.86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149,606,392.</w:t>
            </w:r>
          </w:p>
          <w:p>
            <w:pPr>
              <w:pStyle w:val="TableParagraph"/>
              <w:spacing w:line="240" w:lineRule="auto" w:before="76"/>
              <w:ind w:right="20"/>
              <w:jc w:val="right"/>
              <w:rPr>
                <w:rFonts w:ascii="宋体" w:hAnsi="宋体" w:cs="宋体" w:eastAsia="宋体" w:hint="default"/>
                <w:sz w:val="18"/>
                <w:szCs w:val="18"/>
              </w:rPr>
            </w:pPr>
            <w:r>
              <w:rPr>
                <w:rFonts w:ascii="宋体"/>
                <w:sz w:val="18"/>
              </w:rPr>
              <w:t>30</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83" w:firstLine="45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）企 业合并增加</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67,979.05</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67,979.05</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firstLine="36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 少金额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宋体" w:hAnsi="宋体" w:cs="宋体" w:eastAsia="宋体" w:hint="default"/>
                <w:sz w:val="18"/>
                <w:szCs w:val="18"/>
              </w:rPr>
            </w:pPr>
            <w:r>
              <w:rPr>
                <w:rFonts w:ascii="宋体"/>
                <w:sz w:val="18"/>
              </w:rPr>
              <w:t>4,848,164.53</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4,848,164.53</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宋体" w:hAnsi="宋体" w:cs="宋体" w:eastAsia="宋体" w:hint="default"/>
                <w:spacing w:val="-8"/>
                <w:sz w:val="18"/>
                <w:szCs w:val="18"/>
              </w:rPr>
              <w:t>1</w:t>
            </w:r>
            <w:r>
              <w:rPr>
                <w:rFonts w:ascii="宋体" w:hAnsi="宋体" w:cs="宋体" w:eastAsia="宋体" w:hint="default"/>
                <w:spacing w:val="-8"/>
                <w:sz w:val="18"/>
                <w:szCs w:val="18"/>
              </w:rPr>
              <w:t>）处</w:t>
            </w:r>
            <w:r>
              <w:rPr>
                <w:rFonts w:ascii="宋体" w:hAnsi="宋体" w:cs="宋体" w:eastAsia="宋体" w:hint="default"/>
                <w:sz w:val="18"/>
                <w:szCs w:val="18"/>
              </w:rPr>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宋体" w:hAnsi="宋体" w:cs="宋体" w:eastAsia="宋体" w:hint="default"/>
                <w:sz w:val="18"/>
                <w:szCs w:val="18"/>
              </w:rPr>
            </w:pPr>
            <w:r>
              <w:rPr>
                <w:rFonts w:ascii="宋体"/>
                <w:sz w:val="18"/>
              </w:rPr>
              <w:t>4,848,164.53</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4,848,164.53</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4,333.55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10,472,908.2</w:t>
            </w:r>
          </w:p>
          <w:p>
            <w:pPr>
              <w:pStyle w:val="TableParagraph"/>
              <w:spacing w:line="240" w:lineRule="auto" w:before="76"/>
              <w:ind w:right="23"/>
              <w:jc w:val="right"/>
              <w:rPr>
                <w:rFonts w:ascii="宋体" w:hAnsi="宋体" w:cs="宋体" w:eastAsia="宋体" w:hint="default"/>
                <w:sz w:val="18"/>
                <w:szCs w:val="18"/>
              </w:rPr>
            </w:pPr>
            <w:r>
              <w:rPr>
                <w:rFonts w:ascii="宋体"/>
                <w:sz w:val="18"/>
              </w:rPr>
              <w:t>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4,228,717.54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392,447,344.</w:t>
            </w:r>
          </w:p>
          <w:p>
            <w:pPr>
              <w:pStyle w:val="TableParagraph"/>
              <w:spacing w:line="240" w:lineRule="auto" w:before="76"/>
              <w:ind w:right="21"/>
              <w:jc w:val="right"/>
              <w:rPr>
                <w:rFonts w:ascii="宋体" w:hAnsi="宋体" w:cs="宋体" w:eastAsia="宋体" w:hint="default"/>
                <w:sz w:val="18"/>
                <w:szCs w:val="18"/>
              </w:rPr>
            </w:pPr>
            <w:r>
              <w:rPr>
                <w:rFonts w:ascii="宋体"/>
                <w:sz w:val="18"/>
              </w:rPr>
              <w:t>87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440,677.86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407,593,982.</w:t>
            </w:r>
          </w:p>
          <w:p>
            <w:pPr>
              <w:pStyle w:val="TableParagraph"/>
              <w:spacing w:line="240" w:lineRule="auto" w:before="76"/>
              <w:ind w:right="20"/>
              <w:jc w:val="right"/>
              <w:rPr>
                <w:rFonts w:ascii="宋体" w:hAnsi="宋体" w:cs="宋体" w:eastAsia="宋体" w:hint="default"/>
                <w:sz w:val="18"/>
                <w:szCs w:val="18"/>
              </w:rPr>
            </w:pPr>
            <w:r>
              <w:rPr>
                <w:rFonts w:ascii="宋体"/>
                <w:sz w:val="18"/>
              </w:rPr>
              <w:t>07</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firstLine="36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 加金额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188,598,560.</w:t>
            </w:r>
          </w:p>
          <w:p>
            <w:pPr>
              <w:pStyle w:val="TableParagraph"/>
              <w:spacing w:line="240" w:lineRule="auto" w:before="76"/>
              <w:ind w:right="21"/>
              <w:jc w:val="right"/>
              <w:rPr>
                <w:rFonts w:ascii="宋体" w:hAnsi="宋体" w:cs="宋体" w:eastAsia="宋体" w:hint="default"/>
                <w:sz w:val="18"/>
                <w:szCs w:val="18"/>
              </w:rPr>
            </w:pPr>
            <w:r>
              <w:rPr>
                <w:rFonts w:ascii="宋体"/>
                <w:sz w:val="18"/>
              </w:rPr>
              <w:t>24</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188,598,560.</w:t>
            </w:r>
          </w:p>
          <w:p>
            <w:pPr>
              <w:pStyle w:val="TableParagraph"/>
              <w:spacing w:line="240" w:lineRule="auto" w:before="76"/>
              <w:ind w:right="20"/>
              <w:jc w:val="right"/>
              <w:rPr>
                <w:rFonts w:ascii="宋体" w:hAnsi="宋体" w:cs="宋体" w:eastAsia="宋体" w:hint="default"/>
                <w:sz w:val="18"/>
                <w:szCs w:val="18"/>
              </w:rPr>
            </w:pPr>
            <w:r>
              <w:rPr>
                <w:rFonts w:ascii="宋体"/>
                <w:sz w:val="18"/>
              </w:rPr>
              <w:t>24</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8" w:right="0"/>
              <w:jc w:val="left"/>
              <w:rPr>
                <w:rFonts w:ascii="宋体" w:hAnsi="宋体" w:cs="宋体" w:eastAsia="宋体" w:hint="default"/>
                <w:sz w:val="18"/>
                <w:szCs w:val="18"/>
              </w:rPr>
            </w:pPr>
            <w:r>
              <w:rPr>
                <w:rFonts w:ascii="宋体" w:hAnsi="宋体" w:cs="宋体" w:eastAsia="宋体" w:hint="default"/>
                <w:spacing w:val="-8"/>
                <w:sz w:val="18"/>
                <w:szCs w:val="18"/>
              </w:rPr>
              <w:t>（</w:t>
            </w:r>
            <w:r>
              <w:rPr>
                <w:rFonts w:ascii="宋体" w:hAnsi="宋体" w:cs="宋体" w:eastAsia="宋体" w:hint="default"/>
                <w:spacing w:val="-8"/>
                <w:sz w:val="18"/>
                <w:szCs w:val="18"/>
              </w:rPr>
              <w:t>1</w:t>
            </w:r>
            <w:r>
              <w:rPr>
                <w:rFonts w:ascii="宋体" w:hAnsi="宋体" w:cs="宋体" w:eastAsia="宋体" w:hint="default"/>
                <w:spacing w:val="-8"/>
                <w:sz w:val="18"/>
                <w:szCs w:val="18"/>
              </w:rPr>
              <w:t>）计</w:t>
            </w:r>
            <w:r>
              <w:rPr>
                <w:rFonts w:ascii="宋体" w:hAnsi="宋体" w:cs="宋体" w:eastAsia="宋体" w:hint="default"/>
                <w:sz w:val="18"/>
                <w:szCs w:val="18"/>
              </w:rPr>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188,598,560.</w:t>
            </w:r>
          </w:p>
          <w:p>
            <w:pPr>
              <w:pStyle w:val="TableParagraph"/>
              <w:spacing w:line="240" w:lineRule="auto" w:before="76"/>
              <w:ind w:right="21"/>
              <w:jc w:val="right"/>
              <w:rPr>
                <w:rFonts w:ascii="宋体" w:hAnsi="宋体" w:cs="宋体" w:eastAsia="宋体" w:hint="default"/>
                <w:sz w:val="18"/>
                <w:szCs w:val="18"/>
              </w:rPr>
            </w:pPr>
            <w:r>
              <w:rPr>
                <w:rFonts w:ascii="宋体"/>
                <w:sz w:val="18"/>
              </w:rPr>
              <w:t>24</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188,598,560.</w:t>
            </w:r>
          </w:p>
          <w:p>
            <w:pPr>
              <w:pStyle w:val="TableParagraph"/>
              <w:spacing w:line="240" w:lineRule="auto" w:before="76"/>
              <w:ind w:right="20"/>
              <w:jc w:val="right"/>
              <w:rPr>
                <w:rFonts w:ascii="宋体" w:hAnsi="宋体" w:cs="宋体" w:eastAsia="宋体" w:hint="default"/>
                <w:sz w:val="18"/>
                <w:szCs w:val="18"/>
              </w:rPr>
            </w:pPr>
            <w:r>
              <w:rPr>
                <w:rFonts w:ascii="宋体"/>
                <w:sz w:val="18"/>
              </w:rPr>
              <w:t>24</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8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197"/>
        <w:gridCol w:w="1195"/>
        <w:gridCol w:w="1196"/>
        <w:gridCol w:w="1197"/>
        <w:gridCol w:w="1195"/>
        <w:gridCol w:w="1197"/>
        <w:gridCol w:w="1196"/>
        <w:gridCol w:w="1195"/>
      </w:tblGrid>
      <w:tr>
        <w:trPr>
          <w:trHeight w:val="36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少金额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宋体" w:hAnsi="宋体" w:cs="宋体" w:eastAsia="宋体" w:hint="default"/>
                <w:spacing w:val="-3"/>
                <w:sz w:val="18"/>
                <w:szCs w:val="18"/>
              </w:rPr>
              <w:t>1</w:t>
            </w:r>
            <w:r>
              <w:rPr>
                <w:rFonts w:ascii="宋体" w:hAnsi="宋体" w:cs="宋体" w:eastAsia="宋体" w:hint="default"/>
                <w:spacing w:val="-3"/>
                <w:sz w:val="18"/>
                <w:szCs w:val="18"/>
              </w:rPr>
              <w:t>）处置</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188,598,560.</w:t>
            </w:r>
          </w:p>
          <w:p>
            <w:pPr>
              <w:pStyle w:val="TableParagraph"/>
              <w:spacing w:line="240" w:lineRule="auto" w:before="76"/>
              <w:ind w:right="21"/>
              <w:jc w:val="right"/>
              <w:rPr>
                <w:rFonts w:ascii="宋体" w:hAnsi="宋体" w:cs="宋体" w:eastAsia="宋体" w:hint="default"/>
                <w:sz w:val="18"/>
                <w:szCs w:val="18"/>
              </w:rPr>
            </w:pPr>
            <w:r>
              <w:rPr>
                <w:rFonts w:ascii="宋体"/>
                <w:sz w:val="18"/>
              </w:rPr>
              <w:t>24</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188,598,560.</w:t>
            </w:r>
          </w:p>
          <w:p>
            <w:pPr>
              <w:pStyle w:val="TableParagraph"/>
              <w:spacing w:line="240" w:lineRule="auto" w:before="76"/>
              <w:ind w:right="20"/>
              <w:jc w:val="right"/>
              <w:rPr>
                <w:rFonts w:ascii="宋体" w:hAnsi="宋体" w:cs="宋体" w:eastAsia="宋体" w:hint="default"/>
                <w:sz w:val="18"/>
                <w:szCs w:val="18"/>
              </w:rPr>
            </w:pPr>
            <w:r>
              <w:rPr>
                <w:rFonts w:ascii="宋体"/>
                <w:sz w:val="18"/>
              </w:rPr>
              <w:t>24</w:t>
            </w:r>
          </w:p>
        </w:tc>
      </w:tr>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firstLine="36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期末账 面价值</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3,666.45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25,772,351.1</w:t>
            </w:r>
          </w:p>
          <w:p>
            <w:pPr>
              <w:pStyle w:val="TableParagraph"/>
              <w:spacing w:line="240" w:lineRule="auto" w:before="76"/>
              <w:ind w:right="23"/>
              <w:jc w:val="right"/>
              <w:rPr>
                <w:rFonts w:ascii="宋体" w:hAnsi="宋体" w:cs="宋体" w:eastAsia="宋体" w:hint="default"/>
                <w:sz w:val="18"/>
                <w:szCs w:val="18"/>
              </w:rPr>
            </w:pPr>
            <w:r>
              <w:rPr>
                <w:rFonts w:ascii="宋体"/>
                <w:sz w:val="18"/>
              </w:rPr>
              <w:t>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7,391,982.62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399,557,283.</w:t>
            </w:r>
          </w:p>
          <w:p>
            <w:pPr>
              <w:pStyle w:val="TableParagraph"/>
              <w:spacing w:line="240" w:lineRule="auto" w:before="76"/>
              <w:ind w:right="21"/>
              <w:jc w:val="right"/>
              <w:rPr>
                <w:rFonts w:ascii="宋体" w:hAnsi="宋体" w:cs="宋体" w:eastAsia="宋体" w:hint="default"/>
                <w:sz w:val="18"/>
                <w:szCs w:val="18"/>
              </w:rPr>
            </w:pPr>
            <w:r>
              <w:rPr>
                <w:rFonts w:ascii="宋体"/>
                <w:sz w:val="18"/>
              </w:rPr>
              <w:t>49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82" w:right="0"/>
              <w:jc w:val="left"/>
              <w:rPr>
                <w:rFonts w:ascii="宋体" w:hAnsi="宋体" w:cs="宋体" w:eastAsia="宋体" w:hint="default"/>
                <w:sz w:val="18"/>
                <w:szCs w:val="18"/>
              </w:rPr>
            </w:pPr>
            <w:r>
              <w:rPr>
                <w:rFonts w:ascii="宋体"/>
                <w:sz w:val="18"/>
              </w:rPr>
              <w:t>3,336,561.14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436,061,844.</w:t>
            </w:r>
          </w:p>
          <w:p>
            <w:pPr>
              <w:pStyle w:val="TableParagraph"/>
              <w:spacing w:line="240" w:lineRule="auto" w:before="76"/>
              <w:ind w:right="20"/>
              <w:jc w:val="right"/>
              <w:rPr>
                <w:rFonts w:ascii="宋体" w:hAnsi="宋体" w:cs="宋体" w:eastAsia="宋体" w:hint="default"/>
                <w:sz w:val="18"/>
                <w:szCs w:val="18"/>
              </w:rPr>
            </w:pPr>
            <w:r>
              <w:rPr>
                <w:rFonts w:ascii="宋体"/>
                <w:sz w:val="18"/>
              </w:rPr>
              <w:t>85</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firstLine="36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期初账 面价值</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4,466.49</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82" w:right="0"/>
              <w:jc w:val="left"/>
              <w:rPr>
                <w:rFonts w:ascii="宋体" w:hAnsi="宋体" w:cs="宋体" w:eastAsia="宋体" w:hint="default"/>
                <w:sz w:val="18"/>
                <w:szCs w:val="18"/>
              </w:rPr>
            </w:pPr>
            <w:r>
              <w:rPr>
                <w:rFonts w:ascii="宋体"/>
                <w:sz w:val="18"/>
              </w:rPr>
              <w:t>6,387,834.60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9,050,526.44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473,283,856.</w:t>
            </w:r>
          </w:p>
          <w:p>
            <w:pPr>
              <w:pStyle w:val="TableParagraph"/>
              <w:spacing w:line="240" w:lineRule="auto" w:before="76"/>
              <w:ind w:right="21"/>
              <w:jc w:val="right"/>
              <w:rPr>
                <w:rFonts w:ascii="宋体" w:hAnsi="宋体" w:cs="宋体" w:eastAsia="宋体" w:hint="default"/>
                <w:sz w:val="18"/>
                <w:szCs w:val="18"/>
              </w:rPr>
            </w:pPr>
            <w:r>
              <w:rPr>
                <w:rFonts w:ascii="宋体"/>
                <w:sz w:val="18"/>
              </w:rPr>
              <w:t>36</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488,726,683.</w:t>
            </w:r>
          </w:p>
          <w:p>
            <w:pPr>
              <w:pStyle w:val="TableParagraph"/>
              <w:spacing w:line="240" w:lineRule="auto" w:before="76"/>
              <w:ind w:right="20"/>
              <w:jc w:val="right"/>
              <w:rPr>
                <w:rFonts w:ascii="宋体" w:hAnsi="宋体" w:cs="宋体" w:eastAsia="宋体" w:hint="default"/>
                <w:sz w:val="18"/>
                <w:szCs w:val="18"/>
              </w:rPr>
            </w:pPr>
            <w:r>
              <w:rPr>
                <w:rFonts w:ascii="宋体"/>
                <w:sz w:val="18"/>
              </w:rPr>
              <w:t>89</w:t>
            </w:r>
          </w:p>
        </w:tc>
      </w:tr>
    </w:tbl>
    <w:p>
      <w:pPr>
        <w:spacing w:line="240" w:lineRule="auto" w:before="11"/>
        <w:rPr>
          <w:rFonts w:ascii="Times New Roman" w:hAnsi="Times New Roman" w:cs="Times New Roman" w:eastAsia="Times New Roman" w:hint="default"/>
          <w:sz w:val="9"/>
          <w:szCs w:val="9"/>
        </w:rPr>
      </w:pPr>
    </w:p>
    <w:p>
      <w:pPr>
        <w:pStyle w:val="BodyText"/>
        <w:spacing w:line="240" w:lineRule="auto" w:before="26"/>
        <w:ind w:left="634" w:right="1092"/>
        <w:jc w:val="left"/>
      </w:pPr>
      <w:r>
        <w:rPr/>
        <w:t>本期末通过公司内部研发形成的无形资产占无形资产余额的比例</w:t>
      </w:r>
      <w:r>
        <w:rPr>
          <w:spacing w:val="-59"/>
        </w:rPr>
        <w:t> </w:t>
      </w:r>
      <w:r>
        <w:rPr>
          <w:rFonts w:ascii="宋体" w:hAnsi="宋体" w:cs="宋体" w:eastAsia="宋体" w:hint="default"/>
        </w:rPr>
        <w:t>5.36%</w:t>
      </w:r>
      <w:r>
        <w:rPr/>
        <w:t>。</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未办妥产权证书的土地使用权情况" w:id="283"/>
      <w:bookmarkEnd w:id="283"/>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）未办妥产权证书的土地使用权情况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9072"/>
        <w:jc w:val="left"/>
      </w:pPr>
      <w:r>
        <w:rPr/>
        <w:t>无。 其他说明：</w:t>
      </w:r>
    </w:p>
    <w:p>
      <w:pPr>
        <w:pStyle w:val="BodyText"/>
        <w:spacing w:line="432" w:lineRule="auto" w:before="59"/>
        <w:ind w:left="634" w:right="1092"/>
        <w:jc w:val="left"/>
      </w:pPr>
      <w:r>
        <w:rPr/>
        <w:t>本年增加的累计摊销中，本年摊销</w:t>
      </w:r>
      <w:r>
        <w:rPr>
          <w:spacing w:val="-60"/>
        </w:rPr>
        <w:t> </w:t>
      </w:r>
      <w:r>
        <w:rPr>
          <w:rFonts w:ascii="宋体" w:hAnsi="宋体" w:cs="宋体" w:eastAsia="宋体" w:hint="default"/>
        </w:rPr>
        <w:t>149,606,392.30</w:t>
      </w:r>
      <w:r>
        <w:rPr>
          <w:rFonts w:ascii="宋体" w:hAnsi="宋体" w:cs="宋体" w:eastAsia="宋体" w:hint="default"/>
          <w:spacing w:val="-60"/>
        </w:rPr>
        <w:t> </w:t>
      </w:r>
      <w:r>
        <w:rPr/>
        <w:t>元。 本公司下属子公司晨之科因受网络游戏行业政策影响，本年未完成对赌业绩，根据中瑞</w:t>
      </w:r>
    </w:p>
    <w:p>
      <w:pPr>
        <w:pStyle w:val="BodyText"/>
        <w:spacing w:line="276" w:lineRule="exact"/>
        <w:ind w:right="1092"/>
        <w:jc w:val="left"/>
      </w:pPr>
      <w:r>
        <w:rPr>
          <w:spacing w:val="-3"/>
        </w:rPr>
        <w:t>世联资产评估（北京）有限公司中瑞评报字</w:t>
      </w:r>
      <w:r>
        <w:rPr>
          <w:rFonts w:ascii="宋体" w:hAnsi="宋体" w:cs="宋体" w:eastAsia="宋体" w:hint="default"/>
          <w:spacing w:val="-3"/>
        </w:rPr>
        <w:t>[2019]</w:t>
      </w:r>
      <w:r>
        <w:rPr>
          <w:spacing w:val="-3"/>
        </w:rPr>
        <w:t>第</w:t>
      </w:r>
      <w:r>
        <w:rPr>
          <w:spacing w:val="-63"/>
        </w:rPr>
        <w:t> </w:t>
      </w:r>
      <w:r>
        <w:rPr>
          <w:rFonts w:ascii="宋体" w:hAnsi="宋体" w:cs="宋体" w:eastAsia="宋体" w:hint="default"/>
        </w:rPr>
        <w:t>000362</w:t>
      </w:r>
      <w:r>
        <w:rPr>
          <w:rFonts w:ascii="宋体" w:hAnsi="宋体" w:cs="宋体" w:eastAsia="宋体" w:hint="default"/>
          <w:spacing w:val="-63"/>
        </w:rPr>
        <w:t> </w:t>
      </w:r>
      <w:r>
        <w:rPr/>
        <w:t>号评估报告，本公司管理层于年</w:t>
      </w:r>
    </w:p>
    <w:p>
      <w:pPr>
        <w:pStyle w:val="BodyText"/>
        <w:spacing w:line="240" w:lineRule="auto" w:before="155"/>
        <w:ind w:right="1092"/>
        <w:jc w:val="left"/>
      </w:pPr>
      <w:r>
        <w:rPr/>
        <w:t>末对于其买断版权及其他可辨认无形资产计提无形资产减值准备</w:t>
      </w:r>
      <w:r>
        <w:rPr>
          <w:spacing w:val="-60"/>
        </w:rPr>
        <w:t> </w:t>
      </w:r>
      <w:r>
        <w:rPr>
          <w:rFonts w:ascii="宋体" w:hAnsi="宋体" w:cs="宋体" w:eastAsia="宋体" w:hint="default"/>
        </w:rPr>
        <w:t>18,859.86</w:t>
      </w:r>
      <w:r>
        <w:rPr>
          <w:rFonts w:ascii="宋体" w:hAnsi="宋体" w:cs="宋体" w:eastAsia="宋体" w:hint="default"/>
          <w:spacing w:val="-60"/>
        </w:rPr>
        <w:t> </w:t>
      </w:r>
      <w:r>
        <w:rPr/>
        <w:t>万元。</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1、开发支出" w:id="284"/>
      <w:bookmarkEnd w:id="284"/>
      <w:r>
        <w:rPr/>
      </w:r>
      <w:r>
        <w:rPr>
          <w:rFonts w:ascii="宋体" w:hAnsi="宋体" w:cs="宋体" w:eastAsia="宋体" w:hint="default"/>
          <w:b/>
          <w:bCs/>
          <w:sz w:val="21"/>
          <w:szCs w:val="21"/>
        </w:rPr>
        <w:t>21</w:t>
      </w:r>
      <w:r>
        <w:rPr>
          <w:rFonts w:ascii="宋体" w:hAnsi="宋体" w:cs="宋体" w:eastAsia="宋体" w:hint="default"/>
          <w:b/>
          <w:bCs/>
          <w:sz w:val="21"/>
          <w:szCs w:val="21"/>
        </w:rPr>
        <w:t>、开发支出</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3"/>
        <w:gridCol w:w="1063"/>
        <w:gridCol w:w="1062"/>
        <w:gridCol w:w="1063"/>
        <w:gridCol w:w="1063"/>
        <w:gridCol w:w="1064"/>
        <w:gridCol w:w="1063"/>
        <w:gridCol w:w="1063"/>
      </w:tblGrid>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46"/>
              <w:jc w:val="righ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资产管理平 台</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3,797,499.0</w:t>
            </w:r>
          </w:p>
          <w:p>
            <w:pPr>
              <w:pStyle w:val="TableParagraph"/>
              <w:spacing w:line="240" w:lineRule="auto" w:before="76"/>
              <w:ind w:right="23"/>
              <w:jc w:val="right"/>
              <w:rPr>
                <w:rFonts w:ascii="宋体" w:hAnsi="宋体" w:cs="宋体" w:eastAsia="宋体" w:hint="default"/>
                <w:sz w:val="18"/>
                <w:szCs w:val="18"/>
              </w:rPr>
            </w:pPr>
            <w:r>
              <w:rPr>
                <w:rFonts w:ascii="宋体"/>
                <w:sz w:val="18"/>
              </w:rPr>
              <w:t>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4,963,308.5</w:t>
            </w:r>
          </w:p>
          <w:p>
            <w:pPr>
              <w:pStyle w:val="TableParagraph"/>
              <w:spacing w:line="240" w:lineRule="auto" w:before="76"/>
              <w:ind w:right="23"/>
              <w:jc w:val="right"/>
              <w:rPr>
                <w:rFonts w:ascii="宋体" w:hAnsi="宋体" w:cs="宋体" w:eastAsia="宋体" w:hint="default"/>
                <w:sz w:val="18"/>
                <w:szCs w:val="18"/>
              </w:rPr>
            </w:pPr>
            <w:r>
              <w:rPr>
                <w:rFonts w:ascii="宋体"/>
                <w:sz w:val="18"/>
              </w:rPr>
              <w:t>5</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8,760,807.5</w:t>
            </w:r>
          </w:p>
          <w:p>
            <w:pPr>
              <w:pStyle w:val="TableParagraph"/>
              <w:spacing w:line="240" w:lineRule="auto" w:before="76"/>
              <w:ind w:right="23"/>
              <w:jc w:val="right"/>
              <w:rPr>
                <w:rFonts w:ascii="宋体" w:hAnsi="宋体" w:cs="宋体" w:eastAsia="宋体" w:hint="default"/>
                <w:sz w:val="18"/>
                <w:szCs w:val="18"/>
              </w:rPr>
            </w:pPr>
            <w:r>
              <w:rPr>
                <w:rFonts w:ascii="宋体"/>
                <w:sz w:val="18"/>
              </w:rPr>
              <w:t>8</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慧读阅读平 台项目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11,382,363.</w:t>
            </w:r>
          </w:p>
          <w:p>
            <w:pPr>
              <w:pStyle w:val="TableParagraph"/>
              <w:spacing w:line="240" w:lineRule="auto" w:before="76"/>
              <w:ind w:right="23"/>
              <w:jc w:val="right"/>
              <w:rPr>
                <w:rFonts w:ascii="宋体" w:hAnsi="宋体" w:cs="宋体" w:eastAsia="宋体" w:hint="default"/>
                <w:sz w:val="18"/>
                <w:szCs w:val="18"/>
              </w:rPr>
            </w:pPr>
            <w:r>
              <w:rPr>
                <w:rFonts w:ascii="宋体"/>
                <w:sz w:val="18"/>
              </w:rPr>
              <w:t>77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2,684,212.0</w:t>
            </w:r>
          </w:p>
          <w:p>
            <w:pPr>
              <w:pStyle w:val="TableParagraph"/>
              <w:spacing w:line="240" w:lineRule="auto" w:before="76"/>
              <w:ind w:right="23"/>
              <w:jc w:val="right"/>
              <w:rPr>
                <w:rFonts w:ascii="宋体" w:hAnsi="宋体" w:cs="宋体" w:eastAsia="宋体" w:hint="default"/>
                <w:sz w:val="18"/>
                <w:szCs w:val="18"/>
              </w:rPr>
            </w:pPr>
            <w:r>
              <w:rPr>
                <w:rFonts w:ascii="宋体"/>
                <w:sz w:val="18"/>
              </w:rPr>
              <w:t>2</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13,058,022.</w:t>
            </w:r>
          </w:p>
          <w:p>
            <w:pPr>
              <w:pStyle w:val="TableParagraph"/>
              <w:spacing w:line="240" w:lineRule="auto" w:before="76"/>
              <w:ind w:right="23"/>
              <w:jc w:val="right"/>
              <w:rPr>
                <w:rFonts w:ascii="宋体" w:hAnsi="宋体" w:cs="宋体" w:eastAsia="宋体" w:hint="default"/>
                <w:sz w:val="18"/>
                <w:szCs w:val="18"/>
              </w:rPr>
            </w:pPr>
            <w:r>
              <w:rPr>
                <w:rFonts w:ascii="宋体"/>
                <w:sz w:val="18"/>
              </w:rPr>
              <w:t>84</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1,008,552.9</w:t>
            </w:r>
          </w:p>
          <w:p>
            <w:pPr>
              <w:pStyle w:val="TableParagraph"/>
              <w:spacing w:line="240" w:lineRule="auto" w:before="76"/>
              <w:ind w:right="23"/>
              <w:jc w:val="right"/>
              <w:rPr>
                <w:rFonts w:ascii="宋体" w:hAnsi="宋体" w:cs="宋体" w:eastAsia="宋体" w:hint="default"/>
                <w:sz w:val="18"/>
                <w:szCs w:val="18"/>
              </w:rPr>
            </w:pPr>
            <w:r>
              <w:rPr>
                <w:rFonts w:ascii="宋体"/>
                <w:sz w:val="18"/>
              </w:rPr>
              <w:t>5</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基础教育平 台项目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23,470,981.</w:t>
            </w:r>
          </w:p>
          <w:p>
            <w:pPr>
              <w:pStyle w:val="TableParagraph"/>
              <w:spacing w:line="240" w:lineRule="auto" w:before="76"/>
              <w:ind w:right="23"/>
              <w:jc w:val="right"/>
              <w:rPr>
                <w:rFonts w:ascii="宋体" w:hAnsi="宋体" w:cs="宋体" w:eastAsia="宋体" w:hint="default"/>
                <w:sz w:val="18"/>
                <w:szCs w:val="18"/>
              </w:rPr>
            </w:pPr>
            <w:r>
              <w:rPr>
                <w:rFonts w:ascii="宋体"/>
                <w:sz w:val="18"/>
              </w:rPr>
              <w:t>67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31,997,101.</w:t>
            </w:r>
          </w:p>
          <w:p>
            <w:pPr>
              <w:pStyle w:val="TableParagraph"/>
              <w:spacing w:line="240" w:lineRule="auto" w:before="76"/>
              <w:ind w:right="23"/>
              <w:jc w:val="right"/>
              <w:rPr>
                <w:rFonts w:ascii="宋体" w:hAnsi="宋体" w:cs="宋体" w:eastAsia="宋体" w:hint="default"/>
                <w:sz w:val="18"/>
                <w:szCs w:val="18"/>
              </w:rPr>
            </w:pPr>
            <w:r>
              <w:rPr>
                <w:rFonts w:ascii="宋体"/>
                <w:sz w:val="18"/>
              </w:rPr>
              <w:t>22</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55,468,082.</w:t>
            </w:r>
          </w:p>
          <w:p>
            <w:pPr>
              <w:pStyle w:val="TableParagraph"/>
              <w:spacing w:line="240" w:lineRule="auto" w:before="76"/>
              <w:ind w:right="23"/>
              <w:jc w:val="right"/>
              <w:rPr>
                <w:rFonts w:ascii="宋体" w:hAnsi="宋体" w:cs="宋体" w:eastAsia="宋体" w:hint="default"/>
                <w:sz w:val="18"/>
                <w:szCs w:val="18"/>
              </w:rPr>
            </w:pPr>
            <w:r>
              <w:rPr>
                <w:rFonts w:ascii="宋体"/>
                <w:sz w:val="18"/>
              </w:rPr>
              <w:t>89</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46"/>
              <w:jc w:val="right"/>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38,650,844.</w:t>
            </w:r>
          </w:p>
          <w:p>
            <w:pPr>
              <w:pStyle w:val="TableParagraph"/>
              <w:spacing w:line="240" w:lineRule="auto" w:before="76"/>
              <w:ind w:right="23"/>
              <w:jc w:val="right"/>
              <w:rPr>
                <w:rFonts w:ascii="宋体" w:hAnsi="宋体" w:cs="宋体" w:eastAsia="宋体" w:hint="default"/>
                <w:sz w:val="18"/>
                <w:szCs w:val="18"/>
              </w:rPr>
            </w:pPr>
            <w:r>
              <w:rPr>
                <w:rFonts w:ascii="宋体"/>
                <w:sz w:val="18"/>
              </w:rPr>
              <w:t>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39,644,621.</w:t>
            </w:r>
          </w:p>
          <w:p>
            <w:pPr>
              <w:pStyle w:val="TableParagraph"/>
              <w:spacing w:line="240" w:lineRule="auto" w:before="76"/>
              <w:ind w:right="23"/>
              <w:jc w:val="right"/>
              <w:rPr>
                <w:rFonts w:ascii="宋体" w:hAnsi="宋体" w:cs="宋体" w:eastAsia="宋体" w:hint="default"/>
                <w:sz w:val="18"/>
                <w:szCs w:val="18"/>
              </w:rPr>
            </w:pPr>
            <w:r>
              <w:rPr>
                <w:rFonts w:ascii="宋体"/>
                <w:sz w:val="18"/>
              </w:rPr>
              <w:t>79</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21,818,830.</w:t>
            </w:r>
          </w:p>
          <w:p>
            <w:pPr>
              <w:pStyle w:val="TableParagraph"/>
              <w:spacing w:line="240" w:lineRule="auto" w:before="76"/>
              <w:ind w:right="23"/>
              <w:jc w:val="right"/>
              <w:rPr>
                <w:rFonts w:ascii="宋体" w:hAnsi="宋体" w:cs="宋体" w:eastAsia="宋体" w:hint="default"/>
                <w:sz w:val="18"/>
                <w:szCs w:val="18"/>
              </w:rPr>
            </w:pPr>
            <w:r>
              <w:rPr>
                <w:rFonts w:ascii="宋体"/>
                <w:sz w:val="18"/>
              </w:rPr>
              <w:t>42</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56,476,635.</w:t>
            </w:r>
          </w:p>
          <w:p>
            <w:pPr>
              <w:pStyle w:val="TableParagraph"/>
              <w:spacing w:line="240" w:lineRule="auto" w:before="76"/>
              <w:ind w:right="23"/>
              <w:jc w:val="right"/>
              <w:rPr>
                <w:rFonts w:ascii="宋体" w:hAnsi="宋体" w:cs="宋体" w:eastAsia="宋体" w:hint="default"/>
                <w:sz w:val="18"/>
                <w:szCs w:val="18"/>
              </w:rPr>
            </w:pPr>
            <w:r>
              <w:rPr>
                <w:rFonts w:ascii="宋体"/>
                <w:sz w:val="18"/>
              </w:rPr>
              <w:t>84</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2、商誉" w:id="285"/>
      <w:bookmarkEnd w:id="285"/>
      <w:r>
        <w:rPr/>
      </w:r>
      <w:r>
        <w:rPr>
          <w:rFonts w:ascii="宋体" w:hAnsi="宋体" w:cs="宋体" w:eastAsia="宋体" w:hint="default"/>
          <w:b/>
          <w:bCs/>
          <w:sz w:val="21"/>
          <w:szCs w:val="21"/>
        </w:rPr>
        <w:t>22</w:t>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商誉账面原值" w:id="286"/>
      <w:bookmarkEnd w:id="286"/>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）商誉账面原值</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1025"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8" w:right="36"/>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2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1"/>
              <w:jc w:val="left"/>
              <w:rPr>
                <w:rFonts w:ascii="宋体" w:hAnsi="宋体" w:cs="宋体" w:eastAsia="宋体" w:hint="default"/>
                <w:sz w:val="18"/>
                <w:szCs w:val="18"/>
              </w:rPr>
            </w:pPr>
            <w:r>
              <w:rPr>
                <w:rFonts w:ascii="宋体" w:hAnsi="宋体" w:cs="宋体" w:eastAsia="宋体" w:hint="default"/>
                <w:sz w:val="18"/>
                <w:szCs w:val="18"/>
              </w:rPr>
              <w:t>广州市四月天信 息科技有限公司</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1,654,444.08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1,654,444.08</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1"/>
              <w:jc w:val="left"/>
              <w:rPr>
                <w:rFonts w:ascii="宋体" w:hAnsi="宋体" w:cs="宋体" w:eastAsia="宋体" w:hint="default"/>
                <w:sz w:val="18"/>
                <w:szCs w:val="18"/>
              </w:rPr>
            </w:pPr>
            <w:r>
              <w:rPr>
                <w:rFonts w:ascii="宋体" w:hAnsi="宋体" w:cs="宋体" w:eastAsia="宋体" w:hint="default"/>
                <w:sz w:val="18"/>
                <w:szCs w:val="18"/>
              </w:rPr>
              <w:t>北京鸿达以太文 化发展有限公司</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16,097,735.35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16,097,735.35</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1"/>
              <w:jc w:val="left"/>
              <w:rPr>
                <w:rFonts w:ascii="宋体" w:hAnsi="宋体" w:cs="宋体" w:eastAsia="宋体" w:hint="default"/>
                <w:sz w:val="18"/>
                <w:szCs w:val="18"/>
              </w:rPr>
            </w:pPr>
            <w:r>
              <w:rPr>
                <w:rFonts w:ascii="宋体" w:hAnsi="宋体" w:cs="宋体" w:eastAsia="宋体" w:hint="default"/>
                <w:sz w:val="18"/>
                <w:szCs w:val="18"/>
              </w:rPr>
              <w:t>广州市迈步信息 科技有限公司</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16,786,584.40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16,786,584.40</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1"/>
              <w:jc w:val="left"/>
              <w:rPr>
                <w:rFonts w:ascii="宋体" w:hAnsi="宋体" w:cs="宋体" w:eastAsia="宋体" w:hint="default"/>
                <w:sz w:val="18"/>
                <w:szCs w:val="18"/>
              </w:rPr>
            </w:pPr>
            <w:r>
              <w:rPr>
                <w:rFonts w:ascii="宋体" w:hAnsi="宋体" w:cs="宋体" w:eastAsia="宋体" w:hint="default"/>
                <w:sz w:val="18"/>
                <w:szCs w:val="18"/>
              </w:rPr>
              <w:t>上海晨之科信息 技术有限公司</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1,254,214,586.</w:t>
            </w:r>
          </w:p>
          <w:p>
            <w:pPr>
              <w:pStyle w:val="TableParagraph"/>
              <w:spacing w:line="240" w:lineRule="auto" w:before="76"/>
              <w:ind w:right="20"/>
              <w:jc w:val="right"/>
              <w:rPr>
                <w:rFonts w:ascii="宋体" w:hAnsi="宋体" w:cs="宋体" w:eastAsia="宋体" w:hint="default"/>
                <w:sz w:val="18"/>
                <w:szCs w:val="18"/>
              </w:rPr>
            </w:pPr>
            <w:r>
              <w:rPr>
                <w:rFonts w:ascii="宋体"/>
                <w:sz w:val="18"/>
              </w:rPr>
              <w:t>11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1,254,214,586.</w:t>
            </w:r>
          </w:p>
          <w:p>
            <w:pPr>
              <w:pStyle w:val="TableParagraph"/>
              <w:spacing w:line="240" w:lineRule="auto" w:before="76"/>
              <w:ind w:right="20"/>
              <w:jc w:val="right"/>
              <w:rPr>
                <w:rFonts w:ascii="宋体" w:hAnsi="宋体" w:cs="宋体" w:eastAsia="宋体" w:hint="default"/>
                <w:sz w:val="18"/>
                <w:szCs w:val="18"/>
              </w:rPr>
            </w:pPr>
            <w:r>
              <w:rPr>
                <w:rFonts w:ascii="宋体"/>
                <w:sz w:val="18"/>
              </w:rPr>
              <w:t>11</w:t>
            </w:r>
          </w:p>
        </w:tc>
      </w:tr>
      <w:tr>
        <w:trPr>
          <w:trHeight w:val="715"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34,538,763.83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1,254,214,586.</w:t>
            </w:r>
          </w:p>
          <w:p>
            <w:pPr>
              <w:pStyle w:val="TableParagraph"/>
              <w:spacing w:line="240" w:lineRule="auto" w:before="76"/>
              <w:ind w:right="20"/>
              <w:jc w:val="right"/>
              <w:rPr>
                <w:rFonts w:ascii="宋体" w:hAnsi="宋体" w:cs="宋体" w:eastAsia="宋体" w:hint="default"/>
                <w:sz w:val="18"/>
                <w:szCs w:val="18"/>
              </w:rPr>
            </w:pPr>
            <w:r>
              <w:rPr>
                <w:rFonts w:ascii="宋体"/>
                <w:sz w:val="18"/>
              </w:rPr>
              <w:t>11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1,288,753,349.</w:t>
            </w:r>
          </w:p>
          <w:p>
            <w:pPr>
              <w:pStyle w:val="TableParagraph"/>
              <w:spacing w:line="240" w:lineRule="auto" w:before="76"/>
              <w:ind w:right="20"/>
              <w:jc w:val="right"/>
              <w:rPr>
                <w:rFonts w:ascii="宋体" w:hAnsi="宋体" w:cs="宋体" w:eastAsia="宋体" w:hint="default"/>
                <w:sz w:val="18"/>
                <w:szCs w:val="18"/>
              </w:rPr>
            </w:pPr>
            <w:r>
              <w:rPr>
                <w:rFonts w:ascii="宋体"/>
                <w:sz w:val="18"/>
              </w:rPr>
              <w:t>94</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商誉减值准备" w:id="287"/>
      <w:bookmarkEnd w:id="287"/>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）商誉减值准备</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8"/>
        <w:gridCol w:w="1367"/>
        <w:gridCol w:w="1367"/>
        <w:gridCol w:w="1367"/>
        <w:gridCol w:w="1367"/>
      </w:tblGrid>
      <w:tr>
        <w:trPr>
          <w:trHeight w:val="102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8" w:right="47"/>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上海晨之科信息 技术有限公司</w:t>
            </w:r>
          </w:p>
        </w:tc>
        <w:tc>
          <w:tcPr>
            <w:tcW w:w="1367"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1,254,214,586.</w:t>
            </w:r>
          </w:p>
          <w:p>
            <w:pPr>
              <w:pStyle w:val="TableParagraph"/>
              <w:spacing w:line="240" w:lineRule="auto" w:before="76"/>
              <w:ind w:right="20"/>
              <w:jc w:val="right"/>
              <w:rPr>
                <w:rFonts w:ascii="宋体" w:hAnsi="宋体" w:cs="宋体" w:eastAsia="宋体" w:hint="default"/>
                <w:sz w:val="18"/>
                <w:szCs w:val="18"/>
              </w:rPr>
            </w:pPr>
            <w:r>
              <w:rPr>
                <w:rFonts w:ascii="宋体"/>
                <w:sz w:val="18"/>
              </w:rPr>
              <w:t>11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1,254,214,586.</w:t>
            </w:r>
          </w:p>
          <w:p>
            <w:pPr>
              <w:pStyle w:val="TableParagraph"/>
              <w:spacing w:line="240" w:lineRule="auto" w:before="76"/>
              <w:ind w:right="20"/>
              <w:jc w:val="right"/>
              <w:rPr>
                <w:rFonts w:ascii="宋体" w:hAnsi="宋体" w:cs="宋体" w:eastAsia="宋体" w:hint="default"/>
                <w:sz w:val="18"/>
                <w:szCs w:val="18"/>
              </w:rPr>
            </w:pPr>
            <w:r>
              <w:rPr>
                <w:rFonts w:ascii="宋体"/>
                <w:sz w:val="18"/>
              </w:rPr>
              <w:t>11</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1,254,214,586.</w:t>
            </w:r>
          </w:p>
          <w:p>
            <w:pPr>
              <w:pStyle w:val="TableParagraph"/>
              <w:spacing w:line="240" w:lineRule="auto" w:before="76"/>
              <w:ind w:right="20"/>
              <w:jc w:val="right"/>
              <w:rPr>
                <w:rFonts w:ascii="宋体" w:hAnsi="宋体" w:cs="宋体" w:eastAsia="宋体" w:hint="default"/>
                <w:sz w:val="18"/>
                <w:szCs w:val="18"/>
              </w:rPr>
            </w:pPr>
            <w:r>
              <w:rPr>
                <w:rFonts w:ascii="宋体"/>
                <w:sz w:val="18"/>
              </w:rPr>
              <w:t>11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1,254,214,586.</w:t>
            </w:r>
          </w:p>
          <w:p>
            <w:pPr>
              <w:pStyle w:val="TableParagraph"/>
              <w:spacing w:line="240" w:lineRule="auto" w:before="76"/>
              <w:ind w:right="20"/>
              <w:jc w:val="right"/>
              <w:rPr>
                <w:rFonts w:ascii="宋体" w:hAnsi="宋体" w:cs="宋体" w:eastAsia="宋体" w:hint="default"/>
                <w:sz w:val="18"/>
                <w:szCs w:val="18"/>
              </w:rPr>
            </w:pPr>
            <w:r>
              <w:rPr>
                <w:rFonts w:ascii="宋体"/>
                <w:sz w:val="18"/>
              </w:rPr>
              <w:t>11</w:t>
            </w:r>
          </w:p>
        </w:tc>
      </w:tr>
    </w:tbl>
    <w:p>
      <w:pPr>
        <w:spacing w:line="240" w:lineRule="auto" w:before="10"/>
        <w:rPr>
          <w:rFonts w:ascii="宋体" w:hAnsi="宋体" w:cs="宋体" w:eastAsia="宋体" w:hint="default"/>
          <w:sz w:val="8"/>
          <w:szCs w:val="8"/>
        </w:rPr>
      </w:pPr>
    </w:p>
    <w:p>
      <w:pPr>
        <w:pStyle w:val="BodyText"/>
        <w:spacing w:line="434" w:lineRule="auto" w:before="26"/>
        <w:ind w:left="634" w:right="5832"/>
        <w:jc w:val="left"/>
        <w:rPr>
          <w:rFonts w:ascii="宋体" w:hAnsi="宋体" w:cs="宋体" w:eastAsia="宋体" w:hint="default"/>
        </w:rPr>
      </w:pPr>
      <w:r>
        <w:rPr/>
        <w:t>商誉所在资产组或资产组组合的相关信息 商誉的减值测试方法和减值准备计提方法</w:t>
      </w:r>
      <w:r>
        <w:rPr>
          <w:rFonts w:ascii="宋体" w:hAnsi="宋体" w:cs="宋体" w:eastAsia="宋体" w:hint="default"/>
        </w:rPr>
        <w:t>:</w:t>
      </w:r>
    </w:p>
    <w:p>
      <w:pPr>
        <w:pStyle w:val="BodyText"/>
        <w:spacing w:line="357" w:lineRule="auto" w:before="59"/>
        <w:ind w:right="1092" w:firstLine="480"/>
        <w:jc w:val="left"/>
      </w:pPr>
      <w:r>
        <w:rPr/>
        <w:t>本集团每年对商誉进行减值测试。包含商誉的资产组和资产组组合的可收回金额为其预 计未来现金流量的现值，其计算需要采用会计估计。</w:t>
      </w:r>
    </w:p>
    <w:p>
      <w:pPr>
        <w:pStyle w:val="BodyText"/>
        <w:spacing w:line="360" w:lineRule="auto" w:before="134"/>
        <w:ind w:right="1092" w:firstLine="480"/>
        <w:jc w:val="left"/>
      </w:pPr>
      <w:r>
        <w:rPr/>
        <w:t>如果管理层对资产组和资产组组合未来现金流量计算中采用的毛利率进行修订，修订后 的毛利率低于目前采用的毛利率，本集团需对商誉增加计提减值准备。</w:t>
      </w:r>
    </w:p>
    <w:p>
      <w:pPr>
        <w:pStyle w:val="BodyText"/>
        <w:spacing w:line="240" w:lineRule="auto" w:before="132"/>
        <w:ind w:left="634" w:right="1092"/>
        <w:jc w:val="left"/>
      </w:pPr>
      <w:r>
        <w:rPr/>
        <w:t>如果管理层对应用于现金流量折现的税前折现率进行重新修订，修订后的税前折率高于</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2" w:lineRule="auto" w:before="26"/>
        <w:ind w:left="634" w:right="1092" w:hanging="480"/>
        <w:jc w:val="left"/>
      </w:pPr>
      <w:r>
        <w:rPr/>
        <w:t>目前采用的折现率，本集团需对商誉增加计提减值准备。 如果实际毛利率或税前折现率高于或低于管理层的估计，本集团不能转回原已计提的商</w:t>
      </w:r>
    </w:p>
    <w:p>
      <w:pPr>
        <w:pStyle w:val="BodyText"/>
        <w:spacing w:line="277" w:lineRule="exact"/>
        <w:ind w:right="0"/>
        <w:jc w:val="both"/>
      </w:pPr>
      <w:r>
        <w:rPr/>
        <w:t>誉减值损失。</w:t>
      </w:r>
    </w:p>
    <w:p>
      <w:pPr>
        <w:spacing w:line="240" w:lineRule="auto" w:before="5"/>
        <w:rPr>
          <w:rFonts w:ascii="宋体" w:hAnsi="宋体" w:cs="宋体" w:eastAsia="宋体" w:hint="default"/>
          <w:sz w:val="19"/>
          <w:szCs w:val="19"/>
        </w:rPr>
      </w:pPr>
    </w:p>
    <w:p>
      <w:pPr>
        <w:pStyle w:val="BodyText"/>
        <w:spacing w:line="357" w:lineRule="auto"/>
        <w:ind w:right="1139" w:firstLine="480"/>
        <w:jc w:val="both"/>
      </w:pPr>
      <w:r>
        <w:rPr/>
        <w:t>本公司将广州市四月天信息科技有限公司、北京鸿达以太文化发展有限公司、广州市迈 步信息科技有限公司、上海晨之科信息技术有限公司分别认定为一个资产组，本年末商誉所 在资产组与购买日及以前年度商誉减值测试时所确认的资产组或资产组组合一致。</w:t>
      </w:r>
    </w:p>
    <w:p>
      <w:pPr>
        <w:pStyle w:val="BodyText"/>
        <w:spacing w:line="357" w:lineRule="auto" w:before="134"/>
        <w:ind w:right="1140" w:firstLine="480"/>
        <w:jc w:val="both"/>
      </w:pPr>
      <w:r>
        <w:rPr/>
        <w:t>说明商誉减值测试过程、关键参数（如预计未来现金流量现值时的预测期增长率、稳定 期增长率、利润率、折现率、预测期等）及商誉减值损失的确认方法：</w:t>
      </w:r>
    </w:p>
    <w:p>
      <w:pPr>
        <w:pStyle w:val="BodyText"/>
        <w:spacing w:line="357" w:lineRule="auto" w:before="134"/>
        <w:ind w:right="1131" w:firstLine="480"/>
        <w:jc w:val="both"/>
      </w:pPr>
      <w:r>
        <w:rPr>
          <w:rFonts w:ascii="宋体" w:hAnsi="宋体" w:cs="宋体" w:eastAsia="宋体" w:hint="default"/>
          <w:spacing w:val="-3"/>
        </w:rPr>
        <w:t>1</w:t>
      </w:r>
      <w:r>
        <w:rPr>
          <w:spacing w:val="-3"/>
        </w:rPr>
        <w:t>）本公司对广州市四月天信息科技有限公司、北京鸿达以太文化发展有限公司、广州市</w:t>
      </w:r>
      <w:r>
        <w:rPr/>
        <w:t> 迈步信息科技有限公司形成的商誉进行商誉减值测试是根据中瑞世联资产评估（北京有限公 司）中瑞评报字</w:t>
      </w:r>
      <w:r>
        <w:rPr>
          <w:rFonts w:ascii="宋体" w:hAnsi="宋体" w:cs="宋体" w:eastAsia="宋体" w:hint="default"/>
        </w:rPr>
        <w:t>[2019]</w:t>
      </w:r>
      <w:r>
        <w:rPr/>
        <w:t>第</w:t>
      </w:r>
      <w:r>
        <w:rPr>
          <w:spacing w:val="-64"/>
        </w:rPr>
        <w:t> </w:t>
      </w:r>
      <w:r>
        <w:rPr>
          <w:rFonts w:ascii="宋体" w:hAnsi="宋体" w:cs="宋体" w:eastAsia="宋体" w:hint="default"/>
        </w:rPr>
        <w:t>000319</w:t>
      </w:r>
      <w:r>
        <w:rPr>
          <w:rFonts w:ascii="宋体" w:hAnsi="宋体" w:cs="宋体" w:eastAsia="宋体" w:hint="default"/>
          <w:spacing w:val="-64"/>
        </w:rPr>
        <w:t> </w:t>
      </w:r>
      <w:r>
        <w:rPr>
          <w:spacing w:val="-10"/>
        </w:rPr>
        <w:t>号、第</w:t>
      </w:r>
      <w:r>
        <w:rPr>
          <w:spacing w:val="-64"/>
        </w:rPr>
        <w:t> </w:t>
      </w:r>
      <w:r>
        <w:rPr>
          <w:rFonts w:ascii="宋体" w:hAnsi="宋体" w:cs="宋体" w:eastAsia="宋体" w:hint="default"/>
        </w:rPr>
        <w:t>000361</w:t>
      </w:r>
      <w:r>
        <w:rPr>
          <w:rFonts w:ascii="宋体" w:hAnsi="宋体" w:cs="宋体" w:eastAsia="宋体" w:hint="default"/>
          <w:spacing w:val="-64"/>
        </w:rPr>
        <w:t> </w:t>
      </w:r>
      <w:r>
        <w:rPr>
          <w:spacing w:val="-10"/>
        </w:rPr>
        <w:t>号、第</w:t>
      </w:r>
      <w:r>
        <w:rPr>
          <w:spacing w:val="-64"/>
        </w:rPr>
        <w:t> </w:t>
      </w:r>
      <w:r>
        <w:rPr>
          <w:rFonts w:ascii="宋体" w:hAnsi="宋体" w:cs="宋体" w:eastAsia="宋体" w:hint="default"/>
        </w:rPr>
        <w:t>000320</w:t>
      </w:r>
      <w:r>
        <w:rPr>
          <w:rFonts w:ascii="宋体" w:hAnsi="宋体" w:cs="宋体" w:eastAsia="宋体" w:hint="default"/>
          <w:spacing w:val="-64"/>
        </w:rPr>
        <w:t> </w:t>
      </w:r>
      <w:r>
        <w:rPr/>
        <w:t>号以商誉减值测试为目的评估 报告，以持续经营假设，采用收益法确定资产组预计未来现金流量的现值预计资产组的可收 回金额。测算其未来 </w:t>
      </w:r>
      <w:r>
        <w:rPr>
          <w:rFonts w:ascii="宋体" w:hAnsi="宋体" w:cs="宋体" w:eastAsia="宋体" w:hint="default"/>
        </w:rPr>
        <w:t>5</w:t>
      </w:r>
      <w:r>
        <w:rPr>
          <w:rFonts w:ascii="宋体" w:hAnsi="宋体" w:cs="宋体" w:eastAsia="宋体" w:hint="default"/>
          <w:spacing w:val="-82"/>
        </w:rPr>
        <w:t> </w:t>
      </w:r>
      <w:r>
        <w:rPr/>
        <w:t>年预测期内的自由现金流量及假定预测期后的收益保持与预测期内最 后一年等额自由现金流量，最后将两部分的自由现金流量进行折现加和再加上非经营性资产 净现值得到资产组未来现金流量的现值。经测试上述单一资产组计算可收回金额均超过了包</w:t>
      </w:r>
      <w:r>
        <w:rPr>
          <w:spacing w:val="-114"/>
        </w:rPr>
        <w:t> </w:t>
      </w:r>
      <w:r>
        <w:rPr>
          <w:spacing w:val="-114"/>
        </w:rPr>
      </w:r>
      <w:r>
        <w:rPr/>
        <w:t>括全体股东商誉的资产组账面价值，上述商誉不存在减值的情况。</w:t>
      </w:r>
    </w:p>
    <w:p>
      <w:pPr>
        <w:pStyle w:val="BodyText"/>
        <w:spacing w:line="357" w:lineRule="auto" w:before="136"/>
        <w:ind w:right="1131" w:firstLine="480"/>
        <w:jc w:val="both"/>
      </w:pPr>
      <w:r>
        <w:rPr>
          <w:rFonts w:ascii="宋体" w:hAnsi="宋体" w:cs="宋体" w:eastAsia="宋体" w:hint="default"/>
          <w:spacing w:val="-3"/>
        </w:rPr>
        <w:t>2</w:t>
      </w:r>
      <w:r>
        <w:rPr>
          <w:spacing w:val="-3"/>
        </w:rPr>
        <w:t>）本公司对非同一控制企业合并上海晨之科信息技术有限公司形成的商誉进行商誉减值</w:t>
      </w:r>
      <w:r>
        <w:rPr/>
        <w:t> </w:t>
      </w:r>
      <w:r>
        <w:rPr>
          <w:spacing w:val="-9"/>
        </w:rPr>
        <w:t>测试，由于</w:t>
      </w:r>
      <w:r>
        <w:rPr>
          <w:spacing w:val="-78"/>
        </w:rPr>
        <w:t> </w:t>
      </w:r>
      <w:r>
        <w:rPr>
          <w:rFonts w:ascii="宋体" w:hAnsi="宋体" w:cs="宋体" w:eastAsia="宋体" w:hint="default"/>
        </w:rPr>
        <w:t>2018</w:t>
      </w:r>
      <w:r>
        <w:rPr>
          <w:rFonts w:ascii="宋体" w:hAnsi="宋体" w:cs="宋体" w:eastAsia="宋体" w:hint="default"/>
          <w:spacing w:val="-78"/>
        </w:rPr>
        <w:t> </w:t>
      </w:r>
      <w:r>
        <w:rPr/>
        <w:t>年网络游戏行业受国家政策变化的影响，众多网络游戏行业的上市公司股价 大幅度下跌，股权交易低迷。上海晨之科也发生了亏损，因此难以采用市场比较法进行评估 测试；同时，</w:t>
      </w:r>
      <w:r>
        <w:rPr>
          <w:rFonts w:ascii="宋体" w:hAnsi="宋体" w:cs="宋体" w:eastAsia="宋体" w:hint="default"/>
        </w:rPr>
        <w:t>2018</w:t>
      </w:r>
      <w:r>
        <w:rPr>
          <w:rFonts w:ascii="宋体" w:hAnsi="宋体" w:cs="宋体" w:eastAsia="宋体" w:hint="default"/>
          <w:spacing w:val="-81"/>
        </w:rPr>
        <w:t> </w:t>
      </w:r>
      <w:r>
        <w:rPr/>
        <w:t>年底正处于游戏版号从暂停发放到重新恢复发放的转折阶段，未来收益预 期的不确定性较大，因此也没有采用收益法进行评估测试。本公司聘请了中瑞世联资产评估</w:t>
      </w:r>
    </w:p>
    <w:p>
      <w:pPr>
        <w:pStyle w:val="BodyText"/>
        <w:spacing w:line="357" w:lineRule="auto" w:before="36"/>
        <w:ind w:right="1136"/>
        <w:jc w:val="both"/>
      </w:pPr>
      <w:r>
        <w:rPr/>
        <w:t>（北京）有限公司中瑞世联资产评估（北京）有限公司评估报告，对收购上海晨之科的形成</w:t>
      </w:r>
      <w:r>
        <w:rPr>
          <w:spacing w:val="-116"/>
        </w:rPr>
        <w:t> </w:t>
      </w:r>
      <w:r>
        <w:rPr>
          <w:spacing w:val="-116"/>
        </w:rPr>
      </w:r>
      <w:r>
        <w:rPr/>
        <w:t>的商誉进行评估，评估方法采用资产公允价值减去处置费用后的净额，评估后上海晨之科的 股权公允价值与其账面净资产相当，故本报告期全额计提了收购上海晨之科形成的商誉减值</w:t>
      </w:r>
    </w:p>
    <w:p>
      <w:pPr>
        <w:pStyle w:val="BodyText"/>
        <w:spacing w:line="240" w:lineRule="auto" w:before="37"/>
        <w:ind w:right="0"/>
        <w:jc w:val="both"/>
      </w:pPr>
      <w:r>
        <w:rPr>
          <w:rFonts w:ascii="宋体" w:hAnsi="宋体" w:cs="宋体" w:eastAsia="宋体" w:hint="default"/>
        </w:rPr>
        <w:t>12.54</w:t>
      </w:r>
      <w:r>
        <w:rPr>
          <w:rFonts w:ascii="宋体" w:hAnsi="宋体" w:cs="宋体" w:eastAsia="宋体" w:hint="default"/>
          <w:spacing w:val="-60"/>
        </w:rPr>
        <w:t> </w:t>
      </w:r>
      <w:r>
        <w:rPr/>
        <w:t>亿元。</w:t>
      </w:r>
    </w:p>
    <w:p>
      <w:pPr>
        <w:spacing w:line="240" w:lineRule="auto" w:before="6"/>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23、长期待摊费用" w:id="288"/>
      <w:bookmarkEnd w:id="288"/>
      <w:r>
        <w:rPr/>
      </w:r>
      <w:r>
        <w:rPr>
          <w:rFonts w:ascii="宋体" w:hAnsi="宋体" w:cs="宋体" w:eastAsia="宋体" w:hint="default"/>
          <w:b/>
          <w:bCs/>
          <w:sz w:val="21"/>
          <w:szCs w:val="21"/>
        </w:rPr>
        <w:t>23</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办公室装修</w:t>
            </w:r>
          </w:p>
        </w:tc>
        <w:tc>
          <w:tcPr>
            <w:tcW w:w="1607"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9,829,895.63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11,264,206.37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5,156,211.50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453,372.51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15,484,517.99</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游戏版权金</w:t>
            </w:r>
          </w:p>
        </w:tc>
        <w:tc>
          <w:tcPr>
            <w:tcW w:w="1607"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2,246,564.77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70,742,049.26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32,463,655.17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40,524,958.86</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趣谷平台合作开发</w:t>
            </w:r>
          </w:p>
        </w:tc>
        <w:tc>
          <w:tcPr>
            <w:tcW w:w="1607" w:type="dxa"/>
            <w:tcBorders>
              <w:top w:val="single" w:sz="4" w:space="0" w:color="000000"/>
              <w:left w:val="single" w:sz="9" w:space="0" w:color="D9D9D9"/>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10,000,000.00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2,083,333.33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7,916,666.67</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12,076,460.40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92,006,255.63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39,703,200.00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453,372.51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63,926,143.52</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4、递延所得税资产/递延所得税负债" w:id="289"/>
      <w:bookmarkEnd w:id="289"/>
      <w:r>
        <w:rPr/>
      </w:r>
      <w:r>
        <w:rPr>
          <w:rFonts w:ascii="宋体" w:hAnsi="宋体" w:cs="宋体" w:eastAsia="宋体" w:hint="default"/>
          <w:b/>
          <w:bCs/>
          <w:sz w:val="21"/>
          <w:szCs w:val="21"/>
        </w:rPr>
        <w:t>24</w:t>
      </w:r>
      <w:r>
        <w:rPr>
          <w:rFonts w:ascii="宋体" w:hAnsi="宋体" w:cs="宋体" w:eastAsia="宋体" w:hint="default"/>
          <w:b/>
          <w:bCs/>
          <w:sz w:val="21"/>
          <w:szCs w:val="21"/>
        </w:rPr>
        <w:t>、递延所得税资产</w:t>
      </w:r>
      <w:r>
        <w:rPr>
          <w:rFonts w:ascii="宋体" w:hAnsi="宋体" w:cs="宋体" w:eastAsia="宋体"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未经抵销的递延所得税资产" w:id="290"/>
      <w:bookmarkEnd w:id="290"/>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）未经抵销的递延所得税资产</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01"/>
        <w:gridCol w:w="1928"/>
        <w:gridCol w:w="1914"/>
        <w:gridCol w:w="1914"/>
        <w:gridCol w:w="1914"/>
      </w:tblGrid>
      <w:tr>
        <w:trPr>
          <w:trHeight w:val="206" w:hRule="exact"/>
        </w:trPr>
        <w:tc>
          <w:tcPr>
            <w:tcW w:w="1901" w:type="dxa"/>
            <w:tcBorders>
              <w:top w:val="single" w:sz="4" w:space="0" w:color="000000"/>
              <w:left w:val="single" w:sz="4" w:space="0" w:color="000000"/>
              <w:bottom w:val="nil" w:sz="6" w:space="0" w:color="auto"/>
              <w:right w:val="single" w:sz="13" w:space="0" w:color="FFFFFF"/>
            </w:tcBorders>
            <w:shd w:val="clear" w:color="auto" w:fill="D2D2D2"/>
          </w:tcPr>
          <w:p>
            <w:pPr/>
          </w:p>
        </w:tc>
        <w:tc>
          <w:tcPr>
            <w:tcW w:w="3842" w:type="dxa"/>
            <w:gridSpan w:val="2"/>
            <w:vMerge w:val="restart"/>
            <w:tcBorders>
              <w:top w:val="single" w:sz="4" w:space="0" w:color="000000"/>
              <w:left w:val="single" w:sz="13" w:space="0" w:color="FFFFFF"/>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901" w:type="dxa"/>
            <w:vMerge w:val="restart"/>
            <w:tcBorders>
              <w:top w:val="nil" w:sz="6" w:space="0" w:color="auto"/>
              <w:left w:val="single" w:sz="4" w:space="0" w:color="000000"/>
              <w:right w:val="single" w:sz="13" w:space="0" w:color="FFFFFF"/>
            </w:tcBorders>
            <w:shd w:val="clear" w:color="auto" w:fill="D2D2D2"/>
          </w:tcPr>
          <w:p>
            <w:pPr>
              <w:pStyle w:val="TableParagraph"/>
              <w:spacing w:line="240" w:lineRule="auto" w:before="51"/>
              <w:ind w:left="2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42" w:type="dxa"/>
            <w:gridSpan w:val="2"/>
            <w:vMerge/>
            <w:tcBorders>
              <w:left w:val="single" w:sz="13" w:space="0" w:color="FFFFFF"/>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01" w:type="dxa"/>
            <w:vMerge/>
            <w:tcBorders>
              <w:left w:val="single" w:sz="4" w:space="0" w:color="000000"/>
              <w:bottom w:val="nil" w:sz="6" w:space="0" w:color="auto"/>
              <w:right w:val="single" w:sz="13" w:space="0" w:color="FFFFFF"/>
            </w:tcBorders>
            <w:shd w:val="clear" w:color="auto" w:fill="D2D2D2"/>
          </w:tcPr>
          <w:p>
            <w:pPr/>
          </w:p>
        </w:tc>
        <w:tc>
          <w:tcPr>
            <w:tcW w:w="1928" w:type="dxa"/>
            <w:vMerge w:val="restart"/>
            <w:tcBorders>
              <w:top w:val="single" w:sz="4" w:space="0" w:color="000000"/>
              <w:left w:val="single" w:sz="13" w:space="0" w:color="FFFFFF"/>
              <w:right w:val="single" w:sz="4" w:space="0" w:color="000000"/>
            </w:tcBorders>
            <w:shd w:val="clear" w:color="auto" w:fill="D2D2D2"/>
          </w:tcPr>
          <w:p>
            <w:pPr>
              <w:pStyle w:val="TableParagraph"/>
              <w:spacing w:line="240" w:lineRule="auto" w:before="56"/>
              <w:ind w:left="23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6" w:hRule="exact"/>
        </w:trPr>
        <w:tc>
          <w:tcPr>
            <w:tcW w:w="1901" w:type="dxa"/>
            <w:tcBorders>
              <w:top w:val="nil" w:sz="6" w:space="0" w:color="auto"/>
              <w:left w:val="single" w:sz="4" w:space="0" w:color="000000"/>
              <w:bottom w:val="single" w:sz="4" w:space="0" w:color="000000"/>
              <w:right w:val="single" w:sz="13" w:space="0" w:color="FFFFFF"/>
            </w:tcBorders>
            <w:shd w:val="clear" w:color="auto" w:fill="D2D2D2"/>
          </w:tcPr>
          <w:p>
            <w:pPr/>
          </w:p>
        </w:tc>
        <w:tc>
          <w:tcPr>
            <w:tcW w:w="1928" w:type="dxa"/>
            <w:vMerge/>
            <w:tcBorders>
              <w:left w:val="single" w:sz="13" w:space="0" w:color="FFFFFF"/>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28"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22,071,880.65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3,454,944.58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16,937,875.75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2,543,286.37</w:t>
            </w:r>
          </w:p>
        </w:tc>
      </w:tr>
      <w:tr>
        <w:trPr>
          <w:trHeight w:val="402" w:hRule="exact"/>
        </w:trPr>
        <w:tc>
          <w:tcPr>
            <w:tcW w:w="1901"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28" w:type="dxa"/>
            <w:tcBorders>
              <w:top w:val="single" w:sz="4" w:space="0" w:color="000000"/>
              <w:left w:val="single" w:sz="13" w:space="0" w:color="FFFFFF"/>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47,286,118.21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7,092,917.73</w:t>
            </w:r>
          </w:p>
        </w:tc>
      </w:tr>
      <w:tr>
        <w:trPr>
          <w:trHeight w:val="402" w:hRule="exact"/>
        </w:trPr>
        <w:tc>
          <w:tcPr>
            <w:tcW w:w="1901" w:type="dxa"/>
            <w:tcBorders>
              <w:top w:val="single" w:sz="4" w:space="0" w:color="000000"/>
              <w:left w:val="single" w:sz="4" w:space="0" w:color="000000"/>
              <w:bottom w:val="single" w:sz="4" w:space="0" w:color="000000"/>
              <w:right w:val="single" w:sz="13" w:space="0" w:color="FFFFFF"/>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928" w:type="dxa"/>
            <w:tcBorders>
              <w:top w:val="single" w:sz="4" w:space="0" w:color="000000"/>
              <w:left w:val="single" w:sz="13" w:space="0" w:color="FFFFFF"/>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188,218.14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28,232.72</w:t>
            </w:r>
          </w:p>
        </w:tc>
      </w:tr>
      <w:tr>
        <w:trPr>
          <w:trHeight w:val="402" w:hRule="exact"/>
        </w:trPr>
        <w:tc>
          <w:tcPr>
            <w:tcW w:w="1901" w:type="dxa"/>
            <w:tcBorders>
              <w:top w:val="single" w:sz="4" w:space="0" w:color="000000"/>
              <w:left w:val="single" w:sz="4" w:space="0" w:color="000000"/>
              <w:bottom w:val="single" w:sz="4" w:space="0" w:color="000000"/>
              <w:right w:val="single" w:sz="13" w:space="0" w:color="FFFFFF"/>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28"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7,140,736.85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1,071,110.53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12,083,593.99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1,812,539.10</w:t>
            </w:r>
          </w:p>
        </w:tc>
      </w:tr>
      <w:tr>
        <w:trPr>
          <w:trHeight w:val="402" w:hRule="exact"/>
        </w:trPr>
        <w:tc>
          <w:tcPr>
            <w:tcW w:w="1901" w:type="dxa"/>
            <w:tcBorders>
              <w:top w:val="single" w:sz="4" w:space="0" w:color="000000"/>
              <w:left w:val="single" w:sz="4" w:space="0" w:color="000000"/>
              <w:bottom w:val="single" w:sz="4" w:space="0" w:color="000000"/>
              <w:right w:val="single" w:sz="13" w:space="0" w:color="FFFFFF"/>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1928"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30,572,795.77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4,585,919.37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42,588,068.47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6,387,686.89</w:t>
            </w:r>
          </w:p>
        </w:tc>
      </w:tr>
      <w:tr>
        <w:trPr>
          <w:trHeight w:val="402" w:hRule="exact"/>
        </w:trPr>
        <w:tc>
          <w:tcPr>
            <w:tcW w:w="1901"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59,785,413.27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9,111,974.48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119,083,874.56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17,864,662.81</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未经抵销的递延所得税负债" w:id="291"/>
      <w:bookmarkEnd w:id="291"/>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）未经抵销的递延所得税负债</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205"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42"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45"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66"/>
              <w:jc w:val="left"/>
              <w:rPr>
                <w:rFonts w:ascii="宋体" w:hAnsi="宋体" w:cs="宋体" w:eastAsia="宋体" w:hint="default"/>
                <w:sz w:val="18"/>
                <w:szCs w:val="18"/>
              </w:rPr>
            </w:pPr>
            <w:r>
              <w:rPr>
                <w:rFonts w:ascii="宋体" w:hAnsi="宋体" w:cs="宋体" w:eastAsia="宋体" w:hint="default"/>
                <w:sz w:val="18"/>
                <w:szCs w:val="18"/>
              </w:rPr>
              <w:t>非同一控制企业合并资 产评估增值</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13,601,471.97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1,957,122.13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15,247,507.96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2,359,981.69</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66"/>
              <w:jc w:val="left"/>
              <w:rPr>
                <w:rFonts w:ascii="宋体" w:hAnsi="宋体" w:cs="宋体" w:eastAsia="宋体" w:hint="default"/>
                <w:sz w:val="18"/>
                <w:szCs w:val="18"/>
              </w:rPr>
            </w:pPr>
            <w:r>
              <w:rPr>
                <w:rFonts w:ascii="宋体" w:hAnsi="宋体" w:cs="宋体" w:eastAsia="宋体" w:hint="default"/>
                <w:sz w:val="18"/>
                <w:szCs w:val="18"/>
              </w:rPr>
              <w:t>可供出售金融资产公允 价值变动</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4,550,818.98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682,622.85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13,601,471.97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1,957,122.13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19,798,326.94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3,042,604.54</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以抵销后净额列示的递延所得税资产或负债" w:id="292"/>
      <w:bookmarkEnd w:id="292"/>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）以抵销后净额列示的递延所得税资产或负债</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13"/>
        <w:gridCol w:w="1905"/>
        <w:gridCol w:w="1914"/>
        <w:gridCol w:w="1914"/>
        <w:gridCol w:w="1914"/>
      </w:tblGrid>
      <w:tr>
        <w:trPr>
          <w:trHeight w:val="162"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0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0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1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1" w:hRule="exact"/>
        </w:trPr>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2"/>
              <w:jc w:val="center"/>
              <w:rPr>
                <w:rFonts w:ascii="宋体" w:hAnsi="宋体" w:cs="宋体" w:eastAsia="宋体" w:hint="default"/>
                <w:sz w:val="18"/>
                <w:szCs w:val="18"/>
              </w:rPr>
            </w:pPr>
            <w:r>
              <w:rPr>
                <w:rFonts w:ascii="宋体" w:hAnsi="宋体" w:cs="宋体" w:eastAsia="宋体" w:hint="default"/>
                <w:sz w:val="18"/>
                <w:szCs w:val="18"/>
              </w:rPr>
              <w:t>项目</w:t>
            </w:r>
          </w:p>
        </w:tc>
        <w:tc>
          <w:tcPr>
            <w:tcW w:w="1905"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r>
      <w:tr>
        <w:trPr>
          <w:trHeight w:val="161"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05"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05"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9,111,974.48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17,864,662.81</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05"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1,957,122.13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3,042,604.54</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4）未确认递延所得税资产明细" w:id="293"/>
      <w:bookmarkEnd w:id="293"/>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）未确认递延所得税资产明细</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131,501,057.82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333,516.15</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190,657,724.30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34,086,994.56</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322,158,782.12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34,420,510.71</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未确认递延所得税资产的可抵扣亏损将于以下年度到期" w:id="294"/>
      <w:bookmarkEnd w:id="294"/>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）未确认递延所得税资产的可抵扣亏损将于以下年度到期</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1,263,863.28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14,044,172.22</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2022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16,326,925.09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20,042,822.34</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173,066,935.93</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190,657,724.30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34,086,994.56</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sz w:val="18"/>
              </w:rPr>
              <w:t>--</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5、其他非流动资产" w:id="295"/>
      <w:bookmarkEnd w:id="295"/>
      <w:r>
        <w:rPr/>
      </w:r>
      <w:r>
        <w:rPr>
          <w:rFonts w:ascii="宋体" w:hAnsi="宋体" w:cs="宋体" w:eastAsia="宋体" w:hint="default"/>
          <w:b/>
          <w:bCs/>
          <w:sz w:val="21"/>
          <w:szCs w:val="21"/>
        </w:rPr>
        <w:t>25</w:t>
      </w:r>
      <w:r>
        <w:rPr>
          <w:rFonts w:ascii="宋体" w:hAnsi="宋体" w:cs="宋体" w:eastAsia="宋体" w:hint="default"/>
          <w:b/>
          <w:bCs/>
          <w:sz w:val="21"/>
          <w:szCs w:val="21"/>
        </w:rPr>
        <w:t>、其他非流动资产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投资款（注</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z w:val="18"/>
                <w:szCs w:val="18"/>
              </w:rPr>
              <w:t>）</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158,500,000.00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资产购置款</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95,683,957.51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买断版权</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92,869,554.52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35,761,718.12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112,869,554.52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289,945,675.63</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注</w:t>
      </w:r>
      <w:r>
        <w:rPr>
          <w:spacing w:val="-60"/>
        </w:rPr>
        <w:t> </w:t>
      </w:r>
      <w:r>
        <w:rPr>
          <w:rFonts w:ascii="宋体" w:hAnsi="宋体" w:cs="宋体" w:eastAsia="宋体" w:hint="default"/>
        </w:rPr>
        <w:t>1</w:t>
      </w:r>
      <w:r>
        <w:rPr/>
        <w:t>：期末余额系预付北京慕华信息科技有限公司过桥投资款。</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6、短期借款" w:id="296"/>
      <w:bookmarkEnd w:id="296"/>
      <w:r>
        <w:rPr/>
      </w:r>
      <w:r>
        <w:rPr>
          <w:rFonts w:ascii="宋体" w:hAnsi="宋体" w:cs="宋体" w:eastAsia="宋体" w:hint="default"/>
          <w:b/>
          <w:bCs/>
          <w:sz w:val="21"/>
          <w:szCs w:val="21"/>
        </w:rPr>
        <w:t>26</w:t>
      </w:r>
      <w:r>
        <w:rPr>
          <w:rFonts w:ascii="宋体" w:hAnsi="宋体" w:cs="宋体" w:eastAsia="宋体" w:hint="default"/>
          <w:b/>
          <w:bCs/>
          <w:sz w:val="21"/>
          <w:szCs w:val="21"/>
        </w:rPr>
        <w:t>、短期借款</w:t>
      </w:r>
      <w:r>
        <w:rPr>
          <w:rFonts w:ascii="宋体" w:hAnsi="宋体" w:cs="宋体" w:eastAsia="宋体" w:hint="default"/>
          <w:sz w:val="21"/>
          <w:szCs w:val="21"/>
        </w:rPr>
      </w:r>
    </w:p>
    <w:p>
      <w:pPr>
        <w:spacing w:line="240" w:lineRule="auto" w:before="13"/>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短期借款分类" w:id="297"/>
      <w:bookmarkEnd w:id="297"/>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）短期借款分类</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100,000,000.00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已逾期未偿还的短期借款情况" w:id="298"/>
      <w:bookmarkEnd w:id="298"/>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）已逾期未偿还的短期借款情况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7、以公允价值计量且其变动计入当期损益的金融负债" w:id="299"/>
      <w:bookmarkEnd w:id="299"/>
      <w:r>
        <w:rPr/>
      </w:r>
      <w:r>
        <w:rPr>
          <w:rFonts w:ascii="宋体" w:hAnsi="宋体" w:cs="宋体" w:eastAsia="宋体" w:hint="default"/>
          <w:b/>
          <w:bCs/>
          <w:sz w:val="21"/>
          <w:szCs w:val="21"/>
        </w:rPr>
        <w:t>27</w:t>
      </w:r>
      <w:r>
        <w:rPr>
          <w:rFonts w:ascii="宋体" w:hAnsi="宋体" w:cs="宋体" w:eastAsia="宋体" w:hint="default"/>
          <w:b/>
          <w:bCs/>
          <w:sz w:val="21"/>
          <w:szCs w:val="21"/>
        </w:rPr>
        <w:t>、以公允价值计量且其变动计入当期损益的金融负债</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22,055,864.54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22,055,864.54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22,055,864.54</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434" w:lineRule="auto" w:before="26"/>
        <w:ind w:left="634" w:right="1092"/>
        <w:jc w:val="left"/>
      </w:pPr>
      <w:r>
        <w:rPr/>
        <w:t>其他说明： 注：系对原晨之科大股东朱明应付的收购股权款项，由于本年度未完成业绩承诺，按业</w:t>
      </w:r>
    </w:p>
    <w:p>
      <w:pPr>
        <w:pStyle w:val="BodyText"/>
        <w:spacing w:line="274" w:lineRule="exact"/>
        <w:ind w:right="1092"/>
        <w:jc w:val="left"/>
      </w:pPr>
      <w:r>
        <w:rPr/>
        <w:t>绩承诺约定将本年应付的</w:t>
      </w:r>
      <w:r>
        <w:rPr>
          <w:spacing w:val="-50"/>
        </w:rPr>
        <w:t> </w:t>
      </w:r>
      <w:r>
        <w:rPr>
          <w:rFonts w:ascii="宋体" w:hAnsi="宋体" w:cs="宋体" w:eastAsia="宋体" w:hint="default"/>
        </w:rPr>
        <w:t>44,107,000.00</w:t>
      </w:r>
      <w:r>
        <w:rPr>
          <w:rFonts w:ascii="宋体" w:hAnsi="宋体" w:cs="宋体" w:eastAsia="宋体" w:hint="default"/>
          <w:spacing w:val="-50"/>
        </w:rPr>
        <w:t> </w:t>
      </w:r>
      <w:r>
        <w:rPr/>
        <w:t>元计入公允价值变动损益，剩余</w:t>
      </w:r>
      <w:r>
        <w:rPr>
          <w:spacing w:val="-50"/>
        </w:rPr>
        <w:t> </w:t>
      </w:r>
      <w:r>
        <w:rPr>
          <w:rFonts w:ascii="宋体" w:hAnsi="宋体" w:cs="宋体" w:eastAsia="宋体" w:hint="default"/>
        </w:rPr>
        <w:t>22,055,864.54</w:t>
      </w:r>
      <w:r>
        <w:rPr>
          <w:rFonts w:ascii="宋体" w:hAnsi="宋体" w:cs="宋体" w:eastAsia="宋体" w:hint="default"/>
          <w:spacing w:val="-51"/>
        </w:rPr>
        <w:t> </w:t>
      </w:r>
      <w:r>
        <w:rPr/>
        <w:t>元</w:t>
      </w:r>
    </w:p>
    <w:p>
      <w:pPr>
        <w:pStyle w:val="BodyText"/>
        <w:spacing w:line="240" w:lineRule="auto" w:before="155"/>
        <w:ind w:right="1092"/>
        <w:jc w:val="left"/>
      </w:pPr>
      <w:r>
        <w:rPr/>
        <w:t>根据</w:t>
      </w:r>
      <w:r>
        <w:rPr>
          <w:spacing w:val="-60"/>
        </w:rPr>
        <w:t> </w:t>
      </w:r>
      <w:r>
        <w:rPr>
          <w:rFonts w:ascii="宋体" w:hAnsi="宋体" w:cs="宋体" w:eastAsia="宋体" w:hint="default"/>
        </w:rPr>
        <w:t>2019</w:t>
      </w:r>
      <w:r>
        <w:rPr>
          <w:rFonts w:ascii="宋体" w:hAnsi="宋体" w:cs="宋体" w:eastAsia="宋体" w:hint="default"/>
          <w:spacing w:val="-60"/>
        </w:rPr>
        <w:t> </w:t>
      </w:r>
      <w:r>
        <w:rPr/>
        <w:t>年度业绩完成情况确定是否支付。</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8、衍生金融负债" w:id="300"/>
      <w:bookmarkEnd w:id="300"/>
      <w:r>
        <w:rPr/>
      </w:r>
      <w:r>
        <w:rPr>
          <w:rFonts w:ascii="宋体" w:hAnsi="宋体" w:cs="宋体" w:eastAsia="宋体" w:hint="default"/>
          <w:b/>
          <w:bCs/>
          <w:sz w:val="21"/>
          <w:szCs w:val="21"/>
        </w:rPr>
        <w:t>28</w:t>
      </w:r>
      <w:r>
        <w:rPr>
          <w:rFonts w:ascii="宋体" w:hAnsi="宋体" w:cs="宋体" w:eastAsia="宋体" w:hint="default"/>
          <w:b/>
          <w:bCs/>
          <w:sz w:val="21"/>
          <w:szCs w:val="21"/>
        </w:rPr>
        <w:t>、衍生金融负债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9、应付票据及应付账款" w:id="301"/>
      <w:bookmarkEnd w:id="301"/>
      <w:r>
        <w:rPr/>
      </w:r>
      <w:r>
        <w:rPr>
          <w:rFonts w:ascii="宋体" w:hAnsi="宋体" w:cs="宋体" w:eastAsia="宋体" w:hint="default"/>
          <w:b/>
          <w:bCs/>
          <w:sz w:val="21"/>
          <w:szCs w:val="21"/>
        </w:rPr>
        <w:t>29</w:t>
      </w:r>
      <w:r>
        <w:rPr>
          <w:rFonts w:ascii="宋体" w:hAnsi="宋体" w:cs="宋体" w:eastAsia="宋体" w:hint="default"/>
          <w:b/>
          <w:bCs/>
          <w:sz w:val="21"/>
          <w:szCs w:val="21"/>
        </w:rPr>
        <w:t>、应付票据及应付账款</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116,256,048.30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71,421,115.88</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116,256,048.30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71,421,115.88</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1）应付票据分类列示" w:id="302"/>
      <w:bookmarkEnd w:id="302"/>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）应付票据分类列示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应付账款列示" w:id="303"/>
      <w:bookmarkEnd w:id="303"/>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）应付账款列示</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116,256,048.30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71,421,115.88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116,256,048.30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71,421,115.88</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账龄超过1年的重要应付账款" w:id="304"/>
      <w:bookmarkEnd w:id="304"/>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）账龄超过</w:t>
      </w:r>
      <w:r>
        <w:rPr>
          <w:rFonts w:ascii="宋体" w:hAnsi="宋体" w:cs="宋体" w:eastAsia="宋体" w:hint="default"/>
          <w:b/>
          <w:bCs/>
          <w:spacing w:val="-55"/>
          <w:sz w:val="21"/>
          <w:szCs w:val="21"/>
        </w:rPr>
        <w:t> </w:t>
      </w:r>
      <w:r>
        <w:rPr>
          <w:rFonts w:ascii="宋体" w:hAnsi="宋体" w:cs="宋体" w:eastAsia="宋体" w:hint="default"/>
          <w:b/>
          <w:bCs/>
          <w:sz w:val="21"/>
          <w:szCs w:val="21"/>
        </w:rPr>
        <w:t>1</w:t>
      </w:r>
      <w:r>
        <w:rPr>
          <w:rFonts w:ascii="宋体" w:hAnsi="宋体" w:cs="宋体" w:eastAsia="宋体" w:hint="default"/>
          <w:b/>
          <w:bCs/>
          <w:spacing w:val="-56"/>
          <w:sz w:val="21"/>
          <w:szCs w:val="21"/>
        </w:rPr>
        <w:t> </w:t>
      </w:r>
      <w:r>
        <w:rPr>
          <w:rFonts w:ascii="宋体" w:hAnsi="宋体" w:cs="宋体" w:eastAsia="宋体" w:hint="default"/>
          <w:b/>
          <w:bCs/>
          <w:sz w:val="21"/>
          <w:szCs w:val="21"/>
        </w:rPr>
        <w:t>年的重要应付账款</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2,302,989.98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2,256,053.54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3</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631,675.60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4</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444,000.00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5</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413,301.89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6,048,021.01</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r>
    </w:tbl>
    <w:p>
      <w:pPr>
        <w:spacing w:line="240" w:lineRule="auto" w:before="10"/>
        <w:rPr>
          <w:rFonts w:ascii="宋体" w:hAnsi="宋体" w:cs="宋体" w:eastAsia="宋体" w:hint="default"/>
          <w:sz w:val="8"/>
          <w:szCs w:val="8"/>
        </w:rPr>
      </w:pPr>
    </w:p>
    <w:p>
      <w:pPr>
        <w:pStyle w:val="BodyText"/>
        <w:spacing w:line="434" w:lineRule="auto" w:before="26"/>
        <w:ind w:left="634" w:right="2112"/>
        <w:jc w:val="left"/>
      </w:pPr>
      <w:r>
        <w:rPr/>
        <w:t>其他说明： 应付账款余额主要是应付作者的分成版税及应付推广商的服务费等。 年末账龄超过</w:t>
      </w:r>
      <w:r>
        <w:rPr>
          <w:spacing w:val="-60"/>
        </w:rPr>
        <w:t> </w:t>
      </w:r>
      <w:r>
        <w:rPr>
          <w:rFonts w:ascii="宋体" w:hAnsi="宋体" w:cs="宋体" w:eastAsia="宋体" w:hint="default"/>
        </w:rPr>
        <w:t>1</w:t>
      </w:r>
      <w:r>
        <w:rPr>
          <w:rFonts w:ascii="宋体" w:hAnsi="宋体" w:cs="宋体" w:eastAsia="宋体" w:hint="default"/>
          <w:spacing w:val="-60"/>
        </w:rPr>
        <w:t> </w:t>
      </w:r>
      <w:r>
        <w:rPr/>
        <w:t>年的应付账款主要为尚未结算的版税及应付推广商的服务费。</w:t>
      </w:r>
    </w:p>
    <w:p>
      <w:pPr>
        <w:spacing w:before="203"/>
        <w:ind w:left="154" w:right="1092" w:firstLine="0"/>
        <w:jc w:val="left"/>
        <w:rPr>
          <w:rFonts w:ascii="宋体" w:hAnsi="宋体" w:cs="宋体" w:eastAsia="宋体" w:hint="default"/>
          <w:sz w:val="21"/>
          <w:szCs w:val="21"/>
        </w:rPr>
      </w:pPr>
      <w:bookmarkStart w:name="30、预收款项" w:id="305"/>
      <w:bookmarkEnd w:id="305"/>
      <w:r>
        <w:rPr/>
      </w:r>
      <w:r>
        <w:rPr>
          <w:rFonts w:ascii="宋体" w:hAnsi="宋体" w:cs="宋体" w:eastAsia="宋体" w:hint="default"/>
          <w:b/>
          <w:bCs/>
          <w:sz w:val="21"/>
          <w:szCs w:val="21"/>
        </w:rPr>
        <w:t>30</w:t>
      </w:r>
      <w:r>
        <w:rPr>
          <w:rFonts w:ascii="宋体" w:hAnsi="宋体" w:cs="宋体" w:eastAsia="宋体" w:hint="default"/>
          <w:b/>
          <w:bCs/>
          <w:sz w:val="21"/>
          <w:szCs w:val="21"/>
        </w:rPr>
        <w:t>、预收款项</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预收款项列示" w:id="306"/>
      <w:bookmarkEnd w:id="306"/>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）预收款项列示</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32,384,940.02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61,265,980.07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32,384,940.02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61,265,980.07</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账龄超过1年的重要预收款项" w:id="307"/>
      <w:bookmarkEnd w:id="307"/>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）账龄超过</w:t>
      </w:r>
      <w:r>
        <w:rPr>
          <w:rFonts w:ascii="宋体" w:hAnsi="宋体" w:cs="宋体" w:eastAsia="宋体" w:hint="default"/>
          <w:b/>
          <w:bCs/>
          <w:spacing w:val="-55"/>
          <w:sz w:val="21"/>
          <w:szCs w:val="21"/>
        </w:rPr>
        <w:t> </w:t>
      </w:r>
      <w:r>
        <w:rPr>
          <w:rFonts w:ascii="宋体" w:hAnsi="宋体" w:cs="宋体" w:eastAsia="宋体" w:hint="default"/>
          <w:b/>
          <w:bCs/>
          <w:sz w:val="21"/>
          <w:szCs w:val="21"/>
        </w:rPr>
        <w:t>1</w:t>
      </w:r>
      <w:r>
        <w:rPr>
          <w:rFonts w:ascii="宋体" w:hAnsi="宋体" w:cs="宋体" w:eastAsia="宋体" w:hint="default"/>
          <w:b/>
          <w:bCs/>
          <w:spacing w:val="-56"/>
          <w:sz w:val="21"/>
          <w:szCs w:val="21"/>
        </w:rPr>
        <w:t> </w:t>
      </w:r>
      <w:r>
        <w:rPr>
          <w:rFonts w:ascii="宋体" w:hAnsi="宋体" w:cs="宋体" w:eastAsia="宋体" w:hint="default"/>
          <w:b/>
          <w:bCs/>
          <w:sz w:val="21"/>
          <w:szCs w:val="21"/>
        </w:rPr>
        <w:t>年的重要预收款项</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北京聚能鼎力科技股份有限公司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7,000,000.00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咪咕互动娱乐有限公司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南京游爱信息技术有限公司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1,930,000.00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中共中央党校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872,400.00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sz w:val="18"/>
              </w:rPr>
              <w:t>six waves Inc</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736,045.84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尚未结算</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6" w:type="dxa"/>
        <w:tblLayout w:type="fixed"/>
        <w:tblCellMar>
          <w:top w:w="0" w:type="dxa"/>
          <w:left w:w="0" w:type="dxa"/>
          <w:bottom w:w="0" w:type="dxa"/>
          <w:right w:w="0" w:type="dxa"/>
        </w:tblCellMar>
        <w:tblLook w:val="01E0"/>
      </w:tblPr>
      <w:tblGrid>
        <w:gridCol w:w="3190"/>
        <w:gridCol w:w="3194"/>
        <w:gridCol w:w="3177"/>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990" w:right="0"/>
              <w:jc w:val="left"/>
              <w:rPr>
                <w:rFonts w:ascii="宋体" w:hAnsi="宋体" w:cs="宋体" w:eastAsia="宋体" w:hint="default"/>
                <w:sz w:val="18"/>
                <w:szCs w:val="18"/>
              </w:rPr>
            </w:pPr>
            <w:r>
              <w:rPr>
                <w:rFonts w:ascii="宋体"/>
                <w:sz w:val="18"/>
              </w:rPr>
              <w:t>12,538,445.84</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sz w:val="18"/>
              </w:rPr>
              <w:t>--</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期末建造合同形成的已结算未完工项目情况" w:id="308"/>
      <w:bookmarkEnd w:id="308"/>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）期末建造合同形成的已结算未完工项目情况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1、应付职工薪酬" w:id="309"/>
      <w:bookmarkEnd w:id="309"/>
      <w:r>
        <w:rPr/>
      </w:r>
      <w:r>
        <w:rPr>
          <w:rFonts w:ascii="宋体" w:hAnsi="宋体" w:cs="宋体" w:eastAsia="宋体" w:hint="default"/>
          <w:b/>
          <w:bCs/>
          <w:sz w:val="21"/>
          <w:szCs w:val="21"/>
        </w:rPr>
        <w:t>31</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应付职工薪酬列示" w:id="310"/>
      <w:bookmarkEnd w:id="310"/>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）应付职工薪酬列示</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39,497,701.13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240,735,643.78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246,036,373.01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34,196,971.90</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4"/>
                <w:sz w:val="18"/>
                <w:szCs w:val="18"/>
              </w:rPr>
              <w:t>二、离职后福利</w:t>
            </w:r>
            <w:r>
              <w:rPr>
                <w:rFonts w:ascii="宋体" w:hAnsi="宋体" w:cs="宋体" w:eastAsia="宋体" w:hint="default"/>
                <w:spacing w:val="-4"/>
                <w:sz w:val="18"/>
                <w:szCs w:val="18"/>
              </w:rPr>
              <w:t>-</w:t>
            </w:r>
            <w:r>
              <w:rPr>
                <w:rFonts w:ascii="宋体" w:hAnsi="宋体" w:cs="宋体" w:eastAsia="宋体" w:hint="default"/>
                <w:spacing w:val="-4"/>
                <w:sz w:val="18"/>
                <w:szCs w:val="18"/>
              </w:rPr>
              <w:t>设定提</w:t>
            </w:r>
            <w:r>
              <w:rPr>
                <w:rFonts w:ascii="宋体" w:hAnsi="宋体" w:cs="宋体" w:eastAsia="宋体" w:hint="default"/>
                <w:spacing w:val="-80"/>
                <w:sz w:val="18"/>
                <w:szCs w:val="18"/>
              </w:rPr>
              <w:t> </w:t>
            </w:r>
            <w:r>
              <w:rPr>
                <w:rFonts w:ascii="宋体" w:hAnsi="宋体" w:cs="宋体" w:eastAsia="宋体" w:hint="default"/>
                <w:sz w:val="18"/>
                <w:szCs w:val="18"/>
              </w:rPr>
              <w:t>存计划</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1,689,306.92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23,875,985.93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23,900,736.80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1,664,556.05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5,384,670.44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5,384,670.44</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41,187,008.05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269,996,300.15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275,321,780.25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35,861,527.95</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短期薪酬列示" w:id="311"/>
      <w:bookmarkEnd w:id="311"/>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）短期薪酬列示</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9"/>
              <w:jc w:val="left"/>
              <w:rPr>
                <w:rFonts w:ascii="宋体" w:hAnsi="宋体" w:cs="宋体" w:eastAsia="宋体" w:hint="default"/>
                <w:sz w:val="18"/>
                <w:szCs w:val="18"/>
              </w:rPr>
            </w:pPr>
            <w:r>
              <w:rPr>
                <w:rFonts w:ascii="宋体" w:hAnsi="宋体" w:cs="宋体" w:eastAsia="宋体"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补贴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24,791,297.53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203,284,186.10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211,407,474.62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16,668,009.01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、职工福利费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3,965,299.79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3,965,299.79</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、社会保险费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986,725.55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13,793,616.58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13,836,879.32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943,462.81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6"/>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886,390.35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12,324,975.03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12,369,121.45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842,243.93</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5"/>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29,877.10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428,996.96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429,663.60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29,210.46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5"/>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70,458.10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1,039,644.59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1,038,094.27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72,008.42</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、住房公积金</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286,114.00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12,992,804.53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13,143,524.26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135,394.27</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9"/>
              <w:jc w:val="left"/>
              <w:rPr>
                <w:rFonts w:ascii="宋体" w:hAnsi="宋体" w:cs="宋体" w:eastAsia="宋体" w:hint="default"/>
                <w:sz w:val="18"/>
                <w:szCs w:val="18"/>
              </w:rPr>
            </w:pPr>
            <w:r>
              <w:rPr>
                <w:rFonts w:ascii="宋体" w:hAnsi="宋体" w:cs="宋体" w:eastAsia="宋体" w:hint="default"/>
                <w:spacing w:val="-4"/>
                <w:sz w:val="18"/>
                <w:szCs w:val="18"/>
              </w:rPr>
              <w:t>5</w:t>
            </w:r>
            <w:r>
              <w:rPr>
                <w:rFonts w:ascii="宋体" w:hAnsi="宋体" w:cs="宋体" w:eastAsia="宋体" w:hint="default"/>
                <w:spacing w:val="-4"/>
                <w:sz w:val="18"/>
                <w:szCs w:val="18"/>
              </w:rPr>
              <w:t>、工会经费和职工教育</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经费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13,433,564.05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6,699,736.78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3,683,195.02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16,450,105.81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39,497,701.13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240,735,643.78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246,036,373.01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34,196,971.90</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设定提存计划列示" w:id="312"/>
      <w:bookmarkEnd w:id="312"/>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）设定提存计划列示</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、基本养老保险</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1,621,820.14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22,892,561.26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22,920,170.46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1,594,210.94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、失业保险费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67,486.78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983,424.67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980,566.34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70,345.11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1,689,306.92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23,875,985.93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23,900,736.80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1,664,556.05</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2、应交税费" w:id="313"/>
      <w:bookmarkEnd w:id="313"/>
      <w:r>
        <w:rPr/>
      </w:r>
      <w:r>
        <w:rPr>
          <w:rFonts w:ascii="宋体" w:hAnsi="宋体" w:cs="宋体" w:eastAsia="宋体" w:hint="default"/>
          <w:b/>
          <w:bCs/>
          <w:sz w:val="21"/>
          <w:szCs w:val="21"/>
        </w:rPr>
        <w:t>32</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5,616,927.50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2,137,192.69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2,767,697.84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6,718,208.73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5,769,862.86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2,352,343.36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225,221.45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261,505.20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149,968.91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106,749.38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2,383,333.69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2,564,952.60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16,913,012.25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14,140,951.96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3、其他应付款" w:id="314"/>
      <w:bookmarkEnd w:id="314"/>
      <w:r>
        <w:rPr/>
      </w:r>
      <w:r>
        <w:rPr>
          <w:rFonts w:ascii="宋体" w:hAnsi="宋体" w:cs="宋体" w:eastAsia="宋体" w:hint="default"/>
          <w:b/>
          <w:bCs/>
          <w:sz w:val="21"/>
          <w:szCs w:val="21"/>
        </w:rPr>
        <w:t>33</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113,566.95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49,408.34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108,653.01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132,647.83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51,623,752.43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51,557,464.61</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51,845,972.39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51,739,520.78</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1）应付利息" w:id="315"/>
      <w:bookmarkEnd w:id="315"/>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）应付利息</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49,408.34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113,566.95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113,566.95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49,408.34</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应付股利" w:id="316"/>
      <w:bookmarkEnd w:id="316"/>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）应付股利</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108,653.01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132,647.83</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108,653.01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132,647.83</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其他应付款" w:id="317"/>
      <w:bookmarkEnd w:id="317"/>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rFonts w:ascii="宋体" w:hAnsi="宋体" w:cs="宋体" w:eastAsia="宋体" w:hint="default"/>
        </w:rPr>
        <w:t>1)</w:t>
      </w:r>
      <w:r>
        <w:rPr/>
        <w:t>按款项性质列示其他应付款</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51,623,752.43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51,557,464.61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51,623,752.43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51,557,464.61</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rFonts w:ascii="宋体" w:hAnsi="宋体" w:cs="宋体" w:eastAsia="宋体" w:hint="default"/>
        </w:rPr>
        <w:t>2)</w:t>
      </w:r>
      <w:r>
        <w:rPr/>
        <w:t>账龄超过</w:t>
      </w:r>
      <w:r>
        <w:rPr>
          <w:spacing w:val="-60"/>
        </w:rPr>
        <w:t> </w:t>
      </w:r>
      <w:r>
        <w:rPr>
          <w:rFonts w:ascii="宋体" w:hAnsi="宋体" w:cs="宋体" w:eastAsia="宋体" w:hint="default"/>
        </w:rPr>
        <w:t>1</w:t>
      </w:r>
      <w:r>
        <w:rPr>
          <w:rFonts w:ascii="宋体" w:hAnsi="宋体" w:cs="宋体" w:eastAsia="宋体" w:hint="default"/>
          <w:spacing w:val="-60"/>
        </w:rPr>
        <w:t> </w:t>
      </w:r>
      <w:r>
        <w:rPr/>
        <w:t>年的重要其他应付款</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本年无账龄超过</w:t>
      </w:r>
      <w:r>
        <w:rPr>
          <w:spacing w:val="-60"/>
        </w:rPr>
        <w:t> </w:t>
      </w:r>
      <w:r>
        <w:rPr>
          <w:rFonts w:ascii="宋体" w:hAnsi="宋体" w:cs="宋体" w:eastAsia="宋体" w:hint="default"/>
        </w:rPr>
        <w:t>1</w:t>
      </w:r>
      <w:r>
        <w:rPr>
          <w:rFonts w:ascii="宋体" w:hAnsi="宋体" w:cs="宋体" w:eastAsia="宋体" w:hint="default"/>
          <w:spacing w:val="-60"/>
        </w:rPr>
        <w:t> </w:t>
      </w:r>
      <w:r>
        <w:rPr/>
        <w:t>年的重要其他应付款。</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4、持有待售负债" w:id="318"/>
      <w:bookmarkEnd w:id="318"/>
      <w:r>
        <w:rPr/>
      </w:r>
      <w:r>
        <w:rPr>
          <w:rFonts w:ascii="宋体" w:hAnsi="宋体" w:cs="宋体" w:eastAsia="宋体" w:hint="default"/>
          <w:b/>
          <w:bCs/>
          <w:sz w:val="21"/>
          <w:szCs w:val="21"/>
        </w:rPr>
        <w:t>34</w:t>
      </w:r>
      <w:r>
        <w:rPr>
          <w:rFonts w:ascii="宋体" w:hAnsi="宋体" w:cs="宋体" w:eastAsia="宋体" w:hint="default"/>
          <w:b/>
          <w:bCs/>
          <w:sz w:val="21"/>
          <w:szCs w:val="21"/>
        </w:rPr>
        <w:t>、持有待售负债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5、一年内到期的非流动负债" w:id="319"/>
      <w:bookmarkEnd w:id="319"/>
      <w:r>
        <w:rPr/>
      </w:r>
      <w:r>
        <w:rPr>
          <w:rFonts w:ascii="宋体" w:hAnsi="宋体" w:cs="宋体" w:eastAsia="宋体" w:hint="default"/>
          <w:b/>
          <w:bCs/>
          <w:sz w:val="21"/>
          <w:szCs w:val="21"/>
        </w:rPr>
        <w:t>35</w:t>
      </w:r>
      <w:r>
        <w:rPr>
          <w:rFonts w:ascii="宋体" w:hAnsi="宋体" w:cs="宋体" w:eastAsia="宋体" w:hint="default"/>
          <w:b/>
          <w:bCs/>
          <w:sz w:val="21"/>
          <w:szCs w:val="21"/>
        </w:rPr>
        <w:t>、一年内到期的非流动负债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6、其他流动负债" w:id="320"/>
      <w:bookmarkEnd w:id="320"/>
      <w:r>
        <w:rPr/>
      </w:r>
      <w:r>
        <w:rPr>
          <w:rFonts w:ascii="宋体" w:hAnsi="宋体" w:cs="宋体" w:eastAsia="宋体" w:hint="default"/>
          <w:b/>
          <w:bCs/>
          <w:sz w:val="21"/>
          <w:szCs w:val="21"/>
        </w:rPr>
        <w:t>36</w:t>
      </w:r>
      <w:r>
        <w:rPr>
          <w:rFonts w:ascii="宋体" w:hAnsi="宋体" w:cs="宋体" w:eastAsia="宋体" w:hint="default"/>
          <w:b/>
          <w:bCs/>
          <w:sz w:val="21"/>
          <w:szCs w:val="21"/>
        </w:rPr>
        <w:t>、其他流动负债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7、长期借款" w:id="321"/>
      <w:bookmarkEnd w:id="321"/>
      <w:r>
        <w:rPr/>
      </w:r>
      <w:r>
        <w:rPr>
          <w:rFonts w:ascii="宋体" w:hAnsi="宋体" w:cs="宋体" w:eastAsia="宋体" w:hint="default"/>
          <w:b/>
          <w:bCs/>
          <w:sz w:val="21"/>
          <w:szCs w:val="21"/>
        </w:rPr>
        <w:t>37</w:t>
      </w:r>
      <w:r>
        <w:rPr>
          <w:rFonts w:ascii="宋体" w:hAnsi="宋体" w:cs="宋体" w:eastAsia="宋体" w:hint="default"/>
          <w:b/>
          <w:bCs/>
          <w:sz w:val="21"/>
          <w:szCs w:val="21"/>
        </w:rPr>
        <w:t>、长期借款</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长期借款分类" w:id="322"/>
      <w:bookmarkEnd w:id="322"/>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）长期借款分类</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30,000,000.00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30,000,000.00</w:t>
            </w:r>
          </w:p>
        </w:tc>
      </w:tr>
    </w:tbl>
    <w:p>
      <w:pPr>
        <w:spacing w:line="240" w:lineRule="auto" w:before="2"/>
        <w:rPr>
          <w:rFonts w:ascii="宋体" w:hAnsi="宋体" w:cs="宋体" w:eastAsia="宋体" w:hint="default"/>
          <w:sz w:val="19"/>
          <w:szCs w:val="19"/>
        </w:rPr>
      </w:pPr>
    </w:p>
    <w:p>
      <w:pPr>
        <w:spacing w:before="35"/>
        <w:ind w:left="29" w:right="9380" w:firstLine="0"/>
        <w:jc w:val="center"/>
        <w:rPr>
          <w:rFonts w:ascii="宋体" w:hAnsi="宋体" w:cs="宋体" w:eastAsia="宋体" w:hint="default"/>
          <w:sz w:val="21"/>
          <w:szCs w:val="21"/>
        </w:rPr>
      </w:pPr>
      <w:bookmarkStart w:name="38、应付债券" w:id="323"/>
      <w:bookmarkEnd w:id="323"/>
      <w:r>
        <w:rPr/>
      </w:r>
      <w:r>
        <w:rPr>
          <w:rFonts w:ascii="宋体" w:hAnsi="宋体" w:cs="宋体" w:eastAsia="宋体" w:hint="default"/>
          <w:b/>
          <w:bCs/>
          <w:sz w:val="21"/>
          <w:szCs w:val="21"/>
        </w:rPr>
        <w:t>38</w:t>
      </w:r>
      <w:r>
        <w:rPr>
          <w:rFonts w:ascii="宋体" w:hAnsi="宋体" w:cs="宋体" w:eastAsia="宋体" w:hint="default"/>
          <w:b/>
          <w:bCs/>
          <w:sz w:val="21"/>
          <w:szCs w:val="21"/>
        </w:rPr>
        <w:t>、应付债券</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34" w:right="9380" w:firstLine="0"/>
        <w:jc w:val="center"/>
        <w:rPr>
          <w:rFonts w:ascii="宋体" w:hAnsi="宋体" w:cs="宋体" w:eastAsia="宋体" w:hint="default"/>
          <w:sz w:val="21"/>
          <w:szCs w:val="21"/>
        </w:rPr>
      </w:pPr>
      <w:bookmarkStart w:name="（1）应付债券" w:id="324"/>
      <w:bookmarkEnd w:id="324"/>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）应付债券</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after="0" w:line="240" w:lineRule="auto"/>
        <w:jc w:val="center"/>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应付债券的增减变动（不包括划分为金融负债的优先股、永续债等其他金融工具）" w:id="325"/>
      <w:bookmarkEnd w:id="325"/>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）应付债券的增减变动（不包括划分为金融负债的优先股、永续债等其他金融工具）</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34" w:right="9310"/>
        <w:jc w:val="center"/>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可转换公司债券的转股条件、转股时间说明" w:id="326"/>
      <w:bookmarkEnd w:id="326"/>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）可转换公司债券的转股条件、转股时间说明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34" w:right="9310"/>
        <w:jc w:val="center"/>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划分为金融负债的其他金融工具说明" w:id="327"/>
      <w:bookmarkEnd w:id="327"/>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）划分为金融负债的其他金融工具说明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64" w:lineRule="auto" w:before="133"/>
        <w:ind w:left="153" w:right="9294" w:hanging="36"/>
        <w:jc w:val="center"/>
        <w:rPr>
          <w:rFonts w:ascii="宋体" w:hAnsi="宋体" w:cs="宋体" w:eastAsia="宋体" w:hint="default"/>
          <w:sz w:val="24"/>
          <w:szCs w:val="24"/>
        </w:rPr>
      </w:pPr>
      <w:r>
        <w:rPr>
          <w:rFonts w:ascii="宋体" w:hAnsi="宋体" w:cs="宋体" w:eastAsia="宋体" w:hint="default"/>
          <w:sz w:val="24"/>
          <w:szCs w:val="24"/>
        </w:rPr>
        <w:t>无。 </w:t>
      </w:r>
      <w:bookmarkStart w:name="39、长期应付款" w:id="328"/>
      <w:bookmarkEnd w:id="328"/>
      <w:r>
        <w:rPr>
          <w:rFonts w:ascii="宋体" w:hAnsi="宋体" w:cs="宋体" w:eastAsia="宋体" w:hint="default"/>
          <w:sz w:val="24"/>
          <w:szCs w:val="24"/>
        </w:rPr>
      </w:r>
      <w:r>
        <w:rPr>
          <w:rFonts w:ascii="宋体" w:hAnsi="宋体" w:cs="宋体" w:eastAsia="宋体" w:hint="default"/>
          <w:b/>
          <w:bCs/>
          <w:sz w:val="21"/>
          <w:szCs w:val="21"/>
        </w:rPr>
        <w:t>39</w:t>
      </w:r>
      <w:r>
        <w:rPr>
          <w:rFonts w:ascii="宋体" w:hAnsi="宋体" w:cs="宋体" w:eastAsia="宋体" w:hint="default"/>
          <w:b/>
          <w:bCs/>
          <w:sz w:val="21"/>
          <w:szCs w:val="21"/>
        </w:rPr>
        <w:t>、长期应付款</w:t>
      </w:r>
      <w:r>
        <w:rPr>
          <w:rFonts w:ascii="宋体" w:hAnsi="宋体" w:cs="宋体" w:eastAsia="宋体" w:hint="default"/>
          <w:b/>
          <w:bCs/>
          <w:w w:val="99"/>
          <w:sz w:val="21"/>
          <w:szCs w:val="21"/>
        </w:rPr>
        <w:t> </w:t>
      </w:r>
      <w:r>
        <w:rPr>
          <w:rFonts w:ascii="宋体" w:hAnsi="宋体" w:cs="宋体" w:eastAsia="宋体" w:hint="default"/>
          <w:sz w:val="24"/>
          <w:szCs w:val="24"/>
        </w:rPr>
        <w:t>无。</w:t>
      </w:r>
    </w:p>
    <w:p>
      <w:pPr>
        <w:spacing w:before="75"/>
        <w:ind w:left="154" w:right="1092" w:firstLine="0"/>
        <w:jc w:val="left"/>
        <w:rPr>
          <w:rFonts w:ascii="宋体" w:hAnsi="宋体" w:cs="宋体" w:eastAsia="宋体" w:hint="default"/>
          <w:sz w:val="21"/>
          <w:szCs w:val="21"/>
        </w:rPr>
      </w:pPr>
      <w:bookmarkStart w:name="40、长期应付职工薪酬" w:id="329"/>
      <w:bookmarkEnd w:id="329"/>
      <w:r>
        <w:rPr/>
      </w:r>
      <w:r>
        <w:rPr>
          <w:rFonts w:ascii="宋体" w:hAnsi="宋体" w:cs="宋体" w:eastAsia="宋体" w:hint="default"/>
          <w:b/>
          <w:bCs/>
          <w:sz w:val="21"/>
          <w:szCs w:val="21"/>
        </w:rPr>
        <w:t>40</w:t>
      </w:r>
      <w:r>
        <w:rPr>
          <w:rFonts w:ascii="宋体" w:hAnsi="宋体" w:cs="宋体" w:eastAsia="宋体" w:hint="default"/>
          <w:b/>
          <w:bCs/>
          <w:sz w:val="21"/>
          <w:szCs w:val="21"/>
        </w:rPr>
        <w:t>、长期应付职工薪酬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7"/>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1、预计负债" w:id="330"/>
      <w:bookmarkEnd w:id="330"/>
      <w:r>
        <w:rPr/>
      </w:r>
      <w:r>
        <w:rPr>
          <w:rFonts w:ascii="宋体" w:hAnsi="宋体" w:cs="宋体" w:eastAsia="宋体" w:hint="default"/>
          <w:b/>
          <w:bCs/>
          <w:sz w:val="21"/>
          <w:szCs w:val="21"/>
        </w:rPr>
        <w:t>41</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2、递延收益" w:id="331"/>
      <w:bookmarkEnd w:id="331"/>
      <w:r>
        <w:rPr/>
      </w:r>
      <w:r>
        <w:rPr>
          <w:rFonts w:ascii="宋体" w:hAnsi="宋体" w:cs="宋体" w:eastAsia="宋体" w:hint="default"/>
          <w:b/>
          <w:bCs/>
          <w:sz w:val="21"/>
          <w:szCs w:val="21"/>
        </w:rPr>
        <w:t>42</w:t>
      </w:r>
      <w:r>
        <w:rPr>
          <w:rFonts w:ascii="宋体" w:hAnsi="宋体" w:cs="宋体" w:eastAsia="宋体" w:hint="default"/>
          <w:b/>
          <w:bCs/>
          <w:sz w:val="21"/>
          <w:szCs w:val="21"/>
        </w:rPr>
        <w:t>、递延收益</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11,342,857.07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4,012,877.30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91" w:right="0"/>
              <w:jc w:val="left"/>
              <w:rPr>
                <w:rFonts w:ascii="宋体" w:hAnsi="宋体" w:cs="宋体" w:eastAsia="宋体" w:hint="default"/>
                <w:sz w:val="18"/>
                <w:szCs w:val="18"/>
              </w:rPr>
            </w:pPr>
            <w:r>
              <w:rPr>
                <w:rFonts w:ascii="宋体"/>
                <w:sz w:val="18"/>
              </w:rPr>
              <w:t>16,329,979.77</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递延服务收入（注 </w:t>
            </w:r>
            <w:r>
              <w:rPr>
                <w:rFonts w:ascii="宋体" w:hAnsi="宋体" w:cs="宋体" w:eastAsia="宋体" w:hint="default"/>
                <w:sz w:val="18"/>
                <w:szCs w:val="18"/>
              </w:rPr>
              <w:t>1</w:t>
            </w:r>
            <w:r>
              <w:rPr>
                <w:rFonts w:ascii="宋体" w:hAnsi="宋体" w:cs="宋体" w:eastAsia="宋体" w:hint="default"/>
                <w:sz w:val="18"/>
                <w:szCs w:val="18"/>
              </w:rPr>
              <w:t>）</w:t>
            </w:r>
          </w:p>
        </w:tc>
        <w:tc>
          <w:tcPr>
            <w:tcW w:w="1607"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6,354,221.20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25,300,625.97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10,811,290.40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91" w:right="0"/>
              <w:jc w:val="left"/>
              <w:rPr>
                <w:rFonts w:ascii="宋体" w:hAnsi="宋体" w:cs="宋体" w:eastAsia="宋体" w:hint="default"/>
                <w:sz w:val="18"/>
                <w:szCs w:val="18"/>
              </w:rPr>
            </w:pPr>
            <w:r>
              <w:rPr>
                <w:rFonts w:ascii="宋体"/>
                <w:sz w:val="18"/>
              </w:rPr>
              <w:t>20,843,556.77</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17,697,078.27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34,300,625.97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14,824,167.70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91" w:right="0"/>
              <w:jc w:val="left"/>
              <w:rPr>
                <w:rFonts w:ascii="宋体" w:hAnsi="宋体" w:cs="宋体" w:eastAsia="宋体" w:hint="default"/>
                <w:sz w:val="18"/>
                <w:szCs w:val="18"/>
              </w:rPr>
            </w:pPr>
            <w:r>
              <w:rPr>
                <w:rFonts w:ascii="宋体"/>
                <w:sz w:val="18"/>
              </w:rPr>
              <w:t>37,173,536.54</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sz w:val="18"/>
              </w:rPr>
              <w:t>--</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涉及政府补助的项目：</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65"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56" w:right="74"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75" w:right="76"/>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65"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6" w:right="29" w:hanging="45"/>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宋体" w:hAnsi="宋体" w:cs="宋体" w:eastAsia="宋体" w:hint="default"/>
                <w:sz w:val="18"/>
                <w:szCs w:val="18"/>
              </w:rPr>
              <w:t>/ </w:t>
            </w:r>
            <w:r>
              <w:rPr>
                <w:rFonts w:ascii="宋体" w:hAnsi="宋体" w:cs="宋体" w:eastAsia="宋体" w:hint="default"/>
                <w:sz w:val="18"/>
                <w:szCs w:val="18"/>
              </w:rPr>
              <w:t>与收益相关</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129"/>
              <w:jc w:val="left"/>
              <w:rPr>
                <w:rFonts w:ascii="宋体" w:hAnsi="宋体" w:cs="宋体" w:eastAsia="宋体" w:hint="default"/>
                <w:sz w:val="18"/>
                <w:szCs w:val="18"/>
              </w:rPr>
            </w:pPr>
            <w:r>
              <w:rPr>
                <w:rFonts w:ascii="宋体" w:hAnsi="宋体" w:cs="宋体" w:eastAsia="宋体" w:hint="default"/>
                <w:sz w:val="18"/>
                <w:szCs w:val="18"/>
              </w:rPr>
              <w:t>基于手机微 出版技术的</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2,399,999.9</w:t>
            </w:r>
          </w:p>
          <w:p>
            <w:pPr>
              <w:pStyle w:val="TableParagraph"/>
              <w:spacing w:line="240" w:lineRule="auto" w:before="77"/>
              <w:ind w:right="20"/>
              <w:jc w:val="right"/>
              <w:rPr>
                <w:rFonts w:ascii="宋体" w:hAnsi="宋体" w:cs="宋体" w:eastAsia="宋体" w:hint="default"/>
                <w:sz w:val="18"/>
                <w:szCs w:val="18"/>
              </w:rPr>
            </w:pPr>
            <w:r>
              <w:rPr>
                <w:rFonts w:ascii="宋体"/>
                <w:sz w:val="18"/>
              </w:rPr>
              <w:t>3</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9" w:right="0"/>
              <w:jc w:val="left"/>
              <w:rPr>
                <w:rFonts w:ascii="宋体" w:hAnsi="宋体" w:cs="宋体" w:eastAsia="宋体" w:hint="default"/>
                <w:sz w:val="18"/>
                <w:szCs w:val="18"/>
              </w:rPr>
            </w:pPr>
            <w:r>
              <w:rPr>
                <w:rFonts w:ascii="宋体"/>
                <w:sz w:val="18"/>
              </w:rPr>
              <w:t>800,000.04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1,599,999.8</w:t>
            </w:r>
          </w:p>
          <w:p>
            <w:pPr>
              <w:pStyle w:val="TableParagraph"/>
              <w:spacing w:line="240" w:lineRule="auto" w:before="77"/>
              <w:ind w:right="20"/>
              <w:jc w:val="right"/>
              <w:rPr>
                <w:rFonts w:ascii="宋体" w:hAnsi="宋体" w:cs="宋体" w:eastAsia="宋体" w:hint="default"/>
                <w:sz w:val="18"/>
                <w:szCs w:val="18"/>
              </w:rPr>
            </w:pPr>
            <w:r>
              <w:rPr>
                <w:rFonts w:ascii="宋体"/>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98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9"/>
              <w:jc w:val="both"/>
              <w:rPr>
                <w:rFonts w:ascii="宋体" w:hAnsi="宋体" w:cs="宋体" w:eastAsia="宋体" w:hint="default"/>
                <w:sz w:val="18"/>
                <w:szCs w:val="18"/>
              </w:rPr>
            </w:pPr>
            <w:r>
              <w:rPr>
                <w:rFonts w:ascii="宋体" w:hAnsi="宋体" w:cs="宋体" w:eastAsia="宋体" w:hint="default"/>
                <w:sz w:val="18"/>
                <w:szCs w:val="18"/>
              </w:rPr>
              <w:t>原创聚合暨 富媒体发布 平台项目</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落地补贴</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4,000,000.0</w:t>
            </w:r>
          </w:p>
          <w:p>
            <w:pPr>
              <w:pStyle w:val="TableParagraph"/>
              <w:spacing w:line="240" w:lineRule="auto" w:before="77"/>
              <w:ind w:right="20"/>
              <w:jc w:val="right"/>
              <w:rPr>
                <w:rFonts w:ascii="宋体" w:hAnsi="宋体" w:cs="宋体" w:eastAsia="宋体" w:hint="default"/>
                <w:sz w:val="18"/>
                <w:szCs w:val="18"/>
              </w:rPr>
            </w:pPr>
            <w:r>
              <w:rPr>
                <w:rFonts w:ascii="宋体"/>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3,000,000.0</w:t>
            </w:r>
          </w:p>
          <w:p>
            <w:pPr>
              <w:pStyle w:val="TableParagraph"/>
              <w:spacing w:line="240" w:lineRule="auto" w:before="77"/>
              <w:ind w:right="20"/>
              <w:jc w:val="right"/>
              <w:rPr>
                <w:rFonts w:ascii="宋体" w:hAnsi="宋体" w:cs="宋体" w:eastAsia="宋体" w:hint="default"/>
                <w:sz w:val="18"/>
                <w:szCs w:val="18"/>
              </w:rPr>
            </w:pPr>
            <w:r>
              <w:rPr>
                <w:rFonts w:ascii="宋体"/>
                <w:sz w:val="18"/>
              </w:rPr>
              <w:t>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98,591.54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6,901,408.4</w:t>
            </w:r>
          </w:p>
          <w:p>
            <w:pPr>
              <w:pStyle w:val="TableParagraph"/>
              <w:spacing w:line="240" w:lineRule="auto" w:before="77"/>
              <w:ind w:right="20"/>
              <w:jc w:val="right"/>
              <w:rPr>
                <w:rFonts w:ascii="宋体" w:hAnsi="宋体" w:cs="宋体" w:eastAsia="宋体" w:hint="default"/>
                <w:sz w:val="18"/>
                <w:szCs w:val="18"/>
              </w:rPr>
            </w:pPr>
            <w:r>
              <w:rPr>
                <w:rFonts w:ascii="宋体"/>
                <w:sz w:val="18"/>
              </w:rPr>
              <w:t>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购房补贴</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4,942,857.1</w:t>
            </w:r>
          </w:p>
          <w:p>
            <w:pPr>
              <w:pStyle w:val="TableParagraph"/>
              <w:spacing w:line="240" w:lineRule="auto" w:before="76"/>
              <w:ind w:right="20"/>
              <w:jc w:val="right"/>
              <w:rPr>
                <w:rFonts w:ascii="宋体" w:hAnsi="宋体" w:cs="宋体" w:eastAsia="宋体" w:hint="default"/>
                <w:sz w:val="18"/>
                <w:szCs w:val="18"/>
              </w:rPr>
            </w:pPr>
            <w:r>
              <w:rPr>
                <w:rFonts w:ascii="宋体"/>
                <w:sz w:val="18"/>
              </w:rPr>
              <w:t>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114,285.72</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4,828,571.4</w:t>
            </w:r>
          </w:p>
          <w:p>
            <w:pPr>
              <w:pStyle w:val="TableParagraph"/>
              <w:spacing w:line="240" w:lineRule="auto" w:before="76"/>
              <w:ind w:right="20"/>
              <w:jc w:val="right"/>
              <w:rPr>
                <w:rFonts w:ascii="宋体" w:hAnsi="宋体" w:cs="宋体" w:eastAsia="宋体" w:hint="default"/>
                <w:sz w:val="18"/>
                <w:szCs w:val="18"/>
              </w:rPr>
            </w:pPr>
            <w:r>
              <w:rPr>
                <w:rFonts w:ascii="宋体"/>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258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北京市科学 技术委员会 原创网络文 学作品</w:t>
            </w:r>
            <w:r>
              <w:rPr>
                <w:rFonts w:ascii="宋体" w:hAnsi="宋体" w:cs="宋体" w:eastAsia="宋体" w:hint="default"/>
                <w:spacing w:val="-46"/>
                <w:sz w:val="18"/>
                <w:szCs w:val="18"/>
              </w:rPr>
              <w:t> </w:t>
            </w:r>
            <w:r>
              <w:rPr>
                <w:rFonts w:ascii="宋体" w:hAnsi="宋体" w:cs="宋体" w:eastAsia="宋体" w:hint="default"/>
                <w:sz w:val="18"/>
                <w:szCs w:val="18"/>
              </w:rPr>
              <w:t>IP</w:t>
            </w:r>
            <w:r>
              <w:rPr>
                <w:rFonts w:ascii="宋体" w:hAnsi="宋体" w:cs="宋体" w:eastAsia="宋体" w:hint="default"/>
                <w:spacing w:val="-46"/>
                <w:sz w:val="18"/>
                <w:szCs w:val="18"/>
              </w:rPr>
              <w:t> </w:t>
            </w:r>
            <w:r>
              <w:rPr>
                <w:rFonts w:ascii="宋体" w:hAnsi="宋体" w:cs="宋体" w:eastAsia="宋体" w:hint="default"/>
                <w:sz w:val="18"/>
                <w:szCs w:val="18"/>
              </w:rPr>
              <w:t>价 值综合评估 服务平台研 发与应用项 目</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6,000,000.0</w:t>
            </w:r>
          </w:p>
          <w:p>
            <w:pPr>
              <w:pStyle w:val="TableParagraph"/>
              <w:spacing w:line="240" w:lineRule="auto" w:before="76"/>
              <w:ind w:right="20"/>
              <w:jc w:val="right"/>
              <w:rPr>
                <w:rFonts w:ascii="宋体" w:hAnsi="宋体" w:cs="宋体" w:eastAsia="宋体" w:hint="default"/>
                <w:sz w:val="18"/>
                <w:szCs w:val="18"/>
              </w:rPr>
            </w:pPr>
            <w:r>
              <w:rPr>
                <w:rFonts w:ascii="宋体"/>
                <w:sz w:val="18"/>
              </w:rPr>
              <w:t>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3"/>
              <w:jc w:val="right"/>
              <w:rPr>
                <w:rFonts w:ascii="宋体" w:hAnsi="宋体" w:cs="宋体" w:eastAsia="宋体" w:hint="default"/>
                <w:sz w:val="18"/>
                <w:szCs w:val="18"/>
              </w:rPr>
            </w:pPr>
            <w:r>
              <w:rPr>
                <w:rFonts w:ascii="宋体"/>
                <w:sz w:val="18"/>
              </w:rPr>
              <w:t>3,000,000.0</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3,000,000.0</w:t>
            </w:r>
          </w:p>
          <w:p>
            <w:pPr>
              <w:pStyle w:val="TableParagraph"/>
              <w:spacing w:line="240" w:lineRule="auto" w:before="76"/>
              <w:ind w:right="20"/>
              <w:jc w:val="right"/>
              <w:rPr>
                <w:rFonts w:ascii="宋体" w:hAnsi="宋体" w:cs="宋体" w:eastAsia="宋体" w:hint="default"/>
                <w:sz w:val="18"/>
                <w:szCs w:val="18"/>
              </w:rPr>
            </w:pPr>
            <w:r>
              <w:rPr>
                <w:rFonts w:ascii="宋体"/>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注</w:t>
      </w:r>
      <w:r>
        <w:rPr>
          <w:spacing w:val="-60"/>
        </w:rPr>
        <w:t> </w:t>
      </w:r>
      <w:r>
        <w:rPr>
          <w:rFonts w:ascii="宋体" w:hAnsi="宋体" w:cs="宋体" w:eastAsia="宋体" w:hint="default"/>
        </w:rPr>
        <w:t>1</w:t>
      </w:r>
      <w:r>
        <w:rPr/>
        <w:t>：递延服务收入主要是本集团书香中国业务、游戏业务等后续服务待确认的收入。</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3、其他非流动负债" w:id="332"/>
      <w:bookmarkEnd w:id="332"/>
      <w:r>
        <w:rPr/>
      </w:r>
      <w:r>
        <w:rPr>
          <w:rFonts w:ascii="宋体" w:hAnsi="宋体" w:cs="宋体" w:eastAsia="宋体" w:hint="default"/>
          <w:b/>
          <w:bCs/>
          <w:sz w:val="21"/>
          <w:szCs w:val="21"/>
        </w:rPr>
        <w:t>43</w:t>
      </w:r>
      <w:r>
        <w:rPr>
          <w:rFonts w:ascii="宋体" w:hAnsi="宋体" w:cs="宋体" w:eastAsia="宋体" w:hint="default"/>
          <w:b/>
          <w:bCs/>
          <w:sz w:val="21"/>
          <w:szCs w:val="21"/>
        </w:rPr>
        <w:t>、其他非流动负债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4、股本" w:id="333"/>
      <w:bookmarkEnd w:id="333"/>
      <w:r>
        <w:rPr/>
      </w:r>
      <w:r>
        <w:rPr>
          <w:rFonts w:ascii="宋体" w:hAnsi="宋体" w:cs="宋体" w:eastAsia="宋体" w:hint="default"/>
          <w:b/>
          <w:bCs/>
          <w:sz w:val="21"/>
          <w:szCs w:val="21"/>
        </w:rPr>
        <w:t>44</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184"/>
        <w:gridCol w:w="1196"/>
        <w:gridCol w:w="1196"/>
        <w:gridCol w:w="1197"/>
        <w:gridCol w:w="1195"/>
        <w:gridCol w:w="1197"/>
        <w:gridCol w:w="1196"/>
        <w:gridCol w:w="1195"/>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5982"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宋体" w:hAnsi="宋体" w:cs="宋体" w:eastAsia="宋体" w:hint="default"/>
                <w:sz w:val="18"/>
                <w:szCs w:val="18"/>
              </w:rPr>
              <w:t>+</w:t>
            </w:r>
            <w:r>
              <w:rPr>
                <w:rFonts w:ascii="宋体" w:hAnsi="宋体" w:cs="宋体" w:eastAsia="宋体" w:hint="default"/>
                <w:sz w:val="18"/>
                <w:szCs w:val="18"/>
              </w:rPr>
              <w:t>、—）</w:t>
            </w:r>
          </w:p>
        </w:tc>
        <w:tc>
          <w:tcPr>
            <w:tcW w:w="119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2" w:type="dxa"/>
            <w:gridSpan w:val="5"/>
            <w:vMerge/>
            <w:tcBorders>
              <w:left w:val="single" w:sz="4" w:space="0" w:color="000000"/>
              <w:bottom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2"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195"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6" w:type="dxa"/>
            <w:vMerge w:val="restart"/>
            <w:tcBorders>
              <w:top w:val="single" w:sz="4" w:space="0" w:color="000000"/>
              <w:left w:val="single" w:sz="10" w:space="0" w:color="D2D2D2"/>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711,157,430.</w:t>
            </w:r>
          </w:p>
          <w:p>
            <w:pPr>
              <w:pStyle w:val="TableParagraph"/>
              <w:spacing w:line="240" w:lineRule="auto" w:before="77"/>
              <w:ind w:right="20"/>
              <w:jc w:val="right"/>
              <w:rPr>
                <w:rFonts w:ascii="宋体" w:hAnsi="宋体" w:cs="宋体" w:eastAsia="宋体" w:hint="default"/>
                <w:sz w:val="18"/>
                <w:szCs w:val="18"/>
              </w:rPr>
            </w:pPr>
            <w:r>
              <w:rPr>
                <w:rFonts w:ascii="宋体"/>
                <w:sz w:val="18"/>
              </w:rPr>
              <w:t>00</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64,020,004.0</w:t>
            </w:r>
          </w:p>
          <w:p>
            <w:pPr>
              <w:pStyle w:val="TableParagraph"/>
              <w:spacing w:line="240" w:lineRule="auto" w:before="77"/>
              <w:ind w:right="20"/>
              <w:jc w:val="right"/>
              <w:rPr>
                <w:rFonts w:ascii="宋体" w:hAnsi="宋体" w:cs="宋体" w:eastAsia="宋体" w:hint="default"/>
                <w:sz w:val="18"/>
                <w:szCs w:val="18"/>
              </w:rPr>
            </w:pPr>
            <w:r>
              <w:rPr>
                <w:rFonts w:ascii="宋体"/>
                <w:sz w:val="18"/>
              </w:rPr>
              <w:t>0</w:t>
            </w:r>
          </w:p>
        </w:tc>
        <w:tc>
          <w:tcPr>
            <w:tcW w:w="1197" w:type="dxa"/>
            <w:vMerge w:val="restart"/>
            <w:tcBorders>
              <w:top w:val="single" w:sz="4" w:space="0" w:color="000000"/>
              <w:left w:val="single" w:sz="4" w:space="0" w:color="000000"/>
              <w:right w:val="single" w:sz="4" w:space="0" w:color="000000"/>
            </w:tcBorders>
          </w:tcPr>
          <w:p>
            <w:pPr/>
          </w:p>
        </w:tc>
        <w:tc>
          <w:tcPr>
            <w:tcW w:w="1195" w:type="dxa"/>
            <w:vMerge w:val="restart"/>
            <w:tcBorders>
              <w:top w:val="single" w:sz="4" w:space="0" w:color="000000"/>
              <w:left w:val="single" w:sz="4" w:space="0" w:color="000000"/>
              <w:right w:val="single" w:sz="4" w:space="0" w:color="000000"/>
            </w:tcBorders>
          </w:tcPr>
          <w:p>
            <w:pPr/>
          </w:p>
        </w:tc>
        <w:tc>
          <w:tcPr>
            <w:tcW w:w="1197" w:type="dxa"/>
            <w:vMerge w:val="restart"/>
            <w:tcBorders>
              <w:top w:val="single" w:sz="4" w:space="0" w:color="000000"/>
              <w:left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-3,179,184.0</w:t>
            </w:r>
          </w:p>
          <w:p>
            <w:pPr>
              <w:pStyle w:val="TableParagraph"/>
              <w:spacing w:line="240" w:lineRule="auto" w:before="77"/>
              <w:ind w:right="20"/>
              <w:jc w:val="right"/>
              <w:rPr>
                <w:rFonts w:ascii="宋体" w:hAnsi="宋体" w:cs="宋体" w:eastAsia="宋体" w:hint="default"/>
                <w:sz w:val="18"/>
                <w:szCs w:val="18"/>
              </w:rPr>
            </w:pPr>
            <w:r>
              <w:rPr>
                <w:rFonts w:ascii="宋体"/>
                <w:sz w:val="18"/>
              </w:rPr>
              <w:t>0</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60,840,820.0</w:t>
            </w:r>
          </w:p>
          <w:p>
            <w:pPr>
              <w:pStyle w:val="TableParagraph"/>
              <w:spacing w:line="240" w:lineRule="auto" w:before="77"/>
              <w:ind w:right="23"/>
              <w:jc w:val="right"/>
              <w:rPr>
                <w:rFonts w:ascii="宋体" w:hAnsi="宋体" w:cs="宋体" w:eastAsia="宋体" w:hint="default"/>
                <w:sz w:val="18"/>
                <w:szCs w:val="18"/>
              </w:rPr>
            </w:pPr>
            <w:r>
              <w:rPr>
                <w:rFonts w:ascii="宋体"/>
                <w:sz w:val="18"/>
              </w:rPr>
              <w:t>0</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771,998,250.</w:t>
            </w:r>
          </w:p>
          <w:p>
            <w:pPr>
              <w:pStyle w:val="TableParagraph"/>
              <w:spacing w:line="240" w:lineRule="auto" w:before="77"/>
              <w:ind w:right="20"/>
              <w:jc w:val="right"/>
              <w:rPr>
                <w:rFonts w:ascii="宋体" w:hAnsi="宋体" w:cs="宋体" w:eastAsia="宋体" w:hint="default"/>
                <w:sz w:val="18"/>
                <w:szCs w:val="18"/>
              </w:rPr>
            </w:pPr>
            <w:r>
              <w:rPr>
                <w:rFonts w:ascii="宋体"/>
                <w:sz w:val="18"/>
              </w:rPr>
              <w:t>00</w:t>
            </w:r>
          </w:p>
        </w:tc>
      </w:tr>
      <w:tr>
        <w:trPr>
          <w:trHeight w:val="392" w:hRule="exact"/>
        </w:trPr>
        <w:tc>
          <w:tcPr>
            <w:tcW w:w="1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6" w:type="dxa"/>
            <w:vMerge/>
            <w:tcBorders>
              <w:left w:val="single" w:sz="10"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7"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197"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r>
      <w:tr>
        <w:trPr>
          <w:trHeight w:val="161"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vMerge/>
            <w:tcBorders>
              <w:left w:val="single" w:sz="10"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7"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197"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434" w:lineRule="auto" w:before="26"/>
        <w:ind w:left="634" w:right="7152"/>
        <w:jc w:val="left"/>
      </w:pPr>
      <w:r>
        <w:rPr/>
        <w:t>其他说明： 本年股本增减变动主要包括：</w:t>
      </w:r>
    </w:p>
    <w:p>
      <w:pPr>
        <w:pStyle w:val="BodyText"/>
        <w:spacing w:line="357" w:lineRule="auto" w:before="58"/>
        <w:ind w:right="1130" w:firstLine="480"/>
        <w:jc w:val="both"/>
      </w:pPr>
      <w:r>
        <w:rPr/>
        <w:t>（</w:t>
      </w:r>
      <w:r>
        <w:rPr>
          <w:rFonts w:ascii="宋体" w:hAnsi="宋体" w:cs="宋体" w:eastAsia="宋体" w:hint="default"/>
        </w:rPr>
        <w:t>1</w:t>
      </w:r>
      <w:r>
        <w:rPr/>
        <w:t>）</w:t>
      </w:r>
      <w:r>
        <w:rPr>
          <w:rFonts w:ascii="宋体" w:hAnsi="宋体" w:cs="宋体" w:eastAsia="宋体" w:hint="default"/>
        </w:rPr>
        <w:t>2018</w:t>
      </w:r>
      <w:r>
        <w:rPr>
          <w:rFonts w:ascii="宋体" w:hAnsi="宋体" w:cs="宋体" w:eastAsia="宋体" w:hint="default"/>
          <w:spacing w:val="-65"/>
        </w:rPr>
        <w:t> </w:t>
      </w:r>
      <w:r>
        <w:rPr/>
        <w:t>年</w:t>
      </w:r>
      <w:r>
        <w:rPr>
          <w:spacing w:val="-65"/>
        </w:rPr>
        <w:t> </w:t>
      </w:r>
      <w:r>
        <w:rPr>
          <w:rFonts w:ascii="宋体" w:hAnsi="宋体" w:cs="宋体" w:eastAsia="宋体" w:hint="default"/>
        </w:rPr>
        <w:t>1</w:t>
      </w:r>
      <w:r>
        <w:rPr>
          <w:rFonts w:ascii="宋体" w:hAnsi="宋体" w:cs="宋体" w:eastAsia="宋体" w:hint="default"/>
          <w:spacing w:val="-65"/>
        </w:rPr>
        <w:t> </w:t>
      </w:r>
      <w:r>
        <w:rPr/>
        <w:t>月</w:t>
      </w:r>
      <w:r>
        <w:rPr>
          <w:spacing w:val="-65"/>
        </w:rPr>
        <w:t> </w:t>
      </w:r>
      <w:r>
        <w:rPr>
          <w:rFonts w:ascii="宋体" w:hAnsi="宋体" w:cs="宋体" w:eastAsia="宋体" w:hint="default"/>
        </w:rPr>
        <w:t>29</w:t>
      </w:r>
      <w:r>
        <w:rPr>
          <w:rFonts w:ascii="宋体" w:hAnsi="宋体" w:cs="宋体" w:eastAsia="宋体" w:hint="default"/>
          <w:spacing w:val="-65"/>
        </w:rPr>
        <w:t> </w:t>
      </w:r>
      <w:r>
        <w:rPr/>
        <w:t>日，根据中国证券监督管理委员会《关于核准中文在线数字出版集 </w:t>
      </w:r>
      <w:r>
        <w:rPr>
          <w:spacing w:val="-4"/>
        </w:rPr>
        <w:t>团股份有限公司向朱明等发行股份购买资产的批复》（证监许可</w:t>
      </w:r>
      <w:r>
        <w:rPr>
          <w:rFonts w:ascii="宋体" w:hAnsi="宋体" w:cs="宋体" w:eastAsia="宋体" w:hint="default"/>
          <w:spacing w:val="-4"/>
        </w:rPr>
        <w:t>[2018]220</w:t>
      </w:r>
      <w:r>
        <w:rPr>
          <w:rFonts w:ascii="宋体" w:hAnsi="宋体" w:cs="宋体" w:eastAsia="宋体" w:hint="default"/>
          <w:spacing w:val="29"/>
        </w:rPr>
        <w:t> </w:t>
      </w:r>
      <w:r>
        <w:rPr>
          <w:spacing w:val="-15"/>
        </w:rPr>
        <w:t>号），核准本公司</w:t>
      </w:r>
      <w:r>
        <w:rPr>
          <w:spacing w:val="-112"/>
        </w:rPr>
        <w:t> </w:t>
      </w:r>
      <w:r>
        <w:rPr>
          <w:spacing w:val="-112"/>
        </w:rPr>
      </w:r>
      <w:r>
        <w:rPr/>
        <w:t>向自然人朱明发行</w:t>
      </w:r>
      <w:r>
        <w:rPr>
          <w:spacing w:val="-60"/>
        </w:rPr>
        <w:t> </w:t>
      </w:r>
      <w:r>
        <w:rPr>
          <w:rFonts w:ascii="宋体" w:hAnsi="宋体" w:cs="宋体" w:eastAsia="宋体" w:hint="default"/>
        </w:rPr>
        <w:t>50,509,831</w:t>
      </w:r>
      <w:r>
        <w:rPr>
          <w:rFonts w:ascii="宋体" w:hAnsi="宋体" w:cs="宋体" w:eastAsia="宋体" w:hint="default"/>
          <w:spacing w:val="-60"/>
        </w:rPr>
        <w:t> </w:t>
      </w:r>
      <w:r>
        <w:rPr>
          <w:spacing w:val="-4"/>
        </w:rPr>
        <w:t>股股份、向上海海通数媒创业投资管理中心发行</w:t>
      </w:r>
      <w:r>
        <w:rPr>
          <w:spacing w:val="-60"/>
        </w:rPr>
        <w:t> </w:t>
      </w:r>
      <w:r>
        <w:rPr>
          <w:rFonts w:ascii="宋体" w:hAnsi="宋体" w:cs="宋体" w:eastAsia="宋体" w:hint="default"/>
        </w:rPr>
        <w:t>3,843,868</w:t>
      </w:r>
      <w:r>
        <w:rPr>
          <w:rFonts w:ascii="宋体" w:hAnsi="宋体" w:cs="宋体" w:eastAsia="宋体" w:hint="default"/>
          <w:spacing w:val="-60"/>
        </w:rPr>
        <w:t> </w:t>
      </w:r>
      <w:r>
        <w:rPr/>
        <w:t>股</w:t>
      </w:r>
    </w:p>
    <w:p>
      <w:pPr>
        <w:pStyle w:val="BodyText"/>
        <w:spacing w:line="240" w:lineRule="auto" w:before="36"/>
        <w:ind w:right="1092"/>
        <w:jc w:val="left"/>
      </w:pPr>
      <w:r>
        <w:rPr/>
        <w:t>股份、向上海贝琛网森创业投资合伙企业（有限合伙）发行 </w:t>
      </w:r>
      <w:r>
        <w:rPr>
          <w:rFonts w:ascii="宋体" w:hAnsi="宋体" w:cs="宋体" w:eastAsia="宋体" w:hint="default"/>
        </w:rPr>
        <w:t>2,682,260</w:t>
      </w:r>
      <w:r>
        <w:rPr>
          <w:rFonts w:ascii="宋体" w:hAnsi="宋体" w:cs="宋体" w:eastAsia="宋体" w:hint="default"/>
          <w:spacing w:val="-81"/>
        </w:rPr>
        <w:t> </w:t>
      </w:r>
      <w:r>
        <w:rPr/>
        <w:t>股股份、向深圳朗泽</w:t>
      </w:r>
    </w:p>
    <w:p>
      <w:pPr>
        <w:pStyle w:val="BodyText"/>
        <w:spacing w:line="240" w:lineRule="auto" w:before="154"/>
        <w:ind w:right="1092"/>
        <w:jc w:val="left"/>
      </w:pPr>
      <w:r>
        <w:rPr/>
        <w:t>稳健一号产学研投资合伙企业（有限合伙）发行 </w:t>
      </w:r>
      <w:r>
        <w:rPr>
          <w:rFonts w:ascii="宋体" w:hAnsi="宋体" w:cs="宋体" w:eastAsia="宋体" w:hint="default"/>
        </w:rPr>
        <w:t>2,835,576</w:t>
      </w:r>
      <w:r>
        <w:rPr>
          <w:rFonts w:ascii="宋体" w:hAnsi="宋体" w:cs="宋体" w:eastAsia="宋体" w:hint="default"/>
          <w:spacing w:val="-81"/>
        </w:rPr>
        <w:t> </w:t>
      </w:r>
      <w:r>
        <w:rPr/>
        <w:t>股股份、向上海优美缔股权投资</w:t>
      </w:r>
    </w:p>
    <w:p>
      <w:pPr>
        <w:spacing w:after="0" w:line="240" w:lineRule="auto"/>
        <w:jc w:val="left"/>
        <w:sectPr>
          <w:footerReference w:type="default" r:id="rId38"/>
          <w:pgSz w:w="11910" w:h="16840"/>
          <w:pgMar w:footer="979" w:header="877" w:top="1100" w:bottom="1160" w:left="980" w:right="0"/>
        </w:sectPr>
      </w:pPr>
    </w:p>
    <w:p>
      <w:pPr>
        <w:spacing w:line="240" w:lineRule="auto" w:before="7"/>
        <w:rPr>
          <w:rFonts w:ascii="宋体" w:hAnsi="宋体" w:cs="宋体" w:eastAsia="宋体" w:hint="default"/>
          <w:sz w:val="25"/>
          <w:szCs w:val="25"/>
        </w:rPr>
      </w:pPr>
    </w:p>
    <w:p>
      <w:pPr>
        <w:pStyle w:val="BodyText"/>
        <w:spacing w:line="240" w:lineRule="auto" w:before="26"/>
        <w:ind w:right="0"/>
        <w:jc w:val="both"/>
      </w:pPr>
      <w:r>
        <w:rPr>
          <w:spacing w:val="-4"/>
        </w:rPr>
        <w:t>基金合伙企业（有限合伙）发行</w:t>
      </w:r>
      <w:r>
        <w:rPr>
          <w:spacing w:val="-58"/>
        </w:rPr>
        <w:t> </w:t>
      </w:r>
      <w:r>
        <w:rPr>
          <w:rFonts w:ascii="宋体" w:hAnsi="宋体" w:cs="宋体" w:eastAsia="宋体" w:hint="default"/>
        </w:rPr>
        <w:t>1,672,716</w:t>
      </w:r>
      <w:r>
        <w:rPr>
          <w:rFonts w:ascii="宋体" w:hAnsi="宋体" w:cs="宋体" w:eastAsia="宋体" w:hint="default"/>
          <w:spacing w:val="-58"/>
        </w:rPr>
        <w:t> </w:t>
      </w:r>
      <w:r>
        <w:rPr>
          <w:spacing w:val="-3"/>
        </w:rPr>
        <w:t>股股份、向自然人王小川发行</w:t>
      </w:r>
      <w:r>
        <w:rPr>
          <w:spacing w:val="-58"/>
        </w:rPr>
        <w:t> </w:t>
      </w:r>
      <w:r>
        <w:rPr>
          <w:rFonts w:ascii="宋体" w:hAnsi="宋体" w:cs="宋体" w:eastAsia="宋体" w:hint="default"/>
        </w:rPr>
        <w:t>1,060,232</w:t>
      </w:r>
      <w:r>
        <w:rPr>
          <w:rFonts w:ascii="宋体" w:hAnsi="宋体" w:cs="宋体" w:eastAsia="宋体" w:hint="default"/>
          <w:spacing w:val="-58"/>
        </w:rPr>
        <w:t> </w:t>
      </w:r>
      <w:r>
        <w:rPr/>
        <w:t>股股份、</w:t>
      </w:r>
    </w:p>
    <w:p>
      <w:pPr>
        <w:pStyle w:val="BodyText"/>
        <w:spacing w:line="357" w:lineRule="auto" w:before="154"/>
        <w:ind w:right="1130"/>
        <w:jc w:val="both"/>
      </w:pPr>
      <w:r>
        <w:rPr/>
        <w:t>向自然人孙宝娟发行</w:t>
      </w:r>
      <w:r>
        <w:rPr>
          <w:spacing w:val="-63"/>
        </w:rPr>
        <w:t> </w:t>
      </w:r>
      <w:r>
        <w:rPr>
          <w:rFonts w:ascii="宋体" w:hAnsi="宋体" w:cs="宋体" w:eastAsia="宋体" w:hint="default"/>
        </w:rPr>
        <w:t>967,773</w:t>
      </w:r>
      <w:r>
        <w:rPr>
          <w:rFonts w:ascii="宋体" w:hAnsi="宋体" w:cs="宋体" w:eastAsia="宋体" w:hint="default"/>
          <w:spacing w:val="-64"/>
        </w:rPr>
        <w:t> </w:t>
      </w:r>
      <w:r>
        <w:rPr>
          <w:spacing w:val="-15"/>
        </w:rPr>
        <w:t>股股份、向上海国鸿智臻投资合伙企业（有限合伙）发行</w:t>
      </w:r>
      <w:r>
        <w:rPr>
          <w:spacing w:val="-63"/>
        </w:rPr>
        <w:t> </w:t>
      </w:r>
      <w:r>
        <w:rPr>
          <w:rFonts w:ascii="宋体" w:hAnsi="宋体" w:cs="宋体" w:eastAsia="宋体" w:hint="default"/>
        </w:rPr>
        <w:t>447,748 </w:t>
      </w:r>
      <w:r>
        <w:rPr/>
        <w:t>股股份购买相关资产。被购买资产作价依据为经上海东洲资产评估有限公司出具的东洲评报 字</w:t>
      </w:r>
      <w:r>
        <w:rPr>
          <w:rFonts w:ascii="宋体" w:hAnsi="宋体" w:cs="宋体" w:eastAsia="宋体" w:hint="default"/>
        </w:rPr>
        <w:t>[2017]</w:t>
      </w:r>
      <w:r>
        <w:rPr/>
        <w:t>第</w:t>
      </w:r>
      <w:r>
        <w:rPr>
          <w:spacing w:val="-53"/>
        </w:rPr>
        <w:t> </w:t>
      </w:r>
      <w:r>
        <w:rPr>
          <w:rFonts w:ascii="宋体" w:hAnsi="宋体" w:cs="宋体" w:eastAsia="宋体" w:hint="default"/>
        </w:rPr>
        <w:t>0580</w:t>
      </w:r>
      <w:r>
        <w:rPr>
          <w:rFonts w:ascii="宋体" w:hAnsi="宋体" w:cs="宋体" w:eastAsia="宋体" w:hint="default"/>
          <w:spacing w:val="-53"/>
        </w:rPr>
        <w:t> </w:t>
      </w:r>
      <w:r>
        <w:rPr>
          <w:spacing w:val="-3"/>
        </w:rPr>
        <w:t>号《中文在线数字出版集团股份有限公司拟发行股份及支付现金购买上海晨</w:t>
      </w:r>
      <w:r>
        <w:rPr/>
        <w:t> 之科信息技术有限公司</w:t>
      </w:r>
      <w:r>
        <w:rPr>
          <w:spacing w:val="-58"/>
        </w:rPr>
        <w:t> </w:t>
      </w:r>
      <w:r>
        <w:rPr>
          <w:rFonts w:ascii="宋体" w:hAnsi="宋体" w:cs="宋体" w:eastAsia="宋体" w:hint="default"/>
          <w:spacing w:val="-8"/>
        </w:rPr>
        <w:t>80%</w:t>
      </w:r>
      <w:r>
        <w:rPr>
          <w:spacing w:val="-8"/>
        </w:rPr>
        <w:t>股权所涉及的股东全部权益价值评估报告》。晨之科</w:t>
      </w:r>
      <w:r>
        <w:rPr>
          <w:spacing w:val="-58"/>
        </w:rPr>
        <w:t> </w:t>
      </w:r>
      <w:r>
        <w:rPr>
          <w:rFonts w:ascii="宋体" w:hAnsi="宋体" w:cs="宋体" w:eastAsia="宋体" w:hint="default"/>
        </w:rPr>
        <w:t>100%</w:t>
      </w:r>
      <w:r>
        <w:rPr/>
        <w:t>股权的评 估值为</w:t>
      </w:r>
      <w:r>
        <w:rPr>
          <w:spacing w:val="-41"/>
        </w:rPr>
        <w:t> </w:t>
      </w:r>
      <w:r>
        <w:rPr>
          <w:rFonts w:ascii="宋体" w:hAnsi="宋体" w:cs="宋体" w:eastAsia="宋体" w:hint="default"/>
        </w:rPr>
        <w:t>186,030.00</w:t>
      </w:r>
      <w:r>
        <w:rPr>
          <w:rFonts w:ascii="宋体" w:hAnsi="宋体" w:cs="宋体" w:eastAsia="宋体" w:hint="default"/>
          <w:spacing w:val="-41"/>
        </w:rPr>
        <w:t> </w:t>
      </w:r>
      <w:r>
        <w:rPr/>
        <w:t>万元。经友好协商，晨之科</w:t>
      </w:r>
      <w:r>
        <w:rPr>
          <w:spacing w:val="-41"/>
        </w:rPr>
        <w:t> </w:t>
      </w:r>
      <w:r>
        <w:rPr>
          <w:rFonts w:ascii="宋体" w:hAnsi="宋体" w:cs="宋体" w:eastAsia="宋体" w:hint="default"/>
        </w:rPr>
        <w:t>80%</w:t>
      </w:r>
      <w:r>
        <w:rPr/>
        <w:t>股权的交易价格为</w:t>
      </w:r>
      <w:r>
        <w:rPr>
          <w:spacing w:val="-41"/>
        </w:rPr>
        <w:t> </w:t>
      </w:r>
      <w:r>
        <w:rPr>
          <w:rFonts w:ascii="宋体" w:hAnsi="宋体" w:cs="宋体" w:eastAsia="宋体" w:hint="default"/>
        </w:rPr>
        <w:t>147,260.00</w:t>
      </w:r>
      <w:r>
        <w:rPr>
          <w:rFonts w:ascii="宋体" w:hAnsi="宋体" w:cs="宋体" w:eastAsia="宋体" w:hint="default"/>
          <w:spacing w:val="-41"/>
        </w:rPr>
        <w:t> </w:t>
      </w:r>
      <w:r>
        <w:rPr/>
        <w:t>万元，其</w:t>
      </w:r>
    </w:p>
    <w:p>
      <w:pPr>
        <w:pStyle w:val="BodyText"/>
        <w:spacing w:line="240" w:lineRule="auto" w:before="36"/>
        <w:ind w:right="0"/>
        <w:jc w:val="both"/>
      </w:pPr>
      <w:r>
        <w:rPr/>
        <w:t>中本公司以现金方式支付</w:t>
      </w:r>
      <w:r>
        <w:rPr>
          <w:spacing w:val="-58"/>
        </w:rPr>
        <w:t> </w:t>
      </w:r>
      <w:r>
        <w:rPr>
          <w:rFonts w:ascii="宋体" w:hAnsi="宋体" w:cs="宋体" w:eastAsia="宋体" w:hint="default"/>
        </w:rPr>
        <w:t>44,956.03</w:t>
      </w:r>
      <w:r>
        <w:rPr>
          <w:rFonts w:ascii="宋体" w:hAnsi="宋体" w:cs="宋体" w:eastAsia="宋体" w:hint="default"/>
          <w:spacing w:val="-58"/>
        </w:rPr>
        <w:t> </w:t>
      </w:r>
      <w:r>
        <w:rPr>
          <w:spacing w:val="-4"/>
        </w:rPr>
        <w:t>万元；以发行股份方式支付</w:t>
      </w:r>
      <w:r>
        <w:rPr>
          <w:spacing w:val="-58"/>
        </w:rPr>
        <w:t> </w:t>
      </w:r>
      <w:r>
        <w:rPr>
          <w:rFonts w:ascii="宋体" w:hAnsi="宋体" w:cs="宋体" w:eastAsia="宋体" w:hint="default"/>
        </w:rPr>
        <w:t>102,303.97</w:t>
      </w:r>
      <w:r>
        <w:rPr>
          <w:rFonts w:ascii="宋体" w:hAnsi="宋体" w:cs="宋体" w:eastAsia="宋体" w:hint="default"/>
          <w:spacing w:val="-58"/>
        </w:rPr>
        <w:t> </w:t>
      </w:r>
      <w:r>
        <w:rPr>
          <w:spacing w:val="-6"/>
        </w:rPr>
        <w:t>万元，发行股份</w:t>
      </w:r>
    </w:p>
    <w:p>
      <w:pPr>
        <w:pStyle w:val="BodyText"/>
        <w:spacing w:line="240" w:lineRule="auto" w:before="155"/>
        <w:ind w:right="0"/>
        <w:jc w:val="both"/>
      </w:pPr>
      <w:r>
        <w:rPr/>
        <w:t>数为</w:t>
      </w:r>
      <w:r>
        <w:rPr>
          <w:spacing w:val="-60"/>
        </w:rPr>
        <w:t> </w:t>
      </w:r>
      <w:r>
        <w:rPr>
          <w:rFonts w:ascii="宋体" w:hAnsi="宋体" w:cs="宋体" w:eastAsia="宋体" w:hint="default"/>
        </w:rPr>
        <w:t>64,020,004</w:t>
      </w:r>
      <w:r>
        <w:rPr>
          <w:rFonts w:ascii="宋体" w:hAnsi="宋体" w:cs="宋体" w:eastAsia="宋体" w:hint="default"/>
          <w:spacing w:val="-60"/>
        </w:rPr>
        <w:t> </w:t>
      </w:r>
      <w:r>
        <w:rPr/>
        <w:t>股。</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w:t>
      </w:r>
      <w:r>
        <w:rPr>
          <w:rFonts w:ascii="宋体" w:hAnsi="宋体" w:cs="宋体" w:eastAsia="宋体" w:hint="default"/>
        </w:rPr>
        <w:t>2</w:t>
      </w:r>
      <w:r>
        <w:rPr/>
        <w:t>）其他减少</w:t>
      </w:r>
      <w:r>
        <w:rPr>
          <w:spacing w:val="-60"/>
        </w:rPr>
        <w:t> </w:t>
      </w:r>
      <w:r>
        <w:rPr>
          <w:rFonts w:ascii="宋体" w:hAnsi="宋体" w:cs="宋体" w:eastAsia="宋体" w:hint="default"/>
        </w:rPr>
        <w:t>3,179,184</w:t>
      </w:r>
      <w:r>
        <w:rPr>
          <w:rFonts w:ascii="宋体" w:hAnsi="宋体" w:cs="宋体" w:eastAsia="宋体" w:hint="default"/>
          <w:spacing w:val="-60"/>
        </w:rPr>
        <w:t> </w:t>
      </w:r>
      <w:r>
        <w:rPr/>
        <w:t>股为限制性股票回购注销。</w:t>
      </w:r>
    </w:p>
    <w:p>
      <w:pPr>
        <w:spacing w:line="240" w:lineRule="auto" w:before="6"/>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45、其他权益工具" w:id="334"/>
      <w:bookmarkEnd w:id="334"/>
      <w:r>
        <w:rPr/>
      </w:r>
      <w:r>
        <w:rPr>
          <w:rFonts w:ascii="宋体" w:hAnsi="宋体" w:cs="宋体" w:eastAsia="宋体" w:hint="default"/>
          <w:b/>
          <w:bCs/>
          <w:sz w:val="21"/>
          <w:szCs w:val="21"/>
        </w:rPr>
        <w:t>45</w:t>
      </w:r>
      <w:r>
        <w:rPr>
          <w:rFonts w:ascii="宋体" w:hAnsi="宋体" w:cs="宋体" w:eastAsia="宋体" w:hint="default"/>
          <w:b/>
          <w:bCs/>
          <w:sz w:val="21"/>
          <w:szCs w:val="21"/>
        </w:rPr>
        <w:t>、其他权益工具</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46、资本公积" w:id="335"/>
      <w:bookmarkEnd w:id="335"/>
      <w:r>
        <w:rPr/>
      </w:r>
      <w:r>
        <w:rPr>
          <w:rFonts w:ascii="宋体" w:hAnsi="宋体" w:cs="宋体" w:eastAsia="宋体" w:hint="default"/>
          <w:b/>
          <w:bCs/>
          <w:sz w:val="21"/>
          <w:szCs w:val="21"/>
        </w:rPr>
        <w:t>46</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1,624,320,254.66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959,019,696.00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28,741,503.31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2,554,598,447.35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72,897,393.06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18,644,920.71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670,056.41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90,872,257.36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其中：股份支付</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72,897,393.06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9,040,577.66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81,937,970.72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1,697,217,647.72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977,664,616.71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29,411,559.72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2,645,470,704.71</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其他说明，包括本期增减变动情况、变动原因说明：</w:t>
      </w:r>
    </w:p>
    <w:p>
      <w:pPr>
        <w:spacing w:line="240" w:lineRule="auto" w:before="5"/>
        <w:rPr>
          <w:rFonts w:ascii="宋体" w:hAnsi="宋体" w:cs="宋体" w:eastAsia="宋体" w:hint="default"/>
          <w:sz w:val="19"/>
          <w:szCs w:val="19"/>
        </w:rPr>
      </w:pPr>
    </w:p>
    <w:p>
      <w:pPr>
        <w:pStyle w:val="BodyText"/>
        <w:spacing w:line="240" w:lineRule="auto"/>
        <w:ind w:left="0" w:right="1109"/>
        <w:jc w:val="right"/>
      </w:pPr>
      <w:r>
        <w:rPr>
          <w:rFonts w:ascii="宋体" w:hAnsi="宋体" w:cs="宋体" w:eastAsia="宋体" w:hint="default"/>
        </w:rPr>
        <w:t>1</w:t>
      </w:r>
      <w:r>
        <w:rPr/>
        <w:t>、股本溢价增加 </w:t>
      </w:r>
      <w:r>
        <w:rPr>
          <w:rFonts w:ascii="宋体" w:hAnsi="宋体" w:cs="宋体" w:eastAsia="宋体" w:hint="default"/>
        </w:rPr>
        <w:t>959,019,696.00</w:t>
      </w:r>
      <w:r>
        <w:rPr>
          <w:rFonts w:ascii="宋体" w:hAnsi="宋体" w:cs="宋体" w:eastAsia="宋体" w:hint="default"/>
          <w:spacing w:val="-60"/>
        </w:rPr>
        <w:t> </w:t>
      </w:r>
      <w:r>
        <w:rPr/>
        <w:t>元如附注股本所述，为发行股份收购晨之科溢价款；</w:t>
      </w:r>
    </w:p>
    <w:p>
      <w:pPr>
        <w:pStyle w:val="BodyText"/>
        <w:spacing w:line="432" w:lineRule="auto" w:before="155"/>
        <w:ind w:left="634" w:right="1117" w:hanging="480"/>
        <w:jc w:val="left"/>
        <w:rPr>
          <w:rFonts w:ascii="宋体" w:hAnsi="宋体" w:cs="宋体" w:eastAsia="宋体" w:hint="default"/>
        </w:rPr>
      </w:pPr>
      <w:r>
        <w:rPr/>
        <w:t>股本溢价减少</w:t>
      </w:r>
      <w:r>
        <w:rPr>
          <w:spacing w:val="-60"/>
        </w:rPr>
        <w:t> </w:t>
      </w:r>
      <w:r>
        <w:rPr>
          <w:rFonts w:ascii="宋体" w:hAnsi="宋体" w:cs="宋体" w:eastAsia="宋体" w:hint="default"/>
        </w:rPr>
        <w:t>28,741,503.31</w:t>
      </w:r>
      <w:r>
        <w:rPr>
          <w:rFonts w:ascii="宋体" w:hAnsi="宋体" w:cs="宋体" w:eastAsia="宋体" w:hint="default"/>
          <w:spacing w:val="-60"/>
        </w:rPr>
        <w:t> </w:t>
      </w:r>
      <w:r>
        <w:rPr/>
        <w:t>元为限制性股票回购减少。 </w:t>
      </w:r>
      <w:r>
        <w:rPr>
          <w:rFonts w:ascii="宋体" w:hAnsi="宋体" w:cs="宋体" w:eastAsia="宋体" w:hint="default"/>
        </w:rPr>
        <w:t>2</w:t>
      </w:r>
      <w:r>
        <w:rPr/>
        <w:t>、其他资本公积增加主要是本期确认的股份支付</w:t>
      </w:r>
      <w:r>
        <w:rPr>
          <w:spacing w:val="-70"/>
        </w:rPr>
        <w:t> </w:t>
      </w:r>
      <w:r>
        <w:rPr>
          <w:rFonts w:ascii="宋体" w:hAnsi="宋体" w:cs="宋体" w:eastAsia="宋体" w:hint="default"/>
        </w:rPr>
        <w:t>9,040,577.66</w:t>
      </w:r>
      <w:r>
        <w:rPr>
          <w:rFonts w:ascii="宋体" w:hAnsi="宋体" w:cs="宋体" w:eastAsia="宋体" w:hint="default"/>
          <w:spacing w:val="-70"/>
        </w:rPr>
        <w:t> </w:t>
      </w:r>
      <w:r>
        <w:rPr>
          <w:spacing w:val="-9"/>
        </w:rPr>
        <w:t>元，及转让</w:t>
      </w:r>
      <w:r>
        <w:rPr>
          <w:spacing w:val="-70"/>
        </w:rPr>
        <w:t> </w:t>
      </w:r>
      <w:r>
        <w:rPr>
          <w:rFonts w:ascii="宋体" w:hAnsi="宋体" w:cs="宋体" w:eastAsia="宋体" w:hint="default"/>
        </w:rPr>
        <w:t>CRAZY</w:t>
      </w:r>
      <w:r>
        <w:rPr>
          <w:rFonts w:ascii="宋体" w:hAnsi="宋体" w:cs="宋体" w:eastAsia="宋体" w:hint="default"/>
          <w:spacing w:val="-70"/>
        </w:rPr>
        <w:t> </w:t>
      </w:r>
      <w:r>
        <w:rPr>
          <w:rFonts w:ascii="宋体" w:hAnsi="宋体" w:cs="宋体" w:eastAsia="宋体" w:hint="default"/>
        </w:rPr>
        <w:t>MAPLE</w:t>
      </w:r>
    </w:p>
    <w:p>
      <w:pPr>
        <w:pStyle w:val="BodyText"/>
        <w:spacing w:line="276" w:lineRule="exact"/>
        <w:ind w:right="1092"/>
        <w:jc w:val="left"/>
      </w:pPr>
      <w:r>
        <w:rPr>
          <w:rFonts w:ascii="宋体" w:hAnsi="宋体" w:cs="宋体" w:eastAsia="宋体" w:hint="default"/>
        </w:rPr>
        <w:t>STUDIO,</w:t>
      </w:r>
      <w:r>
        <w:rPr>
          <w:rFonts w:ascii="宋体" w:hAnsi="宋体" w:cs="宋体" w:eastAsia="宋体" w:hint="default"/>
          <w:spacing w:val="-41"/>
        </w:rPr>
        <w:t> </w:t>
      </w:r>
      <w:r>
        <w:rPr>
          <w:rFonts w:ascii="宋体" w:hAnsi="宋体" w:cs="宋体" w:eastAsia="宋体" w:hint="default"/>
        </w:rPr>
        <w:t>INC.</w:t>
      </w:r>
      <w:r>
        <w:rPr>
          <w:rFonts w:ascii="宋体" w:hAnsi="宋体" w:cs="宋体" w:eastAsia="宋体" w:hint="default"/>
          <w:spacing w:val="-41"/>
        </w:rPr>
        <w:t> </w:t>
      </w:r>
      <w:r>
        <w:rPr>
          <w:rFonts w:ascii="宋体" w:hAnsi="宋体" w:cs="宋体" w:eastAsia="宋体" w:hint="default"/>
        </w:rPr>
        <w:t>49%</w:t>
      </w:r>
      <w:r>
        <w:rPr/>
        <w:t>股权增加</w:t>
      </w:r>
      <w:r>
        <w:rPr>
          <w:spacing w:val="-60"/>
        </w:rPr>
        <w:t> </w:t>
      </w:r>
      <w:r>
        <w:rPr>
          <w:rFonts w:ascii="宋体" w:hAnsi="宋体" w:cs="宋体" w:eastAsia="宋体" w:hint="default"/>
        </w:rPr>
        <w:t>8,920,510.66</w:t>
      </w:r>
      <w:r>
        <w:rPr>
          <w:rFonts w:ascii="宋体" w:hAnsi="宋体" w:cs="宋体" w:eastAsia="宋体" w:hint="default"/>
          <w:spacing w:val="-60"/>
        </w:rPr>
        <w:t> </w:t>
      </w:r>
      <w:r>
        <w:rPr/>
        <w:t>元。其他资本公积减少系收购北京汤圆和它的小伙</w:t>
      </w:r>
    </w:p>
    <w:p>
      <w:pPr>
        <w:pStyle w:val="BodyText"/>
        <w:spacing w:line="240" w:lineRule="auto" w:before="155"/>
        <w:ind w:right="1092"/>
        <w:jc w:val="left"/>
      </w:pPr>
      <w:r>
        <w:rPr/>
        <w:t>伴们网络科技有限公司</w:t>
      </w:r>
      <w:r>
        <w:rPr>
          <w:spacing w:val="-60"/>
        </w:rPr>
        <w:t> </w:t>
      </w:r>
      <w:r>
        <w:rPr>
          <w:rFonts w:ascii="宋体" w:hAnsi="宋体" w:cs="宋体" w:eastAsia="宋体" w:hint="default"/>
        </w:rPr>
        <w:t>13.5%</w:t>
      </w:r>
      <w:r>
        <w:rPr/>
        <w:t>股份减少</w:t>
      </w:r>
      <w:r>
        <w:rPr>
          <w:spacing w:val="-60"/>
        </w:rPr>
        <w:t> </w:t>
      </w:r>
      <w:r>
        <w:rPr>
          <w:rFonts w:ascii="宋体" w:hAnsi="宋体" w:cs="宋体" w:eastAsia="宋体" w:hint="default"/>
        </w:rPr>
        <w:t>670,056.41</w:t>
      </w:r>
      <w:r>
        <w:rPr>
          <w:rFonts w:ascii="宋体" w:hAnsi="宋体" w:cs="宋体" w:eastAsia="宋体" w:hint="default"/>
          <w:spacing w:val="-60"/>
        </w:rPr>
        <w:t> </w:t>
      </w:r>
      <w:r>
        <w:rPr/>
        <w:t>元。</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7、库存股" w:id="336"/>
      <w:bookmarkEnd w:id="336"/>
      <w:r>
        <w:rPr/>
      </w:r>
      <w:r>
        <w:rPr>
          <w:rFonts w:ascii="宋体" w:hAnsi="宋体" w:cs="宋体" w:eastAsia="宋体" w:hint="default"/>
          <w:b/>
          <w:bCs/>
          <w:sz w:val="21"/>
          <w:szCs w:val="21"/>
        </w:rPr>
        <w:t>47</w:t>
      </w:r>
      <w:r>
        <w:rPr>
          <w:rFonts w:ascii="宋体" w:hAnsi="宋体" w:cs="宋体" w:eastAsia="宋体" w:hint="default"/>
          <w:b/>
          <w:bCs/>
          <w:sz w:val="21"/>
          <w:szCs w:val="21"/>
        </w:rPr>
        <w:t>、库存股</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footerReference w:type="default" r:id="rId39"/>
          <w:pgSz w:w="11910" w:h="16840"/>
          <w:pgMar w:footer="979" w:header="877" w:top="1100" w:bottom="1160" w:left="980" w:right="0"/>
          <w:pgNumType w:start="201"/>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限制性股票（注</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z w:val="18"/>
                <w:szCs w:val="18"/>
              </w:rPr>
              <w:t>）</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49,750,916.92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49,750,916.92</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49,750,916.92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49,750,916.92</w:t>
            </w: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其他说明，包括本期增减变动情况、变动原因说明：</w:t>
      </w:r>
    </w:p>
    <w:p>
      <w:pPr>
        <w:spacing w:line="240" w:lineRule="auto" w:before="5"/>
        <w:rPr>
          <w:rFonts w:ascii="宋体" w:hAnsi="宋体" w:cs="宋体" w:eastAsia="宋体" w:hint="default"/>
          <w:sz w:val="19"/>
          <w:szCs w:val="19"/>
        </w:rPr>
      </w:pPr>
    </w:p>
    <w:p>
      <w:pPr>
        <w:pStyle w:val="BodyText"/>
        <w:spacing w:line="357" w:lineRule="auto"/>
        <w:ind w:right="1130" w:firstLine="480"/>
        <w:jc w:val="both"/>
      </w:pPr>
      <w:r>
        <w:rPr/>
        <w:t>注</w:t>
      </w:r>
      <w:r>
        <w:rPr>
          <w:spacing w:val="-60"/>
        </w:rPr>
        <w:t> </w:t>
      </w:r>
      <w:r>
        <w:rPr>
          <w:rFonts w:ascii="宋体" w:hAnsi="宋体" w:cs="宋体" w:eastAsia="宋体" w:hint="default"/>
          <w:spacing w:val="-14"/>
        </w:rPr>
        <w:t>1</w:t>
      </w:r>
      <w:r>
        <w:rPr>
          <w:spacing w:val="-14"/>
        </w:rPr>
        <w:t>：</w:t>
      </w:r>
      <w:r>
        <w:rPr>
          <w:rFonts w:ascii="宋体" w:hAnsi="宋体" w:cs="宋体" w:eastAsia="宋体" w:hint="default"/>
          <w:spacing w:val="-14"/>
        </w:rPr>
        <w:t>2018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24</w:t>
      </w:r>
      <w:r>
        <w:rPr>
          <w:rFonts w:ascii="宋体" w:hAnsi="宋体" w:cs="宋体" w:eastAsia="宋体" w:hint="default"/>
          <w:spacing w:val="-60"/>
        </w:rPr>
        <w:t> </w:t>
      </w:r>
      <w:r>
        <w:rPr/>
        <w:t>日本公司召开第三届董事会第十三次会议和第三届监事会第十一次 </w:t>
      </w:r>
      <w:r>
        <w:rPr>
          <w:spacing w:val="-5"/>
        </w:rPr>
        <w:t>会议，分别审议通过了《关于回购注销部分限制性股票的议案》，根据公司《第三期股票期权</w:t>
      </w:r>
      <w:r>
        <w:rPr/>
        <w:t> </w:t>
      </w:r>
      <w:r>
        <w:rPr>
          <w:spacing w:val="-6"/>
        </w:rPr>
        <w:t>与限制性股票激励计划》和《第三期股票期权与限制性股票实施考核管理办法》，由于</w:t>
      </w:r>
      <w:r>
        <w:rPr>
          <w:spacing w:val="-48"/>
        </w:rPr>
        <w:t> </w:t>
      </w:r>
      <w:r>
        <w:rPr>
          <w:rFonts w:ascii="宋体" w:hAnsi="宋体" w:cs="宋体" w:eastAsia="宋体" w:hint="default"/>
        </w:rPr>
        <w:t>7</w:t>
      </w:r>
      <w:r>
        <w:rPr>
          <w:rFonts w:ascii="宋体" w:hAnsi="宋体" w:cs="宋体" w:eastAsia="宋体" w:hint="default"/>
          <w:spacing w:val="-49"/>
        </w:rPr>
        <w:t> </w:t>
      </w:r>
      <w:r>
        <w:rPr/>
        <w:t>名激 励对象因个人原因离职，已不符合公司第三期股票期权与限制性股票计划中有关激励对象的 规定，董事会审议决定取消上述激励对象资格并回购注销其已获授但尚未解锁的全部限制性 股票共计</w:t>
      </w:r>
      <w:r>
        <w:rPr>
          <w:spacing w:val="-54"/>
        </w:rPr>
        <w:t> </w:t>
      </w:r>
      <w:r>
        <w:rPr>
          <w:rFonts w:ascii="宋体" w:hAnsi="宋体" w:cs="宋体" w:eastAsia="宋体" w:hint="default"/>
        </w:rPr>
        <w:t>1,704,591</w:t>
      </w:r>
      <w:r>
        <w:rPr>
          <w:rFonts w:ascii="宋体" w:hAnsi="宋体" w:cs="宋体" w:eastAsia="宋体" w:hint="default"/>
          <w:spacing w:val="-54"/>
        </w:rPr>
        <w:t> </w:t>
      </w:r>
      <w:r>
        <w:rPr/>
        <w:t>股，其中首次授予部分回购人数</w:t>
      </w:r>
      <w:r>
        <w:rPr>
          <w:spacing w:val="-54"/>
        </w:rPr>
        <w:t> </w:t>
      </w:r>
      <w:r>
        <w:rPr>
          <w:rFonts w:ascii="宋体" w:hAnsi="宋体" w:cs="宋体" w:eastAsia="宋体" w:hint="default"/>
        </w:rPr>
        <w:t>5</w:t>
      </w:r>
      <w:r>
        <w:rPr>
          <w:rFonts w:ascii="宋体" w:hAnsi="宋体" w:cs="宋体" w:eastAsia="宋体" w:hint="default"/>
          <w:spacing w:val="-53"/>
        </w:rPr>
        <w:t> </w:t>
      </w:r>
      <w:r>
        <w:rPr/>
        <w:t>人，回购股份共计</w:t>
      </w:r>
      <w:r>
        <w:rPr>
          <w:spacing w:val="-54"/>
        </w:rPr>
        <w:t> </w:t>
      </w:r>
      <w:r>
        <w:rPr>
          <w:rFonts w:ascii="宋体" w:hAnsi="宋体" w:cs="宋体" w:eastAsia="宋体" w:hint="default"/>
        </w:rPr>
        <w:t>1,256,528</w:t>
      </w:r>
      <w:r>
        <w:rPr>
          <w:rFonts w:ascii="宋体" w:hAnsi="宋体" w:cs="宋体" w:eastAsia="宋体" w:hint="default"/>
          <w:spacing w:val="-54"/>
        </w:rPr>
        <w:t> </w:t>
      </w:r>
      <w:r>
        <w:rPr/>
        <w:t>股，回</w:t>
      </w:r>
    </w:p>
    <w:p>
      <w:pPr>
        <w:pStyle w:val="BodyText"/>
        <w:spacing w:line="240" w:lineRule="auto" w:before="36"/>
        <w:ind w:right="0"/>
        <w:jc w:val="both"/>
      </w:pPr>
      <w:r>
        <w:rPr/>
        <w:t>购价格为</w:t>
      </w:r>
      <w:r>
        <w:rPr>
          <w:spacing w:val="-64"/>
        </w:rPr>
        <w:t> </w:t>
      </w:r>
      <w:r>
        <w:rPr>
          <w:rFonts w:ascii="宋体" w:hAnsi="宋体" w:cs="宋体" w:eastAsia="宋体" w:hint="default"/>
        </w:rPr>
        <w:t>10.00</w:t>
      </w:r>
      <w:r>
        <w:rPr>
          <w:rFonts w:ascii="宋体" w:hAnsi="宋体" w:cs="宋体" w:eastAsia="宋体" w:hint="default"/>
          <w:spacing w:val="-64"/>
        </w:rPr>
        <w:t> </w:t>
      </w:r>
      <w:r>
        <w:rPr/>
        <w:t>元</w:t>
      </w:r>
      <w:r>
        <w:rPr>
          <w:rFonts w:ascii="宋体" w:hAnsi="宋体" w:cs="宋体" w:eastAsia="宋体" w:hint="default"/>
        </w:rPr>
        <w:t>/</w:t>
      </w:r>
      <w:r>
        <w:rPr/>
        <w:t>股；预留授予部分回购人数</w:t>
      </w:r>
      <w:r>
        <w:rPr>
          <w:spacing w:val="-64"/>
        </w:rPr>
        <w:t> </w:t>
      </w:r>
      <w:r>
        <w:rPr>
          <w:rFonts w:ascii="宋体" w:hAnsi="宋体" w:cs="宋体" w:eastAsia="宋体" w:hint="default"/>
        </w:rPr>
        <w:t>2</w:t>
      </w:r>
      <w:r>
        <w:rPr>
          <w:rFonts w:ascii="宋体" w:hAnsi="宋体" w:cs="宋体" w:eastAsia="宋体" w:hint="default"/>
          <w:spacing w:val="-64"/>
        </w:rPr>
        <w:t> </w:t>
      </w:r>
      <w:r>
        <w:rPr>
          <w:spacing w:val="-4"/>
        </w:rPr>
        <w:t>人，回购股份共计</w:t>
      </w:r>
      <w:r>
        <w:rPr>
          <w:spacing w:val="-64"/>
        </w:rPr>
        <w:t> </w:t>
      </w:r>
      <w:r>
        <w:rPr>
          <w:rFonts w:ascii="宋体" w:hAnsi="宋体" w:cs="宋体" w:eastAsia="宋体" w:hint="default"/>
        </w:rPr>
        <w:t>448,063</w:t>
      </w:r>
      <w:r>
        <w:rPr>
          <w:rFonts w:ascii="宋体" w:hAnsi="宋体" w:cs="宋体" w:eastAsia="宋体" w:hint="default"/>
          <w:spacing w:val="-64"/>
        </w:rPr>
        <w:t> </w:t>
      </w:r>
      <w:r>
        <w:rPr>
          <w:spacing w:val="-4"/>
        </w:rPr>
        <w:t>股，回购价格为</w:t>
      </w:r>
    </w:p>
    <w:p>
      <w:pPr>
        <w:pStyle w:val="BodyText"/>
        <w:spacing w:line="240" w:lineRule="auto" w:before="155"/>
        <w:ind w:right="0"/>
        <w:jc w:val="both"/>
      </w:pPr>
      <w:r>
        <w:rPr>
          <w:rFonts w:ascii="宋体" w:hAnsi="宋体" w:cs="宋体" w:eastAsia="宋体" w:hint="default"/>
        </w:rPr>
        <w:t>10.25</w:t>
      </w:r>
      <w:r>
        <w:rPr>
          <w:rFonts w:ascii="宋体" w:hAnsi="宋体" w:cs="宋体" w:eastAsia="宋体" w:hint="default"/>
          <w:spacing w:val="-60"/>
        </w:rPr>
        <w:t> </w:t>
      </w:r>
      <w:r>
        <w:rPr/>
        <w:t>元</w:t>
      </w:r>
      <w:r>
        <w:rPr>
          <w:rFonts w:ascii="宋体" w:hAnsi="宋体" w:cs="宋体" w:eastAsia="宋体" w:hint="default"/>
        </w:rPr>
        <w:t>/</w:t>
      </w:r>
      <w:r>
        <w:rPr/>
        <w:t>股。</w:t>
      </w:r>
    </w:p>
    <w:p>
      <w:pPr>
        <w:spacing w:line="240" w:lineRule="auto" w:before="4"/>
        <w:rPr>
          <w:rFonts w:ascii="宋体" w:hAnsi="宋体" w:cs="宋体" w:eastAsia="宋体" w:hint="default"/>
          <w:sz w:val="19"/>
          <w:szCs w:val="19"/>
        </w:rPr>
      </w:pPr>
    </w:p>
    <w:p>
      <w:pPr>
        <w:pStyle w:val="BodyText"/>
        <w:spacing w:line="357" w:lineRule="auto"/>
        <w:ind w:right="1130" w:firstLine="480"/>
        <w:jc w:val="both"/>
      </w:pPr>
      <w:r>
        <w:rPr>
          <w:rFonts w:ascii="宋体" w:hAnsi="宋体" w:cs="宋体" w:eastAsia="宋体" w:hint="default"/>
        </w:rPr>
        <w:t>2018</w:t>
      </w:r>
      <w:r>
        <w:rPr>
          <w:rFonts w:ascii="宋体" w:hAnsi="宋体" w:cs="宋体" w:eastAsia="宋体" w:hint="default"/>
          <w:spacing w:val="-64"/>
        </w:rPr>
        <w:t> </w:t>
      </w:r>
      <w:r>
        <w:rPr/>
        <w:t>年</w:t>
      </w:r>
      <w:r>
        <w:rPr>
          <w:spacing w:val="-64"/>
        </w:rPr>
        <w:t> </w:t>
      </w:r>
      <w:r>
        <w:rPr>
          <w:rFonts w:ascii="宋体" w:hAnsi="宋体" w:cs="宋体" w:eastAsia="宋体" w:hint="default"/>
        </w:rPr>
        <w:t>7</w:t>
      </w:r>
      <w:r>
        <w:rPr>
          <w:rFonts w:ascii="宋体" w:hAnsi="宋体" w:cs="宋体" w:eastAsia="宋体" w:hint="default"/>
          <w:spacing w:val="-64"/>
        </w:rPr>
        <w:t> </w:t>
      </w:r>
      <w:r>
        <w:rPr/>
        <w:t>月</w:t>
      </w:r>
      <w:r>
        <w:rPr>
          <w:spacing w:val="-64"/>
        </w:rPr>
        <w:t> </w:t>
      </w:r>
      <w:r>
        <w:rPr>
          <w:rFonts w:ascii="宋体" w:hAnsi="宋体" w:cs="宋体" w:eastAsia="宋体" w:hint="default"/>
        </w:rPr>
        <w:t>20</w:t>
      </w:r>
      <w:r>
        <w:rPr>
          <w:rFonts w:ascii="宋体" w:hAnsi="宋体" w:cs="宋体" w:eastAsia="宋体" w:hint="default"/>
          <w:spacing w:val="-64"/>
        </w:rPr>
        <w:t> </w:t>
      </w:r>
      <w:r>
        <w:rPr/>
        <w:t>日召开的</w:t>
      </w:r>
      <w:r>
        <w:rPr>
          <w:spacing w:val="-64"/>
        </w:rPr>
        <w:t> </w:t>
      </w:r>
      <w:r>
        <w:rPr>
          <w:rFonts w:ascii="宋体" w:hAnsi="宋体" w:cs="宋体" w:eastAsia="宋体" w:hint="default"/>
        </w:rPr>
        <w:t>2018</w:t>
      </w:r>
      <w:r>
        <w:rPr>
          <w:rFonts w:ascii="宋体" w:hAnsi="宋体" w:cs="宋体" w:eastAsia="宋体" w:hint="default"/>
          <w:spacing w:val="-64"/>
        </w:rPr>
        <w:t> </w:t>
      </w:r>
      <w:r>
        <w:rPr/>
        <w:t>年第二次临时股东大会决议，审议通过了《关于终止第三 </w:t>
      </w:r>
      <w:r>
        <w:rPr>
          <w:spacing w:val="-5"/>
        </w:rPr>
        <w:t>期股票期权与限制性股票激励计划暨回购注销已授予未解锁的全部限制性股票的议案》，虽然</w:t>
      </w:r>
      <w:r>
        <w:rPr>
          <w:spacing w:val="-117"/>
        </w:rPr>
        <w:t> </w:t>
      </w:r>
      <w:r>
        <w:rPr>
          <w:spacing w:val="-117"/>
        </w:rPr>
      </w:r>
      <w:r>
        <w:rPr/>
        <w:t>公司业绩保持良好的增长，但由于宏观经济和市场环境发生较大变化，公司股票价格发生了 较大的波动，激励价格远高于目前二级市场的股票价格，继续推进和实施激励计划无法到达 对激励对象的激励效果。为保护公司及广大投资者的合法权益，充分落实员工激励，结合公 司未来发展计划，公司董事会经过审慎评估后决定终止实施第三期股票期权与限制性股票激 励计划并回购注销已授予未解锁的全部限制性股票共计 </w:t>
      </w:r>
      <w:r>
        <w:rPr>
          <w:rFonts w:ascii="宋体" w:hAnsi="宋体" w:cs="宋体" w:eastAsia="宋体" w:hint="default"/>
        </w:rPr>
        <w:t>1,971,244</w:t>
      </w:r>
      <w:r>
        <w:rPr>
          <w:rFonts w:ascii="宋体" w:hAnsi="宋体" w:cs="宋体" w:eastAsia="宋体" w:hint="default"/>
          <w:spacing w:val="-81"/>
        </w:rPr>
        <w:t> </w:t>
      </w:r>
      <w:r>
        <w:rPr/>
        <w:t>股，其中首次授予部分回</w:t>
      </w:r>
    </w:p>
    <w:p>
      <w:pPr>
        <w:pStyle w:val="BodyText"/>
        <w:spacing w:line="240" w:lineRule="auto" w:before="36"/>
        <w:ind w:right="0"/>
        <w:jc w:val="both"/>
      </w:pPr>
      <w:r>
        <w:rPr/>
        <w:t>购人数</w:t>
      </w:r>
      <w:r>
        <w:rPr>
          <w:spacing w:val="-54"/>
        </w:rPr>
        <w:t> </w:t>
      </w:r>
      <w:r>
        <w:rPr>
          <w:rFonts w:ascii="宋体" w:hAnsi="宋体" w:cs="宋体" w:eastAsia="宋体" w:hint="default"/>
        </w:rPr>
        <w:t>24</w:t>
      </w:r>
      <w:r>
        <w:rPr>
          <w:rFonts w:ascii="宋体" w:hAnsi="宋体" w:cs="宋体" w:eastAsia="宋体" w:hint="default"/>
          <w:spacing w:val="-53"/>
        </w:rPr>
        <w:t> </w:t>
      </w:r>
      <w:r>
        <w:rPr/>
        <w:t>人，回购股份共计</w:t>
      </w:r>
      <w:r>
        <w:rPr>
          <w:spacing w:val="-54"/>
        </w:rPr>
        <w:t> </w:t>
      </w:r>
      <w:r>
        <w:rPr>
          <w:rFonts w:ascii="宋体" w:hAnsi="宋体" w:cs="宋体" w:eastAsia="宋体" w:hint="default"/>
        </w:rPr>
        <w:t>1,793,528</w:t>
      </w:r>
      <w:r>
        <w:rPr>
          <w:rFonts w:ascii="宋体" w:hAnsi="宋体" w:cs="宋体" w:eastAsia="宋体" w:hint="default"/>
          <w:spacing w:val="-54"/>
        </w:rPr>
        <w:t> </w:t>
      </w:r>
      <w:r>
        <w:rPr/>
        <w:t>股，回购价格为</w:t>
      </w:r>
      <w:r>
        <w:rPr>
          <w:spacing w:val="-54"/>
        </w:rPr>
        <w:t> </w:t>
      </w:r>
      <w:r>
        <w:rPr>
          <w:rFonts w:ascii="宋体" w:hAnsi="宋体" w:cs="宋体" w:eastAsia="宋体" w:hint="default"/>
        </w:rPr>
        <w:t>9.986</w:t>
      </w:r>
      <w:r>
        <w:rPr>
          <w:rFonts w:ascii="宋体" w:hAnsi="宋体" w:cs="宋体" w:eastAsia="宋体" w:hint="default"/>
          <w:spacing w:val="-54"/>
        </w:rPr>
        <w:t> </w:t>
      </w:r>
      <w:r>
        <w:rPr/>
        <w:t>元</w:t>
      </w:r>
      <w:r>
        <w:rPr>
          <w:rFonts w:ascii="宋体" w:hAnsi="宋体" w:cs="宋体" w:eastAsia="宋体" w:hint="default"/>
        </w:rPr>
        <w:t>/</w:t>
      </w:r>
      <w:r>
        <w:rPr/>
        <w:t>股；预留授予部分回购人</w:t>
      </w:r>
    </w:p>
    <w:p>
      <w:pPr>
        <w:pStyle w:val="BodyText"/>
        <w:spacing w:line="357" w:lineRule="auto" w:before="154"/>
        <w:ind w:right="1131"/>
        <w:jc w:val="both"/>
      </w:pPr>
      <w:r>
        <w:rPr/>
        <w:t>数</w:t>
      </w:r>
      <w:r>
        <w:rPr>
          <w:spacing w:val="-63"/>
        </w:rPr>
        <w:t> </w:t>
      </w:r>
      <w:r>
        <w:rPr>
          <w:rFonts w:ascii="宋体" w:hAnsi="宋体" w:cs="宋体" w:eastAsia="宋体" w:hint="default"/>
        </w:rPr>
        <w:t>2</w:t>
      </w:r>
      <w:r>
        <w:rPr>
          <w:rFonts w:ascii="宋体" w:hAnsi="宋体" w:cs="宋体" w:eastAsia="宋体" w:hint="default"/>
          <w:spacing w:val="-63"/>
        </w:rPr>
        <w:t> </w:t>
      </w:r>
      <w:r>
        <w:rPr/>
        <w:t>人，回购股份共计</w:t>
      </w:r>
      <w:r>
        <w:rPr>
          <w:spacing w:val="-63"/>
        </w:rPr>
        <w:t> </w:t>
      </w:r>
      <w:r>
        <w:rPr>
          <w:rFonts w:ascii="宋体" w:hAnsi="宋体" w:cs="宋体" w:eastAsia="宋体" w:hint="default"/>
        </w:rPr>
        <w:t>177,716</w:t>
      </w:r>
      <w:r>
        <w:rPr>
          <w:rFonts w:ascii="宋体" w:hAnsi="宋体" w:cs="宋体" w:eastAsia="宋体" w:hint="default"/>
          <w:spacing w:val="-63"/>
        </w:rPr>
        <w:t> </w:t>
      </w:r>
      <w:r>
        <w:rPr/>
        <w:t>股，回购价格为</w:t>
      </w:r>
      <w:r>
        <w:rPr>
          <w:spacing w:val="-63"/>
        </w:rPr>
        <w:t> </w:t>
      </w:r>
      <w:r>
        <w:rPr>
          <w:rFonts w:ascii="宋体" w:hAnsi="宋体" w:cs="宋体" w:eastAsia="宋体" w:hint="default"/>
        </w:rPr>
        <w:t>10.236</w:t>
      </w:r>
      <w:r>
        <w:rPr>
          <w:rFonts w:ascii="宋体" w:hAnsi="宋体" w:cs="宋体" w:eastAsia="宋体" w:hint="default"/>
          <w:spacing w:val="-63"/>
        </w:rPr>
        <w:t> </w:t>
      </w:r>
      <w:r>
        <w:rPr/>
        <w:t>元</w:t>
      </w:r>
      <w:r>
        <w:rPr>
          <w:rFonts w:ascii="宋体" w:hAnsi="宋体" w:cs="宋体" w:eastAsia="宋体" w:hint="default"/>
        </w:rPr>
        <w:t>/</w:t>
      </w:r>
      <w:r>
        <w:rPr/>
        <w:t>股。其中：</w:t>
      </w:r>
      <w:r>
        <w:rPr>
          <w:rFonts w:ascii="宋体" w:hAnsi="宋体" w:cs="宋体" w:eastAsia="宋体" w:hint="default"/>
        </w:rPr>
        <w:t>2017</w:t>
      </w:r>
      <w:r>
        <w:rPr>
          <w:rFonts w:ascii="宋体" w:hAnsi="宋体" w:cs="宋体" w:eastAsia="宋体" w:hint="default"/>
          <w:spacing w:val="-63"/>
        </w:rPr>
        <w:t> </w:t>
      </w:r>
      <w:r>
        <w:rPr/>
        <w:t>年</w:t>
      </w:r>
      <w:r>
        <w:rPr>
          <w:spacing w:val="-63"/>
        </w:rPr>
        <w:t> </w:t>
      </w:r>
      <w:r>
        <w:rPr>
          <w:rFonts w:ascii="宋体" w:hAnsi="宋体" w:cs="宋体" w:eastAsia="宋体" w:hint="default"/>
        </w:rPr>
        <w:t>8</w:t>
      </w:r>
      <w:r>
        <w:rPr>
          <w:rFonts w:ascii="宋体" w:hAnsi="宋体" w:cs="宋体" w:eastAsia="宋体" w:hint="default"/>
          <w:spacing w:val="-63"/>
        </w:rPr>
        <w:t> </w:t>
      </w:r>
      <w:r>
        <w:rPr/>
        <w:t>月</w:t>
      </w:r>
      <w:r>
        <w:rPr>
          <w:spacing w:val="-63"/>
        </w:rPr>
        <w:t> </w:t>
      </w:r>
      <w:r>
        <w:rPr>
          <w:rFonts w:ascii="宋体" w:hAnsi="宋体" w:cs="宋体" w:eastAsia="宋体" w:hint="default"/>
        </w:rPr>
        <w:t>9</w:t>
      </w:r>
      <w:r>
        <w:rPr>
          <w:rFonts w:ascii="宋体" w:hAnsi="宋体" w:cs="宋体" w:eastAsia="宋体" w:hint="default"/>
          <w:spacing w:val="-63"/>
        </w:rPr>
        <w:t> </w:t>
      </w:r>
      <w:r>
        <w:rPr/>
        <w:t>日，公 司分别召开第三届董事会第三次会议和第三届监事会第三次会议《关于回购注销部分限制性 股票的议案》由于 </w:t>
      </w:r>
      <w:r>
        <w:rPr>
          <w:rFonts w:ascii="宋体" w:hAnsi="宋体" w:cs="宋体" w:eastAsia="宋体" w:hint="default"/>
        </w:rPr>
        <w:t>1</w:t>
      </w:r>
      <w:r>
        <w:rPr>
          <w:rFonts w:ascii="宋体" w:hAnsi="宋体" w:cs="宋体" w:eastAsia="宋体" w:hint="default"/>
          <w:spacing w:val="-82"/>
        </w:rPr>
        <w:t> </w:t>
      </w:r>
      <w:r>
        <w:rPr/>
        <w:t>名激励对象因个人原因离职，董事会审议决定取消上述激励对象资格并</w:t>
      </w:r>
    </w:p>
    <w:p>
      <w:pPr>
        <w:pStyle w:val="BodyText"/>
        <w:spacing w:line="240" w:lineRule="auto" w:before="36"/>
        <w:ind w:right="0"/>
        <w:jc w:val="both"/>
      </w:pPr>
      <w:r>
        <w:rPr>
          <w:spacing w:val="3"/>
        </w:rPr>
        <w:t>回购注销其已获授但尚未解锁的全部限制性股票，回购股份共计 </w:t>
      </w:r>
      <w:r>
        <w:rPr>
          <w:rFonts w:ascii="宋体" w:hAnsi="宋体" w:cs="宋体" w:eastAsia="宋体" w:hint="default"/>
        </w:rPr>
        <w:t>496,651</w:t>
      </w:r>
      <w:r>
        <w:rPr>
          <w:rFonts w:ascii="宋体" w:hAnsi="宋体" w:cs="宋体" w:eastAsia="宋体" w:hint="default"/>
          <w:spacing w:val="30"/>
        </w:rPr>
        <w:t> </w:t>
      </w:r>
      <w:r>
        <w:rPr>
          <w:spacing w:val="4"/>
        </w:rPr>
        <w:t>股，回购价格为</w:t>
      </w:r>
      <w:r>
        <w:rPr/>
      </w:r>
    </w:p>
    <w:p>
      <w:pPr>
        <w:pStyle w:val="BodyText"/>
        <w:spacing w:line="240" w:lineRule="auto" w:before="155"/>
        <w:ind w:right="0"/>
        <w:jc w:val="both"/>
      </w:pPr>
      <w:r>
        <w:rPr>
          <w:rFonts w:ascii="宋体" w:hAnsi="宋体" w:cs="宋体" w:eastAsia="宋体" w:hint="default"/>
        </w:rPr>
        <w:t>10.00</w:t>
      </w:r>
      <w:r>
        <w:rPr>
          <w:rFonts w:ascii="宋体" w:hAnsi="宋体" w:cs="宋体" w:eastAsia="宋体" w:hint="default"/>
          <w:spacing w:val="-60"/>
        </w:rPr>
        <w:t> </w:t>
      </w:r>
      <w:r>
        <w:rPr/>
        <w:t>元</w:t>
      </w:r>
      <w:r>
        <w:rPr>
          <w:rFonts w:ascii="宋体" w:hAnsi="宋体" w:cs="宋体" w:eastAsia="宋体" w:hint="default"/>
        </w:rPr>
        <w:t>/</w:t>
      </w:r>
      <w:r>
        <w:rPr/>
        <w:t>股。于本期完成回购并注销。</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截止</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日，本公司不存在具限制性股票回购义务的库存股。</w:t>
      </w:r>
    </w:p>
    <w:p>
      <w:pPr>
        <w:spacing w:line="240" w:lineRule="auto" w:before="5"/>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48、其他综合收益" w:id="337"/>
      <w:bookmarkEnd w:id="337"/>
      <w:r>
        <w:rPr/>
      </w:r>
      <w:r>
        <w:rPr>
          <w:rFonts w:ascii="宋体" w:hAnsi="宋体" w:cs="宋体" w:eastAsia="宋体" w:hint="default"/>
          <w:b/>
          <w:bCs/>
          <w:sz w:val="21"/>
          <w:szCs w:val="21"/>
        </w:rPr>
        <w:t>48</w:t>
      </w:r>
      <w:r>
        <w:rPr>
          <w:rFonts w:ascii="宋体" w:hAnsi="宋体" w:cs="宋体" w:eastAsia="宋体" w:hint="default"/>
          <w:b/>
          <w:bCs/>
          <w:sz w:val="21"/>
          <w:szCs w:val="21"/>
        </w:rPr>
        <w:t>、其他综合收益</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811"/>
        <w:gridCol w:w="1070"/>
        <w:gridCol w:w="4893"/>
        <w:gridCol w:w="798"/>
      </w:tblGrid>
      <w:tr>
        <w:trPr>
          <w:trHeight w:val="402"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60" w:type="dxa"/>
        <w:tblLayout w:type="fixed"/>
        <w:tblCellMar>
          <w:top w:w="0" w:type="dxa"/>
          <w:left w:w="0" w:type="dxa"/>
          <w:bottom w:w="0" w:type="dxa"/>
          <w:right w:w="0" w:type="dxa"/>
        </w:tblCellMar>
        <w:tblLook w:val="01E0"/>
      </w:tblPr>
      <w:tblGrid>
        <w:gridCol w:w="2799"/>
        <w:gridCol w:w="1070"/>
        <w:gridCol w:w="935"/>
        <w:gridCol w:w="1152"/>
        <w:gridCol w:w="935"/>
        <w:gridCol w:w="936"/>
        <w:gridCol w:w="935"/>
        <w:gridCol w:w="796"/>
      </w:tblGrid>
      <w:tr>
        <w:trPr>
          <w:trHeight w:val="161" w:hRule="exact"/>
        </w:trPr>
        <w:tc>
          <w:tcPr>
            <w:tcW w:w="2799" w:type="dxa"/>
            <w:vMerge w:val="restart"/>
            <w:tcBorders>
              <w:top w:val="single" w:sz="4" w:space="0" w:color="000000"/>
              <w:left w:val="single" w:sz="4" w:space="0" w:color="000000"/>
              <w:right w:val="single" w:sz="4" w:space="0" w:color="000000"/>
            </w:tcBorders>
            <w:shd w:val="clear" w:color="auto" w:fill="D2D2D2"/>
          </w:tcPr>
          <w:p>
            <w:pPr/>
          </w:p>
        </w:tc>
        <w:tc>
          <w:tcPr>
            <w:tcW w:w="1070" w:type="dxa"/>
            <w:vMerge w:val="restart"/>
            <w:tcBorders>
              <w:top w:val="single" w:sz="4" w:space="0" w:color="000000"/>
              <w:left w:val="single" w:sz="4" w:space="0" w:color="000000"/>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02"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0" w:right="30"/>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5" w:type="dxa"/>
            <w:tcBorders>
              <w:top w:val="single" w:sz="4" w:space="0" w:color="000000"/>
              <w:left w:val="single" w:sz="4" w:space="0" w:color="000000"/>
              <w:bottom w:val="nil" w:sz="6" w:space="0" w:color="auto"/>
              <w:right w:val="single" w:sz="4" w:space="0" w:color="000000"/>
            </w:tcBorders>
            <w:shd w:val="clear" w:color="auto" w:fill="D2D2D2"/>
          </w:tcPr>
          <w:p>
            <w:pPr/>
          </w:p>
        </w:tc>
        <w:tc>
          <w:tcPr>
            <w:tcW w:w="93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02" w:right="101"/>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6" w:type="dxa"/>
            <w:vMerge w:val="restart"/>
            <w:tcBorders>
              <w:top w:val="single" w:sz="4" w:space="0" w:color="000000"/>
              <w:left w:val="single" w:sz="4" w:space="0" w:color="000000"/>
              <w:right w:val="single" w:sz="4" w:space="0" w:color="000000"/>
            </w:tcBorders>
            <w:shd w:val="clear" w:color="auto" w:fill="D2D2D2"/>
          </w:tcPr>
          <w:p>
            <w:pPr/>
          </w:p>
        </w:tc>
      </w:tr>
      <w:tr>
        <w:trPr>
          <w:trHeight w:val="704" w:hRule="exact"/>
        </w:trPr>
        <w:tc>
          <w:tcPr>
            <w:tcW w:w="2799" w:type="dxa"/>
            <w:vMerge/>
            <w:tcBorders>
              <w:left w:val="single" w:sz="4" w:space="0" w:color="000000"/>
              <w:right w:val="single" w:sz="4" w:space="0" w:color="000000"/>
            </w:tcBorders>
            <w:shd w:val="clear" w:color="auto" w:fill="D2D2D2"/>
          </w:tcPr>
          <w:p>
            <w:pPr/>
          </w:p>
        </w:tc>
        <w:tc>
          <w:tcPr>
            <w:tcW w:w="1070" w:type="dxa"/>
            <w:vMerge/>
            <w:tcBorders>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282" w:right="23"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102" w:right="102"/>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5" w:type="dxa"/>
            <w:vMerge/>
            <w:tcBorders>
              <w:left w:val="single" w:sz="4" w:space="0" w:color="000000"/>
              <w:right w:val="single" w:sz="4" w:space="0" w:color="000000"/>
            </w:tcBorders>
            <w:shd w:val="clear" w:color="auto" w:fill="D2D2D2"/>
          </w:tcPr>
          <w:p>
            <w:pPr/>
          </w:p>
        </w:tc>
        <w:tc>
          <w:tcPr>
            <w:tcW w:w="796" w:type="dxa"/>
            <w:vMerge/>
            <w:tcBorders>
              <w:left w:val="single" w:sz="4" w:space="0" w:color="000000"/>
              <w:right w:val="single" w:sz="4" w:space="0" w:color="000000"/>
            </w:tcBorders>
            <w:shd w:val="clear" w:color="auto" w:fill="D2D2D2"/>
          </w:tcPr>
          <w:p>
            <w:pPr/>
          </w:p>
        </w:tc>
      </w:tr>
      <w:tr>
        <w:trPr>
          <w:trHeight w:val="161" w:hRule="exact"/>
        </w:trPr>
        <w:tc>
          <w:tcPr>
            <w:tcW w:w="2799" w:type="dxa"/>
            <w:vMerge/>
            <w:tcBorders>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single" w:sz="4" w:space="0" w:color="000000"/>
              <w:right w:val="single" w:sz="4" w:space="0" w:color="000000"/>
            </w:tcBorders>
            <w:shd w:val="clear" w:color="auto" w:fill="D2D2D2"/>
          </w:tcPr>
          <w:p>
            <w:pPr/>
          </w:p>
        </w:tc>
        <w:tc>
          <w:tcPr>
            <w:tcW w:w="93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79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2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76"/>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 益</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3,620,711.3</w:t>
            </w:r>
          </w:p>
          <w:p>
            <w:pPr>
              <w:pStyle w:val="TableParagraph"/>
              <w:spacing w:line="240" w:lineRule="auto" w:before="78"/>
              <w:ind w:right="23"/>
              <w:jc w:val="right"/>
              <w:rPr>
                <w:rFonts w:ascii="宋体" w:hAnsi="宋体" w:cs="宋体" w:eastAsia="宋体" w:hint="default"/>
                <w:sz w:val="18"/>
                <w:szCs w:val="18"/>
              </w:rPr>
            </w:pPr>
            <w:r>
              <w:rPr>
                <w:rFonts w:ascii="宋体"/>
                <w:sz w:val="18"/>
              </w:rPr>
              <w:t>9</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1" w:right="0"/>
              <w:jc w:val="left"/>
              <w:rPr>
                <w:rFonts w:ascii="宋体" w:hAnsi="宋体" w:cs="宋体" w:eastAsia="宋体" w:hint="default"/>
                <w:sz w:val="18"/>
                <w:szCs w:val="18"/>
              </w:rPr>
            </w:pPr>
            <w:r>
              <w:rPr>
                <w:rFonts w:ascii="宋体"/>
                <w:sz w:val="18"/>
              </w:rPr>
              <w:t>-23,941,7</w:t>
            </w:r>
          </w:p>
          <w:p>
            <w:pPr>
              <w:pStyle w:val="TableParagraph"/>
              <w:spacing w:line="240" w:lineRule="auto" w:before="78"/>
              <w:ind w:left="451" w:right="0"/>
              <w:jc w:val="left"/>
              <w:rPr>
                <w:rFonts w:ascii="宋体" w:hAnsi="宋体" w:cs="宋体" w:eastAsia="宋体" w:hint="default"/>
                <w:sz w:val="18"/>
                <w:szCs w:val="18"/>
              </w:rPr>
            </w:pPr>
            <w:r>
              <w:rPr>
                <w:rFonts w:ascii="宋体"/>
                <w:sz w:val="18"/>
              </w:rPr>
              <w:t>30.57</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left"/>
              <w:rPr>
                <w:rFonts w:ascii="宋体" w:hAnsi="宋体" w:cs="宋体" w:eastAsia="宋体" w:hint="default"/>
                <w:sz w:val="18"/>
                <w:szCs w:val="18"/>
              </w:rPr>
            </w:pPr>
            <w:r>
              <w:rPr>
                <w:rFonts w:ascii="宋体"/>
                <w:sz w:val="18"/>
              </w:rPr>
              <w:t>-23,941,7</w:t>
            </w:r>
          </w:p>
          <w:p>
            <w:pPr>
              <w:pStyle w:val="TableParagraph"/>
              <w:spacing w:line="240" w:lineRule="auto" w:before="78"/>
              <w:ind w:left="452" w:right="0"/>
              <w:jc w:val="left"/>
              <w:rPr>
                <w:rFonts w:ascii="宋体" w:hAnsi="宋体" w:cs="宋体" w:eastAsia="宋体" w:hint="default"/>
                <w:sz w:val="18"/>
                <w:szCs w:val="18"/>
              </w:rPr>
            </w:pPr>
            <w:r>
              <w:rPr>
                <w:rFonts w:ascii="宋体"/>
                <w:sz w:val="18"/>
              </w:rPr>
              <w:t>30.57</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-20,321,</w:t>
            </w:r>
          </w:p>
          <w:p>
            <w:pPr>
              <w:pStyle w:val="TableParagraph"/>
              <w:spacing w:line="240" w:lineRule="auto" w:before="78"/>
              <w:ind w:left="200" w:right="0"/>
              <w:jc w:val="center"/>
              <w:rPr>
                <w:rFonts w:ascii="宋体" w:hAnsi="宋体" w:cs="宋体" w:eastAsia="宋体" w:hint="default"/>
                <w:sz w:val="18"/>
                <w:szCs w:val="18"/>
              </w:rPr>
            </w:pPr>
            <w:r>
              <w:rPr>
                <w:rFonts w:ascii="宋体"/>
                <w:sz w:val="18"/>
              </w:rPr>
              <w:t>019.18</w:t>
            </w:r>
          </w:p>
        </w:tc>
      </w:tr>
      <w:tr>
        <w:trPr>
          <w:trHeight w:val="714" w:hRule="exact"/>
        </w:trPr>
        <w:tc>
          <w:tcPr>
            <w:tcW w:w="2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77" w:firstLine="540"/>
              <w:jc w:val="left"/>
              <w:rPr>
                <w:rFonts w:ascii="宋体" w:hAnsi="宋体" w:cs="宋体" w:eastAsia="宋体" w:hint="default"/>
                <w:sz w:val="18"/>
                <w:szCs w:val="18"/>
              </w:rPr>
            </w:pPr>
            <w:r>
              <w:rPr>
                <w:rFonts w:ascii="宋体" w:hAnsi="宋体" w:cs="宋体" w:eastAsia="宋体" w:hint="default"/>
                <w:sz w:val="18"/>
                <w:szCs w:val="18"/>
              </w:rPr>
              <w:t>可供出售金融资产公允价值 变动损益</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3,868,196.1</w:t>
            </w:r>
          </w:p>
          <w:p>
            <w:pPr>
              <w:pStyle w:val="TableParagraph"/>
              <w:spacing w:line="240" w:lineRule="auto" w:before="77"/>
              <w:ind w:right="23"/>
              <w:jc w:val="right"/>
              <w:rPr>
                <w:rFonts w:ascii="宋体" w:hAnsi="宋体" w:cs="宋体" w:eastAsia="宋体" w:hint="default"/>
                <w:sz w:val="18"/>
                <w:szCs w:val="18"/>
              </w:rPr>
            </w:pPr>
            <w:r>
              <w:rPr>
                <w:rFonts w:ascii="宋体"/>
                <w:sz w:val="18"/>
              </w:rPr>
              <w:t>3</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1" w:right="0"/>
              <w:jc w:val="left"/>
              <w:rPr>
                <w:rFonts w:ascii="宋体" w:hAnsi="宋体" w:cs="宋体" w:eastAsia="宋体" w:hint="default"/>
                <w:sz w:val="18"/>
                <w:szCs w:val="18"/>
              </w:rPr>
            </w:pPr>
            <w:r>
              <w:rPr>
                <w:rFonts w:ascii="宋体"/>
                <w:sz w:val="18"/>
              </w:rPr>
              <w:t>-24,051,7</w:t>
            </w:r>
          </w:p>
          <w:p>
            <w:pPr>
              <w:pStyle w:val="TableParagraph"/>
              <w:spacing w:line="240" w:lineRule="auto" w:before="77"/>
              <w:ind w:left="451" w:right="0"/>
              <w:jc w:val="left"/>
              <w:rPr>
                <w:rFonts w:ascii="宋体" w:hAnsi="宋体" w:cs="宋体" w:eastAsia="宋体" w:hint="default"/>
                <w:sz w:val="18"/>
                <w:szCs w:val="18"/>
              </w:rPr>
            </w:pPr>
            <w:r>
              <w:rPr>
                <w:rFonts w:ascii="宋体"/>
                <w:sz w:val="18"/>
              </w:rPr>
              <w:t>39.14</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left"/>
              <w:rPr>
                <w:rFonts w:ascii="宋体" w:hAnsi="宋体" w:cs="宋体" w:eastAsia="宋体" w:hint="default"/>
                <w:sz w:val="18"/>
                <w:szCs w:val="18"/>
              </w:rPr>
            </w:pPr>
            <w:r>
              <w:rPr>
                <w:rFonts w:ascii="宋体"/>
                <w:sz w:val="18"/>
              </w:rPr>
              <w:t>-24,051,7</w:t>
            </w:r>
          </w:p>
          <w:p>
            <w:pPr>
              <w:pStyle w:val="TableParagraph"/>
              <w:spacing w:line="240" w:lineRule="auto" w:before="77"/>
              <w:ind w:left="452" w:right="0"/>
              <w:jc w:val="left"/>
              <w:rPr>
                <w:rFonts w:ascii="宋体" w:hAnsi="宋体" w:cs="宋体" w:eastAsia="宋体" w:hint="default"/>
                <w:sz w:val="18"/>
                <w:szCs w:val="18"/>
              </w:rPr>
            </w:pPr>
            <w:r>
              <w:rPr>
                <w:rFonts w:ascii="宋体"/>
                <w:sz w:val="18"/>
              </w:rPr>
              <w:t>39.14</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-20,183,</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543.01</w:t>
            </w:r>
          </w:p>
        </w:tc>
      </w:tr>
      <w:tr>
        <w:trPr>
          <w:trHeight w:val="161" w:hRule="exact"/>
        </w:trPr>
        <w:tc>
          <w:tcPr>
            <w:tcW w:w="2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9" w:space="0" w:color="D2D2D2"/>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8" w:right="0"/>
              <w:jc w:val="left"/>
              <w:rPr>
                <w:rFonts w:ascii="宋体" w:hAnsi="宋体" w:cs="宋体" w:eastAsia="宋体" w:hint="default"/>
                <w:sz w:val="18"/>
                <w:szCs w:val="18"/>
              </w:rPr>
            </w:pPr>
            <w:r>
              <w:rPr>
                <w:rFonts w:ascii="宋体"/>
                <w:sz w:val="18"/>
              </w:rPr>
              <w:t>-247,484.74</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110,008.5</w:t>
            </w:r>
          </w:p>
          <w:p>
            <w:pPr>
              <w:pStyle w:val="TableParagraph"/>
              <w:spacing w:line="240" w:lineRule="auto" w:before="77"/>
              <w:ind w:right="23"/>
              <w:jc w:val="right"/>
              <w:rPr>
                <w:rFonts w:ascii="宋体" w:hAnsi="宋体" w:cs="宋体" w:eastAsia="宋体" w:hint="default"/>
                <w:sz w:val="18"/>
                <w:szCs w:val="18"/>
              </w:rPr>
            </w:pPr>
            <w:r>
              <w:rPr>
                <w:rFonts w:ascii="宋体"/>
                <w:sz w:val="18"/>
              </w:rPr>
              <w:t>7</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110,008.5</w:t>
            </w:r>
          </w:p>
          <w:p>
            <w:pPr>
              <w:pStyle w:val="TableParagraph"/>
              <w:spacing w:line="240" w:lineRule="auto" w:before="77"/>
              <w:ind w:right="23"/>
              <w:jc w:val="right"/>
              <w:rPr>
                <w:rFonts w:ascii="宋体" w:hAnsi="宋体" w:cs="宋体" w:eastAsia="宋体" w:hint="default"/>
                <w:sz w:val="18"/>
                <w:szCs w:val="18"/>
              </w:rPr>
            </w:pPr>
            <w:r>
              <w:rPr>
                <w:rFonts w:ascii="宋体"/>
                <w:sz w:val="18"/>
              </w:rPr>
              <w:t>7</w:t>
            </w:r>
          </w:p>
        </w:tc>
        <w:tc>
          <w:tcPr>
            <w:tcW w:w="935" w:type="dxa"/>
            <w:vMerge w:val="restart"/>
            <w:tcBorders>
              <w:top w:val="single" w:sz="4" w:space="0" w:color="000000"/>
              <w:left w:val="single" w:sz="4" w:space="0" w:color="000000"/>
              <w:right w:val="single" w:sz="4" w:space="0" w:color="000000"/>
            </w:tcBorders>
          </w:tcPr>
          <w:p>
            <w:pP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51"/>
              <w:ind w:left="43" w:right="0"/>
              <w:jc w:val="left"/>
              <w:rPr>
                <w:rFonts w:ascii="宋体" w:hAnsi="宋体" w:cs="宋体" w:eastAsia="宋体" w:hint="default"/>
                <w:sz w:val="18"/>
                <w:szCs w:val="18"/>
              </w:rPr>
            </w:pPr>
            <w:r>
              <w:rPr>
                <w:rFonts w:ascii="宋体"/>
                <w:sz w:val="18"/>
              </w:rPr>
              <w:t>-137,476</w:t>
            </w:r>
          </w:p>
          <w:p>
            <w:pPr>
              <w:pStyle w:val="TableParagraph"/>
              <w:spacing w:line="240" w:lineRule="auto" w:before="77"/>
              <w:ind w:left="493" w:right="0"/>
              <w:jc w:val="left"/>
              <w:rPr>
                <w:rFonts w:ascii="宋体" w:hAnsi="宋体" w:cs="宋体" w:eastAsia="宋体" w:hint="default"/>
                <w:sz w:val="18"/>
                <w:szCs w:val="18"/>
              </w:rPr>
            </w:pPr>
            <w:r>
              <w:rPr>
                <w:rFonts w:ascii="宋体"/>
                <w:sz w:val="18"/>
              </w:rPr>
              <w:t>.17</w:t>
            </w:r>
          </w:p>
        </w:tc>
      </w:tr>
      <w:tr>
        <w:trPr>
          <w:trHeight w:val="392"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070" w:type="dxa"/>
            <w:vMerge/>
            <w:tcBorders>
              <w:left w:val="single" w:sz="9" w:space="0" w:color="D2D2D2"/>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9" w:space="0" w:color="D2D2D2"/>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r>
        <w:trPr>
          <w:trHeight w:val="161" w:hRule="exact"/>
        </w:trPr>
        <w:tc>
          <w:tcPr>
            <w:tcW w:w="2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9" w:space="0" w:color="D2D2D2"/>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3,620,711.3</w:t>
            </w:r>
          </w:p>
          <w:p>
            <w:pPr>
              <w:pStyle w:val="TableParagraph"/>
              <w:spacing w:line="240" w:lineRule="auto" w:before="77"/>
              <w:ind w:right="23"/>
              <w:jc w:val="right"/>
              <w:rPr>
                <w:rFonts w:ascii="宋体" w:hAnsi="宋体" w:cs="宋体" w:eastAsia="宋体" w:hint="default"/>
                <w:sz w:val="18"/>
                <w:szCs w:val="18"/>
              </w:rPr>
            </w:pPr>
            <w:r>
              <w:rPr>
                <w:rFonts w:ascii="宋体"/>
                <w:sz w:val="18"/>
              </w:rPr>
              <w:t>9</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51"/>
              <w:ind w:left="91" w:right="0"/>
              <w:jc w:val="left"/>
              <w:rPr>
                <w:rFonts w:ascii="宋体" w:hAnsi="宋体" w:cs="宋体" w:eastAsia="宋体" w:hint="default"/>
                <w:sz w:val="18"/>
                <w:szCs w:val="18"/>
              </w:rPr>
            </w:pPr>
            <w:r>
              <w:rPr>
                <w:rFonts w:ascii="宋体"/>
                <w:sz w:val="18"/>
              </w:rPr>
              <w:t>-23,941,7</w:t>
            </w:r>
          </w:p>
          <w:p>
            <w:pPr>
              <w:pStyle w:val="TableParagraph"/>
              <w:spacing w:line="240" w:lineRule="auto" w:before="77"/>
              <w:ind w:left="451" w:right="0"/>
              <w:jc w:val="left"/>
              <w:rPr>
                <w:rFonts w:ascii="宋体" w:hAnsi="宋体" w:cs="宋体" w:eastAsia="宋体" w:hint="default"/>
                <w:sz w:val="18"/>
                <w:szCs w:val="18"/>
              </w:rPr>
            </w:pPr>
            <w:r>
              <w:rPr>
                <w:rFonts w:ascii="宋体"/>
                <w:sz w:val="18"/>
              </w:rPr>
              <w:t>30.57</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51"/>
              <w:ind w:left="92" w:right="0"/>
              <w:jc w:val="left"/>
              <w:rPr>
                <w:rFonts w:ascii="宋体" w:hAnsi="宋体" w:cs="宋体" w:eastAsia="宋体" w:hint="default"/>
                <w:sz w:val="18"/>
                <w:szCs w:val="18"/>
              </w:rPr>
            </w:pPr>
            <w:r>
              <w:rPr>
                <w:rFonts w:ascii="宋体"/>
                <w:sz w:val="18"/>
              </w:rPr>
              <w:t>-23,941,7</w:t>
            </w:r>
          </w:p>
          <w:p>
            <w:pPr>
              <w:pStyle w:val="TableParagraph"/>
              <w:spacing w:line="240" w:lineRule="auto" w:before="77"/>
              <w:ind w:left="452" w:right="0"/>
              <w:jc w:val="left"/>
              <w:rPr>
                <w:rFonts w:ascii="宋体" w:hAnsi="宋体" w:cs="宋体" w:eastAsia="宋体" w:hint="default"/>
                <w:sz w:val="18"/>
                <w:szCs w:val="18"/>
              </w:rPr>
            </w:pPr>
            <w:r>
              <w:rPr>
                <w:rFonts w:ascii="宋体"/>
                <w:sz w:val="18"/>
              </w:rPr>
              <w:t>30.57</w:t>
            </w:r>
          </w:p>
        </w:tc>
        <w:tc>
          <w:tcPr>
            <w:tcW w:w="935" w:type="dxa"/>
            <w:vMerge w:val="restart"/>
            <w:tcBorders>
              <w:top w:val="single" w:sz="4" w:space="0" w:color="000000"/>
              <w:left w:val="single" w:sz="4" w:space="0" w:color="000000"/>
              <w:right w:val="single" w:sz="4" w:space="0" w:color="000000"/>
            </w:tcBorders>
          </w:tcPr>
          <w:p>
            <w:pP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sz w:val="18"/>
              </w:rPr>
              <w:t>-20,321,</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019.18</w:t>
            </w:r>
          </w:p>
        </w:tc>
      </w:tr>
      <w:tr>
        <w:trPr>
          <w:trHeight w:val="392"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0" w:type="dxa"/>
            <w:vMerge/>
            <w:tcBorders>
              <w:left w:val="single" w:sz="9" w:space="0" w:color="D2D2D2"/>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9" w:space="0" w:color="D2D2D2"/>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29" w:right="9380" w:firstLine="0"/>
        <w:jc w:val="center"/>
        <w:rPr>
          <w:rFonts w:ascii="宋体" w:hAnsi="宋体" w:cs="宋体" w:eastAsia="宋体" w:hint="default"/>
          <w:sz w:val="21"/>
          <w:szCs w:val="21"/>
        </w:rPr>
      </w:pPr>
      <w:bookmarkStart w:name="49、专项储备" w:id="338"/>
      <w:bookmarkEnd w:id="338"/>
      <w:r>
        <w:rPr/>
      </w:r>
      <w:r>
        <w:rPr>
          <w:rFonts w:ascii="宋体" w:hAnsi="宋体" w:cs="宋体" w:eastAsia="宋体" w:hint="default"/>
          <w:b/>
          <w:bCs/>
          <w:sz w:val="21"/>
          <w:szCs w:val="21"/>
        </w:rPr>
        <w:t>49</w:t>
      </w:r>
      <w:r>
        <w:rPr>
          <w:rFonts w:ascii="宋体" w:hAnsi="宋体" w:cs="宋体" w:eastAsia="宋体" w:hint="default"/>
          <w:b/>
          <w:bCs/>
          <w:sz w:val="21"/>
          <w:szCs w:val="21"/>
        </w:rPr>
        <w:t>、专项储备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6"/>
        <w:rPr>
          <w:rFonts w:ascii="宋体" w:hAnsi="宋体" w:cs="宋体" w:eastAsia="宋体" w:hint="default"/>
          <w:sz w:val="30"/>
          <w:szCs w:val="30"/>
        </w:rPr>
      </w:pPr>
    </w:p>
    <w:p>
      <w:pPr>
        <w:spacing w:before="0"/>
        <w:ind w:left="29" w:right="9380" w:firstLine="0"/>
        <w:jc w:val="center"/>
        <w:rPr>
          <w:rFonts w:ascii="宋体" w:hAnsi="宋体" w:cs="宋体" w:eastAsia="宋体" w:hint="default"/>
          <w:sz w:val="21"/>
          <w:szCs w:val="21"/>
        </w:rPr>
      </w:pPr>
      <w:bookmarkStart w:name="50、盈余公积" w:id="339"/>
      <w:bookmarkEnd w:id="339"/>
      <w:r>
        <w:rPr/>
      </w:r>
      <w:r>
        <w:rPr>
          <w:rFonts w:ascii="宋体" w:hAnsi="宋体" w:cs="宋体" w:eastAsia="宋体" w:hint="default"/>
          <w:b/>
          <w:bCs/>
          <w:sz w:val="21"/>
          <w:szCs w:val="21"/>
        </w:rPr>
        <w:t>50</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30,930,203.91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30,930,203.91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30,930,203.91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30,930,203.91</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1、未分配利润" w:id="340"/>
      <w:bookmarkEnd w:id="340"/>
      <w:r>
        <w:rPr/>
      </w:r>
      <w:r>
        <w:rPr>
          <w:rFonts w:ascii="宋体" w:hAnsi="宋体" w:cs="宋体" w:eastAsia="宋体" w:hint="default"/>
          <w:b/>
          <w:bCs/>
          <w:sz w:val="21"/>
          <w:szCs w:val="21"/>
        </w:rPr>
        <w:t>51</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714"/>
        <w:gridCol w:w="2936"/>
        <w:gridCol w:w="2919"/>
      </w:tblGrid>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270,836,329.97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210,556,472.09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270,836,329.97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210,556,472.09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-1,508,461,329.35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77,527,103.03</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6" w:type="dxa"/>
            <w:tcBorders>
              <w:top w:val="single" w:sz="4" w:space="0" w:color="000000"/>
              <w:left w:val="single" w:sz="9" w:space="0" w:color="D2D2D2"/>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5,855,322.08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10,857,429.05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11,391,923.07</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-1,248,482,428.43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270,836,329.97</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2、营业收入和营业成本" w:id="341"/>
      <w:bookmarkEnd w:id="341"/>
      <w:r>
        <w:rPr/>
      </w:r>
      <w:r>
        <w:rPr>
          <w:rFonts w:ascii="宋体" w:hAnsi="宋体" w:cs="宋体" w:eastAsia="宋体" w:hint="default"/>
          <w:b/>
          <w:bCs/>
          <w:sz w:val="21"/>
          <w:szCs w:val="21"/>
        </w:rPr>
        <w:t>52</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成本</w:t>
            </w:r>
          </w:p>
        </w:tc>
      </w:tr>
    </w:tbl>
    <w:p>
      <w:pPr>
        <w:spacing w:after="0" w:line="240" w:lineRule="auto"/>
        <w:jc w:val="center"/>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883,771,694.24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532,279,842.81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716,539,816.78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359,730,797.00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1,718,254.11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1,105,209.19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239,765.67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238,612.68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885,489,948.35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533,385,052.00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716,779,582.45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359,969,409.68</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3、税金及附加" w:id="342"/>
      <w:bookmarkEnd w:id="342"/>
      <w:r>
        <w:rPr/>
      </w:r>
      <w:r>
        <w:rPr>
          <w:rFonts w:ascii="宋体" w:hAnsi="宋体" w:cs="宋体" w:eastAsia="宋体" w:hint="default"/>
          <w:b/>
          <w:bCs/>
          <w:sz w:val="21"/>
          <w:szCs w:val="21"/>
        </w:rPr>
        <w:t>53</w:t>
      </w:r>
      <w:r>
        <w:rPr>
          <w:rFonts w:ascii="宋体" w:hAnsi="宋体" w:cs="宋体" w:eastAsia="宋体" w:hint="default"/>
          <w:b/>
          <w:bCs/>
          <w:sz w:val="21"/>
          <w:szCs w:val="21"/>
        </w:rPr>
        <w:t>、税金及附加</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1,205,684.60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955,185.81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624,487.79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412,721.95</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1,284,722.72</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690,549.67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1,699,506.97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其他税费</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4,563,487.75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2,278,905.61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8,370,432.53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5,346,320.34</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4、销售费用" w:id="343"/>
      <w:bookmarkEnd w:id="343"/>
      <w:r>
        <w:rPr/>
      </w:r>
      <w:r>
        <w:rPr>
          <w:rFonts w:ascii="宋体" w:hAnsi="宋体" w:cs="宋体" w:eastAsia="宋体" w:hint="default"/>
          <w:b/>
          <w:bCs/>
          <w:sz w:val="21"/>
          <w:szCs w:val="21"/>
        </w:rPr>
        <w:t>54</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广告费（注）</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186,139,878.66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12,838,272.13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91,663,950.73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68,368,327.84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差旅及交通费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6,891,726.86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4,586,927.43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外包服务费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5,869,986.81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7,577,593.26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5,669,704.32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3,586,429.53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4,717,745.02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4,291,105.81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1,849,383.54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562,461.01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1,407,436.21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462,958.29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1,244,846.57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1,035,689.29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7,112,808.25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1,773,673.06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312,567,466.97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105,083,437.65</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4"/>
        <w:rPr>
          <w:rFonts w:ascii="宋体" w:hAnsi="宋体" w:cs="宋体" w:eastAsia="宋体" w:hint="default"/>
          <w:sz w:val="19"/>
          <w:szCs w:val="19"/>
        </w:rPr>
      </w:pPr>
    </w:p>
    <w:p>
      <w:pPr>
        <w:pStyle w:val="BodyText"/>
        <w:spacing w:line="357" w:lineRule="auto"/>
        <w:ind w:right="1114" w:firstLine="480"/>
        <w:jc w:val="left"/>
      </w:pPr>
      <w:r>
        <w:rPr/>
        <w:t>注：本期销售费用增加主要是 </w:t>
      </w:r>
      <w:r>
        <w:rPr>
          <w:rFonts w:ascii="宋体" w:hAnsi="宋体" w:cs="宋体" w:eastAsia="宋体" w:hint="default"/>
        </w:rPr>
        <w:t>AVG</w:t>
      </w:r>
      <w:r>
        <w:rPr>
          <w:rFonts w:ascii="宋体" w:hAnsi="宋体" w:cs="宋体" w:eastAsia="宋体" w:hint="default"/>
          <w:spacing w:val="-82"/>
        </w:rPr>
        <w:t> </w:t>
      </w:r>
      <w:r>
        <w:rPr/>
        <w:t>阅读广告费用推广增加及非同一控制合并晨之科增加 的游戏业务推广费所致。</w:t>
      </w:r>
    </w:p>
    <w:p>
      <w:pPr>
        <w:spacing w:after="0" w:line="357"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55、管理费用" w:id="344"/>
      <w:bookmarkEnd w:id="344"/>
      <w:r>
        <w:rPr/>
      </w:r>
      <w:r>
        <w:rPr>
          <w:rFonts w:ascii="宋体" w:hAnsi="宋体" w:cs="宋体" w:eastAsia="宋体" w:hint="default"/>
          <w:b/>
          <w:bCs/>
          <w:sz w:val="21"/>
          <w:szCs w:val="21"/>
        </w:rPr>
        <w:t>55</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6,316,674.07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2,962,912.57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55,840,064.25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49,946,783.89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房租物业费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22,720,130.03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20,813,623.16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12,059,751.44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30,947,978.42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9,040,577.66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23,270,502.15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4,668,813.43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565,203.14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差旅及交通费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3,928,400.80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3,501,069.97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3,872,722.43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2,761,089.06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3,699,107.58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2,486,641.37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1,486,384.54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683,754.07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510,294.06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300,083.50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董事会费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459,766.00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363,493.48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邮电通讯费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398,317.32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417,413.54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378,299.07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1,854,218.44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291,896.39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1,270,191.70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3,680,070.97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3,081,417.73</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129,351,270.04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145,226,376.19</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6、研发费用" w:id="345"/>
      <w:bookmarkEnd w:id="345"/>
      <w:r>
        <w:rPr/>
      </w:r>
      <w:r>
        <w:rPr>
          <w:rFonts w:ascii="宋体" w:hAnsi="宋体" w:cs="宋体" w:eastAsia="宋体" w:hint="default"/>
          <w:b/>
          <w:bCs/>
          <w:sz w:val="21"/>
          <w:szCs w:val="21"/>
        </w:rPr>
        <w:t>56</w:t>
      </w:r>
      <w:r>
        <w:rPr>
          <w:rFonts w:ascii="宋体" w:hAnsi="宋体" w:cs="宋体" w:eastAsia="宋体" w:hint="default"/>
          <w:b/>
          <w:bCs/>
          <w:sz w:val="21"/>
          <w:szCs w:val="21"/>
        </w:rPr>
        <w:t>、研发费用</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70,332,074.43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62,346,539.35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折旧及摊销</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4,711,613.04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2,582,941.84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外包服务费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3,811,667.58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4,035,898.25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2,533,924.81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2,689,897.51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1,866,459.49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1,626,625.88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1,580,668.07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927,885.58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差旅及交通费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1,270,256.82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1,057,902.84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房租物业费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1,001,470.34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1,067,839.75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邮电通讯费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474,291.26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497,263.74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156,599.85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40,823.60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101,958.53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184,111.11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842,056.99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88,025,095.33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77,715,675.33</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7、财务费用" w:id="346"/>
      <w:bookmarkEnd w:id="346"/>
      <w:r>
        <w:rPr/>
      </w:r>
      <w:r>
        <w:rPr>
          <w:rFonts w:ascii="宋体" w:hAnsi="宋体" w:cs="宋体" w:eastAsia="宋体" w:hint="default"/>
          <w:b/>
          <w:bCs/>
          <w:sz w:val="21"/>
          <w:szCs w:val="21"/>
        </w:rPr>
        <w:t>57</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3,320,554.38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5,255,033.34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15,192,046.15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29,282,229.52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加：汇兑损失</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-304,521.30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1,124,366.47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加：其他支出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244,634.45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122,677.32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-11,931,378.62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-22,780,152.39</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8、资产减值损失" w:id="347"/>
      <w:bookmarkEnd w:id="347"/>
      <w:r>
        <w:rPr/>
      </w:r>
      <w:r>
        <w:rPr>
          <w:rFonts w:ascii="宋体" w:hAnsi="宋体" w:cs="宋体" w:eastAsia="宋体" w:hint="default"/>
          <w:b/>
          <w:bCs/>
          <w:sz w:val="21"/>
          <w:szCs w:val="21"/>
        </w:rPr>
        <w:t>58</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63,209,520.53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4,764,673.37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三、可供出售金融资产减值损失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49,727,018.21</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五、长期股权投资减值损失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208,015,379.58</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十二、无形资产减值损失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188,598,560.24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1,254,214,586.11</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十四、其他</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1,813,765,064.67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4,764,673.37</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9、其他收益" w:id="348"/>
      <w:bookmarkEnd w:id="348"/>
      <w:r>
        <w:rPr/>
      </w:r>
      <w:r>
        <w:rPr>
          <w:rFonts w:ascii="宋体" w:hAnsi="宋体" w:cs="宋体" w:eastAsia="宋体" w:hint="default"/>
          <w:b/>
          <w:bCs/>
          <w:sz w:val="21"/>
          <w:szCs w:val="21"/>
        </w:rPr>
        <w:t>59</w:t>
      </w:r>
      <w:r>
        <w:rPr>
          <w:rFonts w:ascii="宋体" w:hAnsi="宋体" w:cs="宋体" w:eastAsia="宋体" w:hint="default"/>
          <w:b/>
          <w:bCs/>
          <w:sz w:val="21"/>
          <w:szCs w:val="21"/>
        </w:rPr>
        <w:t>、其他收益</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10,339,469.35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87" w:right="0"/>
              <w:jc w:val="left"/>
              <w:rPr>
                <w:rFonts w:ascii="宋体" w:hAnsi="宋体" w:cs="宋体" w:eastAsia="宋体" w:hint="default"/>
                <w:sz w:val="18"/>
                <w:szCs w:val="18"/>
              </w:rPr>
            </w:pPr>
            <w:r>
              <w:rPr>
                <w:rFonts w:ascii="宋体"/>
                <w:sz w:val="18"/>
              </w:rPr>
              <w:t>30,180,516.37</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591,573.65</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60、投资收益" w:id="349"/>
      <w:bookmarkEnd w:id="349"/>
      <w:r>
        <w:rPr/>
      </w:r>
      <w:r>
        <w:rPr>
          <w:rFonts w:ascii="宋体" w:hAnsi="宋体" w:cs="宋体" w:eastAsia="宋体" w:hint="default"/>
          <w:b/>
          <w:bCs/>
          <w:sz w:val="21"/>
          <w:szCs w:val="21"/>
        </w:rPr>
        <w:t>60</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437"/>
        <w:gridCol w:w="3203"/>
        <w:gridCol w:w="2918"/>
      </w:tblGrid>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078" w:right="0"/>
              <w:jc w:val="left"/>
              <w:rPr>
                <w:rFonts w:ascii="宋体" w:hAnsi="宋体" w:cs="宋体" w:eastAsia="宋体" w:hint="default"/>
                <w:sz w:val="18"/>
                <w:szCs w:val="18"/>
              </w:rPr>
            </w:pPr>
            <w:r>
              <w:rPr>
                <w:rFonts w:ascii="宋体"/>
                <w:sz w:val="18"/>
              </w:rPr>
              <w:t>2,429,005.12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15" w:right="0"/>
              <w:jc w:val="left"/>
              <w:rPr>
                <w:rFonts w:ascii="宋体" w:hAnsi="宋体" w:cs="宋体" w:eastAsia="宋体" w:hint="default"/>
                <w:sz w:val="18"/>
                <w:szCs w:val="18"/>
              </w:rPr>
            </w:pPr>
            <w:r>
              <w:rPr>
                <w:rFonts w:ascii="宋体"/>
                <w:sz w:val="18"/>
              </w:rPr>
              <w:t>10,360,577.85</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460"/>
        <w:gridCol w:w="3191"/>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54,275,202.05</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4,048,696.45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2,481,261.33</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903,867.00</w:t>
            </w: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1"/>
                <w:sz w:val="18"/>
                <w:szCs w:val="18"/>
              </w:rPr>
              <w:t>丧失控制权后，剩余股权按公允价值重新计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量产生的利得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47,814,313.78</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1"/>
                <w:sz w:val="18"/>
                <w:szCs w:val="18"/>
              </w:rPr>
              <w:t>取得控制权后，原股权按公允价值重新计量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产生的利得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85,816,814.13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7,808,642.87</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194,384,031.53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21,554,349.05</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5"/>
        <w:rPr>
          <w:rFonts w:ascii="宋体" w:hAnsi="宋体" w:cs="宋体" w:eastAsia="宋体" w:hint="default"/>
          <w:sz w:val="19"/>
          <w:szCs w:val="19"/>
        </w:rPr>
      </w:pPr>
    </w:p>
    <w:p>
      <w:pPr>
        <w:pStyle w:val="BodyText"/>
        <w:spacing w:line="357" w:lineRule="auto"/>
        <w:ind w:right="1092" w:firstLine="480"/>
        <w:jc w:val="left"/>
      </w:pPr>
      <w:r>
        <w:rPr/>
        <w:t>注</w:t>
      </w:r>
      <w:r>
        <w:rPr>
          <w:spacing w:val="24"/>
        </w:rPr>
        <w:t> </w:t>
      </w:r>
      <w:r>
        <w:rPr>
          <w:rFonts w:ascii="宋体" w:hAnsi="宋体" w:cs="宋体" w:eastAsia="宋体" w:hint="default"/>
        </w:rPr>
        <w:t>1</w:t>
      </w:r>
      <w:r>
        <w:rPr>
          <w:rFonts w:ascii="宋体" w:hAnsi="宋体" w:cs="宋体" w:eastAsia="宋体" w:hint="default"/>
          <w:spacing w:val="-98"/>
        </w:rPr>
        <w:t> </w:t>
      </w:r>
      <w:r>
        <w:rPr/>
        <w:t>：</w:t>
      </w:r>
      <w:r>
        <w:rPr>
          <w:spacing w:val="-99"/>
        </w:rPr>
        <w:t> </w:t>
      </w:r>
      <w:r>
        <w:rPr>
          <w:spacing w:val="21"/>
        </w:rPr>
        <w:t>处置长期股权投资产生的投资收益主要是本公司处置中文万维部分股权及</w:t>
      </w:r>
      <w:r>
        <w:rPr/>
        <w:t> </w:t>
      </w:r>
      <w:r>
        <w:rPr>
          <w:rFonts w:ascii="宋体" w:hAnsi="宋体" w:cs="宋体" w:eastAsia="宋体" w:hint="default"/>
        </w:rPr>
        <w:t>JOINGEAR LIMITED</w:t>
      </w:r>
      <w:r>
        <w:rPr>
          <w:rFonts w:ascii="宋体" w:hAnsi="宋体" w:cs="宋体" w:eastAsia="宋体" w:hint="default"/>
          <w:spacing w:val="-60"/>
        </w:rPr>
        <w:t> </w:t>
      </w:r>
      <w:r>
        <w:rPr/>
        <w:t>回购本公司持有其全部股份产生的处置收益。</w:t>
      </w:r>
    </w:p>
    <w:p>
      <w:pPr>
        <w:pStyle w:val="BodyText"/>
        <w:spacing w:line="357" w:lineRule="auto" w:before="134"/>
        <w:ind w:right="1092" w:firstLine="480"/>
        <w:jc w:val="left"/>
      </w:pPr>
      <w:r>
        <w:rPr/>
        <w:t>注 </w:t>
      </w:r>
      <w:r>
        <w:rPr>
          <w:rFonts w:ascii="宋体" w:hAnsi="宋体" w:cs="宋体" w:eastAsia="宋体" w:hint="default"/>
        </w:rPr>
        <w:t>2</w:t>
      </w:r>
      <w:r>
        <w:rPr/>
        <w:t>：取得控制权后，原股权按公允价值重新计量产生的利得系本公司收购晨之科</w:t>
      </w:r>
      <w:r>
        <w:rPr>
          <w:spacing w:val="12"/>
        </w:rPr>
        <w:t> </w:t>
      </w:r>
      <w:r>
        <w:rPr>
          <w:rFonts w:ascii="宋体" w:hAnsi="宋体" w:cs="宋体" w:eastAsia="宋体" w:hint="default"/>
        </w:rPr>
        <w:t>80%</w:t>
      </w:r>
      <w:r>
        <w:rPr>
          <w:rFonts w:ascii="宋体" w:hAnsi="宋体" w:cs="宋体" w:eastAsia="宋体" w:hint="default"/>
          <w:spacing w:val="1"/>
        </w:rPr>
        <w:t> </w:t>
      </w:r>
      <w:r>
        <w:rPr/>
        <w:t>股权时原</w:t>
      </w:r>
      <w:r>
        <w:rPr>
          <w:spacing w:val="-60"/>
        </w:rPr>
        <w:t> </w:t>
      </w:r>
      <w:r>
        <w:rPr>
          <w:rFonts w:ascii="宋体" w:hAnsi="宋体" w:cs="宋体" w:eastAsia="宋体" w:hint="default"/>
        </w:rPr>
        <w:t>20%</w:t>
      </w:r>
      <w:r>
        <w:rPr/>
        <w:t>股权在收购日按公允价值重新计量产生的收益。</w:t>
      </w:r>
    </w:p>
    <w:p>
      <w:pPr>
        <w:pStyle w:val="BodyText"/>
        <w:spacing w:line="357" w:lineRule="auto" w:before="136"/>
        <w:ind w:right="1092" w:firstLine="480"/>
        <w:jc w:val="left"/>
      </w:pPr>
      <w:r>
        <w:rPr/>
        <w:t>注</w:t>
      </w:r>
      <w:r>
        <w:rPr>
          <w:spacing w:val="3"/>
        </w:rPr>
        <w:t> </w:t>
      </w:r>
      <w:r>
        <w:rPr>
          <w:rFonts w:ascii="宋体" w:hAnsi="宋体" w:cs="宋体" w:eastAsia="宋体" w:hint="default"/>
        </w:rPr>
        <w:t>3</w:t>
      </w:r>
      <w:r>
        <w:rPr/>
        <w:t>：丧失控制权后，采用权益法核算原股权按公允价值重新计量产生的利得系本公司 处置中文万维部分股权后剩余股权部分按公允价值重新计量。</w:t>
      </w:r>
    </w:p>
    <w:p>
      <w:pPr>
        <w:pStyle w:val="BodyText"/>
        <w:spacing w:line="240" w:lineRule="auto" w:before="136"/>
        <w:ind w:left="634" w:right="1092"/>
        <w:jc w:val="left"/>
      </w:pPr>
      <w:r>
        <w:rPr>
          <w:rFonts w:ascii="宋体" w:hAnsi="宋体" w:cs="宋体" w:eastAsia="宋体" w:hint="default"/>
        </w:rPr>
        <w:t>61</w:t>
      </w:r>
      <w:r>
        <w:rPr/>
        <w:t>、公允价值变动收益</w:t>
      </w:r>
    </w:p>
    <w:p>
      <w:pPr>
        <w:spacing w:line="240" w:lineRule="auto" w:before="2"/>
        <w:rPr>
          <w:rFonts w:ascii="宋体" w:hAnsi="宋体" w:cs="宋体" w:eastAsia="宋体" w:hint="default"/>
          <w:sz w:val="17"/>
          <w:szCs w:val="1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6"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1"/>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 益的金融资产</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216,395,000.00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1"/>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 益的金融负债</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44,107,000.00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260,502,000.00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6"/>
        <w:rPr>
          <w:rFonts w:ascii="宋体" w:hAnsi="宋体" w:cs="宋体" w:eastAsia="宋体" w:hint="default"/>
          <w:sz w:val="19"/>
          <w:szCs w:val="19"/>
        </w:rPr>
      </w:pPr>
    </w:p>
    <w:p>
      <w:pPr>
        <w:pStyle w:val="BodyText"/>
        <w:spacing w:line="434" w:lineRule="auto"/>
        <w:ind w:left="634" w:right="2652"/>
        <w:jc w:val="left"/>
      </w:pPr>
      <w:r>
        <w:rPr/>
        <w:t>注</w:t>
      </w:r>
      <w:r>
        <w:rPr>
          <w:spacing w:val="-60"/>
        </w:rPr>
        <w:t> </w:t>
      </w:r>
      <w:r>
        <w:rPr>
          <w:rFonts w:ascii="宋体" w:hAnsi="宋体" w:cs="宋体" w:eastAsia="宋体" w:hint="default"/>
        </w:rPr>
        <w:t>1</w:t>
      </w:r>
      <w:r>
        <w:rPr/>
        <w:t>：以公允价值计量的且其变动计入当期损益的金融资产另见七、</w:t>
      </w:r>
      <w:r>
        <w:rPr>
          <w:rFonts w:ascii="宋体" w:hAnsi="宋体" w:cs="宋体" w:eastAsia="宋体" w:hint="default"/>
        </w:rPr>
        <w:t>2</w:t>
      </w:r>
      <w:r>
        <w:rPr/>
        <w:t>。 注</w:t>
      </w:r>
      <w:r>
        <w:rPr>
          <w:spacing w:val="-60"/>
        </w:rPr>
        <w:t> </w:t>
      </w:r>
      <w:r>
        <w:rPr>
          <w:rFonts w:ascii="宋体" w:hAnsi="宋体" w:cs="宋体" w:eastAsia="宋体" w:hint="default"/>
        </w:rPr>
        <w:t>2</w:t>
      </w:r>
      <w:r>
        <w:rPr/>
        <w:t>：以公允价值计量的且其变动计入当期损益的金融负债另见七、</w:t>
      </w:r>
      <w:r>
        <w:rPr>
          <w:rFonts w:ascii="宋体" w:hAnsi="宋体" w:cs="宋体" w:eastAsia="宋体" w:hint="default"/>
        </w:rPr>
        <w:t>27</w:t>
      </w:r>
      <w:r>
        <w:rPr/>
        <w:t>。</w:t>
      </w:r>
    </w:p>
    <w:p>
      <w:pPr>
        <w:spacing w:before="203"/>
        <w:ind w:left="154" w:right="1092" w:firstLine="0"/>
        <w:jc w:val="left"/>
        <w:rPr>
          <w:rFonts w:ascii="宋体" w:hAnsi="宋体" w:cs="宋体" w:eastAsia="宋体" w:hint="default"/>
          <w:sz w:val="21"/>
          <w:szCs w:val="21"/>
        </w:rPr>
      </w:pPr>
      <w:bookmarkStart w:name="62、资产处置收益" w:id="350"/>
      <w:bookmarkEnd w:id="350"/>
      <w:r>
        <w:rPr/>
      </w:r>
      <w:r>
        <w:rPr>
          <w:rFonts w:ascii="宋体" w:hAnsi="宋体" w:cs="宋体" w:eastAsia="宋体" w:hint="default"/>
          <w:b/>
          <w:bCs/>
          <w:sz w:val="21"/>
          <w:szCs w:val="21"/>
        </w:rPr>
        <w:t>62</w:t>
      </w:r>
      <w:r>
        <w:rPr>
          <w:rFonts w:ascii="宋体" w:hAnsi="宋体" w:cs="宋体" w:eastAsia="宋体" w:hint="default"/>
          <w:b/>
          <w:bCs/>
          <w:sz w:val="21"/>
          <w:szCs w:val="21"/>
        </w:rPr>
        <w:t>、资产处置收益</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-80,707.34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65,841.45</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86" w:firstLine="270"/>
              <w:jc w:val="left"/>
              <w:rPr>
                <w:rFonts w:ascii="宋体" w:hAnsi="宋体" w:cs="宋体" w:eastAsia="宋体" w:hint="default"/>
                <w:sz w:val="18"/>
                <w:szCs w:val="18"/>
              </w:rPr>
            </w:pPr>
            <w:r>
              <w:rPr>
                <w:rFonts w:ascii="宋体" w:hAnsi="宋体" w:cs="宋体" w:eastAsia="宋体" w:hint="default"/>
                <w:sz w:val="18"/>
                <w:szCs w:val="18"/>
              </w:rPr>
              <w:t>未划分为持有待售的非流动资产处 置收益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-80,707.34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65,841.45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z w:val="18"/>
                <w:szCs w:val="18"/>
              </w:rPr>
              <w:t>:</w:t>
            </w:r>
            <w:r>
              <w:rPr>
                <w:rFonts w:ascii="宋体" w:hAnsi="宋体" w:cs="宋体" w:eastAsia="宋体" w:hint="default"/>
                <w:sz w:val="18"/>
                <w:szCs w:val="18"/>
              </w:rPr>
              <w:t>固定资产处置收益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-80,707.34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65,841.45</w:t>
            </w:r>
          </w:p>
        </w:tc>
      </w:tr>
    </w:tbl>
    <w:p>
      <w:pPr>
        <w:spacing w:line="240" w:lineRule="auto" w:before="3"/>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63、营业外收入" w:id="351"/>
      <w:bookmarkEnd w:id="351"/>
      <w:r>
        <w:rPr/>
      </w:r>
      <w:r>
        <w:rPr>
          <w:rFonts w:ascii="宋体" w:hAnsi="宋体" w:cs="宋体" w:eastAsia="宋体" w:hint="default"/>
          <w:b/>
          <w:bCs/>
          <w:sz w:val="21"/>
          <w:szCs w:val="21"/>
        </w:rPr>
        <w:t>63</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9,315,658.06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150,809.22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9,315,658.06</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9,315,658.06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150,809.22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9,315,658.06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64、营业外支出" w:id="352"/>
      <w:bookmarkEnd w:id="352"/>
      <w:r>
        <w:rPr/>
      </w:r>
      <w:r>
        <w:rPr>
          <w:rFonts w:ascii="宋体" w:hAnsi="宋体" w:cs="宋体" w:eastAsia="宋体" w:hint="default"/>
          <w:b/>
          <w:bCs/>
          <w:sz w:val="21"/>
          <w:szCs w:val="21"/>
        </w:rPr>
        <w:t>64</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1"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1,283,800.00</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1,283,800.00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667,027.09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585,942.87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667,027.09</w:t>
            </w:r>
          </w:p>
        </w:tc>
      </w:tr>
      <w:tr>
        <w:trPr>
          <w:trHeight w:val="40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宋体" w:hAnsi="宋体" w:cs="宋体" w:eastAsia="宋体" w:hint="default"/>
                <w:sz w:val="18"/>
                <w:szCs w:val="18"/>
              </w:rPr>
            </w:pPr>
            <w:r>
              <w:rPr>
                <w:rFonts w:ascii="宋体"/>
                <w:sz w:val="18"/>
              </w:rPr>
              <w:t>1,950,827.09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585,942.87</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65、所得税费用" w:id="353"/>
      <w:bookmarkEnd w:id="353"/>
      <w:r>
        <w:rPr/>
      </w:r>
      <w:r>
        <w:rPr>
          <w:rFonts w:ascii="宋体" w:hAnsi="宋体" w:cs="宋体" w:eastAsia="宋体" w:hint="default"/>
          <w:b/>
          <w:bCs/>
          <w:sz w:val="21"/>
          <w:szCs w:val="21"/>
        </w:rPr>
        <w:t>65</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所得税费用表" w:id="354"/>
      <w:bookmarkEnd w:id="354"/>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）所得税费用表</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5,096,638.39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17,055,424.84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-15,108,581.95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-5,328,314.13</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-10,011,943.56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11,727,110.71</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会计利润与所得税费用调整过程" w:id="355"/>
      <w:bookmarkEnd w:id="355"/>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）会计利润与所得税费用调整过程</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57"/>
        <w:gridCol w:w="4800"/>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-1,514,941,856.41</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宋体" w:hAnsi="宋体" w:cs="宋体" w:eastAsia="宋体" w:hint="default"/>
                <w:sz w:val="18"/>
                <w:szCs w:val="18"/>
              </w:rPr>
              <w:t>/</w:t>
            </w:r>
            <w:r>
              <w:rPr>
                <w:rFonts w:ascii="宋体" w:hAnsi="宋体" w:cs="宋体" w:eastAsia="宋体" w:hint="default"/>
                <w:sz w:val="18"/>
                <w:szCs w:val="18"/>
              </w:rPr>
              <w:t>适用税率计算的所得税费用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-228,243,523.55</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-13,088,975.33</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1,460.00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-72,025,264.80</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13,692,674.90</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-70,715.98</w:t>
            </w:r>
          </w:p>
        </w:tc>
      </w:tr>
      <w:tr>
        <w:trPr>
          <w:trHeight w:val="714"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295,217,578.58</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权益法核算的合营企业和联营企业损益</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475,896.51</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研究开发费加成扣除的纳税影响（以“</w:t>
            </w:r>
            <w:r>
              <w:rPr>
                <w:rFonts w:ascii="宋体" w:hAnsi="宋体" w:cs="宋体" w:eastAsia="宋体" w:hint="default"/>
                <w:sz w:val="18"/>
                <w:szCs w:val="18"/>
              </w:rPr>
              <w:t>-</w:t>
            </w:r>
            <w:r>
              <w:rPr>
                <w:rFonts w:ascii="宋体" w:hAnsi="宋体" w:cs="宋体" w:eastAsia="宋体" w:hint="default"/>
                <w:sz w:val="18"/>
                <w:szCs w:val="18"/>
              </w:rPr>
              <w:t>”填列）</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-6,002,751.14</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31,677.25</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-10,011,943.56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66、其他综合收益" w:id="356"/>
      <w:bookmarkEnd w:id="356"/>
      <w:r>
        <w:rPr/>
      </w:r>
      <w:r>
        <w:rPr>
          <w:rFonts w:ascii="宋体" w:hAnsi="宋体" w:cs="宋体" w:eastAsia="宋体" w:hint="default"/>
          <w:b/>
          <w:bCs/>
          <w:sz w:val="21"/>
          <w:szCs w:val="21"/>
        </w:rPr>
        <w:t>66</w:t>
      </w:r>
      <w:r>
        <w:rPr>
          <w:rFonts w:ascii="宋体" w:hAnsi="宋体" w:cs="宋体" w:eastAsia="宋体" w:hint="default"/>
          <w:b/>
          <w:bCs/>
          <w:sz w:val="21"/>
          <w:szCs w:val="21"/>
        </w:rPr>
        <w:t>、其他综合收益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详见附注“七、</w:t>
      </w:r>
      <w:r>
        <w:rPr>
          <w:rFonts w:ascii="宋体" w:hAnsi="宋体" w:cs="宋体" w:eastAsia="宋体" w:hint="default"/>
        </w:rPr>
        <w:t>48.</w:t>
      </w:r>
      <w:r>
        <w:rPr/>
        <w:t>其他综合收益</w:t>
      </w:r>
      <w:r>
        <w:rPr>
          <w:spacing w:val="-120"/>
        </w:rPr>
        <w:t>”</w:t>
      </w:r>
      <w:r>
        <w:rPr/>
        <w:t>。</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67、现金流量表项目" w:id="357"/>
      <w:bookmarkEnd w:id="357"/>
      <w:r>
        <w:rPr/>
      </w:r>
      <w:r>
        <w:rPr>
          <w:rFonts w:ascii="宋体" w:hAnsi="宋体" w:cs="宋体" w:eastAsia="宋体" w:hint="default"/>
          <w:b/>
          <w:bCs/>
          <w:sz w:val="21"/>
          <w:szCs w:val="21"/>
        </w:rPr>
        <w:t>67</w:t>
      </w:r>
      <w:r>
        <w:rPr>
          <w:rFonts w:ascii="宋体" w:hAnsi="宋体" w:cs="宋体" w:eastAsia="宋体" w:hint="default"/>
          <w:b/>
          <w:bCs/>
          <w:sz w:val="21"/>
          <w:szCs w:val="21"/>
        </w:rPr>
        <w:t>、现金流量表项目</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收到的其他与经营活动有关的现金" w:id="358"/>
      <w:bookmarkEnd w:id="358"/>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15,163,466.96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33,842,038.95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15,192,046.15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29,282,229.52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3,466,693.76</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5,070,089.73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4,102,240.52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38,892,296.60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67,226,508.99</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支付的其他与经营活动有关的现金" w:id="359"/>
      <w:bookmarkEnd w:id="359"/>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149,556,934.89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11,715,054.37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30,392,541.30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外包服务费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29,191,020.33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20,666,355.63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房租</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22,466,348.02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15,889,684.38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差旅及交通费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16,100,465.40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11,124,345.55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专业机构服务费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8,995,771.34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19,209,969.60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8,002,760.14</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7,798,939.76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7,922,071.03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7,496,748.73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5,652,727.49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研究开发费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7,100,132.76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23,623,190.84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3,875,383.74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5,250,861.20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3,249,760.28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1,944,644.15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邮电通讯费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699,219.90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1,453,043.57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619,823.62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3,244,461.12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436,918.30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399,275.87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董事会费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428,404.08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293,515.04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银行手续费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208,892.66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122,677.32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8,961,541.60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7,270,371.24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305,581,606.85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135,782,248.40</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收到的其他与投资活动有关的现金" w:id="360"/>
      <w:bookmarkEnd w:id="360"/>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）收到的其他与投资活动有关的现金</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代收代缴个税款项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75,430,000.00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774,688.00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76,204,688.00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4）支付的其他与投资活动有关的现金" w:id="361"/>
      <w:bookmarkEnd w:id="361"/>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）支付的其他与投资活动有关的现金</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股权转让</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9,001,100.00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代缴个税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48,226,674.27</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48,226,674.27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9,001,100.00</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收到的其他与筹资活动有关的现金" w:id="362"/>
      <w:bookmarkEnd w:id="362"/>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）收到的其他与筹资活动有关的现金</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33,340,000.00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33,340,000.00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宋体" w:hAnsi="宋体" w:cs="宋体" w:eastAsia="宋体" w:hint="default"/>
          <w:sz w:val="20"/>
          <w:szCs w:val="20"/>
        </w:rPr>
      </w:pPr>
      <w:r>
        <w:rPr/>
        <w:pict>
          <v:group style="position:absolute;margin-left:223.339996pt;margin-top:547.389954pt;width:151.25pt;height:20.7pt;mso-position-horizontal-relative:page;mso-position-vertical-relative:page;z-index:-1153096" coordorigin="4467,10948" coordsize="3025,414">
            <v:group style="position:absolute;left:4478;top:10959;width:2;height:392" coordorigin="4478,10959" coordsize="2,392">
              <v:shape style="position:absolute;left:4478;top:10959;width:2;height:392" coordorigin="4478,10959" coordsize="0,392" path="m4478,10959l4478,11350e" filled="false" stroked="true" strokeweight="1.140pt" strokecolor="#ffffff">
                <v:path arrowok="t"/>
              </v:shape>
            </v:group>
            <v:group style="position:absolute;left:4490;top:10959;width:3002;height:392" coordorigin="4490,10959" coordsize="3002,392">
              <v:shape style="position:absolute;left:4490;top:10959;width:3002;height:392" coordorigin="4490,10959" coordsize="3002,392" path="m4490,11350l7491,11350,7491,10959,4490,10959,4490,11350xe" filled="true" fillcolor="#ffffff" stroked="false">
                <v:path arrowok="t"/>
                <v:fill type="solid"/>
              </v:shape>
            </v:group>
            <w10:wrap type="none"/>
          </v:group>
        </w:pict>
      </w:r>
    </w:p>
    <w:p>
      <w:pPr>
        <w:spacing w:before="35"/>
        <w:ind w:left="154" w:right="1092" w:firstLine="0"/>
        <w:jc w:val="left"/>
        <w:rPr>
          <w:rFonts w:ascii="宋体" w:hAnsi="宋体" w:cs="宋体" w:eastAsia="宋体" w:hint="default"/>
          <w:sz w:val="21"/>
          <w:szCs w:val="21"/>
        </w:rPr>
      </w:pPr>
      <w:bookmarkStart w:name="（6）支付的其他与筹资活动有关的现金" w:id="363"/>
      <w:bookmarkEnd w:id="363"/>
      <w:r>
        <w:rPr/>
      </w:r>
      <w:r>
        <w:rPr>
          <w:rFonts w:ascii="宋体" w:hAnsi="宋体" w:cs="宋体" w:eastAsia="宋体" w:hint="default"/>
          <w:b/>
          <w:bCs/>
          <w:sz w:val="21"/>
          <w:szCs w:val="21"/>
        </w:rPr>
        <w:t>（</w:t>
      </w:r>
      <w:r>
        <w:rPr>
          <w:rFonts w:ascii="宋体" w:hAnsi="宋体" w:cs="宋体" w:eastAsia="宋体" w:hint="default"/>
          <w:b/>
          <w:bCs/>
          <w:sz w:val="21"/>
          <w:szCs w:val="21"/>
        </w:rPr>
        <w:t>6</w:t>
      </w:r>
      <w:r>
        <w:rPr>
          <w:rFonts w:ascii="宋体" w:hAnsi="宋体" w:cs="宋体" w:eastAsia="宋体" w:hint="default"/>
          <w:b/>
          <w:bCs/>
          <w:sz w:val="21"/>
          <w:szCs w:val="21"/>
        </w:rPr>
        <w:t>）支付的其他与筹资活动有关的现金</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限制性股票回购款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31,920,687.31</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信用卡业务保证金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172,530.00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权益分派个税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154,998.33</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保函</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33,340,000.00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代缴股息税</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13,563.96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32,248,215.64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33,353,563.96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68、现金流量表补充资料" w:id="364"/>
      <w:bookmarkEnd w:id="364"/>
      <w:r>
        <w:rPr/>
      </w:r>
      <w:r>
        <w:rPr>
          <w:rFonts w:ascii="宋体" w:hAnsi="宋体" w:cs="宋体" w:eastAsia="宋体" w:hint="default"/>
          <w:b/>
          <w:bCs/>
          <w:sz w:val="21"/>
          <w:szCs w:val="21"/>
        </w:rPr>
        <w:t>68</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现金流量表补充资料" w:id="365"/>
      <w:bookmarkEnd w:id="365"/>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882"/>
        <w:gridCol w:w="2187"/>
        <w:gridCol w:w="3184"/>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．将净利润调节为经营活动现金流量：</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494" w:right="0"/>
              <w:jc w:val="left"/>
              <w:rPr>
                <w:rFonts w:ascii="宋体" w:hAnsi="宋体" w:cs="宋体" w:eastAsia="宋体" w:hint="default"/>
                <w:sz w:val="18"/>
                <w:szCs w:val="18"/>
              </w:rPr>
            </w:pPr>
            <w:r>
              <w:rPr>
                <w:rFonts w:ascii="宋体"/>
                <w:sz w:val="18"/>
              </w:rPr>
              <w:t>-1,504,929,912.85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81,092,304.79</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584" w:right="0"/>
              <w:jc w:val="left"/>
              <w:rPr>
                <w:rFonts w:ascii="宋体" w:hAnsi="宋体" w:cs="宋体" w:eastAsia="宋体" w:hint="default"/>
                <w:sz w:val="18"/>
                <w:szCs w:val="18"/>
              </w:rPr>
            </w:pPr>
            <w:r>
              <w:rPr>
                <w:rFonts w:ascii="宋体"/>
                <w:sz w:val="18"/>
              </w:rPr>
              <w:t>1,813,765,064.67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4,764,673.37</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44" w:right="0"/>
              <w:jc w:val="left"/>
              <w:rPr>
                <w:rFonts w:ascii="宋体" w:hAnsi="宋体" w:cs="宋体" w:eastAsia="宋体" w:hint="default"/>
                <w:sz w:val="18"/>
                <w:szCs w:val="18"/>
              </w:rPr>
            </w:pPr>
            <w:r>
              <w:rPr>
                <w:rFonts w:ascii="宋体"/>
                <w:sz w:val="18"/>
              </w:rPr>
              <w:t>8,208,303.29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3,376,601.78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764" w:right="0"/>
              <w:jc w:val="left"/>
              <w:rPr>
                <w:rFonts w:ascii="宋体" w:hAnsi="宋体" w:cs="宋体" w:eastAsia="宋体" w:hint="default"/>
                <w:sz w:val="18"/>
                <w:szCs w:val="18"/>
              </w:rPr>
            </w:pPr>
            <w:r>
              <w:rPr>
                <w:rFonts w:ascii="宋体"/>
                <w:sz w:val="18"/>
              </w:rPr>
              <w:t>149,606,392.30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113,586,686.19</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854" w:right="0"/>
              <w:jc w:val="left"/>
              <w:rPr>
                <w:rFonts w:ascii="宋体" w:hAnsi="宋体" w:cs="宋体" w:eastAsia="宋体" w:hint="default"/>
                <w:sz w:val="18"/>
                <w:szCs w:val="18"/>
              </w:rPr>
            </w:pPr>
            <w:r>
              <w:rPr>
                <w:rFonts w:ascii="宋体"/>
                <w:sz w:val="18"/>
              </w:rPr>
              <w:t>39,703,200.00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1,839,166.62</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80,707.34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-65,841.45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pacing w:val="-4"/>
                <w:sz w:val="18"/>
                <w:szCs w:val="18"/>
              </w:rPr>
              <w:t>公允价值变动损失（收益以“－”号填列</w:t>
            </w:r>
          </w:p>
        </w:tc>
        <w:tc>
          <w:tcPr>
            <w:tcW w:w="882"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52"/>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21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808" w:right="0"/>
              <w:jc w:val="left"/>
              <w:rPr>
                <w:rFonts w:ascii="宋体" w:hAnsi="宋体" w:cs="宋体" w:eastAsia="宋体" w:hint="default"/>
                <w:sz w:val="18"/>
                <w:szCs w:val="18"/>
              </w:rPr>
            </w:pPr>
            <w:r>
              <w:rPr>
                <w:rFonts w:ascii="宋体"/>
                <w:sz w:val="18"/>
              </w:rPr>
              <w:t>-260,502,000.00</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944" w:right="0"/>
              <w:jc w:val="left"/>
              <w:rPr>
                <w:rFonts w:ascii="宋体" w:hAnsi="宋体" w:cs="宋体" w:eastAsia="宋体" w:hint="default"/>
                <w:sz w:val="18"/>
                <w:szCs w:val="18"/>
              </w:rPr>
            </w:pPr>
            <w:r>
              <w:rPr>
                <w:rFonts w:ascii="宋体"/>
                <w:sz w:val="18"/>
              </w:rPr>
              <w:t>3,320,554.38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5,255,033.34</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674" w:right="0"/>
              <w:jc w:val="left"/>
              <w:rPr>
                <w:rFonts w:ascii="宋体" w:hAnsi="宋体" w:cs="宋体" w:eastAsia="宋体" w:hint="default"/>
                <w:sz w:val="18"/>
                <w:szCs w:val="18"/>
              </w:rPr>
            </w:pPr>
            <w:r>
              <w:rPr>
                <w:rFonts w:ascii="宋体"/>
                <w:sz w:val="18"/>
              </w:rPr>
              <w:t>-194,384,031.53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-21,554,349.05</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44" w:right="0"/>
              <w:jc w:val="left"/>
              <w:rPr>
                <w:rFonts w:ascii="宋体" w:hAnsi="宋体" w:cs="宋体" w:eastAsia="宋体" w:hint="default"/>
                <w:sz w:val="18"/>
                <w:szCs w:val="18"/>
              </w:rPr>
            </w:pPr>
            <w:r>
              <w:rPr>
                <w:rFonts w:ascii="宋体"/>
                <w:sz w:val="18"/>
              </w:rPr>
              <w:t>9,674,240.79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-4,455,347.47</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854" w:right="0"/>
              <w:jc w:val="left"/>
              <w:rPr>
                <w:rFonts w:ascii="宋体" w:hAnsi="宋体" w:cs="宋体" w:eastAsia="宋体" w:hint="default"/>
                <w:sz w:val="18"/>
                <w:szCs w:val="18"/>
              </w:rPr>
            </w:pPr>
            <w:r>
              <w:rPr>
                <w:rFonts w:ascii="宋体"/>
                <w:sz w:val="18"/>
              </w:rPr>
              <w:t>-1,267,621.15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-872,966.66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854" w:right="0"/>
              <w:jc w:val="left"/>
              <w:rPr>
                <w:rFonts w:ascii="宋体" w:hAnsi="宋体" w:cs="宋体" w:eastAsia="宋体" w:hint="default"/>
                <w:sz w:val="18"/>
                <w:szCs w:val="18"/>
              </w:rPr>
            </w:pPr>
            <w:r>
              <w:rPr>
                <w:rFonts w:ascii="宋体"/>
                <w:sz w:val="18"/>
              </w:rPr>
              <w:t>-7,400,328.73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-4,924,660.11</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41"/>
              <w:jc w:val="left"/>
              <w:rPr>
                <w:rFonts w:ascii="宋体" w:hAnsi="宋体" w:cs="宋体" w:eastAsia="宋体" w:hint="default"/>
                <w:sz w:val="18"/>
                <w:szCs w:val="18"/>
              </w:rPr>
            </w:pPr>
            <w:r>
              <w:rPr>
                <w:rFonts w:ascii="宋体" w:hAnsi="宋体" w:cs="宋体" w:eastAsia="宋体" w:hint="default"/>
                <w:sz w:val="18"/>
                <w:szCs w:val="18"/>
              </w:rPr>
              <w:t>经营性应收项目的减少（增加以“－”号 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674" w:right="0"/>
              <w:jc w:val="left"/>
              <w:rPr>
                <w:rFonts w:ascii="宋体" w:hAnsi="宋体" w:cs="宋体" w:eastAsia="宋体" w:hint="default"/>
                <w:sz w:val="18"/>
                <w:szCs w:val="18"/>
              </w:rPr>
            </w:pPr>
            <w:r>
              <w:rPr>
                <w:rFonts w:ascii="宋体"/>
                <w:sz w:val="18"/>
              </w:rPr>
              <w:t>-431,906,982.51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58,134,644.65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经营性应付项目的增加（减少以“－”号</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764" w:right="0"/>
              <w:jc w:val="left"/>
              <w:rPr>
                <w:rFonts w:ascii="宋体" w:hAnsi="宋体" w:cs="宋体" w:eastAsia="宋体" w:hint="default"/>
                <w:sz w:val="18"/>
                <w:szCs w:val="18"/>
              </w:rPr>
            </w:pPr>
            <w:r>
              <w:rPr>
                <w:rFonts w:ascii="宋体"/>
                <w:sz w:val="18"/>
              </w:rPr>
              <w:t>277,602,467.99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-20,194,183.95</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36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069" w:type="dxa"/>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9,040,577.66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23,270,502.15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-89,389,368.35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239,252,264.20</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131"/>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．不涉及现金收支的重大投资和筹资活 动：</w:t>
            </w:r>
          </w:p>
        </w:tc>
        <w:tc>
          <w:tcPr>
            <w:tcW w:w="306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3" w:hRule="exact"/>
        </w:trPr>
        <w:tc>
          <w:tcPr>
            <w:tcW w:w="3305" w:type="dxa"/>
            <w:vMerge/>
            <w:tcBorders>
              <w:left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445" w:right="0"/>
              <w:jc w:val="left"/>
              <w:rPr>
                <w:rFonts w:ascii="宋体" w:hAnsi="宋体" w:cs="宋体" w:eastAsia="宋体" w:hint="default"/>
                <w:sz w:val="18"/>
                <w:szCs w:val="18"/>
              </w:rPr>
            </w:pPr>
            <w:r>
              <w:rPr>
                <w:rFonts w:ascii="宋体"/>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496" w:right="0"/>
              <w:jc w:val="left"/>
              <w:rPr>
                <w:rFonts w:ascii="宋体" w:hAnsi="宋体" w:cs="宋体" w:eastAsia="宋体" w:hint="default"/>
                <w:sz w:val="18"/>
                <w:szCs w:val="18"/>
              </w:rPr>
            </w:pPr>
            <w:r>
              <w:rPr>
                <w:rFonts w:ascii="宋体"/>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single" w:sz="4" w:space="0" w:color="000000"/>
              <w:right w:val="single" w:sz="4" w:space="0" w:color="000000"/>
            </w:tcBorders>
            <w:shd w:val="clear" w:color="auto" w:fill="D2D2D2"/>
          </w:tcPr>
          <w:p>
            <w:pPr/>
          </w:p>
        </w:tc>
        <w:tc>
          <w:tcPr>
            <w:tcW w:w="31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．现金及现金等价物净变动情况：</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45" w:right="0"/>
              <w:jc w:val="left"/>
              <w:rPr>
                <w:rFonts w:ascii="宋体" w:hAnsi="宋体" w:cs="宋体" w:eastAsia="宋体" w:hint="default"/>
                <w:sz w:val="18"/>
                <w:szCs w:val="18"/>
              </w:rPr>
            </w:pPr>
            <w:r>
              <w:rPr>
                <w:rFonts w:ascii="宋体"/>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96" w:right="0"/>
              <w:jc w:val="left"/>
              <w:rPr>
                <w:rFonts w:ascii="宋体" w:hAnsi="宋体" w:cs="宋体" w:eastAsia="宋体" w:hint="default"/>
                <w:sz w:val="18"/>
                <w:szCs w:val="18"/>
              </w:rPr>
            </w:pPr>
            <w:r>
              <w:rPr>
                <w:rFonts w:ascii="宋体"/>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479,649,540.85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723,086,858.06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723,086,858.06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1,414,669,469.11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-243,437,317.21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-691,582,611.05</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本期支付的取得子公司的现金净额" w:id="366"/>
      <w:bookmarkEnd w:id="366"/>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）本期支付的取得子公司的现金净额</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本期收到的处置子公司的现金净额" w:id="367"/>
      <w:bookmarkEnd w:id="367"/>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）本期收到的处置子公司的现金净额</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现金和现金等价物的构成" w:id="368"/>
      <w:bookmarkEnd w:id="368"/>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479,649,540.85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723,086,858.06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163,079.35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18,520.88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479,486,461.50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723,068,337.18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479,649,540.85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723,086,858.06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69、所有者权益变动表项目注释" w:id="369"/>
      <w:bookmarkEnd w:id="369"/>
      <w:r>
        <w:rPr/>
      </w:r>
      <w:r>
        <w:rPr>
          <w:rFonts w:ascii="宋体" w:hAnsi="宋体" w:cs="宋体" w:eastAsia="宋体" w:hint="default"/>
          <w:b/>
          <w:bCs/>
          <w:sz w:val="21"/>
          <w:szCs w:val="21"/>
        </w:rPr>
        <w:t>69</w:t>
      </w:r>
      <w:r>
        <w:rPr>
          <w:rFonts w:ascii="宋体" w:hAnsi="宋体" w:cs="宋体" w:eastAsia="宋体" w:hint="default"/>
          <w:b/>
          <w:bCs/>
          <w:sz w:val="21"/>
          <w:szCs w:val="21"/>
        </w:rPr>
        <w:t>、所有者权益变动表项目注释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说明对上年期末余额进行调整的“其他”项目名称及调整金额等事项：</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70、所有权或使用权受到限制的资产" w:id="370"/>
      <w:bookmarkEnd w:id="370"/>
      <w:r>
        <w:rPr/>
      </w:r>
      <w:r>
        <w:rPr>
          <w:rFonts w:ascii="宋体" w:hAnsi="宋体" w:cs="宋体" w:eastAsia="宋体" w:hint="default"/>
          <w:b/>
          <w:bCs/>
          <w:sz w:val="21"/>
          <w:szCs w:val="21"/>
        </w:rPr>
        <w:t>70</w:t>
      </w:r>
      <w:r>
        <w:rPr>
          <w:rFonts w:ascii="宋体" w:hAnsi="宋体" w:cs="宋体" w:eastAsia="宋体" w:hint="default"/>
          <w:b/>
          <w:bCs/>
          <w:sz w:val="21"/>
          <w:szCs w:val="21"/>
        </w:rPr>
        <w:t>、所有权或使用权受到限制的资产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95"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5,106,660.00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保函保证金</w:t>
            </w:r>
            <w:r>
              <w:rPr>
                <w:rFonts w:ascii="宋体" w:hAnsi="宋体" w:cs="宋体" w:eastAsia="宋体" w:hint="default"/>
                <w:sz w:val="18"/>
                <w:szCs w:val="18"/>
              </w:rPr>
              <w:t>/</w:t>
            </w:r>
            <w:r>
              <w:rPr>
                <w:rFonts w:ascii="宋体" w:hAnsi="宋体" w:cs="宋体" w:eastAsia="宋体" w:hint="default"/>
                <w:sz w:val="18"/>
                <w:szCs w:val="18"/>
              </w:rPr>
              <w:t>信用卡业务保证金</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52"/>
              <w:ind w:right="14"/>
              <w:jc w:val="right"/>
              <w:rPr>
                <w:rFonts w:ascii="宋体" w:hAnsi="宋体" w:cs="宋体" w:eastAsia="宋体" w:hint="default"/>
                <w:sz w:val="18"/>
                <w:szCs w:val="18"/>
              </w:rPr>
            </w:pPr>
            <w:r>
              <w:rPr>
                <w:rFonts w:ascii="宋体"/>
                <w:sz w:val="18"/>
              </w:rPr>
              <w:t>5,106,660.00</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r>
    </w:tbl>
    <w:p>
      <w:pPr>
        <w:spacing w:after="0" w:line="240" w:lineRule="auto"/>
        <w:jc w:val="center"/>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71、外币货币性项目" w:id="371"/>
      <w:bookmarkEnd w:id="371"/>
      <w:r>
        <w:rPr/>
      </w:r>
      <w:r>
        <w:rPr>
          <w:rFonts w:ascii="宋体" w:hAnsi="宋体" w:cs="宋体" w:eastAsia="宋体" w:hint="default"/>
          <w:b/>
          <w:bCs/>
          <w:sz w:val="21"/>
          <w:szCs w:val="21"/>
        </w:rPr>
        <w:t>71</w:t>
      </w:r>
      <w:r>
        <w:rPr>
          <w:rFonts w:ascii="宋体" w:hAnsi="宋体" w:cs="宋体" w:eastAsia="宋体" w:hint="default"/>
          <w:b/>
          <w:bCs/>
          <w:sz w:val="21"/>
          <w:szCs w:val="21"/>
        </w:rPr>
        <w:t>、外币货币性项目</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外币货币性项目" w:id="372"/>
      <w:bookmarkEnd w:id="372"/>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）外币货币性项目</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484"/>
        <w:gridCol w:w="2305"/>
        <w:gridCol w:w="2391"/>
        <w:gridCol w:w="2389"/>
      </w:tblGrid>
      <w:tr>
        <w:trPr>
          <w:trHeight w:val="403"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2"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1"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2389" w:type="dxa"/>
            <w:tcBorders>
              <w:top w:val="single" w:sz="4" w:space="0" w:color="000000"/>
              <w:left w:val="single" w:sz="13" w:space="0" w:color="D2D2D2"/>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5,468,097.91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sz w:val="18"/>
              </w:rPr>
              <w:t>6.8634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37,529,508.13</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108,964,612.00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sz w:val="18"/>
              </w:rPr>
              <w:t>0.0619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6,744,909.48</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line="273" w:lineRule="auto" w:before="35"/>
        <w:ind w:left="154" w:right="1092" w:firstLine="0"/>
        <w:jc w:val="left"/>
        <w:rPr>
          <w:rFonts w:ascii="宋体" w:hAnsi="宋体" w:cs="宋体" w:eastAsia="宋体" w:hint="default"/>
          <w:sz w:val="21"/>
          <w:szCs w:val="21"/>
        </w:rPr>
      </w:pPr>
      <w:bookmarkStart w:name="（2）境外经营实体说明，包括对于重要的境外经营实体，应披露其境外主要经营地、记账" w:id="373"/>
      <w:bookmarkEnd w:id="373"/>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）境外经营实体说明，包括对于重要的境外经营实体，应披露其境外主要经营地、记账本位币及选择</w:t>
      </w:r>
      <w:r>
        <w:rPr>
          <w:rFonts w:ascii="宋体" w:hAnsi="宋体" w:cs="宋体" w:eastAsia="宋体" w:hint="default"/>
          <w:b/>
          <w:bCs/>
          <w:spacing w:val="-74"/>
          <w:sz w:val="21"/>
          <w:szCs w:val="21"/>
        </w:rPr>
        <w:t> </w:t>
      </w:r>
      <w:r>
        <w:rPr>
          <w:rFonts w:ascii="宋体" w:hAnsi="宋体" w:cs="宋体" w:eastAsia="宋体" w:hint="default"/>
          <w:b/>
          <w:bCs/>
          <w:spacing w:val="-74"/>
          <w:sz w:val="21"/>
          <w:szCs w:val="21"/>
        </w:rPr>
      </w:r>
      <w:r>
        <w:rPr>
          <w:rFonts w:ascii="宋体" w:hAnsi="宋体" w:cs="宋体" w:eastAsia="宋体" w:hint="default"/>
          <w:b/>
          <w:bCs/>
          <w:sz w:val="21"/>
          <w:szCs w:val="21"/>
        </w:rPr>
        <w:t>依据，记账本位币发生变化的还应披露原因。</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pStyle w:val="BodyText"/>
        <w:spacing w:line="240" w:lineRule="auto"/>
        <w:ind w:left="634" w:right="1092"/>
        <w:jc w:val="left"/>
      </w:pPr>
      <w:r>
        <w:rPr/>
        <w:t>√ 适用 □ 不适用</w:t>
      </w:r>
    </w:p>
    <w:p>
      <w:pPr>
        <w:spacing w:line="240" w:lineRule="auto" w:before="4"/>
        <w:rPr>
          <w:rFonts w:ascii="宋体" w:hAnsi="宋体" w:cs="宋体" w:eastAsia="宋体" w:hint="default"/>
          <w:sz w:val="17"/>
          <w:szCs w:val="17"/>
        </w:rPr>
      </w:pPr>
    </w:p>
    <w:p>
      <w:pPr>
        <w:pStyle w:val="BodyText"/>
        <w:spacing w:line="357" w:lineRule="auto" w:before="26"/>
        <w:ind w:right="1116" w:firstLine="480"/>
        <w:jc w:val="left"/>
      </w:pPr>
      <w:r>
        <w:rPr/>
        <w:t>控股子公司</w:t>
      </w:r>
      <w:r>
        <w:rPr>
          <w:spacing w:val="-60"/>
        </w:rPr>
        <w:t> </w:t>
      </w:r>
      <w:r>
        <w:rPr>
          <w:rFonts w:ascii="宋体" w:hAnsi="宋体" w:cs="宋体" w:eastAsia="宋体" w:hint="default"/>
          <w:spacing w:val="-60"/>
        </w:rPr>
      </w:r>
      <w:r>
        <w:rPr>
          <w:rFonts w:ascii="宋体" w:hAnsi="宋体" w:cs="宋体" w:eastAsia="宋体" w:hint="default"/>
          <w:shd w:fill="FFFF00" w:color="auto" w:val="clear"/>
        </w:rPr>
        <w:t>CRAZY</w:t>
      </w:r>
      <w:r>
        <w:rPr>
          <w:rFonts w:ascii="宋体" w:hAnsi="宋体" w:cs="宋体" w:eastAsia="宋体" w:hint="default"/>
          <w:spacing w:val="-8"/>
          <w:shd w:fill="FFFF00" w:color="auto" w:val="clear"/>
        </w:rPr>
        <w:t> </w:t>
      </w:r>
      <w:r>
        <w:rPr>
          <w:rFonts w:ascii="宋体" w:hAnsi="宋体" w:cs="宋体" w:eastAsia="宋体" w:hint="default"/>
          <w:shd w:fill="FFFF00" w:color="auto" w:val="clear"/>
        </w:rPr>
        <w:t>MAPLE</w:t>
      </w:r>
      <w:r>
        <w:rPr>
          <w:rFonts w:ascii="宋体" w:hAnsi="宋体" w:cs="宋体" w:eastAsia="宋体" w:hint="default"/>
          <w:spacing w:val="-8"/>
          <w:shd w:fill="FFFF00" w:color="auto" w:val="clear"/>
        </w:rPr>
        <w:t> </w:t>
      </w:r>
      <w:r>
        <w:rPr>
          <w:rFonts w:ascii="宋体" w:hAnsi="宋体" w:cs="宋体" w:eastAsia="宋体" w:hint="default"/>
          <w:shd w:fill="FFFF00" w:color="auto" w:val="clear"/>
        </w:rPr>
        <w:t>STUDIO,</w:t>
      </w:r>
      <w:r>
        <w:rPr>
          <w:rFonts w:ascii="宋体" w:hAnsi="宋体" w:cs="宋体" w:eastAsia="宋体" w:hint="default"/>
          <w:spacing w:val="-8"/>
          <w:shd w:fill="FFFF00" w:color="auto" w:val="clear"/>
        </w:rPr>
        <w:t> </w:t>
      </w:r>
      <w:r>
        <w:rPr>
          <w:rFonts w:ascii="宋体" w:hAnsi="宋体" w:cs="宋体" w:eastAsia="宋体" w:hint="default"/>
          <w:shd w:fill="FFFF00" w:color="auto" w:val="clear"/>
        </w:rPr>
        <w:t>INC.</w:t>
      </w:r>
      <w:r>
        <w:rPr>
          <w:rFonts w:ascii="宋体" w:hAnsi="宋体" w:cs="宋体" w:eastAsia="宋体" w:hint="default"/>
        </w:rPr>
      </w:r>
      <w:r>
        <w:rPr/>
        <w:t>，注册地与主要经营地为美国，记账本位币为美 元。</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72、套期" w:id="374"/>
      <w:bookmarkEnd w:id="374"/>
      <w:r>
        <w:rPr/>
      </w:r>
      <w:r>
        <w:rPr>
          <w:rFonts w:ascii="宋体" w:hAnsi="宋体" w:cs="宋体" w:eastAsia="宋体" w:hint="default"/>
          <w:b/>
          <w:bCs/>
          <w:sz w:val="21"/>
          <w:szCs w:val="21"/>
        </w:rPr>
        <w:t>72</w:t>
      </w:r>
      <w:r>
        <w:rPr>
          <w:rFonts w:ascii="宋体" w:hAnsi="宋体" w:cs="宋体" w:eastAsia="宋体" w:hint="default"/>
          <w:b/>
          <w:bCs/>
          <w:sz w:val="21"/>
          <w:szCs w:val="21"/>
        </w:rPr>
        <w:t>、套期</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1"/>
        <w:ind w:left="634" w:right="2112"/>
        <w:jc w:val="left"/>
      </w:pPr>
      <w:r>
        <w:rPr/>
        <w:t>按照套期类别披露套期项目及相关套期工具、被套期风险的定性和定量信息： 无。</w:t>
      </w:r>
    </w:p>
    <w:p>
      <w:pPr>
        <w:spacing w:before="203"/>
        <w:ind w:left="154" w:right="1092" w:firstLine="0"/>
        <w:jc w:val="left"/>
        <w:rPr>
          <w:rFonts w:ascii="宋体" w:hAnsi="宋体" w:cs="宋体" w:eastAsia="宋体" w:hint="default"/>
          <w:sz w:val="21"/>
          <w:szCs w:val="21"/>
        </w:rPr>
      </w:pPr>
      <w:bookmarkStart w:name="73、政府补助" w:id="375"/>
      <w:bookmarkEnd w:id="375"/>
      <w:r>
        <w:rPr/>
      </w:r>
      <w:r>
        <w:rPr>
          <w:rFonts w:ascii="宋体" w:hAnsi="宋体" w:cs="宋体" w:eastAsia="宋体" w:hint="default"/>
          <w:b/>
          <w:bCs/>
          <w:sz w:val="21"/>
          <w:szCs w:val="21"/>
        </w:rPr>
        <w:t>73</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13"/>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政府补助基本情况" w:id="376"/>
      <w:bookmarkEnd w:id="376"/>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）政府补助基本情况</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税收奖励</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宋体" w:hAnsi="宋体" w:cs="宋体" w:eastAsia="宋体" w:hint="default"/>
                <w:sz w:val="18"/>
                <w:szCs w:val="18"/>
              </w:rPr>
            </w:pPr>
            <w:r>
              <w:rPr>
                <w:rFonts w:ascii="宋体"/>
                <w:sz w:val="18"/>
              </w:rPr>
              <w:t>1,240,600.00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北京文创</w:t>
            </w:r>
            <w:r>
              <w:rPr>
                <w:rFonts w:ascii="宋体" w:hAnsi="宋体" w:cs="宋体" w:eastAsia="宋体" w:hint="default"/>
                <w:sz w:val="18"/>
                <w:szCs w:val="18"/>
              </w:rPr>
              <w:t>-</w:t>
            </w:r>
            <w:r>
              <w:rPr>
                <w:rFonts w:ascii="宋体" w:hAnsi="宋体" w:cs="宋体" w:eastAsia="宋体" w:hint="default"/>
                <w:sz w:val="18"/>
                <w:szCs w:val="18"/>
              </w:rPr>
              <w:t>手机数字内容发行 服务平台</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1,240,600.00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资产相关的政府补助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800,000.04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基于手机微出版技术的原创 聚合暨富媒体发布平台项目</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800,000.04</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3"/>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0"/>
                <w:sz w:val="18"/>
                <w:szCs w:val="18"/>
              </w:rPr>
              <w:t> </w:t>
            </w:r>
            <w:r>
              <w:rPr>
                <w:rFonts w:ascii="宋体" w:hAnsi="宋体" w:cs="宋体" w:eastAsia="宋体" w:hint="default"/>
                <w:spacing w:val="-9"/>
                <w:sz w:val="18"/>
                <w:szCs w:val="18"/>
              </w:rPr>
              <w:t>年度特别项目—“《太玄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战记》网络出版作品”</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60,000.00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58,000.00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高层次人才资助</w:t>
            </w:r>
            <w:r>
              <w:rPr>
                <w:rFonts w:ascii="宋体" w:hAnsi="宋体" w:cs="宋体" w:eastAsia="宋体" w:hint="default"/>
                <w:sz w:val="18"/>
                <w:szCs w:val="18"/>
              </w:rPr>
              <w:t>-</w:t>
            </w:r>
            <w:r>
              <w:rPr>
                <w:rFonts w:ascii="宋体" w:hAnsi="宋体" w:cs="宋体" w:eastAsia="宋体" w:hint="default"/>
                <w:sz w:val="18"/>
                <w:szCs w:val="18"/>
              </w:rPr>
              <w:t>面向网络文 学的数字内容综合服务平台</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58,000.00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1"/>
              <w:jc w:val="right"/>
              <w:rPr>
                <w:rFonts w:ascii="宋体" w:hAnsi="宋体" w:cs="宋体" w:eastAsia="宋体" w:hint="default"/>
                <w:sz w:val="18"/>
                <w:szCs w:val="18"/>
              </w:rPr>
            </w:pPr>
            <w:r>
              <w:rPr>
                <w:rFonts w:ascii="宋体"/>
                <w:sz w:val="18"/>
              </w:rPr>
              <w:t>6,000,000.00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3"/>
              <w:jc w:val="left"/>
              <w:rPr>
                <w:rFonts w:ascii="宋体" w:hAnsi="宋体" w:cs="宋体" w:eastAsia="宋体" w:hint="default"/>
                <w:sz w:val="18"/>
                <w:szCs w:val="18"/>
              </w:rPr>
            </w:pPr>
            <w:r>
              <w:rPr>
                <w:rFonts w:ascii="宋体" w:hAnsi="宋体" w:cs="宋体" w:eastAsia="宋体" w:hint="default"/>
                <w:sz w:val="18"/>
                <w:szCs w:val="18"/>
              </w:rPr>
              <w:t>科技委</w:t>
            </w:r>
            <w:r>
              <w:rPr>
                <w:rFonts w:ascii="宋体" w:hAnsi="宋体" w:cs="宋体" w:eastAsia="宋体" w:hint="default"/>
                <w:sz w:val="18"/>
                <w:szCs w:val="18"/>
              </w:rPr>
              <w:t>-</w:t>
            </w:r>
            <w:r>
              <w:rPr>
                <w:rFonts w:ascii="宋体" w:hAnsi="宋体" w:cs="宋体" w:eastAsia="宋体" w:hint="default"/>
                <w:sz w:val="18"/>
                <w:szCs w:val="18"/>
              </w:rPr>
              <w:t>原创网络文学作品</w:t>
            </w:r>
            <w:r>
              <w:rPr>
                <w:rFonts w:ascii="宋体" w:hAnsi="宋体" w:cs="宋体" w:eastAsia="宋体" w:hint="default"/>
                <w:spacing w:val="-46"/>
                <w:sz w:val="18"/>
                <w:szCs w:val="18"/>
              </w:rPr>
              <w:t> </w:t>
            </w:r>
            <w:r>
              <w:rPr>
                <w:rFonts w:ascii="宋体" w:hAnsi="宋体" w:cs="宋体" w:eastAsia="宋体" w:hint="default"/>
                <w:sz w:val="18"/>
                <w:szCs w:val="18"/>
              </w:rPr>
              <w:t>IP </w:t>
            </w:r>
            <w:r>
              <w:rPr>
                <w:rFonts w:ascii="宋体" w:hAnsi="宋体" w:cs="宋体" w:eastAsia="宋体" w:hint="default"/>
                <w:sz w:val="18"/>
                <w:szCs w:val="18"/>
              </w:rPr>
              <w:t>价值综合评估服务平台研发 与应用</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3,000,000.00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7"/>
                <w:sz w:val="18"/>
                <w:szCs w:val="18"/>
              </w:rPr>
              <w:t> </w:t>
            </w:r>
            <w:r>
              <w:rPr>
                <w:rFonts w:ascii="宋体" w:hAnsi="宋体" w:cs="宋体" w:eastAsia="宋体" w:hint="default"/>
                <w:sz w:val="18"/>
                <w:szCs w:val="18"/>
              </w:rPr>
              <w:t>SOA</w:t>
            </w:r>
            <w:r>
              <w:rPr>
                <w:rFonts w:ascii="宋体" w:hAnsi="宋体" w:cs="宋体" w:eastAsia="宋体" w:hint="default"/>
                <w:spacing w:val="-47"/>
                <w:sz w:val="18"/>
                <w:szCs w:val="18"/>
              </w:rPr>
              <w:t> </w:t>
            </w:r>
            <w:r>
              <w:rPr>
                <w:rFonts w:ascii="宋体" w:hAnsi="宋体" w:cs="宋体" w:eastAsia="宋体" w:hint="default"/>
                <w:sz w:val="18"/>
                <w:szCs w:val="18"/>
              </w:rPr>
              <w:t>的数字版权保护平台</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宋体" w:hAnsi="宋体" w:cs="宋体" w:eastAsia="宋体" w:hint="default"/>
                <w:sz w:val="18"/>
                <w:szCs w:val="18"/>
              </w:rPr>
            </w:pPr>
            <w:r>
              <w:rPr>
                <w:rFonts w:ascii="宋体"/>
                <w:sz w:val="18"/>
              </w:rPr>
              <w:t>1,600,000.00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北京市提升出版业国际传播 力奖励扶持专项资金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1,600,000.00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349,400.00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3"/>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东城文创专项资金</w:t>
            </w:r>
            <w:r>
              <w:rPr>
                <w:rFonts w:ascii="宋体" w:hAnsi="宋体" w:cs="宋体" w:eastAsia="宋体" w:hint="default"/>
                <w:sz w:val="18"/>
                <w:szCs w:val="18"/>
              </w:rPr>
              <w:t>-</w:t>
            </w:r>
            <w:r>
              <w:rPr>
                <w:rFonts w:ascii="宋体" w:hAnsi="宋体" w:cs="宋体" w:eastAsia="宋体" w:hint="default"/>
                <w:sz w:val="18"/>
                <w:szCs w:val="18"/>
              </w:rPr>
              <w:t>面向 复合出版的数字版权研发与 应用项目</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349,400.00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540,000.00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北京影视出版创作基金优秀 数字出版物项目</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540,000.00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3,150.00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软件著作权登记费补贴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3,150.00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年上海市服务业发展引 导资金计划</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900,000.00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小微服务业企业进入规模服 务业企业奖励</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50,000.00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支持服务业企业扩大规模奖 励</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高新技术奖励</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24,800.00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武汉市文化产业发展专项基 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24,800.00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870,000.00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天津滨海高新技术产业区运 营扶持补助</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870,000.00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落地补贴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98,591.54</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资产相关的政府补助</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购房补贴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114,285.72</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收益相关的政府补助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289,802.05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289,802.05</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7"/>
        <w:rPr>
          <w:rFonts w:ascii="Times New Roman" w:hAnsi="Times New Roman" w:cs="Times New Roman" w:eastAsia="Times New Roman" w:hint="default"/>
          <w:sz w:val="23"/>
          <w:szCs w:val="23"/>
        </w:rPr>
      </w:pPr>
    </w:p>
    <w:p>
      <w:pPr>
        <w:spacing w:before="35"/>
        <w:ind w:left="154" w:right="1092" w:firstLine="0"/>
        <w:jc w:val="left"/>
        <w:rPr>
          <w:rFonts w:ascii="宋体" w:hAnsi="宋体" w:cs="宋体" w:eastAsia="宋体" w:hint="default"/>
          <w:sz w:val="21"/>
          <w:szCs w:val="21"/>
        </w:rPr>
      </w:pPr>
      <w:bookmarkStart w:name="（2）政府补助退回情况" w:id="377"/>
      <w:bookmarkEnd w:id="377"/>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）政府补助退回情况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74、其他" w:id="378"/>
      <w:bookmarkEnd w:id="378"/>
      <w:r>
        <w:rPr/>
      </w:r>
      <w:r>
        <w:rPr>
          <w:rFonts w:ascii="宋体" w:hAnsi="宋体" w:cs="宋体" w:eastAsia="宋体" w:hint="default"/>
          <w:b/>
          <w:bCs/>
          <w:sz w:val="21"/>
          <w:szCs w:val="21"/>
        </w:rPr>
        <w:t>74</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3"/>
        <w:ind w:left="154" w:right="8327" w:firstLine="480"/>
        <w:jc w:val="left"/>
        <w:rPr>
          <w:rFonts w:ascii="宋体" w:hAnsi="宋体" w:cs="宋体" w:eastAsia="宋体" w:hint="default"/>
          <w:sz w:val="21"/>
          <w:szCs w:val="21"/>
        </w:rPr>
      </w:pPr>
      <w:r>
        <w:rPr>
          <w:rFonts w:ascii="宋体" w:hAnsi="宋体" w:cs="宋体" w:eastAsia="宋体" w:hint="default"/>
          <w:sz w:val="24"/>
          <w:szCs w:val="24"/>
        </w:rPr>
        <w:t>无。 </w:t>
      </w:r>
      <w:bookmarkStart w:name="八、合并范围的变更" w:id="379"/>
      <w:bookmarkEnd w:id="379"/>
      <w:r>
        <w:rPr>
          <w:rFonts w:ascii="宋体" w:hAnsi="宋体" w:cs="宋体" w:eastAsia="宋体" w:hint="default"/>
          <w:sz w:val="24"/>
          <w:szCs w:val="24"/>
        </w:rPr>
      </w: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bookmarkStart w:name="1、非同一控制下企业合并" w:id="380"/>
      <w:bookmarkEnd w:id="380"/>
      <w:r>
        <w:rPr>
          <w:rFonts w:ascii="宋体" w:hAnsi="宋体" w:cs="宋体" w:eastAsia="宋体" w:hint="default"/>
          <w:b/>
          <w:bCs/>
          <w:w w:val="99"/>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spacing w:before="105"/>
        <w:ind w:left="154" w:right="1092" w:firstLine="0"/>
        <w:jc w:val="left"/>
        <w:rPr>
          <w:rFonts w:ascii="宋体" w:hAnsi="宋体" w:cs="宋体" w:eastAsia="宋体" w:hint="default"/>
          <w:sz w:val="21"/>
          <w:szCs w:val="21"/>
        </w:rPr>
      </w:pPr>
      <w:bookmarkStart w:name="（1）本期发生的非同一控制下企业合并" w:id="381"/>
      <w:bookmarkEnd w:id="381"/>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）本期发生的非同一控制下企业合并</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5"/>
        <w:gridCol w:w="1064"/>
        <w:gridCol w:w="1063"/>
        <w:gridCol w:w="1062"/>
        <w:gridCol w:w="1062"/>
        <w:gridCol w:w="1062"/>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5" w:right="76" w:hanging="360"/>
              <w:jc w:val="left"/>
              <w:rPr>
                <w:rFonts w:ascii="宋体" w:hAnsi="宋体" w:cs="宋体" w:eastAsia="宋体" w:hint="default"/>
                <w:sz w:val="18"/>
                <w:szCs w:val="18"/>
              </w:rPr>
            </w:pPr>
            <w:r>
              <w:rPr>
                <w:rFonts w:ascii="宋体" w:hAnsi="宋体" w:cs="宋体" w:eastAsia="宋体" w:hint="default"/>
                <w:sz w:val="18"/>
                <w:szCs w:val="18"/>
              </w:rPr>
              <w:t>被购买方名 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股权取得时 点</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股权取得成 本</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6" w:hanging="360"/>
              <w:jc w:val="left"/>
              <w:rPr>
                <w:rFonts w:ascii="宋体" w:hAnsi="宋体" w:cs="宋体" w:eastAsia="宋体" w:hint="default"/>
                <w:sz w:val="18"/>
                <w:szCs w:val="18"/>
              </w:rPr>
            </w:pPr>
            <w:r>
              <w:rPr>
                <w:rFonts w:ascii="宋体" w:hAnsi="宋体" w:cs="宋体" w:eastAsia="宋体" w:hint="default"/>
                <w:sz w:val="18"/>
                <w:szCs w:val="18"/>
              </w:rPr>
              <w:t>股权取得比 例</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股权取得方 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56"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5" w:right="75" w:hanging="180"/>
              <w:jc w:val="left"/>
              <w:rPr>
                <w:rFonts w:ascii="宋体" w:hAnsi="宋体" w:cs="宋体" w:eastAsia="宋体" w:hint="default"/>
                <w:sz w:val="18"/>
                <w:szCs w:val="18"/>
              </w:rPr>
            </w:pPr>
            <w:r>
              <w:rPr>
                <w:rFonts w:ascii="宋体" w:hAnsi="宋体" w:cs="宋体" w:eastAsia="宋体" w:hint="default"/>
                <w:sz w:val="18"/>
                <w:szCs w:val="18"/>
              </w:rPr>
              <w:t>购买日的确 定依据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4"/>
              <w:jc w:val="center"/>
              <w:rPr>
                <w:rFonts w:ascii="宋体" w:hAnsi="宋体" w:cs="宋体" w:eastAsia="宋体" w:hint="default"/>
                <w:sz w:val="18"/>
                <w:szCs w:val="18"/>
              </w:rPr>
            </w:pPr>
            <w:r>
              <w:rPr>
                <w:rFonts w:ascii="宋体" w:hAnsi="宋体" w:cs="宋体" w:eastAsia="宋体" w:hint="default"/>
                <w:sz w:val="18"/>
                <w:szCs w:val="18"/>
              </w:rPr>
              <w:t>购买日至期 末被购买方 的收入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4"/>
              <w:jc w:val="both"/>
              <w:rPr>
                <w:rFonts w:ascii="宋体" w:hAnsi="宋体" w:cs="宋体" w:eastAsia="宋体" w:hint="default"/>
                <w:sz w:val="18"/>
                <w:szCs w:val="18"/>
              </w:rPr>
            </w:pPr>
            <w:r>
              <w:rPr>
                <w:rFonts w:ascii="宋体" w:hAnsi="宋体" w:cs="宋体" w:eastAsia="宋体" w:hint="default"/>
                <w:sz w:val="18"/>
                <w:szCs w:val="18"/>
              </w:rPr>
              <w:t>购买日至期 末被购买方 的净利润</w:t>
            </w:r>
          </w:p>
        </w:tc>
      </w:tr>
      <w:tr>
        <w:trPr>
          <w:trHeight w:val="714" w:hRule="exact"/>
        </w:trPr>
        <w:tc>
          <w:tcPr>
            <w:tcW w:w="106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2" w:right="129"/>
              <w:jc w:val="both"/>
              <w:rPr>
                <w:rFonts w:ascii="宋体" w:hAnsi="宋体" w:cs="宋体" w:eastAsia="宋体" w:hint="default"/>
                <w:sz w:val="18"/>
                <w:szCs w:val="18"/>
              </w:rPr>
            </w:pPr>
            <w:r>
              <w:rPr>
                <w:rFonts w:ascii="宋体" w:hAnsi="宋体" w:cs="宋体" w:eastAsia="宋体" w:hint="default"/>
                <w:sz w:val="18"/>
                <w:szCs w:val="18"/>
              </w:rPr>
              <w:t>上海晨之科 信息技术有 限公司</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宋体" w:hAnsi="宋体" w:cs="宋体" w:eastAsia="宋体" w:hint="default"/>
                <w:sz w:val="18"/>
                <w:szCs w:val="18"/>
              </w:rPr>
              <w:t>12</w:t>
            </w:r>
            <w:r>
              <w:rPr>
                <w:rFonts w:ascii="宋体" w:hAnsi="宋体" w:cs="宋体" w:eastAsia="宋体" w:hint="default"/>
                <w:spacing w:val="-54"/>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250,000,000</w:t>
            </w:r>
          </w:p>
          <w:p>
            <w:pPr>
              <w:pStyle w:val="TableParagraph"/>
              <w:spacing w:line="240" w:lineRule="auto" w:before="76"/>
              <w:ind w:right="20"/>
              <w:jc w:val="right"/>
              <w:rPr>
                <w:rFonts w:ascii="宋体" w:hAnsi="宋体" w:cs="宋体" w:eastAsia="宋体" w:hint="default"/>
                <w:sz w:val="18"/>
                <w:szCs w:val="18"/>
              </w:rPr>
            </w:pPr>
            <w:r>
              <w:rPr>
                <w:rFonts w:ascii="宋体"/>
                <w:sz w:val="18"/>
              </w:rPr>
              <w:t>.00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20.00%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宋体" w:hAnsi="宋体" w:cs="宋体" w:eastAsia="宋体" w:hint="default"/>
                <w:sz w:val="18"/>
                <w:szCs w:val="18"/>
              </w:rPr>
              <w:t>04</w:t>
            </w:r>
            <w:r>
              <w:rPr>
                <w:rFonts w:ascii="宋体" w:hAnsi="宋体" w:cs="宋体" w:eastAsia="宋体" w:hint="default"/>
                <w:spacing w:val="-54"/>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62" w:type="dxa"/>
            <w:vMerge w:val="restart"/>
            <w:tcBorders>
              <w:top w:val="single" w:sz="4" w:space="0" w:color="000000"/>
              <w:left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、晨之科已 完成工商变 更登记手续 及股权过户 手续</w:t>
            </w:r>
            <w:r>
              <w:rPr>
                <w:rFonts w:ascii="宋体" w:hAnsi="宋体" w:cs="宋体" w:eastAsia="宋体" w:hint="default"/>
                <w:spacing w:val="-44"/>
                <w:sz w:val="18"/>
                <w:szCs w:val="18"/>
              </w:rPr>
              <w:t> </w:t>
            </w:r>
            <w:r>
              <w:rPr>
                <w:rFonts w:ascii="宋体" w:hAnsi="宋体" w:cs="宋体" w:eastAsia="宋体" w:hint="default"/>
                <w:spacing w:val="-8"/>
                <w:sz w:val="18"/>
                <w:szCs w:val="18"/>
              </w:rPr>
              <w:t>2</w:t>
            </w:r>
            <w:r>
              <w:rPr>
                <w:rFonts w:ascii="宋体" w:hAnsi="宋体" w:cs="宋体" w:eastAsia="宋体" w:hint="default"/>
                <w:spacing w:val="-8"/>
                <w:sz w:val="18"/>
                <w:szCs w:val="18"/>
              </w:rPr>
              <w:t>、交易</w:t>
            </w:r>
            <w:r>
              <w:rPr>
                <w:rFonts w:ascii="宋体" w:hAnsi="宋体" w:cs="宋体" w:eastAsia="宋体" w:hint="default"/>
                <w:sz w:val="18"/>
                <w:szCs w:val="18"/>
              </w:rPr>
              <w:t> 对价已支付 </w:t>
            </w:r>
            <w:r>
              <w:rPr>
                <w:rFonts w:ascii="宋体" w:hAnsi="宋体" w:cs="宋体" w:eastAsia="宋体" w:hint="default"/>
                <w:sz w:val="18"/>
                <w:szCs w:val="18"/>
              </w:rPr>
              <w:t>50%</w:t>
            </w:r>
            <w:r>
              <w:rPr>
                <w:rFonts w:ascii="宋体" w:hAnsi="宋体" w:cs="宋体" w:eastAsia="宋体" w:hint="default"/>
                <w:sz w:val="18"/>
                <w:szCs w:val="18"/>
              </w:rPr>
              <w:t>以上</w:t>
            </w:r>
          </w:p>
        </w:tc>
        <w:tc>
          <w:tcPr>
            <w:tcW w:w="10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3"/>
              <w:jc w:val="right"/>
              <w:rPr>
                <w:rFonts w:ascii="宋体" w:hAnsi="宋体" w:cs="宋体" w:eastAsia="宋体" w:hint="default"/>
                <w:sz w:val="18"/>
                <w:szCs w:val="18"/>
              </w:rPr>
            </w:pPr>
            <w:r>
              <w:rPr>
                <w:rFonts w:ascii="宋体"/>
                <w:sz w:val="18"/>
              </w:rPr>
              <w:t>125,843,436</w:t>
            </w:r>
          </w:p>
          <w:p>
            <w:pPr>
              <w:pStyle w:val="TableParagraph"/>
              <w:spacing w:line="240" w:lineRule="auto" w:before="76"/>
              <w:ind w:right="23"/>
              <w:jc w:val="right"/>
              <w:rPr>
                <w:rFonts w:ascii="宋体" w:hAnsi="宋体" w:cs="宋体" w:eastAsia="宋体" w:hint="default"/>
                <w:sz w:val="18"/>
                <w:szCs w:val="18"/>
              </w:rPr>
            </w:pPr>
            <w:r>
              <w:rPr>
                <w:rFonts w:ascii="宋体"/>
                <w:sz w:val="18"/>
              </w:rPr>
              <w:t>.33</w:t>
            </w:r>
          </w:p>
        </w:tc>
        <w:tc>
          <w:tcPr>
            <w:tcW w:w="10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8" w:right="0"/>
              <w:jc w:val="left"/>
              <w:rPr>
                <w:rFonts w:ascii="宋体" w:hAnsi="宋体" w:cs="宋体" w:eastAsia="宋体" w:hint="default"/>
                <w:sz w:val="18"/>
                <w:szCs w:val="18"/>
              </w:rPr>
            </w:pPr>
            <w:r>
              <w:rPr>
                <w:rFonts w:ascii="宋体"/>
                <w:sz w:val="18"/>
              </w:rPr>
              <w:t>-266,979,33</w:t>
            </w:r>
          </w:p>
          <w:p>
            <w:pPr>
              <w:pStyle w:val="TableParagraph"/>
              <w:spacing w:line="240" w:lineRule="auto" w:before="76"/>
              <w:ind w:left="668" w:right="0"/>
              <w:jc w:val="left"/>
              <w:rPr>
                <w:rFonts w:ascii="宋体" w:hAnsi="宋体" w:cs="宋体" w:eastAsia="宋体" w:hint="default"/>
                <w:sz w:val="18"/>
                <w:szCs w:val="18"/>
              </w:rPr>
            </w:pPr>
            <w:r>
              <w:rPr>
                <w:rFonts w:ascii="宋体"/>
                <w:sz w:val="18"/>
              </w:rPr>
              <w:t>5.74</w:t>
            </w:r>
          </w:p>
        </w:tc>
      </w:tr>
      <w:tr>
        <w:trPr>
          <w:trHeight w:val="1560" w:hRule="exact"/>
        </w:trPr>
        <w:tc>
          <w:tcPr>
            <w:tcW w:w="1064" w:type="dxa"/>
            <w:vMerge/>
            <w:tcBorders>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宋体" w:hAnsi="宋体" w:cs="宋体" w:eastAsia="宋体" w:hint="default"/>
                <w:sz w:val="18"/>
                <w:szCs w:val="18"/>
              </w:rPr>
              <w:t>03</w:t>
            </w:r>
            <w:r>
              <w:rPr>
                <w:rFonts w:ascii="宋体" w:hAnsi="宋体" w:cs="宋体" w:eastAsia="宋体" w:hint="default"/>
                <w:spacing w:val="-54"/>
                <w:sz w:val="18"/>
                <w:szCs w:val="18"/>
              </w:rPr>
              <w:t> </w:t>
            </w:r>
            <w:r>
              <w:rPr>
                <w:rFonts w:ascii="宋体" w:hAnsi="宋体" w:cs="宋体" w:eastAsia="宋体" w:hint="default"/>
                <w:sz w:val="18"/>
                <w:szCs w:val="18"/>
              </w:rPr>
              <w:t>月</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40" w:right="0"/>
              <w:jc w:val="left"/>
              <w:rPr>
                <w:rFonts w:ascii="宋体" w:hAnsi="宋体" w:cs="宋体" w:eastAsia="宋体" w:hint="default"/>
                <w:sz w:val="18"/>
                <w:szCs w:val="18"/>
              </w:rPr>
            </w:pPr>
            <w:r>
              <w:rPr>
                <w:rFonts w:ascii="宋体"/>
                <w:sz w:val="18"/>
              </w:rPr>
              <w:t>1,472,600,0</w:t>
            </w:r>
          </w:p>
          <w:p>
            <w:pPr>
              <w:pStyle w:val="TableParagraph"/>
              <w:spacing w:line="240" w:lineRule="auto" w:before="76"/>
              <w:ind w:left="580" w:right="0"/>
              <w:jc w:val="left"/>
              <w:rPr>
                <w:rFonts w:ascii="宋体" w:hAnsi="宋体" w:cs="宋体" w:eastAsia="宋体" w:hint="default"/>
                <w:sz w:val="18"/>
                <w:szCs w:val="18"/>
              </w:rPr>
            </w:pPr>
            <w:r>
              <w:rPr>
                <w:rFonts w:ascii="宋体"/>
                <w:sz w:val="18"/>
              </w:rPr>
              <w:t>00.00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right="22"/>
              <w:jc w:val="right"/>
              <w:rPr>
                <w:rFonts w:ascii="宋体" w:hAnsi="宋体" w:cs="宋体" w:eastAsia="宋体" w:hint="default"/>
                <w:sz w:val="18"/>
                <w:szCs w:val="18"/>
              </w:rPr>
            </w:pPr>
            <w:r>
              <w:rPr>
                <w:rFonts w:ascii="宋体"/>
                <w:sz w:val="18"/>
              </w:rPr>
              <w:t>80.00%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316" w:lineRule="auto"/>
              <w:ind w:left="22" w:right="131"/>
              <w:jc w:val="both"/>
              <w:rPr>
                <w:rFonts w:ascii="宋体" w:hAnsi="宋体" w:cs="宋体" w:eastAsia="宋体" w:hint="default"/>
                <w:sz w:val="18"/>
                <w:szCs w:val="18"/>
              </w:rPr>
            </w:pPr>
            <w:r>
              <w:rPr>
                <w:rFonts w:ascii="宋体" w:hAnsi="宋体" w:cs="宋体" w:eastAsia="宋体" w:hint="default"/>
                <w:sz w:val="18"/>
                <w:szCs w:val="18"/>
              </w:rPr>
              <w:t>现金支付与 定向增发股 票</w:t>
            </w:r>
          </w:p>
        </w:tc>
        <w:tc>
          <w:tcPr>
            <w:tcW w:w="1063" w:type="dxa"/>
            <w:vMerge/>
            <w:tcBorders>
              <w:left w:val="single" w:sz="4" w:space="0" w:color="000000"/>
              <w:bottom w:val="single" w:sz="4" w:space="0" w:color="000000"/>
              <w:right w:val="single" w:sz="4" w:space="0" w:color="000000"/>
            </w:tcBorders>
          </w:tcPr>
          <w:p>
            <w:pPr/>
          </w:p>
        </w:tc>
        <w:tc>
          <w:tcPr>
            <w:tcW w:w="1062" w:type="dxa"/>
            <w:vMerge/>
            <w:tcBorders>
              <w:left w:val="single" w:sz="4" w:space="0" w:color="000000"/>
              <w:bottom w:val="single" w:sz="4" w:space="0" w:color="000000"/>
              <w:right w:val="single" w:sz="4" w:space="0" w:color="000000"/>
            </w:tcBorders>
          </w:tcPr>
          <w:p>
            <w:pPr/>
          </w:p>
        </w:tc>
        <w:tc>
          <w:tcPr>
            <w:tcW w:w="1062" w:type="dxa"/>
            <w:vMerge/>
            <w:tcBorders>
              <w:left w:val="single" w:sz="4" w:space="0" w:color="000000"/>
              <w:bottom w:val="single" w:sz="4" w:space="0" w:color="000000"/>
              <w:right w:val="single" w:sz="4" w:space="0" w:color="000000"/>
            </w:tcBorders>
          </w:tcPr>
          <w:p>
            <w:pPr/>
          </w:p>
        </w:tc>
        <w:tc>
          <w:tcPr>
            <w:tcW w:w="1062" w:type="dxa"/>
            <w:vMerge/>
            <w:tcBorders>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5"/>
        <w:rPr>
          <w:rFonts w:ascii="宋体" w:hAnsi="宋体" w:cs="宋体" w:eastAsia="宋体" w:hint="default"/>
          <w:sz w:val="19"/>
          <w:szCs w:val="19"/>
        </w:rPr>
      </w:pPr>
    </w:p>
    <w:p>
      <w:pPr>
        <w:pStyle w:val="BodyText"/>
        <w:spacing w:line="357" w:lineRule="auto"/>
        <w:ind w:right="1130" w:firstLine="480"/>
        <w:jc w:val="right"/>
        <w:rPr>
          <w:rFonts w:ascii="宋体" w:hAnsi="宋体" w:cs="宋体" w:eastAsia="宋体" w:hint="default"/>
        </w:rPr>
      </w:pPr>
      <w:r>
        <w:rPr/>
        <w:t>本公司原持有晨之科股权</w:t>
      </w:r>
      <w:r>
        <w:rPr>
          <w:spacing w:val="11"/>
        </w:rPr>
        <w:t> </w:t>
      </w:r>
      <w:r>
        <w:rPr>
          <w:rFonts w:ascii="宋体" w:hAnsi="宋体" w:cs="宋体" w:eastAsia="宋体" w:hint="default"/>
        </w:rPr>
        <w:t>20%</w:t>
      </w:r>
      <w:r>
        <w:rPr/>
        <w:t>，采用权益法核算。报告期内，公司通过重大资产重组获 得晨之科剩余</w:t>
      </w:r>
      <w:r>
        <w:rPr>
          <w:spacing w:val="-59"/>
        </w:rPr>
        <w:t> </w:t>
      </w:r>
      <w:r>
        <w:rPr>
          <w:rFonts w:ascii="宋体" w:hAnsi="宋体" w:cs="宋体" w:eastAsia="宋体" w:hint="default"/>
          <w:spacing w:val="-6"/>
        </w:rPr>
        <w:t>80%</w:t>
      </w:r>
      <w:r>
        <w:rPr>
          <w:spacing w:val="-6"/>
        </w:rPr>
        <w:t>股权，于</w:t>
      </w:r>
      <w:r>
        <w:rPr>
          <w:spacing w:val="-59"/>
        </w:rPr>
        <w:t> </w:t>
      </w:r>
      <w:r>
        <w:rPr>
          <w:rFonts w:ascii="宋体" w:hAnsi="宋体" w:cs="宋体" w:eastAsia="宋体" w:hint="default"/>
        </w:rPr>
        <w:t>2018</w:t>
      </w:r>
      <w:r>
        <w:rPr>
          <w:rFonts w:ascii="宋体" w:hAnsi="宋体" w:cs="宋体" w:eastAsia="宋体" w:hint="default"/>
          <w:spacing w:val="-59"/>
        </w:rPr>
        <w:t> </w:t>
      </w:r>
      <w:r>
        <w:rPr/>
        <w:t>年</w:t>
      </w:r>
      <w:r>
        <w:rPr>
          <w:spacing w:val="-59"/>
        </w:rPr>
        <w:t> </w:t>
      </w:r>
      <w:r>
        <w:rPr>
          <w:rFonts w:ascii="宋体" w:hAnsi="宋体" w:cs="宋体" w:eastAsia="宋体" w:hint="default"/>
        </w:rPr>
        <w:t>3</w:t>
      </w:r>
      <w:r>
        <w:rPr>
          <w:rFonts w:ascii="宋体" w:hAnsi="宋体" w:cs="宋体" w:eastAsia="宋体" w:hint="default"/>
          <w:spacing w:val="-59"/>
        </w:rPr>
        <w:t> </w:t>
      </w:r>
      <w:r>
        <w:rPr/>
        <w:t>月</w:t>
      </w:r>
      <w:r>
        <w:rPr>
          <w:spacing w:val="-59"/>
        </w:rPr>
        <w:t> </w:t>
      </w:r>
      <w:r>
        <w:rPr>
          <w:rFonts w:ascii="宋体" w:hAnsi="宋体" w:cs="宋体" w:eastAsia="宋体" w:hint="default"/>
        </w:rPr>
        <w:t>5</w:t>
      </w:r>
      <w:r>
        <w:rPr>
          <w:rFonts w:ascii="宋体" w:hAnsi="宋体" w:cs="宋体" w:eastAsia="宋体" w:hint="default"/>
          <w:spacing w:val="-59"/>
        </w:rPr>
        <w:t> </w:t>
      </w:r>
      <w:r>
        <w:rPr>
          <w:spacing w:val="-3"/>
        </w:rPr>
        <w:t>日完成了晨之科资产股权过户手续，并于</w:t>
      </w:r>
      <w:r>
        <w:rPr>
          <w:spacing w:val="-59"/>
        </w:rPr>
        <w:t> </w:t>
      </w:r>
      <w:r>
        <w:rPr>
          <w:rFonts w:ascii="宋体" w:hAnsi="宋体" w:cs="宋体" w:eastAsia="宋体" w:hint="default"/>
        </w:rPr>
        <w:t>2018</w:t>
      </w:r>
      <w:r>
        <w:rPr>
          <w:rFonts w:ascii="宋体" w:hAnsi="宋体" w:cs="宋体" w:eastAsia="宋体" w:hint="default"/>
          <w:spacing w:val="-59"/>
        </w:rPr>
        <w:t> </w:t>
      </w:r>
      <w:r>
        <w:rPr/>
        <w:t>年</w:t>
      </w:r>
      <w:r>
        <w:rPr>
          <w:spacing w:val="-59"/>
        </w:rPr>
        <w:t> </w:t>
      </w:r>
      <w:r>
        <w:rPr>
          <w:rFonts w:ascii="宋体" w:hAnsi="宋体" w:cs="宋体" w:eastAsia="宋体" w:hint="default"/>
        </w:rPr>
        <w:t>3</w:t>
      </w:r>
    </w:p>
    <w:p>
      <w:pPr>
        <w:pStyle w:val="BodyText"/>
        <w:spacing w:line="240" w:lineRule="auto" w:before="36"/>
        <w:ind w:right="0"/>
        <w:jc w:val="both"/>
      </w:pPr>
      <w:r>
        <w:rPr/>
        <w:t>月 </w:t>
      </w:r>
      <w:r>
        <w:rPr>
          <w:rFonts w:ascii="宋体" w:hAnsi="宋体" w:cs="宋体" w:eastAsia="宋体" w:hint="default"/>
        </w:rPr>
        <w:t>15</w:t>
      </w:r>
      <w:r>
        <w:rPr>
          <w:rFonts w:ascii="宋体" w:hAnsi="宋体" w:cs="宋体" w:eastAsia="宋体" w:hint="default"/>
          <w:spacing w:val="-88"/>
        </w:rPr>
        <w:t> </w:t>
      </w:r>
      <w:r>
        <w:rPr>
          <w:spacing w:val="-3"/>
        </w:rPr>
        <w:t>日在中国证券登记结算有限责任公司深圳分公司完成本公司增发股份的受理确认，新增</w:t>
      </w:r>
    </w:p>
    <w:p>
      <w:pPr>
        <w:pStyle w:val="BodyText"/>
        <w:spacing w:line="357" w:lineRule="auto" w:before="154"/>
        <w:ind w:right="1130"/>
        <w:jc w:val="both"/>
      </w:pPr>
      <w:r>
        <w:rPr/>
        <w:t>股份于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29</w:t>
      </w:r>
      <w:r>
        <w:rPr>
          <w:rFonts w:ascii="宋体" w:hAnsi="宋体" w:cs="宋体" w:eastAsia="宋体" w:hint="default"/>
          <w:spacing w:val="-60"/>
        </w:rPr>
        <w:t> </w:t>
      </w:r>
      <w:r>
        <w:rPr>
          <w:spacing w:val="-6"/>
        </w:rPr>
        <w:t>日上市。公司从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spacing w:val="-3"/>
        </w:rPr>
        <w:t>日开始合并晨之科财务报表，含晨之科</w:t>
      </w:r>
      <w:r>
        <w:rPr/>
        <w:t> 合并范围内的全资子公司上海乐纷数码科技有限公司、上海乐芝信息技术有限公司、霍尔果 斯乐氪信息技术有限公司、晨之科亚洲控股有限公司、</w:t>
      </w:r>
      <w:r>
        <w:rPr>
          <w:rFonts w:ascii="宋体" w:hAnsi="宋体" w:cs="宋体" w:eastAsia="宋体" w:hint="default"/>
        </w:rPr>
        <w:t>MorningTec Japan</w:t>
      </w:r>
      <w:r>
        <w:rPr>
          <w:rFonts w:ascii="宋体" w:hAnsi="宋体" w:cs="宋体" w:eastAsia="宋体" w:hint="default"/>
          <w:spacing w:val="-82"/>
        </w:rPr>
        <w:t> </w:t>
      </w:r>
      <w:r>
        <w:rPr/>
        <w:t>株式会社与控股子 公司上海岚魔信息技术有限公司、多彩互娱有限公司。</w:t>
      </w:r>
    </w:p>
    <w:p>
      <w:pPr>
        <w:spacing w:line="240" w:lineRule="auto" w:before="6"/>
        <w:rPr>
          <w:rFonts w:ascii="宋体" w:hAnsi="宋体" w:cs="宋体" w:eastAsia="宋体" w:hint="default"/>
          <w:sz w:val="21"/>
          <w:szCs w:val="21"/>
        </w:rPr>
      </w:pPr>
    </w:p>
    <w:p>
      <w:pPr>
        <w:spacing w:before="0"/>
        <w:ind w:left="154" w:right="0" w:firstLine="0"/>
        <w:jc w:val="both"/>
        <w:rPr>
          <w:rFonts w:ascii="宋体" w:hAnsi="宋体" w:cs="宋体" w:eastAsia="宋体" w:hint="default"/>
          <w:sz w:val="21"/>
          <w:szCs w:val="21"/>
        </w:rPr>
      </w:pPr>
      <w:bookmarkStart w:name="（2）合并成本及商誉" w:id="382"/>
      <w:bookmarkEnd w:id="382"/>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）合并成本及商誉</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217" w:right="0"/>
              <w:jc w:val="left"/>
              <w:rPr>
                <w:rFonts w:ascii="宋体" w:hAnsi="宋体" w:cs="宋体" w:eastAsia="宋体" w:hint="default"/>
                <w:sz w:val="18"/>
                <w:szCs w:val="18"/>
              </w:rPr>
            </w:pPr>
            <w:r>
              <w:rPr>
                <w:rFonts w:ascii="宋体" w:hAnsi="宋体" w:cs="宋体" w:eastAsia="宋体" w:hint="default"/>
                <w:sz w:val="18"/>
                <w:szCs w:val="18"/>
              </w:rPr>
              <w:t>上海晨之科信息技术有限公司</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现金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449,560,300.00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非现金资产的公允价值</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1,023,039,700.00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购买日之前持有的股权于购买日的公允价值</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368,150,000.00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1,840,750,000.00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586,535,413.89</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left"/>
              <w:rPr>
                <w:rFonts w:ascii="宋体" w:hAnsi="宋体" w:cs="宋体" w:eastAsia="宋体" w:hint="default"/>
                <w:sz w:val="18"/>
                <w:szCs w:val="18"/>
              </w:rPr>
            </w:pPr>
            <w:r>
              <w:rPr>
                <w:rFonts w:ascii="宋体" w:hAnsi="宋体" w:cs="宋体" w:eastAsia="宋体" w:hint="default"/>
                <w:sz w:val="18"/>
                <w:szCs w:val="18"/>
              </w:rPr>
              <w:t>商誉</w:t>
            </w:r>
            <w:r>
              <w:rPr>
                <w:rFonts w:ascii="宋体" w:hAnsi="宋体" w:cs="宋体" w:eastAsia="宋体" w:hint="default"/>
                <w:sz w:val="18"/>
                <w:szCs w:val="18"/>
              </w:rPr>
              <w:t>/</w:t>
            </w:r>
            <w:r>
              <w:rPr>
                <w:rFonts w:ascii="宋体" w:hAnsi="宋体" w:cs="宋体" w:eastAsia="宋体" w:hint="default"/>
                <w:sz w:val="18"/>
                <w:szCs w:val="18"/>
              </w:rPr>
              <w:t>合并成本小于取得的可辨认净资产公允价值份额的金 额</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1,254,214,586.11</w:t>
            </w:r>
          </w:p>
        </w:tc>
      </w:tr>
    </w:tbl>
    <w:p>
      <w:pPr>
        <w:spacing w:line="240" w:lineRule="auto" w:before="10"/>
        <w:rPr>
          <w:rFonts w:ascii="宋体" w:hAnsi="宋体" w:cs="宋体" w:eastAsia="宋体" w:hint="default"/>
          <w:sz w:val="8"/>
          <w:szCs w:val="8"/>
        </w:rPr>
      </w:pPr>
    </w:p>
    <w:p>
      <w:pPr>
        <w:pStyle w:val="BodyText"/>
        <w:spacing w:line="434" w:lineRule="auto" w:before="26"/>
        <w:ind w:left="634" w:right="1092"/>
        <w:jc w:val="left"/>
      </w:pPr>
      <w:r>
        <w:rPr/>
        <w:t>合并成本公允价值的确定方法、或有对价及其变动的说明： 合并成本公允价值：以公司本次支付对价的现金与定向增发的股份公允价值确定。 大额商誉形成的主要原因： 商誉形成的原因为支付的股权交易对价与经上海东洲资产评估有限公司评估上海晨之科</w:t>
      </w:r>
    </w:p>
    <w:p>
      <w:pPr>
        <w:pStyle w:val="BodyText"/>
        <w:spacing w:line="275" w:lineRule="exact"/>
        <w:ind w:right="1092"/>
        <w:jc w:val="left"/>
      </w:pPr>
      <w:r>
        <w:rPr/>
        <w:t>于购买日的可辨认净资产公允价值的差额。</w:t>
      </w:r>
    </w:p>
    <w:p>
      <w:pPr>
        <w:spacing w:line="240" w:lineRule="auto" w:before="5"/>
        <w:rPr>
          <w:rFonts w:ascii="宋体" w:hAnsi="宋体" w:cs="宋体" w:eastAsia="宋体" w:hint="default"/>
          <w:sz w:val="19"/>
          <w:szCs w:val="19"/>
        </w:rPr>
      </w:pPr>
    </w:p>
    <w:p>
      <w:pPr>
        <w:pStyle w:val="BodyText"/>
        <w:spacing w:line="434" w:lineRule="auto"/>
        <w:ind w:left="634" w:right="9072"/>
        <w:jc w:val="left"/>
      </w:pPr>
      <w:r>
        <w:rPr/>
        <w:t>其他说明： 无。</w:t>
      </w:r>
    </w:p>
    <w:p>
      <w:pPr>
        <w:spacing w:before="205"/>
        <w:ind w:left="154" w:right="1092" w:firstLine="0"/>
        <w:jc w:val="left"/>
        <w:rPr>
          <w:rFonts w:ascii="宋体" w:hAnsi="宋体" w:cs="宋体" w:eastAsia="宋体" w:hint="default"/>
          <w:sz w:val="21"/>
          <w:szCs w:val="21"/>
        </w:rPr>
      </w:pPr>
      <w:bookmarkStart w:name="（3）被购买方于购买日可辨认资产、负债" w:id="383"/>
      <w:bookmarkEnd w:id="383"/>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）被购买方于购买日可辨认资产、负债</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1"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3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643,850,180.45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461,482,676.78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111,803,845.26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111,803,845.26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3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101,613,242.23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101,613,242.23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7,746,035.90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6,773,792.47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189,365,000.00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36,439.76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1,030,576.83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1,030,576.83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57,314,766.56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41,611,755.77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16,029,288.34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16,029,288.34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23,809,213.27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586,535,413.89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419,870,921.01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586,535,413.89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419,870,921.01</w:t>
            </w:r>
          </w:p>
        </w:tc>
      </w:tr>
    </w:tbl>
    <w:p>
      <w:pPr>
        <w:spacing w:line="240" w:lineRule="auto" w:before="10"/>
        <w:rPr>
          <w:rFonts w:ascii="宋体" w:hAnsi="宋体" w:cs="宋体" w:eastAsia="宋体" w:hint="default"/>
          <w:sz w:val="8"/>
          <w:szCs w:val="8"/>
        </w:rPr>
      </w:pPr>
    </w:p>
    <w:p>
      <w:pPr>
        <w:pStyle w:val="BodyText"/>
        <w:spacing w:line="434" w:lineRule="auto" w:before="26"/>
        <w:ind w:left="634" w:right="1092"/>
        <w:jc w:val="left"/>
      </w:pPr>
      <w:r>
        <w:rPr/>
        <w:t>可辨认资产、负债公允价值的确定方法： 晨之科于购买日可辨认净资产公允价值系依据上海东洲资产评估有限公司出具的东洲咨</w:t>
      </w:r>
    </w:p>
    <w:p>
      <w:pPr>
        <w:spacing w:after="0" w:line="434" w:lineRule="auto"/>
        <w:jc w:val="left"/>
        <w:sectPr>
          <w:pgSz w:w="11910" w:h="16840"/>
          <w:pgMar w:header="877" w:footer="979" w:top="1100" w:bottom="1160" w:left="980" w:right="0"/>
        </w:sectPr>
      </w:pPr>
    </w:p>
    <w:p>
      <w:pPr>
        <w:spacing w:line="240" w:lineRule="auto" w:before="7"/>
        <w:rPr>
          <w:rFonts w:ascii="宋体" w:hAnsi="宋体" w:cs="宋体" w:eastAsia="宋体" w:hint="default"/>
          <w:sz w:val="25"/>
          <w:szCs w:val="25"/>
        </w:rPr>
      </w:pPr>
    </w:p>
    <w:p>
      <w:pPr>
        <w:pStyle w:val="BodyText"/>
        <w:spacing w:line="357" w:lineRule="auto" w:before="26"/>
        <w:ind w:right="1116"/>
        <w:jc w:val="left"/>
      </w:pPr>
      <w:r>
        <w:rPr/>
        <w:t>报字</w:t>
      </w:r>
      <w:r>
        <w:rPr>
          <w:rFonts w:ascii="宋体" w:hAnsi="宋体" w:cs="宋体" w:eastAsia="宋体" w:hint="default"/>
        </w:rPr>
        <w:t>[2018]</w:t>
      </w:r>
      <w:r>
        <w:rPr/>
        <w:t>第</w:t>
      </w:r>
      <w:r>
        <w:rPr>
          <w:spacing w:val="-54"/>
        </w:rPr>
        <w:t> </w:t>
      </w:r>
      <w:r>
        <w:rPr>
          <w:rFonts w:ascii="宋体" w:hAnsi="宋体" w:cs="宋体" w:eastAsia="宋体" w:hint="default"/>
        </w:rPr>
        <w:t>0583</w:t>
      </w:r>
      <w:r>
        <w:rPr>
          <w:rFonts w:ascii="宋体" w:hAnsi="宋体" w:cs="宋体" w:eastAsia="宋体" w:hint="default"/>
          <w:spacing w:val="-54"/>
        </w:rPr>
        <w:t> </w:t>
      </w:r>
      <w:r>
        <w:rPr>
          <w:spacing w:val="-3"/>
        </w:rPr>
        <w:t>号《上海晨之科信息技术有限公司以财务报告目的涉及的可辨认资产及负</w:t>
      </w:r>
      <w:r>
        <w:rPr/>
        <w:t> 债市场价值估值报告》确定。</w:t>
      </w:r>
    </w:p>
    <w:p>
      <w:pPr>
        <w:pStyle w:val="BodyText"/>
        <w:spacing w:line="434" w:lineRule="auto" w:before="136"/>
        <w:ind w:left="634" w:right="5952"/>
        <w:jc w:val="left"/>
      </w:pPr>
      <w:r>
        <w:rPr/>
        <w:t>企业合并中承担的被购买方的或有负债： 无</w:t>
      </w:r>
    </w:p>
    <w:p>
      <w:pPr>
        <w:pStyle w:val="BodyText"/>
        <w:spacing w:line="434" w:lineRule="auto" w:before="59"/>
        <w:ind w:left="634" w:right="9072"/>
        <w:jc w:val="left"/>
      </w:pPr>
      <w:r>
        <w:rPr/>
        <w:t>其他说明： 无</w:t>
      </w:r>
    </w:p>
    <w:p>
      <w:pPr>
        <w:spacing w:before="204"/>
        <w:ind w:left="154" w:right="1092" w:firstLine="0"/>
        <w:jc w:val="left"/>
        <w:rPr>
          <w:rFonts w:ascii="宋体" w:hAnsi="宋体" w:cs="宋体" w:eastAsia="宋体" w:hint="default"/>
          <w:sz w:val="21"/>
          <w:szCs w:val="21"/>
        </w:rPr>
      </w:pPr>
      <w:bookmarkStart w:name="（4）购买日之前持有的股权按照公允价值重新计量产生的利得或损失" w:id="384"/>
      <w:bookmarkEnd w:id="384"/>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）购买日之前持有的股权按照公允价值重新计量产生的利得或损失</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是否存在通过多次交易分步实现企业合并且在报告期内取得控制权的交易</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是 □ 否</w:t>
      </w:r>
    </w:p>
    <w:p>
      <w:pPr>
        <w:spacing w:line="240" w:lineRule="auto" w:before="2"/>
        <w:rPr>
          <w:rFonts w:ascii="宋体" w:hAnsi="宋体" w:cs="宋体" w:eastAsia="宋体" w:hint="default"/>
          <w:sz w:val="17"/>
          <w:szCs w:val="1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2"/>
        <w:gridCol w:w="1591"/>
        <w:gridCol w:w="1596"/>
        <w:gridCol w:w="1596"/>
        <w:gridCol w:w="1596"/>
        <w:gridCol w:w="1596"/>
      </w:tblGrid>
      <w:tr>
        <w:trPr>
          <w:trHeight w:val="1337" w:hRule="exact"/>
        </w:trPr>
        <w:tc>
          <w:tcPr>
            <w:tcW w:w="1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被购买方名称</w:t>
            </w:r>
          </w:p>
        </w:tc>
        <w:tc>
          <w:tcPr>
            <w:tcW w:w="15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9" w:right="71"/>
              <w:jc w:val="center"/>
              <w:rPr>
                <w:rFonts w:ascii="宋体" w:hAnsi="宋体" w:cs="宋体" w:eastAsia="宋体" w:hint="default"/>
                <w:sz w:val="18"/>
                <w:szCs w:val="18"/>
              </w:rPr>
            </w:pPr>
            <w:r>
              <w:rPr>
                <w:rFonts w:ascii="宋体" w:hAnsi="宋体" w:cs="宋体" w:eastAsia="宋体" w:hint="default"/>
                <w:sz w:val="18"/>
                <w:szCs w:val="18"/>
              </w:rPr>
              <w:t>购买日之前原持有 股权在购买日的账 面价值</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1" w:right="72"/>
              <w:jc w:val="center"/>
              <w:rPr>
                <w:rFonts w:ascii="宋体" w:hAnsi="宋体" w:cs="宋体" w:eastAsia="宋体" w:hint="default"/>
                <w:sz w:val="18"/>
                <w:szCs w:val="18"/>
              </w:rPr>
            </w:pPr>
            <w:r>
              <w:rPr>
                <w:rFonts w:ascii="宋体" w:hAnsi="宋体" w:cs="宋体" w:eastAsia="宋体" w:hint="default"/>
                <w:sz w:val="18"/>
                <w:szCs w:val="18"/>
              </w:rPr>
              <w:t>购买日之前原持有 股权在购买日的公 允价值</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1" w:right="72"/>
              <w:jc w:val="center"/>
              <w:rPr>
                <w:rFonts w:ascii="宋体" w:hAnsi="宋体" w:cs="宋体" w:eastAsia="宋体" w:hint="default"/>
                <w:sz w:val="18"/>
                <w:szCs w:val="18"/>
              </w:rPr>
            </w:pPr>
            <w:r>
              <w:rPr>
                <w:rFonts w:ascii="宋体" w:hAnsi="宋体" w:cs="宋体" w:eastAsia="宋体" w:hint="default"/>
                <w:sz w:val="18"/>
                <w:szCs w:val="18"/>
              </w:rPr>
              <w:t>购买日之前原持有 股权按照公允价值 重新计量产生的利 得或损失</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2" w:right="72"/>
              <w:jc w:val="center"/>
              <w:rPr>
                <w:rFonts w:ascii="宋体" w:hAnsi="宋体" w:cs="宋体" w:eastAsia="宋体" w:hint="default"/>
                <w:sz w:val="18"/>
                <w:szCs w:val="18"/>
              </w:rPr>
            </w:pPr>
            <w:r>
              <w:rPr>
                <w:rFonts w:ascii="宋体" w:hAnsi="宋体" w:cs="宋体" w:eastAsia="宋体" w:hint="default"/>
                <w:sz w:val="18"/>
                <w:szCs w:val="18"/>
              </w:rPr>
              <w:t>购买日之前原持有 股权在购买日的公 允价值的确定方法 及主要假设</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1" w:right="72"/>
              <w:jc w:val="center"/>
              <w:rPr>
                <w:rFonts w:ascii="宋体" w:hAnsi="宋体" w:cs="宋体" w:eastAsia="宋体" w:hint="default"/>
                <w:sz w:val="18"/>
                <w:szCs w:val="18"/>
              </w:rPr>
            </w:pPr>
            <w:r>
              <w:rPr>
                <w:rFonts w:ascii="宋体" w:hAnsi="宋体" w:cs="宋体" w:eastAsia="宋体" w:hint="default"/>
                <w:sz w:val="18"/>
                <w:szCs w:val="18"/>
              </w:rPr>
              <w:t>购买日之前与原持 有股权相关的其他 综合收益转入投资 收益的金额</w:t>
            </w:r>
          </w:p>
        </w:tc>
      </w:tr>
      <w:tr>
        <w:trPr>
          <w:trHeight w:val="1964" w:hRule="exact"/>
        </w:trPr>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22" w:right="117"/>
              <w:jc w:val="left"/>
              <w:rPr>
                <w:rFonts w:ascii="宋体" w:hAnsi="宋体" w:cs="宋体" w:eastAsia="宋体" w:hint="default"/>
                <w:sz w:val="18"/>
                <w:szCs w:val="18"/>
              </w:rPr>
            </w:pPr>
            <w:r>
              <w:rPr>
                <w:rFonts w:ascii="宋体" w:hAnsi="宋体" w:cs="宋体" w:eastAsia="宋体" w:hint="default"/>
                <w:sz w:val="18"/>
                <w:szCs w:val="18"/>
              </w:rPr>
              <w:t>朱明等晨之科原股 东</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97" w:right="0"/>
              <w:jc w:val="left"/>
              <w:rPr>
                <w:rFonts w:ascii="宋体" w:hAnsi="宋体" w:cs="宋体" w:eastAsia="宋体" w:hint="default"/>
                <w:sz w:val="18"/>
                <w:szCs w:val="18"/>
              </w:rPr>
            </w:pPr>
            <w:r>
              <w:rPr>
                <w:rFonts w:ascii="宋体"/>
                <w:sz w:val="18"/>
              </w:rPr>
              <w:t>282,333,185.87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02" w:right="0"/>
              <w:jc w:val="left"/>
              <w:rPr>
                <w:rFonts w:ascii="宋体" w:hAnsi="宋体" w:cs="宋体" w:eastAsia="宋体" w:hint="default"/>
                <w:sz w:val="18"/>
                <w:szCs w:val="18"/>
              </w:rPr>
            </w:pPr>
            <w:r>
              <w:rPr>
                <w:rFonts w:ascii="宋体"/>
                <w:sz w:val="18"/>
              </w:rPr>
              <w:t>368,150,000.00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92" w:right="0"/>
              <w:jc w:val="left"/>
              <w:rPr>
                <w:rFonts w:ascii="宋体" w:hAnsi="宋体" w:cs="宋体" w:eastAsia="宋体" w:hint="default"/>
                <w:sz w:val="18"/>
                <w:szCs w:val="18"/>
              </w:rPr>
            </w:pPr>
            <w:r>
              <w:rPr>
                <w:rFonts w:ascii="宋体"/>
                <w:sz w:val="18"/>
              </w:rPr>
              <w:t>85,816,814.13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22"/>
              <w:jc w:val="left"/>
              <w:rPr>
                <w:rFonts w:ascii="宋体" w:hAnsi="宋体" w:cs="宋体" w:eastAsia="宋体" w:hint="default"/>
                <w:sz w:val="18"/>
                <w:szCs w:val="18"/>
              </w:rPr>
            </w:pPr>
            <w:r>
              <w:rPr>
                <w:rFonts w:ascii="宋体" w:hAnsi="宋体" w:cs="宋体" w:eastAsia="宋体" w:hint="default"/>
                <w:sz w:val="18"/>
                <w:szCs w:val="18"/>
              </w:rPr>
              <w:t>假设原持有股权在 </w:t>
            </w:r>
            <w:r>
              <w:rPr>
                <w:rFonts w:ascii="宋体" w:hAnsi="宋体" w:cs="宋体" w:eastAsia="宋体" w:hint="default"/>
                <w:spacing w:val="-9"/>
                <w:sz w:val="18"/>
                <w:szCs w:val="18"/>
              </w:rPr>
              <w:t>合并日售出，按照购</w:t>
            </w:r>
            <w:r>
              <w:rPr>
                <w:rFonts w:ascii="宋体" w:hAnsi="宋体" w:cs="宋体" w:eastAsia="宋体" w:hint="default"/>
                <w:sz w:val="18"/>
                <w:szCs w:val="18"/>
              </w:rPr>
              <w:t> 买所支付的交易 对 价折算原持有股权 份额确定原有股权 的公允价值</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662" w:right="0"/>
              <w:jc w:val="left"/>
              <w:rPr>
                <w:rFonts w:ascii="宋体" w:hAnsi="宋体" w:cs="宋体" w:eastAsia="宋体" w:hint="default"/>
                <w:sz w:val="18"/>
                <w:szCs w:val="18"/>
              </w:rPr>
            </w:pPr>
            <w:r>
              <w:rPr>
                <w:rFonts w:ascii="宋体"/>
                <w:sz w:val="18"/>
              </w:rPr>
              <w:t>485,293.24</w:t>
            </w:r>
          </w:p>
        </w:tc>
      </w:tr>
    </w:tbl>
    <w:p>
      <w:pPr>
        <w:spacing w:line="240" w:lineRule="auto" w:before="10"/>
        <w:rPr>
          <w:rFonts w:ascii="宋体" w:hAnsi="宋体" w:cs="宋体" w:eastAsia="宋体" w:hint="default"/>
          <w:sz w:val="8"/>
          <w:szCs w:val="8"/>
        </w:rPr>
      </w:pPr>
    </w:p>
    <w:p>
      <w:pPr>
        <w:pStyle w:val="BodyText"/>
        <w:spacing w:line="434" w:lineRule="auto" w:before="26"/>
        <w:ind w:left="634" w:right="9072"/>
        <w:jc w:val="left"/>
      </w:pPr>
      <w:r>
        <w:rPr/>
        <w:t>其他说明： 无。</w:t>
      </w:r>
    </w:p>
    <w:p>
      <w:pPr>
        <w:spacing w:before="204"/>
        <w:ind w:left="154" w:right="1092" w:firstLine="0"/>
        <w:jc w:val="left"/>
        <w:rPr>
          <w:rFonts w:ascii="宋体" w:hAnsi="宋体" w:cs="宋体" w:eastAsia="宋体" w:hint="default"/>
          <w:sz w:val="21"/>
          <w:szCs w:val="21"/>
        </w:rPr>
      </w:pPr>
      <w:bookmarkStart w:name="（5）购买日或合并当期期末无法合理确定合并对价或被购买方可辨认资产、负债公允价值" w:id="385"/>
      <w:bookmarkEnd w:id="385"/>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）购买日或合并当期期末无法合理确定合并对价或被购买方可辨认资产、负债公允价值的相关说明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不适用。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6）其他说明" w:id="386"/>
      <w:bookmarkEnd w:id="386"/>
      <w:r>
        <w:rPr/>
      </w:r>
      <w:r>
        <w:rPr>
          <w:rFonts w:ascii="宋体" w:hAnsi="宋体" w:cs="宋体" w:eastAsia="宋体" w:hint="default"/>
          <w:b/>
          <w:bCs/>
          <w:sz w:val="21"/>
          <w:szCs w:val="21"/>
        </w:rPr>
        <w:t>（</w:t>
      </w:r>
      <w:r>
        <w:rPr>
          <w:rFonts w:ascii="宋体" w:hAnsi="宋体" w:cs="宋体" w:eastAsia="宋体" w:hint="default"/>
          <w:b/>
          <w:bCs/>
          <w:sz w:val="21"/>
          <w:szCs w:val="21"/>
        </w:rPr>
        <w:t>6</w:t>
      </w:r>
      <w:r>
        <w:rPr>
          <w:rFonts w:ascii="宋体" w:hAnsi="宋体" w:cs="宋体" w:eastAsia="宋体" w:hint="default"/>
          <w:b/>
          <w:bCs/>
          <w:sz w:val="21"/>
          <w:szCs w:val="21"/>
        </w:rPr>
        <w:t>）其他说明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无。</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同一控制下企业合并" w:id="387"/>
      <w:bookmarkEnd w:id="387"/>
      <w:r>
        <w:rPr/>
      </w:r>
      <w:r>
        <w:rPr>
          <w:rFonts w:ascii="宋体" w:hAnsi="宋体" w:cs="宋体" w:eastAsia="宋体" w:hint="default"/>
          <w:b/>
          <w:bCs/>
          <w:sz w:val="21"/>
          <w:szCs w:val="21"/>
        </w:rPr>
        <w:t>2</w:t>
      </w:r>
      <w:r>
        <w:rPr>
          <w:rFonts w:ascii="宋体" w:hAnsi="宋体" w:cs="宋体" w:eastAsia="宋体" w:hint="default"/>
          <w:b/>
          <w:bCs/>
          <w:sz w:val="21"/>
          <w:szCs w:val="21"/>
        </w:rPr>
        <w:t>、同一控制下企业合并</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本期发生的同一控制下企业合并" w:id="388"/>
      <w:bookmarkEnd w:id="388"/>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）本期发生的同一控制下企业合并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合并成本" w:id="389"/>
      <w:bookmarkEnd w:id="389"/>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）合并成本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合并日被合并方资产、负债的账面价值" w:id="390"/>
      <w:bookmarkEnd w:id="390"/>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）合并日被合并方资产、负债的账面价值</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反向购买" w:id="391"/>
      <w:bookmarkEnd w:id="391"/>
      <w:r>
        <w:rPr/>
      </w:r>
      <w:r>
        <w:rPr>
          <w:rFonts w:ascii="宋体" w:hAnsi="宋体" w:cs="宋体" w:eastAsia="宋体" w:hint="default"/>
          <w:b/>
          <w:bCs/>
          <w:sz w:val="21"/>
          <w:szCs w:val="21"/>
        </w:rPr>
        <w:t>3</w:t>
      </w:r>
      <w:r>
        <w:rPr>
          <w:rFonts w:ascii="宋体" w:hAnsi="宋体" w:cs="宋体" w:eastAsia="宋体" w:hint="default"/>
          <w:b/>
          <w:bCs/>
          <w:sz w:val="21"/>
          <w:szCs w:val="21"/>
        </w:rPr>
        <w:t>、反向购买</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处置子公司" w:id="392"/>
      <w:bookmarkEnd w:id="392"/>
      <w:r>
        <w:rPr/>
      </w:r>
      <w:r>
        <w:rPr>
          <w:rFonts w:ascii="宋体" w:hAnsi="宋体" w:cs="宋体" w:eastAsia="宋体" w:hint="default"/>
          <w:b/>
          <w:bCs/>
          <w:sz w:val="21"/>
          <w:szCs w:val="21"/>
        </w:rPr>
        <w:t>4</w:t>
      </w:r>
      <w:r>
        <w:rPr>
          <w:rFonts w:ascii="宋体" w:hAnsi="宋体" w:cs="宋体" w:eastAsia="宋体" w:hint="default"/>
          <w:b/>
          <w:bCs/>
          <w:sz w:val="21"/>
          <w:szCs w:val="21"/>
        </w:rPr>
        <w:t>、处置子公司</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是否存在单次处置对子公司投资即丧失控制权的情形</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是 □ 否</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4"/>
        <w:gridCol w:w="736"/>
        <w:gridCol w:w="734"/>
        <w:gridCol w:w="736"/>
        <w:gridCol w:w="737"/>
        <w:gridCol w:w="736"/>
        <w:gridCol w:w="736"/>
        <w:gridCol w:w="737"/>
        <w:gridCol w:w="736"/>
      </w:tblGrid>
      <w:tr>
        <w:trPr>
          <w:trHeight w:val="3833" w:hRule="exact"/>
        </w:trPr>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93" w:right="91"/>
              <w:jc w:val="left"/>
              <w:rPr>
                <w:rFonts w:ascii="宋体" w:hAnsi="宋体" w:cs="宋体" w:eastAsia="宋体" w:hint="default"/>
                <w:sz w:val="18"/>
                <w:szCs w:val="18"/>
              </w:rPr>
            </w:pPr>
            <w:r>
              <w:rPr>
                <w:rFonts w:ascii="宋体" w:hAnsi="宋体" w:cs="宋体" w:eastAsia="宋体" w:hint="default"/>
                <w:sz w:val="18"/>
                <w:szCs w:val="18"/>
              </w:rPr>
              <w:t>股权处 置价款</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92" w:right="91"/>
              <w:jc w:val="left"/>
              <w:rPr>
                <w:rFonts w:ascii="宋体" w:hAnsi="宋体" w:cs="宋体" w:eastAsia="宋体" w:hint="default"/>
                <w:sz w:val="18"/>
                <w:szCs w:val="18"/>
              </w:rPr>
            </w:pPr>
            <w:r>
              <w:rPr>
                <w:rFonts w:ascii="宋体" w:hAnsi="宋体" w:cs="宋体" w:eastAsia="宋体" w:hint="default"/>
                <w:sz w:val="18"/>
                <w:szCs w:val="18"/>
              </w:rPr>
              <w:t>股权处 置比例</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92" w:right="91"/>
              <w:jc w:val="left"/>
              <w:rPr>
                <w:rFonts w:ascii="宋体" w:hAnsi="宋体" w:cs="宋体" w:eastAsia="宋体" w:hint="default"/>
                <w:sz w:val="18"/>
                <w:szCs w:val="18"/>
              </w:rPr>
            </w:pPr>
            <w:r>
              <w:rPr>
                <w:rFonts w:ascii="宋体" w:hAnsi="宋体" w:cs="宋体" w:eastAsia="宋体" w:hint="default"/>
                <w:sz w:val="18"/>
                <w:szCs w:val="18"/>
              </w:rPr>
              <w:t>股权处 置方式</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6" w:lineRule="auto"/>
              <w:ind w:left="92" w:right="90"/>
              <w:jc w:val="both"/>
              <w:rPr>
                <w:rFonts w:ascii="宋体" w:hAnsi="宋体" w:cs="宋体" w:eastAsia="宋体" w:hint="default"/>
                <w:sz w:val="18"/>
                <w:szCs w:val="18"/>
              </w:rPr>
            </w:pPr>
            <w:r>
              <w:rPr>
                <w:rFonts w:ascii="宋体" w:hAnsi="宋体" w:cs="宋体" w:eastAsia="宋体" w:hint="default"/>
                <w:sz w:val="18"/>
                <w:szCs w:val="18"/>
              </w:rPr>
              <w:t>丧失控 制权的 时点</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92" w:right="91"/>
              <w:jc w:val="both"/>
              <w:rPr>
                <w:rFonts w:ascii="宋体" w:hAnsi="宋体" w:cs="宋体" w:eastAsia="宋体" w:hint="default"/>
                <w:sz w:val="18"/>
                <w:szCs w:val="18"/>
              </w:rPr>
            </w:pPr>
            <w:r>
              <w:rPr>
                <w:rFonts w:ascii="宋体" w:hAnsi="宋体" w:cs="宋体" w:eastAsia="宋体" w:hint="default"/>
                <w:sz w:val="18"/>
                <w:szCs w:val="18"/>
              </w:rPr>
              <w:t>丧失控 制权时 点的确 定依据</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0"/>
              <w:jc w:val="center"/>
              <w:rPr>
                <w:rFonts w:ascii="宋体" w:hAnsi="宋体" w:cs="宋体" w:eastAsia="宋体" w:hint="default"/>
                <w:sz w:val="18"/>
                <w:szCs w:val="18"/>
              </w:rPr>
            </w:pPr>
            <w:r>
              <w:rPr>
                <w:rFonts w:ascii="宋体" w:hAnsi="宋体" w:cs="宋体" w:eastAsia="宋体" w:hint="default"/>
                <w:sz w:val="18"/>
                <w:szCs w:val="18"/>
              </w:rPr>
              <w:t>处置价 款与处 置投资 对应的 合并财 务报表 层面享 有该子 公司净 资产份 额的差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6" w:lineRule="auto"/>
              <w:ind w:left="92" w:right="91"/>
              <w:jc w:val="both"/>
              <w:rPr>
                <w:rFonts w:ascii="宋体" w:hAnsi="宋体" w:cs="宋体" w:eastAsia="宋体" w:hint="default"/>
                <w:sz w:val="18"/>
                <w:szCs w:val="18"/>
              </w:rPr>
            </w:pPr>
            <w:r>
              <w:rPr>
                <w:rFonts w:ascii="宋体" w:hAnsi="宋体" w:cs="宋体" w:eastAsia="宋体" w:hint="default"/>
                <w:sz w:val="18"/>
                <w:szCs w:val="18"/>
              </w:rPr>
              <w:t>丧失控 制权之 日剩余 股权的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3" w:right="91"/>
              <w:jc w:val="center"/>
              <w:rPr>
                <w:rFonts w:ascii="宋体" w:hAnsi="宋体" w:cs="宋体" w:eastAsia="宋体" w:hint="default"/>
                <w:sz w:val="18"/>
                <w:szCs w:val="18"/>
              </w:rPr>
            </w:pPr>
            <w:r>
              <w:rPr>
                <w:rFonts w:ascii="宋体" w:hAnsi="宋体" w:cs="宋体" w:eastAsia="宋体" w:hint="default"/>
                <w:sz w:val="18"/>
                <w:szCs w:val="18"/>
              </w:rPr>
              <w:t>丧失控 制权之 日剩余 股权的 账面价 值</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2" w:right="93"/>
              <w:jc w:val="center"/>
              <w:rPr>
                <w:rFonts w:ascii="宋体" w:hAnsi="宋体" w:cs="宋体" w:eastAsia="宋体" w:hint="default"/>
                <w:sz w:val="18"/>
                <w:szCs w:val="18"/>
              </w:rPr>
            </w:pPr>
            <w:r>
              <w:rPr>
                <w:rFonts w:ascii="宋体" w:hAnsi="宋体" w:cs="宋体" w:eastAsia="宋体" w:hint="default"/>
                <w:sz w:val="18"/>
                <w:szCs w:val="18"/>
              </w:rPr>
              <w:t>丧失控 制权之 日剩余 股权的 公允价 值</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2" w:right="91"/>
              <w:jc w:val="center"/>
              <w:rPr>
                <w:rFonts w:ascii="宋体" w:hAnsi="宋体" w:cs="宋体" w:eastAsia="宋体" w:hint="default"/>
                <w:sz w:val="18"/>
                <w:szCs w:val="18"/>
              </w:rPr>
            </w:pPr>
            <w:r>
              <w:rPr>
                <w:rFonts w:ascii="宋体" w:hAnsi="宋体" w:cs="宋体" w:eastAsia="宋体" w:hint="default"/>
                <w:sz w:val="18"/>
                <w:szCs w:val="18"/>
              </w:rPr>
              <w:t>按照公 允价值 重新计 量剩余 股权产 生的利 得或损 失</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93" w:right="91"/>
              <w:jc w:val="center"/>
              <w:rPr>
                <w:rFonts w:ascii="宋体" w:hAnsi="宋体" w:cs="宋体" w:eastAsia="宋体" w:hint="default"/>
                <w:sz w:val="18"/>
                <w:szCs w:val="18"/>
              </w:rPr>
            </w:pPr>
            <w:r>
              <w:rPr>
                <w:rFonts w:ascii="宋体" w:hAnsi="宋体" w:cs="宋体" w:eastAsia="宋体" w:hint="default"/>
                <w:sz w:val="18"/>
                <w:szCs w:val="18"/>
              </w:rPr>
              <w:t>丧失控 制权之 日剩余 股权公 允价值 的确定 方法及 主要假 设</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92" w:right="91"/>
              <w:jc w:val="both"/>
              <w:rPr>
                <w:rFonts w:ascii="宋体" w:hAnsi="宋体" w:cs="宋体" w:eastAsia="宋体" w:hint="default"/>
                <w:sz w:val="18"/>
                <w:szCs w:val="18"/>
              </w:rPr>
            </w:pPr>
            <w:r>
              <w:rPr>
                <w:rFonts w:ascii="宋体" w:hAnsi="宋体" w:cs="宋体" w:eastAsia="宋体" w:hint="default"/>
                <w:sz w:val="18"/>
                <w:szCs w:val="18"/>
              </w:rPr>
              <w:t>与原子 公司股 权投资 相关的 其他综 合收益 转入投 资损益 的金额</w:t>
            </w:r>
          </w:p>
        </w:tc>
      </w:tr>
      <w:tr>
        <w:trPr>
          <w:trHeight w:val="1652"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316" w:lineRule="auto"/>
              <w:ind w:left="22" w:right="161"/>
              <w:jc w:val="left"/>
              <w:rPr>
                <w:rFonts w:ascii="宋体" w:hAnsi="宋体" w:cs="宋体" w:eastAsia="宋体" w:hint="default"/>
                <w:sz w:val="18"/>
                <w:szCs w:val="18"/>
              </w:rPr>
            </w:pPr>
            <w:r>
              <w:rPr>
                <w:rFonts w:ascii="宋体" w:hAnsi="宋体" w:cs="宋体" w:eastAsia="宋体" w:hint="default"/>
                <w:sz w:val="18"/>
                <w:szCs w:val="18"/>
              </w:rPr>
              <w:t>中文万 维</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74" w:right="0"/>
              <w:jc w:val="left"/>
              <w:rPr>
                <w:rFonts w:ascii="宋体" w:hAnsi="宋体" w:cs="宋体" w:eastAsia="宋体" w:hint="default"/>
                <w:sz w:val="18"/>
                <w:szCs w:val="18"/>
              </w:rPr>
            </w:pPr>
            <w:r>
              <w:rPr>
                <w:rFonts w:ascii="宋体"/>
                <w:sz w:val="18"/>
              </w:rPr>
              <w:t>30,300,</w:t>
            </w:r>
          </w:p>
          <w:p>
            <w:pPr>
              <w:pStyle w:val="TableParagraph"/>
              <w:spacing w:line="240" w:lineRule="auto" w:before="76"/>
              <w:ind w:left="164" w:right="0"/>
              <w:jc w:val="left"/>
              <w:rPr>
                <w:rFonts w:ascii="宋体" w:hAnsi="宋体" w:cs="宋体" w:eastAsia="宋体" w:hint="default"/>
                <w:sz w:val="18"/>
                <w:szCs w:val="18"/>
              </w:rPr>
            </w:pPr>
            <w:r>
              <w:rPr>
                <w:rFonts w:ascii="宋体"/>
                <w:sz w:val="18"/>
              </w:rPr>
              <w:t>000.00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sz w:val="18"/>
              </w:rPr>
              <w:t>35.59%</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316" w:lineRule="auto"/>
              <w:ind w:left="22" w:right="161"/>
              <w:jc w:val="left"/>
              <w:rPr>
                <w:rFonts w:ascii="宋体" w:hAnsi="宋体" w:cs="宋体" w:eastAsia="宋体" w:hint="default"/>
                <w:sz w:val="18"/>
                <w:szCs w:val="18"/>
              </w:rPr>
            </w:pPr>
            <w:r>
              <w:rPr>
                <w:rFonts w:ascii="宋体" w:hAnsi="宋体" w:cs="宋体" w:eastAsia="宋体" w:hint="default"/>
                <w:sz w:val="18"/>
                <w:szCs w:val="18"/>
              </w:rPr>
              <w:t>现金转 让</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6" w:type="dxa"/>
            <w:tcBorders>
              <w:top w:val="single" w:sz="4" w:space="0" w:color="000000"/>
              <w:left w:val="single" w:sz="4" w:space="0" w:color="000000"/>
              <w:bottom w:val="single" w:sz="4" w:space="0" w:color="000000"/>
              <w:right w:val="single" w:sz="9" w:space="0" w:color="FFFFFF"/>
            </w:tcBorders>
          </w:tcPr>
          <w:p>
            <w:pPr>
              <w:pStyle w:val="TableParagraph"/>
              <w:spacing w:line="316" w:lineRule="auto" w:before="52"/>
              <w:ind w:left="22" w:right="-23"/>
              <w:jc w:val="left"/>
              <w:rPr>
                <w:rFonts w:ascii="宋体" w:hAnsi="宋体" w:cs="宋体" w:eastAsia="宋体" w:hint="default"/>
                <w:sz w:val="18"/>
                <w:szCs w:val="18"/>
              </w:rPr>
            </w:pPr>
            <w:r>
              <w:rPr>
                <w:rFonts w:ascii="宋体" w:hAnsi="宋体" w:cs="宋体" w:eastAsia="宋体" w:hint="default"/>
                <w:sz w:val="18"/>
                <w:szCs w:val="18"/>
              </w:rPr>
              <w:t>股权转 让协议、 收到股 权转让</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款</w:t>
            </w:r>
          </w:p>
        </w:tc>
        <w:tc>
          <w:tcPr>
            <w:tcW w:w="734"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65" w:right="0"/>
              <w:jc w:val="left"/>
              <w:rPr>
                <w:rFonts w:ascii="宋体" w:hAnsi="宋体" w:cs="宋体" w:eastAsia="宋体" w:hint="default"/>
                <w:sz w:val="18"/>
                <w:szCs w:val="18"/>
              </w:rPr>
            </w:pPr>
            <w:r>
              <w:rPr>
                <w:rFonts w:ascii="宋体"/>
                <w:sz w:val="18"/>
              </w:rPr>
              <w:t>49,453,</w:t>
            </w:r>
          </w:p>
          <w:p>
            <w:pPr>
              <w:pStyle w:val="TableParagraph"/>
              <w:spacing w:line="240" w:lineRule="auto" w:before="76"/>
              <w:ind w:left="155" w:right="0"/>
              <w:jc w:val="left"/>
              <w:rPr>
                <w:rFonts w:ascii="宋体" w:hAnsi="宋体" w:cs="宋体" w:eastAsia="宋体" w:hint="default"/>
                <w:sz w:val="18"/>
                <w:szCs w:val="18"/>
              </w:rPr>
            </w:pPr>
            <w:r>
              <w:rPr>
                <w:rFonts w:ascii="宋体"/>
                <w:sz w:val="18"/>
              </w:rPr>
              <w:t>979.30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61" w:right="0"/>
              <w:jc w:val="left"/>
              <w:rPr>
                <w:rFonts w:ascii="宋体" w:hAnsi="宋体" w:cs="宋体" w:eastAsia="宋体" w:hint="default"/>
                <w:sz w:val="18"/>
                <w:szCs w:val="18"/>
              </w:rPr>
            </w:pPr>
            <w:r>
              <w:rPr>
                <w:rFonts w:ascii="宋体"/>
                <w:sz w:val="18"/>
              </w:rPr>
              <w:t>34.41%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51" w:right="0"/>
              <w:jc w:val="center"/>
              <w:rPr>
                <w:rFonts w:ascii="宋体" w:hAnsi="宋体" w:cs="宋体" w:eastAsia="宋体" w:hint="default"/>
                <w:sz w:val="18"/>
                <w:szCs w:val="18"/>
              </w:rPr>
            </w:pPr>
            <w:r>
              <w:rPr>
                <w:rFonts w:ascii="宋体"/>
                <w:sz w:val="18"/>
              </w:rPr>
              <w:t>2,671,1</w:t>
            </w:r>
          </w:p>
          <w:p>
            <w:pPr>
              <w:pStyle w:val="TableParagraph"/>
              <w:spacing w:line="240" w:lineRule="auto" w:before="76"/>
              <w:ind w:left="231" w:right="0"/>
              <w:jc w:val="center"/>
              <w:rPr>
                <w:rFonts w:ascii="宋体" w:hAnsi="宋体" w:cs="宋体" w:eastAsia="宋体" w:hint="default"/>
                <w:sz w:val="18"/>
                <w:szCs w:val="18"/>
              </w:rPr>
            </w:pPr>
            <w:r>
              <w:rPr>
                <w:rFonts w:ascii="宋体"/>
                <w:sz w:val="18"/>
              </w:rPr>
              <w:t>48.44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73" w:right="0"/>
              <w:jc w:val="left"/>
              <w:rPr>
                <w:rFonts w:ascii="宋体" w:hAnsi="宋体" w:cs="宋体" w:eastAsia="宋体" w:hint="default"/>
                <w:sz w:val="18"/>
                <w:szCs w:val="18"/>
              </w:rPr>
            </w:pPr>
            <w:r>
              <w:rPr>
                <w:rFonts w:ascii="宋体"/>
                <w:sz w:val="18"/>
              </w:rPr>
              <w:t>100,271</w:t>
            </w:r>
          </w:p>
          <w:p>
            <w:pPr>
              <w:pStyle w:val="TableParagraph"/>
              <w:spacing w:line="240" w:lineRule="auto" w:before="76"/>
              <w:ind w:left="73" w:right="0"/>
              <w:jc w:val="left"/>
              <w:rPr>
                <w:rFonts w:ascii="宋体" w:hAnsi="宋体" w:cs="宋体" w:eastAsia="宋体" w:hint="default"/>
                <w:sz w:val="18"/>
                <w:szCs w:val="18"/>
              </w:rPr>
            </w:pPr>
            <w:r>
              <w:rPr>
                <w:rFonts w:ascii="宋体"/>
                <w:sz w:val="18"/>
              </w:rPr>
              <w:t>,976.69</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73" w:right="0"/>
              <w:jc w:val="left"/>
              <w:rPr>
                <w:rFonts w:ascii="宋体" w:hAnsi="宋体" w:cs="宋体" w:eastAsia="宋体" w:hint="default"/>
                <w:sz w:val="18"/>
                <w:szCs w:val="18"/>
              </w:rPr>
            </w:pPr>
            <w:r>
              <w:rPr>
                <w:rFonts w:ascii="宋体"/>
                <w:sz w:val="18"/>
              </w:rPr>
              <w:t>47,814,</w:t>
            </w:r>
          </w:p>
          <w:p>
            <w:pPr>
              <w:pStyle w:val="TableParagraph"/>
              <w:spacing w:line="240" w:lineRule="auto" w:before="76"/>
              <w:ind w:left="163" w:right="0"/>
              <w:jc w:val="left"/>
              <w:rPr>
                <w:rFonts w:ascii="宋体" w:hAnsi="宋体" w:cs="宋体" w:eastAsia="宋体" w:hint="default"/>
                <w:sz w:val="18"/>
                <w:szCs w:val="18"/>
              </w:rPr>
            </w:pPr>
            <w:r>
              <w:rPr>
                <w:rFonts w:ascii="宋体"/>
                <w:sz w:val="18"/>
              </w:rPr>
              <w:t>313.78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23" w:right="20"/>
              <w:jc w:val="left"/>
              <w:rPr>
                <w:rFonts w:ascii="宋体" w:hAnsi="宋体" w:cs="宋体" w:eastAsia="宋体" w:hint="default"/>
                <w:sz w:val="18"/>
                <w:szCs w:val="18"/>
              </w:rPr>
            </w:pPr>
            <w:r>
              <w:rPr>
                <w:rFonts w:ascii="宋体" w:hAnsi="宋体" w:cs="宋体" w:eastAsia="宋体" w:hint="default"/>
                <w:sz w:val="18"/>
                <w:szCs w:val="18"/>
              </w:rPr>
              <w:t>第三方 交易的 </w:t>
            </w:r>
            <w:r>
              <w:rPr>
                <w:rFonts w:ascii="宋体" w:hAnsi="宋体" w:cs="宋体" w:eastAsia="宋体" w:hint="default"/>
                <w:spacing w:val="-10"/>
                <w:sz w:val="18"/>
                <w:szCs w:val="18"/>
              </w:rPr>
              <w:t>价格、持</w:t>
            </w:r>
            <w:r>
              <w:rPr>
                <w:rFonts w:ascii="宋体" w:hAnsi="宋体" w:cs="宋体" w:eastAsia="宋体" w:hint="default"/>
                <w:sz w:val="18"/>
                <w:szCs w:val="18"/>
              </w:rPr>
              <w:t> 续经营</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sz w:val="18"/>
              </w:rPr>
              <w:t>0.00</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4"/>
        <w:gridCol w:w="736"/>
        <w:gridCol w:w="734"/>
        <w:gridCol w:w="736"/>
        <w:gridCol w:w="737"/>
        <w:gridCol w:w="736"/>
        <w:gridCol w:w="736"/>
        <w:gridCol w:w="737"/>
        <w:gridCol w:w="736"/>
      </w:tblGrid>
      <w:tr>
        <w:trPr>
          <w:trHeight w:val="2586"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
              <w:jc w:val="left"/>
              <w:rPr>
                <w:rFonts w:ascii="宋体" w:hAnsi="宋体" w:cs="宋体" w:eastAsia="宋体" w:hint="default"/>
                <w:sz w:val="18"/>
                <w:szCs w:val="18"/>
              </w:rPr>
            </w:pPr>
            <w:r>
              <w:rPr>
                <w:rFonts w:ascii="宋体" w:hAnsi="宋体" w:cs="宋体" w:eastAsia="宋体" w:hint="default"/>
                <w:sz w:val="18"/>
                <w:szCs w:val="18"/>
              </w:rPr>
              <w:t>宁波梅 山保税 港区中 昊嘉华 股权投 资合伙 </w:t>
            </w:r>
            <w:r>
              <w:rPr>
                <w:rFonts w:ascii="宋体" w:hAnsi="宋体" w:cs="宋体" w:eastAsia="宋体" w:hint="default"/>
                <w:spacing w:val="-10"/>
                <w:sz w:val="18"/>
                <w:szCs w:val="18"/>
              </w:rPr>
              <w:t>企业（有</w:t>
            </w:r>
            <w:r>
              <w:rPr>
                <w:rFonts w:ascii="宋体" w:hAnsi="宋体" w:cs="宋体" w:eastAsia="宋体" w:hint="default"/>
                <w:sz w:val="18"/>
                <w:szCs w:val="18"/>
              </w:rPr>
              <w:t> 限合伙）</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96.67%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9" w:lineRule="auto"/>
              <w:ind w:left="22" w:right="161"/>
              <w:jc w:val="left"/>
              <w:rPr>
                <w:rFonts w:ascii="宋体" w:hAnsi="宋体" w:cs="宋体" w:eastAsia="宋体" w:hint="default"/>
                <w:sz w:val="18"/>
                <w:szCs w:val="18"/>
              </w:rPr>
            </w:pPr>
            <w:r>
              <w:rPr>
                <w:rFonts w:ascii="宋体" w:hAnsi="宋体" w:cs="宋体" w:eastAsia="宋体" w:hint="default"/>
                <w:sz w:val="18"/>
                <w:szCs w:val="18"/>
              </w:rPr>
              <w:t>现金转 让</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p>
          <w:p>
            <w:pPr>
              <w:pStyle w:val="TableParagraph"/>
              <w:spacing w:line="240" w:lineRule="auto" w:before="78"/>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9" w:lineRule="auto"/>
              <w:ind w:left="22" w:right="161"/>
              <w:jc w:val="left"/>
              <w:rPr>
                <w:rFonts w:ascii="宋体" w:hAnsi="宋体" w:cs="宋体" w:eastAsia="宋体" w:hint="default"/>
                <w:sz w:val="18"/>
                <w:szCs w:val="18"/>
              </w:rPr>
            </w:pPr>
            <w:r>
              <w:rPr>
                <w:rFonts w:ascii="宋体" w:hAnsi="宋体" w:cs="宋体" w:eastAsia="宋体" w:hint="default"/>
                <w:sz w:val="18"/>
                <w:szCs w:val="18"/>
              </w:rPr>
              <w:t>股权转 让协议</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71" w:right="0"/>
              <w:jc w:val="left"/>
              <w:rPr>
                <w:rFonts w:ascii="宋体" w:hAnsi="宋体" w:cs="宋体" w:eastAsia="宋体" w:hint="default"/>
                <w:sz w:val="18"/>
                <w:szCs w:val="18"/>
              </w:rPr>
            </w:pPr>
            <w:r>
              <w:rPr>
                <w:rFonts w:ascii="宋体"/>
                <w:sz w:val="18"/>
              </w:rPr>
              <w:t>-18,343</w:t>
            </w:r>
          </w:p>
          <w:p>
            <w:pPr>
              <w:pStyle w:val="TableParagraph"/>
              <w:spacing w:line="240" w:lineRule="auto" w:before="78"/>
              <w:ind w:left="431" w:right="0"/>
              <w:jc w:val="left"/>
              <w:rPr>
                <w:rFonts w:ascii="宋体" w:hAnsi="宋体" w:cs="宋体" w:eastAsia="宋体" w:hint="default"/>
                <w:sz w:val="18"/>
                <w:szCs w:val="18"/>
              </w:rPr>
            </w:pPr>
            <w:r>
              <w:rPr>
                <w:rFonts w:ascii="宋体"/>
                <w:sz w:val="18"/>
              </w:rPr>
              <w:t>.53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r>
      <w:tr>
        <w:trPr>
          <w:trHeight w:val="227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61"/>
              <w:jc w:val="both"/>
              <w:rPr>
                <w:rFonts w:ascii="宋体" w:hAnsi="宋体" w:cs="宋体" w:eastAsia="宋体" w:hint="default"/>
                <w:sz w:val="18"/>
                <w:szCs w:val="18"/>
              </w:rPr>
            </w:pPr>
            <w:r>
              <w:rPr>
                <w:rFonts w:ascii="宋体" w:hAnsi="宋体" w:cs="宋体" w:eastAsia="宋体" w:hint="default"/>
                <w:sz w:val="18"/>
                <w:szCs w:val="18"/>
              </w:rPr>
              <w:t>宁波梅 山保税 港区新 美嘉华 股权投 资有限 公司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93.77%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22" w:right="161"/>
              <w:jc w:val="left"/>
              <w:rPr>
                <w:rFonts w:ascii="宋体" w:hAnsi="宋体" w:cs="宋体" w:eastAsia="宋体" w:hint="default"/>
                <w:sz w:val="18"/>
                <w:szCs w:val="18"/>
              </w:rPr>
            </w:pPr>
            <w:r>
              <w:rPr>
                <w:rFonts w:ascii="宋体" w:hAnsi="宋体" w:cs="宋体" w:eastAsia="宋体" w:hint="default"/>
                <w:sz w:val="18"/>
                <w:szCs w:val="18"/>
              </w:rPr>
              <w:t>现金转 让</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22" w:right="161"/>
              <w:jc w:val="left"/>
              <w:rPr>
                <w:rFonts w:ascii="宋体" w:hAnsi="宋体" w:cs="宋体" w:eastAsia="宋体" w:hint="default"/>
                <w:sz w:val="18"/>
                <w:szCs w:val="18"/>
              </w:rPr>
            </w:pPr>
            <w:r>
              <w:rPr>
                <w:rFonts w:ascii="宋体" w:hAnsi="宋体" w:cs="宋体" w:eastAsia="宋体" w:hint="default"/>
                <w:sz w:val="18"/>
                <w:szCs w:val="18"/>
              </w:rPr>
              <w:t>股权转 让协议</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41" w:right="0"/>
              <w:jc w:val="lef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3"/>
              <w:jc w:val="right"/>
              <w:rPr>
                <w:rFonts w:ascii="宋体" w:hAnsi="宋体" w:cs="宋体" w:eastAsia="宋体" w:hint="default"/>
                <w:sz w:val="18"/>
                <w:szCs w:val="18"/>
              </w:rPr>
            </w:pPr>
            <w:r>
              <w:rPr>
                <w:rFonts w:ascii="宋体"/>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1"/>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5"/>
        <w:rPr>
          <w:rFonts w:ascii="宋体" w:hAnsi="宋体" w:cs="宋体" w:eastAsia="宋体" w:hint="default"/>
          <w:sz w:val="19"/>
          <w:szCs w:val="19"/>
        </w:rPr>
      </w:pPr>
    </w:p>
    <w:p>
      <w:pPr>
        <w:pStyle w:val="BodyText"/>
        <w:spacing w:line="240" w:lineRule="auto"/>
        <w:ind w:left="634" w:right="1092"/>
        <w:jc w:val="left"/>
      </w:pPr>
      <w:r>
        <w:rPr/>
        <w:t>本公司之子公司中文在线天津公司持</w:t>
      </w:r>
      <w:r>
        <w:rPr>
          <w:spacing w:val="8"/>
        </w:rPr>
        <w:t> </w:t>
      </w:r>
      <w:r>
        <w:rPr>
          <w:rFonts w:ascii="宋体" w:hAnsi="宋体" w:cs="宋体" w:eastAsia="宋体" w:hint="default"/>
        </w:rPr>
        <w:t>70%</w:t>
      </w:r>
      <w:r>
        <w:rPr/>
        <w:t>股权比例的子公司北京中文万维科技有限公司</w:t>
      </w:r>
    </w:p>
    <w:p>
      <w:pPr>
        <w:pStyle w:val="BodyText"/>
        <w:spacing w:line="357" w:lineRule="auto" w:before="154"/>
        <w:ind w:right="1130"/>
        <w:jc w:val="both"/>
      </w:pPr>
      <w:r>
        <w:rPr>
          <w:spacing w:val="-3"/>
        </w:rPr>
        <w:t>（以下简称中文万维）于</w:t>
      </w:r>
      <w:r>
        <w:rPr>
          <w:spacing w:val="-58"/>
        </w:rPr>
        <w:t> </w:t>
      </w:r>
      <w:r>
        <w:rPr>
          <w:rFonts w:ascii="宋体" w:hAnsi="宋体" w:cs="宋体" w:eastAsia="宋体" w:hint="default"/>
        </w:rPr>
        <w:t>2018</w:t>
      </w:r>
      <w:r>
        <w:rPr>
          <w:rFonts w:ascii="宋体" w:hAnsi="宋体" w:cs="宋体" w:eastAsia="宋体" w:hint="default"/>
          <w:spacing w:val="-58"/>
        </w:rPr>
        <w:t> </w:t>
      </w:r>
      <w:r>
        <w:rPr/>
        <w:t>年</w:t>
      </w:r>
      <w:r>
        <w:rPr>
          <w:spacing w:val="-58"/>
        </w:rPr>
        <w:t> </w:t>
      </w:r>
      <w:r>
        <w:rPr>
          <w:rFonts w:ascii="宋体" w:hAnsi="宋体" w:cs="宋体" w:eastAsia="宋体" w:hint="default"/>
        </w:rPr>
        <w:t>10</w:t>
      </w:r>
      <w:r>
        <w:rPr>
          <w:rFonts w:ascii="宋体" w:hAnsi="宋体" w:cs="宋体" w:eastAsia="宋体" w:hint="default"/>
          <w:spacing w:val="-58"/>
        </w:rPr>
        <w:t> </w:t>
      </w:r>
      <w:r>
        <w:rPr/>
        <w:t>月</w:t>
      </w:r>
      <w:r>
        <w:rPr>
          <w:spacing w:val="-58"/>
        </w:rPr>
        <w:t> </w:t>
      </w:r>
      <w:r>
        <w:rPr>
          <w:rFonts w:ascii="宋体" w:hAnsi="宋体" w:cs="宋体" w:eastAsia="宋体" w:hint="default"/>
        </w:rPr>
        <w:t>31</w:t>
      </w:r>
      <w:r>
        <w:rPr>
          <w:rFonts w:ascii="宋体" w:hAnsi="宋体" w:cs="宋体" w:eastAsia="宋体" w:hint="default"/>
          <w:spacing w:val="-58"/>
        </w:rPr>
        <w:t> </w:t>
      </w:r>
      <w:r>
        <w:rPr/>
        <w:t>日完成</w:t>
      </w:r>
      <w:r>
        <w:rPr>
          <w:spacing w:val="-58"/>
        </w:rPr>
        <w:t> </w:t>
      </w:r>
      <w:r>
        <w:rPr>
          <w:rFonts w:ascii="宋体" w:hAnsi="宋体" w:cs="宋体" w:eastAsia="宋体" w:hint="default"/>
        </w:rPr>
        <w:t>MBO</w:t>
      </w:r>
      <w:r>
        <w:rPr>
          <w:rFonts w:ascii="宋体" w:hAnsi="宋体" w:cs="宋体" w:eastAsia="宋体" w:hint="default"/>
          <w:spacing w:val="-58"/>
        </w:rPr>
        <w:t> </w:t>
      </w:r>
      <w:r>
        <w:rPr>
          <w:spacing w:val="-4"/>
        </w:rPr>
        <w:t>及投资方永利投资咨询（广州）有限公</w:t>
      </w:r>
      <w:r>
        <w:rPr/>
        <w:t> 司的增资，股权变更后，中文在线天津公司持股由 </w:t>
      </w:r>
      <w:r>
        <w:rPr>
          <w:rFonts w:ascii="宋体" w:hAnsi="宋体" w:cs="宋体" w:eastAsia="宋体" w:hint="default"/>
        </w:rPr>
        <w:t>70%</w:t>
      </w:r>
      <w:r>
        <w:rPr/>
        <w:t>减少为</w:t>
      </w:r>
      <w:r>
        <w:rPr>
          <w:spacing w:val="-81"/>
        </w:rPr>
        <w:t> </w:t>
      </w:r>
      <w:r>
        <w:rPr>
          <w:rFonts w:ascii="宋体" w:hAnsi="宋体" w:cs="宋体" w:eastAsia="宋体" w:hint="default"/>
        </w:rPr>
        <w:t>34.41%</w:t>
      </w:r>
      <w:r>
        <w:rPr/>
        <w:t>，姜斌通过直接和间接 </w:t>
      </w:r>
      <w:r>
        <w:rPr>
          <w:spacing w:val="-4"/>
        </w:rPr>
        <w:t>持股（员工激励股权持股平台恒正（天津）文化合伙企业（有限合伙））实际共持有</w:t>
      </w:r>
      <w:r>
        <w:rPr>
          <w:spacing w:val="-57"/>
        </w:rPr>
        <w:t> </w:t>
      </w:r>
      <w:r>
        <w:rPr>
          <w:rFonts w:ascii="宋体" w:hAnsi="宋体" w:cs="宋体" w:eastAsia="宋体" w:hint="default"/>
        </w:rPr>
        <w:t>45%</w:t>
      </w:r>
      <w:r>
        <w:rPr/>
        <w:t>的股 </w:t>
      </w:r>
      <w:r>
        <w:rPr>
          <w:spacing w:val="-4"/>
        </w:rPr>
        <w:t>权，成为中文万维的第一大股东。因此，中文在线天津公司于</w:t>
      </w:r>
      <w:r>
        <w:rPr>
          <w:spacing w:val="-57"/>
        </w:rPr>
        <w:t> </w:t>
      </w:r>
      <w:r>
        <w:rPr>
          <w:rFonts w:ascii="宋体" w:hAnsi="宋体" w:cs="宋体" w:eastAsia="宋体" w:hint="default"/>
        </w:rPr>
        <w:t>2018</w:t>
      </w:r>
      <w:r>
        <w:rPr>
          <w:rFonts w:ascii="宋体" w:hAnsi="宋体" w:cs="宋体" w:eastAsia="宋体" w:hint="default"/>
          <w:spacing w:val="-57"/>
        </w:rPr>
        <w:t> </w:t>
      </w:r>
      <w:r>
        <w:rPr/>
        <w:t>年</w:t>
      </w:r>
      <w:r>
        <w:rPr>
          <w:spacing w:val="-57"/>
        </w:rPr>
        <w:t> </w:t>
      </w:r>
      <w:r>
        <w:rPr>
          <w:rFonts w:ascii="宋体" w:hAnsi="宋体" w:cs="宋体" w:eastAsia="宋体" w:hint="default"/>
        </w:rPr>
        <w:t>10</w:t>
      </w:r>
      <w:r>
        <w:rPr>
          <w:rFonts w:ascii="宋体" w:hAnsi="宋体" w:cs="宋体" w:eastAsia="宋体" w:hint="default"/>
          <w:spacing w:val="-57"/>
        </w:rPr>
        <w:t> </w:t>
      </w:r>
      <w:r>
        <w:rPr/>
        <w:t>月</w:t>
      </w:r>
      <w:r>
        <w:rPr>
          <w:spacing w:val="-57"/>
        </w:rPr>
        <w:t> </w:t>
      </w:r>
      <w:r>
        <w:rPr>
          <w:rFonts w:ascii="宋体" w:hAnsi="宋体" w:cs="宋体" w:eastAsia="宋体" w:hint="default"/>
        </w:rPr>
        <w:t>31</w:t>
      </w:r>
      <w:r>
        <w:rPr>
          <w:rFonts w:ascii="宋体" w:hAnsi="宋体" w:cs="宋体" w:eastAsia="宋体" w:hint="default"/>
          <w:spacing w:val="-57"/>
        </w:rPr>
        <w:t> </w:t>
      </w:r>
      <w:r>
        <w:rPr/>
        <w:t>日丧失对中文 万维的控制权，中文万维的最终控制方由本公司变更为自然人股东姜斌。同时，本公司对中 文万维全资子公司的霍尔果斯爱看书网信息科技有限公司、霍尔果斯鸿鹭华阅文化传播有限 </w:t>
      </w:r>
      <w:r>
        <w:rPr>
          <w:spacing w:val="-6"/>
        </w:rPr>
        <w:t>公司失去控制。从</w:t>
      </w:r>
      <w:r>
        <w:rPr>
          <w:spacing w:val="-66"/>
        </w:rPr>
        <w:t> </w:t>
      </w:r>
      <w:r>
        <w:rPr>
          <w:rFonts w:ascii="宋体" w:hAnsi="宋体" w:cs="宋体" w:eastAsia="宋体" w:hint="default"/>
        </w:rPr>
        <w:t>2018</w:t>
      </w:r>
      <w:r>
        <w:rPr>
          <w:rFonts w:ascii="宋体" w:hAnsi="宋体" w:cs="宋体" w:eastAsia="宋体" w:hint="default"/>
          <w:spacing w:val="-66"/>
        </w:rPr>
        <w:t> </w:t>
      </w:r>
      <w:r>
        <w:rPr/>
        <w:t>年</w:t>
      </w:r>
      <w:r>
        <w:rPr>
          <w:spacing w:val="-66"/>
        </w:rPr>
        <w:t> </w:t>
      </w:r>
      <w:r>
        <w:rPr>
          <w:rFonts w:ascii="宋体" w:hAnsi="宋体" w:cs="宋体" w:eastAsia="宋体" w:hint="default"/>
        </w:rPr>
        <w:t>10</w:t>
      </w:r>
      <w:r>
        <w:rPr>
          <w:rFonts w:ascii="宋体" w:hAnsi="宋体" w:cs="宋体" w:eastAsia="宋体" w:hint="default"/>
          <w:spacing w:val="-66"/>
        </w:rPr>
        <w:t> </w:t>
      </w:r>
      <w:r>
        <w:rPr/>
        <w:t>月</w:t>
      </w:r>
      <w:r>
        <w:rPr>
          <w:spacing w:val="-66"/>
        </w:rPr>
        <w:t> </w:t>
      </w:r>
      <w:r>
        <w:rPr>
          <w:rFonts w:ascii="宋体" w:hAnsi="宋体" w:cs="宋体" w:eastAsia="宋体" w:hint="default"/>
        </w:rPr>
        <w:t>31</w:t>
      </w:r>
      <w:r>
        <w:rPr>
          <w:rFonts w:ascii="宋体" w:hAnsi="宋体" w:cs="宋体" w:eastAsia="宋体" w:hint="default"/>
          <w:spacing w:val="-66"/>
        </w:rPr>
        <w:t> </w:t>
      </w:r>
      <w:r>
        <w:rPr/>
        <w:t>日后不再将中文万维纳入合并范围。根据中文万维修改后</w:t>
      </w:r>
    </w:p>
    <w:p>
      <w:pPr>
        <w:pStyle w:val="BodyText"/>
        <w:spacing w:line="357" w:lineRule="auto" w:before="36"/>
        <w:ind w:right="1109"/>
        <w:jc w:val="both"/>
      </w:pPr>
      <w:r>
        <w:rPr/>
        <w:t>的公司章程，中文万维董事会设四人，本公司委派</w:t>
      </w:r>
      <w:r>
        <w:rPr>
          <w:spacing w:val="-60"/>
        </w:rPr>
        <w:t> </w:t>
      </w:r>
      <w:r>
        <w:rPr>
          <w:rFonts w:ascii="宋体" w:hAnsi="宋体" w:cs="宋体" w:eastAsia="宋体" w:hint="default"/>
        </w:rPr>
        <w:t>1</w:t>
      </w:r>
      <w:r>
        <w:rPr>
          <w:rFonts w:ascii="宋体" w:hAnsi="宋体" w:cs="宋体" w:eastAsia="宋体" w:hint="default"/>
          <w:spacing w:val="-60"/>
        </w:rPr>
        <w:t> </w:t>
      </w:r>
      <w:r>
        <w:rPr/>
        <w:t>人，姜斌委派</w:t>
      </w:r>
      <w:r>
        <w:rPr>
          <w:spacing w:val="-60"/>
        </w:rPr>
        <w:t> </w:t>
      </w:r>
      <w:r>
        <w:rPr>
          <w:rFonts w:ascii="宋体" w:hAnsi="宋体" w:cs="宋体" w:eastAsia="宋体" w:hint="default"/>
        </w:rPr>
        <w:t>2</w:t>
      </w:r>
      <w:r>
        <w:rPr>
          <w:rFonts w:ascii="宋体" w:hAnsi="宋体" w:cs="宋体" w:eastAsia="宋体" w:hint="default"/>
          <w:spacing w:val="-60"/>
        </w:rPr>
        <w:t> </w:t>
      </w:r>
      <w:r>
        <w:rPr/>
        <w:t>人，投资方委派</w:t>
      </w:r>
      <w:r>
        <w:rPr>
          <w:spacing w:val="-60"/>
        </w:rPr>
        <w:t> </w:t>
      </w:r>
      <w:r>
        <w:rPr>
          <w:rFonts w:ascii="宋体" w:hAnsi="宋体" w:cs="宋体" w:eastAsia="宋体" w:hint="default"/>
        </w:rPr>
        <w:t>1 </w:t>
      </w:r>
      <w:r>
        <w:rPr/>
        <w:t>人， 本公司对中文万维的经营仍然产生重大影响而采用权益法核算。</w:t>
      </w:r>
    </w:p>
    <w:p>
      <w:pPr>
        <w:pStyle w:val="BodyText"/>
        <w:spacing w:line="240" w:lineRule="auto" w:before="136"/>
        <w:ind w:left="634" w:right="1092"/>
        <w:jc w:val="left"/>
      </w:pPr>
      <w:r>
        <w:rPr/>
        <w:t>是否存在通过多次交易分步处置对子公司投资且在本期丧失控制权的情形</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是 √ 否</w:t>
      </w:r>
    </w:p>
    <w:p>
      <w:pPr>
        <w:spacing w:line="240" w:lineRule="auto" w:before="5"/>
        <w:rPr>
          <w:rFonts w:ascii="宋体" w:hAnsi="宋体" w:cs="宋体" w:eastAsia="宋体" w:hint="default"/>
          <w:sz w:val="30"/>
          <w:szCs w:val="30"/>
        </w:rPr>
      </w:pPr>
    </w:p>
    <w:p>
      <w:pPr>
        <w:spacing w:before="0"/>
        <w:ind w:left="154" w:right="0" w:firstLine="0"/>
        <w:jc w:val="both"/>
        <w:rPr>
          <w:rFonts w:ascii="宋体" w:hAnsi="宋体" w:cs="宋体" w:eastAsia="宋体" w:hint="default"/>
          <w:sz w:val="21"/>
          <w:szCs w:val="21"/>
        </w:rPr>
      </w:pPr>
      <w:bookmarkStart w:name="5、其他原因的合并范围变动" w:id="393"/>
      <w:bookmarkEnd w:id="393"/>
      <w:r>
        <w:rPr/>
      </w:r>
      <w:r>
        <w:rPr>
          <w:rFonts w:ascii="宋体" w:hAnsi="宋体" w:cs="宋体" w:eastAsia="宋体" w:hint="default"/>
          <w:b/>
          <w:bCs/>
          <w:sz w:val="21"/>
          <w:szCs w:val="21"/>
        </w:rPr>
        <w:t>5</w:t>
      </w:r>
      <w:r>
        <w:rPr>
          <w:rFonts w:ascii="宋体" w:hAnsi="宋体" w:cs="宋体" w:eastAsia="宋体" w:hint="default"/>
          <w:b/>
          <w:bCs/>
          <w:sz w:val="21"/>
          <w:szCs w:val="21"/>
        </w:rPr>
        <w:t>、其他原因的合并范围变动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2" w:lineRule="auto" w:before="133"/>
        <w:ind w:left="634" w:right="1092"/>
        <w:jc w:val="left"/>
      </w:pPr>
      <w:r>
        <w:rPr/>
        <w:t>说明其他原因导致的合并范围变动（如新设子公司、清算子公司等）及其相关情况： </w:t>
      </w:r>
      <w:r>
        <w:rPr>
          <w:rFonts w:ascii="宋体" w:hAnsi="宋体" w:cs="宋体" w:eastAsia="宋体" w:hint="default"/>
          <w:spacing w:val="-3"/>
        </w:rPr>
        <w:t>1</w:t>
      </w:r>
      <w:r>
        <w:rPr>
          <w:spacing w:val="-3"/>
        </w:rPr>
        <w:t>）本年度合并范围因投资新设增加控股子公司武汉慧读教育科技发展有限公司、全资子</w:t>
      </w:r>
    </w:p>
    <w:p>
      <w:pPr>
        <w:pStyle w:val="BodyText"/>
        <w:spacing w:line="277" w:lineRule="exact"/>
        <w:ind w:right="0"/>
        <w:jc w:val="both"/>
      </w:pPr>
      <w:r>
        <w:rPr/>
        <w:t>公司天津中文光之影文化传媒有限公司、上海光之影兄弟文化科技发展有限公司；</w:t>
      </w:r>
    </w:p>
    <w:p>
      <w:pPr>
        <w:spacing w:after="0" w:line="277" w:lineRule="exact"/>
        <w:jc w:val="both"/>
        <w:sectPr>
          <w:pgSz w:w="11910" w:h="16840"/>
          <w:pgMar w:header="877" w:footer="979" w:top="1100" w:bottom="1160" w:left="980" w:right="0"/>
        </w:sectPr>
      </w:pPr>
    </w:p>
    <w:p>
      <w:pPr>
        <w:spacing w:line="240" w:lineRule="auto" w:before="7"/>
        <w:rPr>
          <w:rFonts w:ascii="宋体" w:hAnsi="宋体" w:cs="宋体" w:eastAsia="宋体" w:hint="default"/>
          <w:sz w:val="25"/>
          <w:szCs w:val="25"/>
        </w:rPr>
      </w:pPr>
      <w:r>
        <w:rPr/>
        <w:pict>
          <v:shape style="position:absolute;margin-left:92.343002pt;margin-top:708.23999pt;width:101.1pt;height:15.6pt;mso-position-horizontal-relative:page;mso-position-vertical-relative:page;z-index:-1153048"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（天津）</w:t>
                  </w:r>
                </w:p>
              </w:txbxContent>
            </v:textbox>
            <w10:wrap type="none"/>
          </v:shape>
        </w:pict>
      </w:r>
    </w:p>
    <w:p>
      <w:pPr>
        <w:pStyle w:val="BodyText"/>
        <w:spacing w:line="357" w:lineRule="auto" w:before="26"/>
        <w:ind w:right="1092" w:firstLine="480"/>
        <w:jc w:val="left"/>
      </w:pPr>
      <w:r>
        <w:rPr>
          <w:rFonts w:ascii="宋体" w:hAnsi="宋体" w:cs="宋体" w:eastAsia="宋体" w:hint="default"/>
          <w:spacing w:val="-3"/>
        </w:rPr>
        <w:t>2</w:t>
      </w:r>
      <w:r>
        <w:rPr>
          <w:spacing w:val="-3"/>
        </w:rPr>
        <w:t>）本年度合并范围因股权转让减少宁波梅山保税港区中昊嘉华股权投资合伙企业（有限</w:t>
      </w:r>
      <w:r>
        <w:rPr/>
        <w:t> </w:t>
      </w:r>
      <w:r>
        <w:rPr>
          <w:spacing w:val="-5"/>
        </w:rPr>
        <w:t>合伙）、宁波梅山保税港区新美嘉华股权投资有限公司。</w:t>
      </w:r>
    </w:p>
    <w:p>
      <w:pPr>
        <w:spacing w:line="240" w:lineRule="auto" w:before="6"/>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6、其他" w:id="394"/>
      <w:bookmarkEnd w:id="394"/>
      <w:r>
        <w:rPr/>
      </w:r>
      <w:r>
        <w:rPr>
          <w:rFonts w:ascii="宋体" w:hAnsi="宋体" w:cs="宋体" w:eastAsia="宋体" w:hint="default"/>
          <w:b/>
          <w:bCs/>
          <w:sz w:val="21"/>
          <w:szCs w:val="21"/>
        </w:rPr>
        <w:t>6</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3"/>
        <w:ind w:left="154" w:right="8112" w:firstLine="480"/>
        <w:jc w:val="left"/>
        <w:rPr>
          <w:rFonts w:ascii="宋体" w:hAnsi="宋体" w:cs="宋体" w:eastAsia="宋体" w:hint="default"/>
          <w:sz w:val="21"/>
          <w:szCs w:val="21"/>
        </w:rPr>
      </w:pPr>
      <w:r>
        <w:rPr>
          <w:rFonts w:ascii="宋体" w:hAnsi="宋体" w:cs="宋体" w:eastAsia="宋体" w:hint="default"/>
          <w:sz w:val="24"/>
          <w:szCs w:val="24"/>
        </w:rPr>
        <w:t>无。 </w:t>
      </w:r>
      <w:bookmarkStart w:name="九、在其他主体中的权益" w:id="395"/>
      <w:bookmarkEnd w:id="395"/>
      <w:r>
        <w:rPr>
          <w:rFonts w:ascii="宋体" w:hAnsi="宋体" w:cs="宋体" w:eastAsia="宋体" w:hint="default"/>
          <w:sz w:val="24"/>
          <w:szCs w:val="24"/>
        </w:rPr>
      </w:r>
      <w:r>
        <w:rPr>
          <w:rFonts w:ascii="宋体" w:hAnsi="宋体" w:cs="宋体" w:eastAsia="宋体" w:hint="default"/>
          <w:b/>
          <w:bCs/>
          <w:w w:val="95"/>
          <w:sz w:val="24"/>
          <w:szCs w:val="24"/>
        </w:rPr>
        <w:t>九、在其他主体中的权益</w:t>
      </w:r>
      <w:r>
        <w:rPr>
          <w:rFonts w:ascii="宋体" w:hAnsi="宋体" w:cs="宋体" w:eastAsia="宋体" w:hint="default"/>
          <w:b/>
          <w:bCs/>
          <w:spacing w:val="7"/>
          <w:w w:val="95"/>
          <w:sz w:val="24"/>
          <w:szCs w:val="24"/>
        </w:rPr>
        <w:t> </w:t>
      </w:r>
      <w:bookmarkStart w:name="1、在子公司中的权益" w:id="396"/>
      <w:bookmarkEnd w:id="396"/>
      <w:r>
        <w:rPr>
          <w:rFonts w:ascii="宋体" w:hAnsi="宋体" w:cs="宋体" w:eastAsia="宋体" w:hint="default"/>
          <w:b/>
          <w:bCs/>
          <w:spacing w:val="7"/>
          <w:w w:val="95"/>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spacing w:before="105"/>
        <w:ind w:left="154" w:right="1092" w:firstLine="0"/>
        <w:jc w:val="left"/>
        <w:rPr>
          <w:rFonts w:ascii="宋体" w:hAnsi="宋体" w:cs="宋体" w:eastAsia="宋体" w:hint="default"/>
          <w:sz w:val="21"/>
          <w:szCs w:val="21"/>
        </w:rPr>
      </w:pPr>
      <w:bookmarkStart w:name="（1）企业集团的构成" w:id="397"/>
      <w:bookmarkEnd w:id="397"/>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）企业集团的构成</w:t>
      </w:r>
      <w:r>
        <w:rPr>
          <w:rFonts w:ascii="宋体" w:hAnsi="宋体" w:cs="宋体" w:eastAsia="宋体" w:hint="default"/>
          <w:sz w:val="21"/>
          <w:szCs w:val="21"/>
        </w:rPr>
      </w:r>
    </w:p>
    <w:p>
      <w:pPr>
        <w:spacing w:line="240" w:lineRule="auto" w:before="12"/>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1360"/>
        <w:gridCol w:w="1379"/>
        <w:gridCol w:w="1367"/>
        <w:gridCol w:w="1367"/>
        <w:gridCol w:w="1367"/>
        <w:gridCol w:w="1367"/>
        <w:gridCol w:w="1366"/>
      </w:tblGrid>
      <w:tr>
        <w:trPr>
          <w:trHeight w:val="402" w:hRule="exact"/>
        </w:trPr>
        <w:tc>
          <w:tcPr>
            <w:tcW w:w="13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9"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1" w:hRule="exact"/>
        </w:trPr>
        <w:tc>
          <w:tcPr>
            <w:tcW w:w="1360" w:type="dxa"/>
            <w:vMerge/>
            <w:tcBorders>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北京中文在线文 化传媒有限公司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both"/>
              <w:rPr>
                <w:rFonts w:ascii="宋体" w:hAnsi="宋体" w:cs="宋体" w:eastAsia="宋体" w:hint="default"/>
                <w:sz w:val="18"/>
                <w:szCs w:val="18"/>
              </w:rPr>
            </w:pPr>
            <w:r>
              <w:rPr>
                <w:rFonts w:ascii="宋体" w:hAnsi="宋体" w:cs="宋体" w:eastAsia="宋体" w:hint="default"/>
                <w:sz w:val="18"/>
                <w:szCs w:val="18"/>
              </w:rPr>
              <w:t>北京中文在线教 育科技发展有限 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95.00%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上海中文在线文 化发展有限公司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湖北中文在线数 字出版有限公司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武汉市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武汉市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武汉慧读教育科 技发展有限公司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武汉市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武汉市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批发和零售业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65.00%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广州市四月天信 息科技有限公司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杭州四月天网络 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杭州市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杭州市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网络技术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杭州中文在线信 息科技有限公司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杭州市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杭州市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信息技术及服务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中文在线教育集 团有限公司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22" w:right="245"/>
              <w:jc w:val="left"/>
              <w:rPr>
                <w:rFonts w:ascii="宋体" w:hAnsi="宋体" w:cs="宋体" w:eastAsia="宋体" w:hint="default"/>
                <w:sz w:val="18"/>
                <w:szCs w:val="18"/>
              </w:rPr>
            </w:pPr>
            <w:r>
              <w:rPr>
                <w:rFonts w:ascii="宋体"/>
                <w:sz w:val="18"/>
              </w:rPr>
              <w:t>CRAZY MAPLE STUDIO, INC.</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1027"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中文在线 文化发展有限公 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312" w:lineRule="exact"/>
              <w:ind w:right="-51"/>
              <w:jc w:val="left"/>
              <w:rPr>
                <w:rFonts w:ascii="宋体" w:hAnsi="宋体" w:cs="宋体" w:eastAsia="宋体" w:hint="default"/>
                <w:sz w:val="20"/>
                <w:szCs w:val="20"/>
              </w:rPr>
            </w:pPr>
            <w:r>
              <w:rPr>
                <w:rFonts w:ascii="宋体" w:hAnsi="宋体" w:cs="宋体" w:eastAsia="宋体" w:hint="default"/>
                <w:position w:val="-5"/>
                <w:sz w:val="20"/>
                <w:szCs w:val="20"/>
              </w:rPr>
              <w:pict>
                <v:group style="width:67.9pt;height:15.6pt;mso-position-horizontal-relative:char;mso-position-vertical-relative:line" coordorigin="0,0" coordsize="1358,312">
                  <v:group style="position:absolute;left:0;top:0;width:1358;height:312" coordorigin="0,0" coordsize="1358,312">
                    <v:shape style="position:absolute;left:0;top:0;width:1358;height:312" coordorigin="0,0" coordsize="1358,312" path="m0,312l1357,312,1357,0,0,0,0,312xe" filled="true" fillcolor="#ffffff" stroked="false">
                      <v:path arrowok="t"/>
                      <v:fill type="solid"/>
                    </v:shape>
                  </v:group>
                </v:group>
              </w:pict>
            </w:r>
            <w:r>
              <w:rPr>
                <w:rFonts w:ascii="宋体" w:hAnsi="宋体" w:cs="宋体" w:eastAsia="宋体"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天津市</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7"/>
                <w:szCs w:val="17"/>
              </w:rPr>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信息技术及服务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360"/>
        <w:gridCol w:w="1379"/>
        <w:gridCol w:w="1367"/>
        <w:gridCol w:w="1367"/>
        <w:gridCol w:w="1367"/>
        <w:gridCol w:w="1367"/>
        <w:gridCol w:w="1366"/>
      </w:tblGrid>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北京鸿达以太文 化发展有限公司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北京汤圆和它的 小伙伴们网络科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移动互联网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宋体"/>
                <w:sz w:val="18"/>
              </w:rPr>
              <w:t>13.50%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3"/>
              <w:jc w:val="right"/>
              <w:rPr>
                <w:rFonts w:ascii="宋体" w:hAnsi="宋体" w:cs="宋体" w:eastAsia="宋体" w:hint="default"/>
                <w:sz w:val="18"/>
                <w:szCs w:val="18"/>
              </w:rPr>
            </w:pPr>
            <w:r>
              <w:rPr>
                <w:rFonts w:ascii="宋体"/>
                <w:sz w:val="18"/>
              </w:rPr>
              <w:t>76.51%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霍尔果斯中文光 之影文化科技有 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霍尔果斯市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霍尔果斯市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邯郸中文在线文 化发展有限公司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邯郸市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邯郸市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浙江东阳光之影 文化传媒有限公 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金华市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金华市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天津中文光之影 文化传媒有限公 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租赁和商务服务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上海光之影兄弟 文化科技发展有 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批发和零售业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广州市迈步信息 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信息技术及服务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非同一控制合并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上海晨之科信息 技术有限公司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互联网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非同一控制合并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上海乐纷数码科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晨之科亚洲控股 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霍尔果斯乐氪信 息技术有限公司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霍尔果斯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霍尔果斯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上海乐芝信息技 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上海岚魔信息技 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游戏发行</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60.00%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晨之科（成都） 信息技术有限公 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成都市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成都市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游戏发行</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55"/>
              <w:jc w:val="left"/>
              <w:rPr>
                <w:rFonts w:ascii="宋体" w:hAnsi="宋体" w:cs="宋体" w:eastAsia="宋体" w:hint="default"/>
                <w:sz w:val="18"/>
                <w:szCs w:val="18"/>
              </w:rPr>
            </w:pPr>
            <w:r>
              <w:rPr>
                <w:rFonts w:ascii="宋体"/>
                <w:sz w:val="18"/>
              </w:rPr>
              <w:t>MORNINGTEC JAPAN LIMITED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日本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日本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游戏发行</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3"/>
              <w:jc w:val="right"/>
              <w:rPr>
                <w:rFonts w:ascii="宋体" w:hAnsi="宋体" w:cs="宋体" w:eastAsia="宋体" w:hint="default"/>
                <w:sz w:val="18"/>
                <w:szCs w:val="18"/>
              </w:rPr>
            </w:pPr>
            <w:r>
              <w:rPr>
                <w:rFonts w:ascii="宋体"/>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多彩互娱有限公</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游戏发行</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投资新设</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360"/>
        <w:gridCol w:w="1379"/>
        <w:gridCol w:w="1367"/>
        <w:gridCol w:w="1367"/>
        <w:gridCol w:w="1367"/>
        <w:gridCol w:w="1367"/>
        <w:gridCol w:w="1366"/>
      </w:tblGrid>
      <w:tr>
        <w:trPr>
          <w:trHeight w:val="36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79" w:type="dxa"/>
            <w:tcBorders>
              <w:top w:val="single" w:sz="4" w:space="0" w:color="000000"/>
              <w:left w:val="single" w:sz="13" w:space="0" w:color="D9D9D9"/>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9"/>
          <w:szCs w:val="9"/>
        </w:rPr>
      </w:pPr>
    </w:p>
    <w:p>
      <w:pPr>
        <w:pStyle w:val="BodyText"/>
        <w:spacing w:line="434" w:lineRule="auto" w:before="26"/>
        <w:ind w:left="634" w:right="5232"/>
        <w:jc w:val="left"/>
      </w:pPr>
      <w:r>
        <w:rPr/>
        <w:t>在子公司的持股比例不同于表决权比例的说明： 不适用</w:t>
      </w:r>
    </w:p>
    <w:p>
      <w:pPr>
        <w:pStyle w:val="BodyText"/>
        <w:spacing w:line="357" w:lineRule="auto" w:before="58"/>
        <w:ind w:right="1092" w:firstLine="480"/>
        <w:jc w:val="left"/>
      </w:pPr>
      <w:r>
        <w:rPr/>
        <w:t>持有半数或以下表决权但仍控制被投资单位、以及持有半数以上表决权但不控制被投资 单位的依据：</w:t>
      </w:r>
    </w:p>
    <w:p>
      <w:pPr>
        <w:pStyle w:val="BodyText"/>
        <w:spacing w:line="434" w:lineRule="auto" w:before="136"/>
        <w:ind w:left="634" w:right="4512"/>
        <w:jc w:val="left"/>
      </w:pPr>
      <w:r>
        <w:rPr/>
        <w:t>不适用 对于纳入合并范围的重要的结构化主体，控制的依据： 不适用</w:t>
      </w:r>
    </w:p>
    <w:p>
      <w:pPr>
        <w:pStyle w:val="BodyText"/>
        <w:spacing w:line="434" w:lineRule="auto" w:before="59"/>
        <w:ind w:left="634" w:right="6192"/>
        <w:jc w:val="left"/>
      </w:pPr>
      <w:r>
        <w:rPr/>
        <w:t>确定公司是代理人还是委托人的依据： 不适用</w:t>
      </w:r>
    </w:p>
    <w:p>
      <w:pPr>
        <w:pStyle w:val="BodyText"/>
        <w:spacing w:line="434" w:lineRule="auto" w:before="59"/>
        <w:ind w:left="634" w:right="9072"/>
        <w:jc w:val="left"/>
      </w:pPr>
      <w:r>
        <w:rPr/>
        <w:t>其他说明： 不适用</w:t>
      </w:r>
    </w:p>
    <w:p>
      <w:pPr>
        <w:spacing w:before="205"/>
        <w:ind w:left="154" w:right="1092" w:firstLine="0"/>
        <w:jc w:val="left"/>
        <w:rPr>
          <w:rFonts w:ascii="宋体" w:hAnsi="宋体" w:cs="宋体" w:eastAsia="宋体" w:hint="default"/>
          <w:sz w:val="21"/>
          <w:szCs w:val="21"/>
        </w:rPr>
      </w:pPr>
      <w:bookmarkStart w:name="（2）重要的非全资子公司" w:id="398"/>
      <w:bookmarkEnd w:id="398"/>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）重要的非全资子公司</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3"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6"/>
              <w:ind w:left="771" w:right="50"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6"/>
              <w:ind w:left="591" w:right="51"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714" w:hRule="exact"/>
        </w:trPr>
        <w:tc>
          <w:tcPr>
            <w:tcW w:w="1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82"/>
              <w:jc w:val="left"/>
              <w:rPr>
                <w:rFonts w:ascii="宋体" w:hAnsi="宋体" w:cs="宋体" w:eastAsia="宋体" w:hint="default"/>
                <w:sz w:val="18"/>
                <w:szCs w:val="18"/>
              </w:rPr>
            </w:pPr>
            <w:r>
              <w:rPr>
                <w:rFonts w:ascii="宋体" w:hAnsi="宋体" w:cs="宋体" w:eastAsia="宋体" w:hint="default"/>
                <w:sz w:val="18"/>
                <w:szCs w:val="18"/>
              </w:rPr>
              <w:t>武汉慧读教育科技发展 有限公司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35.00%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-151,806.86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3,348,193.14</w:t>
            </w:r>
          </w:p>
        </w:tc>
      </w:tr>
      <w:tr>
        <w:trPr>
          <w:trHeight w:val="714" w:hRule="exact"/>
        </w:trPr>
        <w:tc>
          <w:tcPr>
            <w:tcW w:w="1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82"/>
              <w:jc w:val="left"/>
              <w:rPr>
                <w:rFonts w:ascii="宋体" w:hAnsi="宋体" w:cs="宋体" w:eastAsia="宋体" w:hint="default"/>
                <w:sz w:val="18"/>
                <w:szCs w:val="18"/>
              </w:rPr>
            </w:pPr>
            <w:r>
              <w:rPr>
                <w:rFonts w:ascii="宋体" w:hAnsi="宋体" w:cs="宋体" w:eastAsia="宋体" w:hint="default"/>
                <w:sz w:val="18"/>
                <w:szCs w:val="18"/>
              </w:rPr>
              <w:t>北京汤圆和它的小伙伴 们网络科技有限公司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9.99%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72"/>
              <w:jc w:val="left"/>
              <w:rPr>
                <w:rFonts w:ascii="宋体" w:hAnsi="宋体" w:cs="宋体" w:eastAsia="宋体" w:hint="default"/>
                <w:sz w:val="18"/>
                <w:szCs w:val="18"/>
              </w:rPr>
            </w:pPr>
            <w:r>
              <w:rPr>
                <w:rFonts w:ascii="宋体"/>
                <w:sz w:val="18"/>
              </w:rPr>
              <w:t>CRAZY MAPLE STUDIO, INC.</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49.00%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291,622.76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-5,250,533.90</w:t>
            </w:r>
          </w:p>
        </w:tc>
      </w:tr>
    </w:tbl>
    <w:p>
      <w:pPr>
        <w:spacing w:line="240" w:lineRule="auto" w:before="10"/>
        <w:rPr>
          <w:rFonts w:ascii="宋体" w:hAnsi="宋体" w:cs="宋体" w:eastAsia="宋体" w:hint="default"/>
          <w:sz w:val="8"/>
          <w:szCs w:val="8"/>
        </w:rPr>
      </w:pPr>
    </w:p>
    <w:p>
      <w:pPr>
        <w:pStyle w:val="BodyText"/>
        <w:spacing w:line="434" w:lineRule="auto" w:before="26"/>
        <w:ind w:left="634" w:right="4512"/>
        <w:jc w:val="left"/>
      </w:pPr>
      <w:r>
        <w:rPr/>
        <w:t>子公司少数股东的持股比例不同于表决权比例的说明： 不适用</w:t>
      </w:r>
    </w:p>
    <w:p>
      <w:pPr>
        <w:spacing w:before="204"/>
        <w:ind w:left="154" w:right="1092" w:firstLine="0"/>
        <w:jc w:val="left"/>
        <w:rPr>
          <w:rFonts w:ascii="宋体" w:hAnsi="宋体" w:cs="宋体" w:eastAsia="宋体" w:hint="default"/>
          <w:sz w:val="21"/>
          <w:szCs w:val="21"/>
        </w:rPr>
      </w:pPr>
      <w:bookmarkStart w:name="（3）重要非全资子公司的主要财务信息" w:id="399"/>
      <w:bookmarkEnd w:id="399"/>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）重要非全资子公司的主要财务信息</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24"/>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6"/>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03"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62"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3" w:right="0"/>
              <w:jc w:val="left"/>
              <w:rPr>
                <w:rFonts w:ascii="宋体" w:hAnsi="宋体" w:cs="宋体" w:eastAsia="宋体" w:hint="default"/>
                <w:sz w:val="18"/>
                <w:szCs w:val="18"/>
              </w:rPr>
            </w:pPr>
            <w:r>
              <w:rPr>
                <w:rFonts w:ascii="宋体" w:hAnsi="宋体" w:cs="宋体" w:eastAsia="宋体" w:hint="default"/>
                <w:sz w:val="18"/>
                <w:szCs w:val="18"/>
              </w:rPr>
              <w:t>流动资</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非流动</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资产合</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3" w:right="0"/>
              <w:jc w:val="left"/>
              <w:rPr>
                <w:rFonts w:ascii="宋体" w:hAnsi="宋体" w:cs="宋体" w:eastAsia="宋体" w:hint="default"/>
                <w:sz w:val="18"/>
                <w:szCs w:val="18"/>
              </w:rPr>
            </w:pPr>
            <w:r>
              <w:rPr>
                <w:rFonts w:ascii="宋体" w:hAnsi="宋体" w:cs="宋体" w:eastAsia="宋体" w:hint="default"/>
                <w:sz w:val="18"/>
                <w:szCs w:val="18"/>
              </w:rPr>
              <w:t>流动负</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非流动</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负债合</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流动资</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非流动</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资产合</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3" w:right="0"/>
              <w:jc w:val="left"/>
              <w:rPr>
                <w:rFonts w:ascii="宋体" w:hAnsi="宋体" w:cs="宋体" w:eastAsia="宋体" w:hint="default"/>
                <w:sz w:val="18"/>
                <w:szCs w:val="18"/>
              </w:rPr>
            </w:pPr>
            <w:r>
              <w:rPr>
                <w:rFonts w:ascii="宋体" w:hAnsi="宋体" w:cs="宋体" w:eastAsia="宋体" w:hint="default"/>
                <w:sz w:val="18"/>
                <w:szCs w:val="18"/>
              </w:rPr>
              <w:t>流动负</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3" w:right="0"/>
              <w:jc w:val="left"/>
              <w:rPr>
                <w:rFonts w:ascii="宋体" w:hAnsi="宋体" w:cs="宋体" w:eastAsia="宋体" w:hint="default"/>
                <w:sz w:val="18"/>
                <w:szCs w:val="18"/>
              </w:rPr>
            </w:pPr>
            <w:r>
              <w:rPr>
                <w:rFonts w:ascii="宋体" w:hAnsi="宋体" w:cs="宋体" w:eastAsia="宋体" w:hint="default"/>
                <w:sz w:val="18"/>
                <w:szCs w:val="18"/>
              </w:rPr>
              <w:t>非流动</w:t>
            </w:r>
          </w:p>
        </w:tc>
        <w:tc>
          <w:tcPr>
            <w:tcW w:w="7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负债合</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362" w:hRule="exact"/>
        </w:trPr>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82"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82"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82"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83"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计</w:t>
            </w:r>
          </w:p>
        </w:tc>
      </w:tr>
      <w:tr>
        <w:trPr>
          <w:trHeight w:val="1650" w:hRule="exact"/>
        </w:trPr>
        <w:tc>
          <w:tcPr>
            <w:tcW w:w="7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61"/>
              <w:jc w:val="both"/>
              <w:rPr>
                <w:rFonts w:ascii="宋体" w:hAnsi="宋体" w:cs="宋体" w:eastAsia="宋体" w:hint="default"/>
                <w:sz w:val="18"/>
                <w:szCs w:val="18"/>
              </w:rPr>
            </w:pPr>
            <w:r>
              <w:rPr>
                <w:rFonts w:ascii="宋体" w:hAnsi="宋体" w:cs="宋体" w:eastAsia="宋体" w:hint="default"/>
                <w:sz w:val="18"/>
                <w:szCs w:val="18"/>
              </w:rPr>
              <w:t>武汉慧 读教育 科技发 展有限 公司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51" w:right="0"/>
              <w:jc w:val="center"/>
              <w:rPr>
                <w:rFonts w:ascii="宋体" w:hAnsi="宋体" w:cs="宋体" w:eastAsia="宋体" w:hint="default"/>
                <w:sz w:val="18"/>
                <w:szCs w:val="18"/>
              </w:rPr>
            </w:pPr>
            <w:r>
              <w:rPr>
                <w:rFonts w:ascii="宋体"/>
                <w:sz w:val="18"/>
              </w:rPr>
              <w:t>9,649,3</w:t>
            </w:r>
          </w:p>
          <w:p>
            <w:pPr>
              <w:pStyle w:val="TableParagraph"/>
              <w:spacing w:line="240" w:lineRule="auto" w:before="77"/>
              <w:ind w:left="231" w:right="0"/>
              <w:jc w:val="center"/>
              <w:rPr>
                <w:rFonts w:ascii="宋体" w:hAnsi="宋体" w:cs="宋体" w:eastAsia="宋体" w:hint="default"/>
                <w:sz w:val="18"/>
                <w:szCs w:val="18"/>
              </w:rPr>
            </w:pPr>
            <w:r>
              <w:rPr>
                <w:rFonts w:ascii="宋体"/>
                <w:sz w:val="18"/>
              </w:rPr>
              <w:t>97.77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19,958.</w:t>
            </w:r>
          </w:p>
          <w:p>
            <w:pPr>
              <w:pStyle w:val="TableParagraph"/>
              <w:spacing w:line="240" w:lineRule="auto" w:before="77"/>
              <w:ind w:right="20"/>
              <w:jc w:val="right"/>
              <w:rPr>
                <w:rFonts w:ascii="宋体" w:hAnsi="宋体" w:cs="宋体" w:eastAsia="宋体" w:hint="default"/>
                <w:sz w:val="18"/>
                <w:szCs w:val="18"/>
              </w:rPr>
            </w:pPr>
            <w:r>
              <w:rPr>
                <w:rFonts w:ascii="宋体"/>
                <w:sz w:val="18"/>
              </w:rPr>
              <w:t>67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50" w:right="0"/>
              <w:jc w:val="center"/>
              <w:rPr>
                <w:rFonts w:ascii="宋体" w:hAnsi="宋体" w:cs="宋体" w:eastAsia="宋体" w:hint="default"/>
                <w:sz w:val="18"/>
                <w:szCs w:val="18"/>
              </w:rPr>
            </w:pPr>
            <w:r>
              <w:rPr>
                <w:rFonts w:ascii="宋体"/>
                <w:sz w:val="18"/>
              </w:rPr>
              <w:t>9,669,3</w:t>
            </w:r>
          </w:p>
          <w:p>
            <w:pPr>
              <w:pStyle w:val="TableParagraph"/>
              <w:spacing w:line="240" w:lineRule="auto" w:before="77"/>
              <w:ind w:left="230" w:right="0"/>
              <w:jc w:val="center"/>
              <w:rPr>
                <w:rFonts w:ascii="宋体" w:hAnsi="宋体" w:cs="宋体" w:eastAsia="宋体" w:hint="default"/>
                <w:sz w:val="18"/>
                <w:szCs w:val="18"/>
              </w:rPr>
            </w:pPr>
            <w:r>
              <w:rPr>
                <w:rFonts w:ascii="宋体"/>
                <w:sz w:val="18"/>
              </w:rPr>
              <w:t>56.44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74" w:right="0"/>
              <w:jc w:val="left"/>
              <w:rPr>
                <w:rFonts w:ascii="宋体" w:hAnsi="宋体" w:cs="宋体" w:eastAsia="宋体" w:hint="default"/>
                <w:sz w:val="18"/>
                <w:szCs w:val="18"/>
              </w:rPr>
            </w:pPr>
            <w:r>
              <w:rPr>
                <w:rFonts w:ascii="宋体"/>
                <w:sz w:val="18"/>
              </w:rPr>
              <w:t>103,090</w:t>
            </w:r>
          </w:p>
          <w:p>
            <w:pPr>
              <w:pStyle w:val="TableParagraph"/>
              <w:spacing w:line="240" w:lineRule="auto" w:before="77"/>
              <w:ind w:left="434" w:right="0"/>
              <w:jc w:val="left"/>
              <w:rPr>
                <w:rFonts w:ascii="宋体" w:hAnsi="宋体" w:cs="宋体" w:eastAsia="宋体" w:hint="default"/>
                <w:sz w:val="18"/>
                <w:szCs w:val="18"/>
              </w:rPr>
            </w:pPr>
            <w:r>
              <w:rPr>
                <w:rFonts w:ascii="宋体"/>
                <w:sz w:val="18"/>
              </w:rPr>
              <w:t>.32</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71" w:right="0"/>
              <w:jc w:val="left"/>
              <w:rPr>
                <w:rFonts w:ascii="宋体" w:hAnsi="宋体" w:cs="宋体" w:eastAsia="宋体" w:hint="default"/>
                <w:sz w:val="18"/>
                <w:szCs w:val="18"/>
              </w:rPr>
            </w:pPr>
            <w:r>
              <w:rPr>
                <w:rFonts w:ascii="宋体"/>
                <w:sz w:val="18"/>
              </w:rPr>
              <w:t>103,090</w:t>
            </w:r>
          </w:p>
          <w:p>
            <w:pPr>
              <w:pStyle w:val="TableParagraph"/>
              <w:spacing w:line="240" w:lineRule="auto" w:before="77"/>
              <w:ind w:left="431" w:right="0"/>
              <w:jc w:val="left"/>
              <w:rPr>
                <w:rFonts w:ascii="宋体" w:hAnsi="宋体" w:cs="宋体" w:eastAsia="宋体" w:hint="default"/>
                <w:sz w:val="18"/>
                <w:szCs w:val="18"/>
              </w:rPr>
            </w:pPr>
            <w:r>
              <w:rPr>
                <w:rFonts w:ascii="宋体"/>
                <w:sz w:val="18"/>
              </w:rPr>
              <w:t>.32</w:t>
            </w:r>
          </w:p>
        </w:tc>
        <w:tc>
          <w:tcPr>
            <w:tcW w:w="734"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7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61"/>
              <w:jc w:val="both"/>
              <w:rPr>
                <w:rFonts w:ascii="宋体" w:hAnsi="宋体" w:cs="宋体" w:eastAsia="宋体" w:hint="default"/>
                <w:sz w:val="18"/>
                <w:szCs w:val="18"/>
              </w:rPr>
            </w:pPr>
            <w:r>
              <w:rPr>
                <w:rFonts w:ascii="宋体" w:hAnsi="宋体" w:cs="宋体" w:eastAsia="宋体" w:hint="default"/>
                <w:sz w:val="18"/>
                <w:szCs w:val="18"/>
              </w:rPr>
              <w:t>北京汤 圆和它 的小伙 伴们网 络科技 有限公 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74" w:right="0"/>
              <w:jc w:val="left"/>
              <w:rPr>
                <w:rFonts w:ascii="宋体" w:hAnsi="宋体" w:cs="宋体" w:eastAsia="宋体" w:hint="default"/>
                <w:sz w:val="18"/>
                <w:szCs w:val="18"/>
              </w:rPr>
            </w:pPr>
            <w:r>
              <w:rPr>
                <w:rFonts w:ascii="宋体"/>
                <w:sz w:val="18"/>
              </w:rPr>
              <w:t>703,724</w:t>
            </w:r>
          </w:p>
          <w:p>
            <w:pPr>
              <w:pStyle w:val="TableParagraph"/>
              <w:spacing w:line="240" w:lineRule="auto" w:before="76"/>
              <w:ind w:left="434" w:right="0"/>
              <w:jc w:val="left"/>
              <w:rPr>
                <w:rFonts w:ascii="宋体" w:hAnsi="宋体" w:cs="宋体" w:eastAsia="宋体" w:hint="default"/>
                <w:sz w:val="18"/>
                <w:szCs w:val="18"/>
              </w:rPr>
            </w:pPr>
            <w:r>
              <w:rPr>
                <w:rFonts w:ascii="宋体"/>
                <w:sz w:val="18"/>
              </w:rPr>
              <w:t>.83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50" w:right="0"/>
              <w:jc w:val="center"/>
              <w:rPr>
                <w:rFonts w:ascii="宋体" w:hAnsi="宋体" w:cs="宋体" w:eastAsia="宋体" w:hint="default"/>
                <w:sz w:val="18"/>
                <w:szCs w:val="18"/>
              </w:rPr>
            </w:pPr>
            <w:r>
              <w:rPr>
                <w:rFonts w:ascii="宋体"/>
                <w:sz w:val="18"/>
              </w:rPr>
              <w:t>4,652,4</w:t>
            </w:r>
          </w:p>
          <w:p>
            <w:pPr>
              <w:pStyle w:val="TableParagraph"/>
              <w:spacing w:line="240" w:lineRule="auto" w:before="76"/>
              <w:ind w:left="230" w:right="0"/>
              <w:jc w:val="center"/>
              <w:rPr>
                <w:rFonts w:ascii="宋体" w:hAnsi="宋体" w:cs="宋体" w:eastAsia="宋体" w:hint="default"/>
                <w:sz w:val="18"/>
                <w:szCs w:val="18"/>
              </w:rPr>
            </w:pPr>
            <w:r>
              <w:rPr>
                <w:rFonts w:ascii="宋体"/>
                <w:sz w:val="18"/>
              </w:rPr>
              <w:t>95.69</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50" w:right="0"/>
              <w:jc w:val="center"/>
              <w:rPr>
                <w:rFonts w:ascii="宋体" w:hAnsi="宋体" w:cs="宋体" w:eastAsia="宋体" w:hint="default"/>
                <w:sz w:val="18"/>
                <w:szCs w:val="18"/>
              </w:rPr>
            </w:pPr>
            <w:r>
              <w:rPr>
                <w:rFonts w:ascii="宋体"/>
                <w:sz w:val="18"/>
              </w:rPr>
              <w:t>5,356,2</w:t>
            </w:r>
          </w:p>
          <w:p>
            <w:pPr>
              <w:pStyle w:val="TableParagraph"/>
              <w:spacing w:line="240" w:lineRule="auto" w:before="76"/>
              <w:ind w:left="230" w:right="0"/>
              <w:jc w:val="center"/>
              <w:rPr>
                <w:rFonts w:ascii="宋体" w:hAnsi="宋体" w:cs="宋体" w:eastAsia="宋体" w:hint="default"/>
                <w:sz w:val="18"/>
                <w:szCs w:val="18"/>
              </w:rPr>
            </w:pPr>
            <w:r>
              <w:rPr>
                <w:rFonts w:ascii="宋体"/>
                <w:sz w:val="18"/>
              </w:rPr>
              <w:t>20.52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51" w:right="0"/>
              <w:jc w:val="center"/>
              <w:rPr>
                <w:rFonts w:ascii="宋体" w:hAnsi="宋体" w:cs="宋体" w:eastAsia="宋体" w:hint="default"/>
                <w:sz w:val="18"/>
                <w:szCs w:val="18"/>
              </w:rPr>
            </w:pPr>
            <w:r>
              <w:rPr>
                <w:rFonts w:ascii="宋体"/>
                <w:sz w:val="18"/>
              </w:rPr>
              <w:t>9,413,6</w:t>
            </w:r>
          </w:p>
          <w:p>
            <w:pPr>
              <w:pStyle w:val="TableParagraph"/>
              <w:spacing w:line="240" w:lineRule="auto" w:before="76"/>
              <w:ind w:left="231" w:right="0"/>
              <w:jc w:val="center"/>
              <w:rPr>
                <w:rFonts w:ascii="宋体" w:hAnsi="宋体" w:cs="宋体" w:eastAsia="宋体" w:hint="default"/>
                <w:sz w:val="18"/>
                <w:szCs w:val="18"/>
              </w:rPr>
            </w:pPr>
            <w:r>
              <w:rPr>
                <w:rFonts w:ascii="宋体"/>
                <w:sz w:val="18"/>
              </w:rPr>
              <w:t>24.74</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47" w:right="0"/>
              <w:jc w:val="center"/>
              <w:rPr>
                <w:rFonts w:ascii="宋体" w:hAnsi="宋体" w:cs="宋体" w:eastAsia="宋体" w:hint="default"/>
                <w:sz w:val="18"/>
                <w:szCs w:val="18"/>
              </w:rPr>
            </w:pPr>
            <w:r>
              <w:rPr>
                <w:rFonts w:ascii="宋体"/>
                <w:sz w:val="18"/>
              </w:rPr>
              <w:t>9,413,6</w:t>
            </w:r>
          </w:p>
          <w:p>
            <w:pPr>
              <w:pStyle w:val="TableParagraph"/>
              <w:spacing w:line="240" w:lineRule="auto" w:before="76"/>
              <w:ind w:left="227" w:right="0"/>
              <w:jc w:val="center"/>
              <w:rPr>
                <w:rFonts w:ascii="宋体" w:hAnsi="宋体" w:cs="宋体" w:eastAsia="宋体" w:hint="default"/>
                <w:sz w:val="18"/>
                <w:szCs w:val="18"/>
              </w:rPr>
            </w:pPr>
            <w:r>
              <w:rPr>
                <w:rFonts w:ascii="宋体"/>
                <w:sz w:val="18"/>
              </w:rPr>
              <w:t>24.74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71" w:right="0"/>
              <w:jc w:val="left"/>
              <w:rPr>
                <w:rFonts w:ascii="宋体" w:hAnsi="宋体" w:cs="宋体" w:eastAsia="宋体" w:hint="default"/>
                <w:sz w:val="18"/>
                <w:szCs w:val="18"/>
              </w:rPr>
            </w:pPr>
            <w:r>
              <w:rPr>
                <w:rFonts w:ascii="宋体"/>
                <w:sz w:val="18"/>
              </w:rPr>
              <w:t>770,680</w:t>
            </w:r>
          </w:p>
          <w:p>
            <w:pPr>
              <w:pStyle w:val="TableParagraph"/>
              <w:spacing w:line="240" w:lineRule="auto" w:before="76"/>
              <w:ind w:left="431" w:right="0"/>
              <w:jc w:val="left"/>
              <w:rPr>
                <w:rFonts w:ascii="宋体" w:hAnsi="宋体" w:cs="宋体" w:eastAsia="宋体" w:hint="default"/>
                <w:sz w:val="18"/>
                <w:szCs w:val="18"/>
              </w:rPr>
            </w:pPr>
            <w:r>
              <w:rPr>
                <w:rFonts w:ascii="宋体"/>
                <w:sz w:val="18"/>
              </w:rPr>
              <w:t>.72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47" w:right="0"/>
              <w:jc w:val="center"/>
              <w:rPr>
                <w:rFonts w:ascii="宋体" w:hAnsi="宋体" w:cs="宋体" w:eastAsia="宋体" w:hint="default"/>
                <w:sz w:val="18"/>
                <w:szCs w:val="18"/>
              </w:rPr>
            </w:pPr>
            <w:r>
              <w:rPr>
                <w:rFonts w:ascii="宋体"/>
                <w:sz w:val="18"/>
              </w:rPr>
              <w:t>5,259,3</w:t>
            </w:r>
          </w:p>
          <w:p>
            <w:pPr>
              <w:pStyle w:val="TableParagraph"/>
              <w:spacing w:line="240" w:lineRule="auto" w:before="76"/>
              <w:ind w:left="227" w:right="0"/>
              <w:jc w:val="center"/>
              <w:rPr>
                <w:rFonts w:ascii="宋体" w:hAnsi="宋体" w:cs="宋体" w:eastAsia="宋体" w:hint="default"/>
                <w:sz w:val="18"/>
                <w:szCs w:val="18"/>
              </w:rPr>
            </w:pPr>
            <w:r>
              <w:rPr>
                <w:rFonts w:ascii="宋体"/>
                <w:sz w:val="18"/>
              </w:rPr>
              <w:t>80.69</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48" w:right="0"/>
              <w:jc w:val="center"/>
              <w:rPr>
                <w:rFonts w:ascii="宋体" w:hAnsi="宋体" w:cs="宋体" w:eastAsia="宋体" w:hint="default"/>
                <w:sz w:val="18"/>
                <w:szCs w:val="18"/>
              </w:rPr>
            </w:pPr>
            <w:r>
              <w:rPr>
                <w:rFonts w:ascii="宋体"/>
                <w:sz w:val="18"/>
              </w:rPr>
              <w:t>6,030,0</w:t>
            </w:r>
          </w:p>
          <w:p>
            <w:pPr>
              <w:pStyle w:val="TableParagraph"/>
              <w:spacing w:line="240" w:lineRule="auto" w:before="76"/>
              <w:ind w:left="228" w:right="0"/>
              <w:jc w:val="center"/>
              <w:rPr>
                <w:rFonts w:ascii="宋体" w:hAnsi="宋体" w:cs="宋体" w:eastAsia="宋体" w:hint="default"/>
                <w:sz w:val="18"/>
                <w:szCs w:val="18"/>
              </w:rPr>
            </w:pPr>
            <w:r>
              <w:rPr>
                <w:rFonts w:ascii="宋体"/>
                <w:sz w:val="18"/>
              </w:rPr>
              <w:t>61.41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51" w:right="0"/>
              <w:jc w:val="center"/>
              <w:rPr>
                <w:rFonts w:ascii="宋体" w:hAnsi="宋体" w:cs="宋体" w:eastAsia="宋体" w:hint="default"/>
                <w:sz w:val="18"/>
                <w:szCs w:val="18"/>
              </w:rPr>
            </w:pPr>
            <w:r>
              <w:rPr>
                <w:rFonts w:ascii="宋体"/>
                <w:sz w:val="18"/>
              </w:rPr>
              <w:t>7,535,4</w:t>
            </w:r>
          </w:p>
          <w:p>
            <w:pPr>
              <w:pStyle w:val="TableParagraph"/>
              <w:spacing w:line="240" w:lineRule="auto" w:before="76"/>
              <w:ind w:left="231" w:right="0"/>
              <w:jc w:val="center"/>
              <w:rPr>
                <w:rFonts w:ascii="宋体" w:hAnsi="宋体" w:cs="宋体" w:eastAsia="宋体" w:hint="default"/>
                <w:sz w:val="18"/>
                <w:szCs w:val="18"/>
              </w:rPr>
            </w:pPr>
            <w:r>
              <w:rPr>
                <w:rFonts w:ascii="宋体"/>
                <w:sz w:val="18"/>
              </w:rPr>
              <w:t>02.36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50" w:right="0"/>
              <w:jc w:val="center"/>
              <w:rPr>
                <w:rFonts w:ascii="宋体" w:hAnsi="宋体" w:cs="宋体" w:eastAsia="宋体" w:hint="default"/>
                <w:sz w:val="18"/>
                <w:szCs w:val="18"/>
              </w:rPr>
            </w:pPr>
            <w:r>
              <w:rPr>
                <w:rFonts w:ascii="宋体"/>
                <w:sz w:val="18"/>
              </w:rPr>
              <w:t>7,535,4</w:t>
            </w:r>
          </w:p>
          <w:p>
            <w:pPr>
              <w:pStyle w:val="TableParagraph"/>
              <w:spacing w:line="240" w:lineRule="auto" w:before="76"/>
              <w:ind w:left="230" w:right="0"/>
              <w:jc w:val="center"/>
              <w:rPr>
                <w:rFonts w:ascii="宋体" w:hAnsi="宋体" w:cs="宋体" w:eastAsia="宋体" w:hint="default"/>
                <w:sz w:val="18"/>
                <w:szCs w:val="18"/>
              </w:rPr>
            </w:pPr>
            <w:r>
              <w:rPr>
                <w:rFonts w:ascii="宋体"/>
                <w:sz w:val="18"/>
              </w:rPr>
              <w:t>02.36</w:t>
            </w:r>
          </w:p>
        </w:tc>
      </w:tr>
      <w:tr>
        <w:trPr>
          <w:trHeight w:val="1338" w:hRule="exact"/>
        </w:trPr>
        <w:tc>
          <w:tcPr>
            <w:tcW w:w="7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71"/>
              <w:jc w:val="left"/>
              <w:rPr>
                <w:rFonts w:ascii="宋体" w:hAnsi="宋体" w:cs="宋体" w:eastAsia="宋体" w:hint="default"/>
                <w:sz w:val="18"/>
                <w:szCs w:val="18"/>
              </w:rPr>
            </w:pPr>
            <w:r>
              <w:rPr>
                <w:rFonts w:ascii="宋体"/>
                <w:sz w:val="18"/>
              </w:rPr>
              <w:t>CRAZY MAPLE STUDIO, INC.</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4" w:right="0"/>
              <w:jc w:val="left"/>
              <w:rPr>
                <w:rFonts w:ascii="宋体" w:hAnsi="宋体" w:cs="宋体" w:eastAsia="宋体" w:hint="default"/>
                <w:sz w:val="18"/>
                <w:szCs w:val="18"/>
              </w:rPr>
            </w:pPr>
            <w:r>
              <w:rPr>
                <w:rFonts w:ascii="宋体"/>
                <w:sz w:val="18"/>
              </w:rPr>
              <w:t>39,834,</w:t>
            </w:r>
          </w:p>
          <w:p>
            <w:pPr>
              <w:pStyle w:val="TableParagraph"/>
              <w:spacing w:line="240" w:lineRule="auto" w:before="76"/>
              <w:ind w:left="164" w:right="0"/>
              <w:jc w:val="left"/>
              <w:rPr>
                <w:rFonts w:ascii="宋体" w:hAnsi="宋体" w:cs="宋体" w:eastAsia="宋体" w:hint="default"/>
                <w:sz w:val="18"/>
                <w:szCs w:val="18"/>
              </w:rPr>
            </w:pPr>
            <w:r>
              <w:rPr>
                <w:rFonts w:ascii="宋体"/>
                <w:sz w:val="18"/>
              </w:rPr>
              <w:t>523.36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50" w:right="0"/>
              <w:jc w:val="center"/>
              <w:rPr>
                <w:rFonts w:ascii="宋体" w:hAnsi="宋体" w:cs="宋体" w:eastAsia="宋体" w:hint="default"/>
                <w:sz w:val="18"/>
                <w:szCs w:val="18"/>
              </w:rPr>
            </w:pPr>
            <w:r>
              <w:rPr>
                <w:rFonts w:ascii="宋体"/>
                <w:sz w:val="18"/>
              </w:rPr>
              <w:t>2,376,0</w:t>
            </w:r>
          </w:p>
          <w:p>
            <w:pPr>
              <w:pStyle w:val="TableParagraph"/>
              <w:spacing w:line="240" w:lineRule="auto" w:before="76"/>
              <w:ind w:left="230" w:right="0"/>
              <w:jc w:val="center"/>
              <w:rPr>
                <w:rFonts w:ascii="宋体" w:hAnsi="宋体" w:cs="宋体" w:eastAsia="宋体" w:hint="default"/>
                <w:sz w:val="18"/>
                <w:szCs w:val="18"/>
              </w:rPr>
            </w:pPr>
            <w:r>
              <w:rPr>
                <w:rFonts w:ascii="宋体"/>
                <w:sz w:val="18"/>
              </w:rPr>
              <w:t>81.71</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3" w:right="0"/>
              <w:jc w:val="left"/>
              <w:rPr>
                <w:rFonts w:ascii="宋体" w:hAnsi="宋体" w:cs="宋体" w:eastAsia="宋体" w:hint="default"/>
                <w:sz w:val="18"/>
                <w:szCs w:val="18"/>
              </w:rPr>
            </w:pPr>
            <w:r>
              <w:rPr>
                <w:rFonts w:ascii="宋体"/>
                <w:sz w:val="18"/>
              </w:rPr>
              <w:t>42,210,</w:t>
            </w:r>
          </w:p>
          <w:p>
            <w:pPr>
              <w:pStyle w:val="TableParagraph"/>
              <w:spacing w:line="240" w:lineRule="auto" w:before="76"/>
              <w:ind w:left="163" w:right="0"/>
              <w:jc w:val="left"/>
              <w:rPr>
                <w:rFonts w:ascii="宋体" w:hAnsi="宋体" w:cs="宋体" w:eastAsia="宋体" w:hint="default"/>
                <w:sz w:val="18"/>
                <w:szCs w:val="18"/>
              </w:rPr>
            </w:pPr>
            <w:r>
              <w:rPr>
                <w:rFonts w:ascii="宋体"/>
                <w:sz w:val="18"/>
              </w:rPr>
              <w:t>605.07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4" w:right="0"/>
              <w:jc w:val="left"/>
              <w:rPr>
                <w:rFonts w:ascii="宋体" w:hAnsi="宋体" w:cs="宋体" w:eastAsia="宋体" w:hint="default"/>
                <w:sz w:val="18"/>
                <w:szCs w:val="18"/>
              </w:rPr>
            </w:pPr>
            <w:r>
              <w:rPr>
                <w:rFonts w:ascii="宋体"/>
                <w:sz w:val="18"/>
              </w:rPr>
              <w:t>40,909,</w:t>
            </w:r>
          </w:p>
          <w:p>
            <w:pPr>
              <w:pStyle w:val="TableParagraph"/>
              <w:spacing w:line="240" w:lineRule="auto" w:before="76"/>
              <w:ind w:left="164" w:right="0"/>
              <w:jc w:val="left"/>
              <w:rPr>
                <w:rFonts w:ascii="宋体" w:hAnsi="宋体" w:cs="宋体" w:eastAsia="宋体" w:hint="default"/>
                <w:sz w:val="18"/>
                <w:szCs w:val="18"/>
              </w:rPr>
            </w:pPr>
            <w:r>
              <w:rPr>
                <w:rFonts w:ascii="宋体"/>
                <w:sz w:val="18"/>
              </w:rPr>
              <w:t>640.62</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2" w:right="0"/>
              <w:jc w:val="left"/>
              <w:rPr>
                <w:rFonts w:ascii="宋体" w:hAnsi="宋体" w:cs="宋体" w:eastAsia="宋体" w:hint="default"/>
                <w:sz w:val="18"/>
                <w:szCs w:val="18"/>
              </w:rPr>
            </w:pPr>
            <w:r>
              <w:rPr>
                <w:rFonts w:ascii="宋体"/>
                <w:sz w:val="18"/>
              </w:rPr>
              <w:t>12,016,</w:t>
            </w:r>
          </w:p>
          <w:p>
            <w:pPr>
              <w:pStyle w:val="TableParagraph"/>
              <w:spacing w:line="240" w:lineRule="auto" w:before="76"/>
              <w:ind w:left="162" w:right="0"/>
              <w:jc w:val="left"/>
              <w:rPr>
                <w:rFonts w:ascii="宋体" w:hAnsi="宋体" w:cs="宋体" w:eastAsia="宋体" w:hint="default"/>
                <w:sz w:val="18"/>
                <w:szCs w:val="18"/>
              </w:rPr>
            </w:pPr>
            <w:r>
              <w:rPr>
                <w:rFonts w:ascii="宋体"/>
                <w:sz w:val="18"/>
              </w:rPr>
              <w:t>339.76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1" w:right="0"/>
              <w:jc w:val="left"/>
              <w:rPr>
                <w:rFonts w:ascii="宋体" w:hAnsi="宋体" w:cs="宋体" w:eastAsia="宋体" w:hint="default"/>
                <w:sz w:val="18"/>
                <w:szCs w:val="18"/>
              </w:rPr>
            </w:pPr>
            <w:r>
              <w:rPr>
                <w:rFonts w:ascii="宋体"/>
                <w:sz w:val="18"/>
              </w:rPr>
              <w:t>52,925,</w:t>
            </w:r>
          </w:p>
          <w:p>
            <w:pPr>
              <w:pStyle w:val="TableParagraph"/>
              <w:spacing w:line="240" w:lineRule="auto" w:before="76"/>
              <w:ind w:left="161" w:right="0"/>
              <w:jc w:val="left"/>
              <w:rPr>
                <w:rFonts w:ascii="宋体" w:hAnsi="宋体" w:cs="宋体" w:eastAsia="宋体" w:hint="default"/>
                <w:sz w:val="18"/>
                <w:szCs w:val="18"/>
              </w:rPr>
            </w:pPr>
            <w:r>
              <w:rPr>
                <w:rFonts w:ascii="宋体"/>
                <w:sz w:val="18"/>
              </w:rPr>
              <w:t>980.38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9" w:right="0"/>
              <w:jc w:val="center"/>
              <w:rPr>
                <w:rFonts w:ascii="宋体" w:hAnsi="宋体" w:cs="宋体" w:eastAsia="宋体" w:hint="default"/>
                <w:sz w:val="18"/>
                <w:szCs w:val="18"/>
              </w:rPr>
            </w:pPr>
            <w:r>
              <w:rPr>
                <w:rFonts w:ascii="宋体"/>
                <w:sz w:val="18"/>
              </w:rPr>
              <w:t>4,045,9</w:t>
            </w:r>
          </w:p>
          <w:p>
            <w:pPr>
              <w:pStyle w:val="TableParagraph"/>
              <w:spacing w:line="240" w:lineRule="auto" w:before="76"/>
              <w:ind w:left="229" w:right="0"/>
              <w:jc w:val="center"/>
              <w:rPr>
                <w:rFonts w:ascii="宋体" w:hAnsi="宋体" w:cs="宋体" w:eastAsia="宋体" w:hint="default"/>
                <w:sz w:val="18"/>
                <w:szCs w:val="18"/>
              </w:rPr>
            </w:pPr>
            <w:r>
              <w:rPr>
                <w:rFonts w:ascii="宋体"/>
                <w:sz w:val="18"/>
              </w:rPr>
              <w:t>09.78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1" w:right="0"/>
              <w:jc w:val="left"/>
              <w:rPr>
                <w:rFonts w:ascii="宋体" w:hAnsi="宋体" w:cs="宋体" w:eastAsia="宋体" w:hint="default"/>
                <w:sz w:val="18"/>
                <w:szCs w:val="18"/>
              </w:rPr>
            </w:pPr>
            <w:r>
              <w:rPr>
                <w:rFonts w:ascii="宋体"/>
                <w:sz w:val="18"/>
              </w:rPr>
              <w:t>734,942</w:t>
            </w:r>
          </w:p>
          <w:p>
            <w:pPr>
              <w:pStyle w:val="TableParagraph"/>
              <w:spacing w:line="240" w:lineRule="auto" w:before="76"/>
              <w:ind w:left="431" w:right="0"/>
              <w:jc w:val="left"/>
              <w:rPr>
                <w:rFonts w:ascii="宋体" w:hAnsi="宋体" w:cs="宋体" w:eastAsia="宋体" w:hint="default"/>
                <w:sz w:val="18"/>
                <w:szCs w:val="18"/>
              </w:rPr>
            </w:pPr>
            <w:r>
              <w:rPr>
                <w:rFonts w:ascii="宋体"/>
                <w:sz w:val="18"/>
              </w:rPr>
              <w:t>.18</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8" w:right="0"/>
              <w:jc w:val="center"/>
              <w:rPr>
                <w:rFonts w:ascii="宋体" w:hAnsi="宋体" w:cs="宋体" w:eastAsia="宋体" w:hint="default"/>
                <w:sz w:val="18"/>
                <w:szCs w:val="18"/>
              </w:rPr>
            </w:pPr>
            <w:r>
              <w:rPr>
                <w:rFonts w:ascii="宋体"/>
                <w:sz w:val="18"/>
              </w:rPr>
              <w:t>4,780,8</w:t>
            </w:r>
          </w:p>
          <w:p>
            <w:pPr>
              <w:pStyle w:val="TableParagraph"/>
              <w:spacing w:line="240" w:lineRule="auto" w:before="76"/>
              <w:ind w:left="228" w:right="0"/>
              <w:jc w:val="center"/>
              <w:rPr>
                <w:rFonts w:ascii="宋体" w:hAnsi="宋体" w:cs="宋体" w:eastAsia="宋体" w:hint="default"/>
                <w:sz w:val="18"/>
                <w:szCs w:val="18"/>
              </w:rPr>
            </w:pPr>
            <w:r>
              <w:rPr>
                <w:rFonts w:ascii="宋体"/>
                <w:sz w:val="18"/>
              </w:rPr>
              <w:t>51.96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51" w:right="0"/>
              <w:jc w:val="center"/>
              <w:rPr>
                <w:rFonts w:ascii="宋体" w:hAnsi="宋体" w:cs="宋体" w:eastAsia="宋体" w:hint="default"/>
                <w:sz w:val="18"/>
                <w:szCs w:val="18"/>
              </w:rPr>
            </w:pPr>
            <w:r>
              <w:rPr>
                <w:rFonts w:ascii="宋体"/>
                <w:sz w:val="18"/>
              </w:rPr>
              <w:t>2,602,3</w:t>
            </w:r>
          </w:p>
          <w:p>
            <w:pPr>
              <w:pStyle w:val="TableParagraph"/>
              <w:spacing w:line="240" w:lineRule="auto" w:before="76"/>
              <w:ind w:left="231" w:right="0"/>
              <w:jc w:val="center"/>
              <w:rPr>
                <w:rFonts w:ascii="宋体" w:hAnsi="宋体" w:cs="宋体" w:eastAsia="宋体" w:hint="default"/>
                <w:sz w:val="18"/>
                <w:szCs w:val="18"/>
              </w:rPr>
            </w:pPr>
            <w:r>
              <w:rPr>
                <w:rFonts w:ascii="宋体"/>
                <w:sz w:val="18"/>
              </w:rPr>
              <w:t>99.76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50" w:right="0"/>
              <w:jc w:val="center"/>
              <w:rPr>
                <w:rFonts w:ascii="宋体" w:hAnsi="宋体" w:cs="宋体" w:eastAsia="宋体" w:hint="default"/>
                <w:sz w:val="18"/>
                <w:szCs w:val="18"/>
              </w:rPr>
            </w:pPr>
            <w:r>
              <w:rPr>
                <w:rFonts w:ascii="宋体"/>
                <w:sz w:val="18"/>
              </w:rPr>
              <w:t>2,602,3</w:t>
            </w:r>
          </w:p>
          <w:p>
            <w:pPr>
              <w:pStyle w:val="TableParagraph"/>
              <w:spacing w:line="240" w:lineRule="auto" w:before="76"/>
              <w:ind w:left="230" w:right="0"/>
              <w:jc w:val="center"/>
              <w:rPr>
                <w:rFonts w:ascii="宋体" w:hAnsi="宋体" w:cs="宋体" w:eastAsia="宋体" w:hint="default"/>
                <w:sz w:val="18"/>
                <w:szCs w:val="18"/>
              </w:rPr>
            </w:pPr>
            <w:r>
              <w:rPr>
                <w:rFonts w:ascii="宋体"/>
                <w:sz w:val="18"/>
              </w:rPr>
              <w:t>99.76</w:t>
            </w:r>
          </w:p>
        </w:tc>
      </w:tr>
    </w:tbl>
    <w:p>
      <w:pPr>
        <w:spacing w:before="5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7" w:right="76"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7"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1026" w:hRule="exact"/>
        </w:trPr>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6"/>
              <w:jc w:val="both"/>
              <w:rPr>
                <w:rFonts w:ascii="宋体" w:hAnsi="宋体" w:cs="宋体" w:eastAsia="宋体" w:hint="default"/>
                <w:sz w:val="18"/>
                <w:szCs w:val="18"/>
              </w:rPr>
            </w:pPr>
            <w:r>
              <w:rPr>
                <w:rFonts w:ascii="宋体" w:hAnsi="宋体" w:cs="宋体" w:eastAsia="宋体" w:hint="default"/>
                <w:sz w:val="18"/>
                <w:szCs w:val="18"/>
              </w:rPr>
              <w:t>武汉慧读教 育科技发展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28" w:right="0"/>
              <w:jc w:val="left"/>
              <w:rPr>
                <w:rFonts w:ascii="宋体" w:hAnsi="宋体" w:cs="宋体" w:eastAsia="宋体" w:hint="default"/>
                <w:sz w:val="18"/>
                <w:szCs w:val="18"/>
              </w:rPr>
            </w:pPr>
            <w:r>
              <w:rPr>
                <w:rFonts w:ascii="宋体"/>
                <w:sz w:val="18"/>
              </w:rPr>
              <w:t>188,679.24</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 w:right="0"/>
              <w:jc w:val="center"/>
              <w:rPr>
                <w:rFonts w:ascii="宋体" w:hAnsi="宋体" w:cs="宋体" w:eastAsia="宋体" w:hint="default"/>
                <w:sz w:val="18"/>
                <w:szCs w:val="18"/>
              </w:rPr>
            </w:pPr>
            <w:r>
              <w:rPr>
                <w:rFonts w:ascii="宋体"/>
                <w:sz w:val="18"/>
              </w:rPr>
              <w:t>-433,733.88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3" w:right="0"/>
              <w:jc w:val="left"/>
              <w:rPr>
                <w:rFonts w:ascii="宋体" w:hAnsi="宋体" w:cs="宋体" w:eastAsia="宋体" w:hint="default"/>
                <w:sz w:val="18"/>
                <w:szCs w:val="18"/>
              </w:rPr>
            </w:pPr>
            <w:r>
              <w:rPr>
                <w:rFonts w:ascii="宋体"/>
                <w:sz w:val="18"/>
              </w:rPr>
              <w:t>-433,733.88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1" w:right="0"/>
              <w:jc w:val="left"/>
              <w:rPr>
                <w:rFonts w:ascii="宋体" w:hAnsi="宋体" w:cs="宋体" w:eastAsia="宋体" w:hint="default"/>
                <w:sz w:val="18"/>
                <w:szCs w:val="18"/>
              </w:rPr>
            </w:pPr>
            <w:r>
              <w:rPr>
                <w:rFonts w:ascii="宋体"/>
                <w:sz w:val="18"/>
              </w:rPr>
              <w:t>-331,712.97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6"/>
              <w:jc w:val="both"/>
              <w:rPr>
                <w:rFonts w:ascii="宋体" w:hAnsi="宋体" w:cs="宋体" w:eastAsia="宋体" w:hint="default"/>
                <w:sz w:val="18"/>
                <w:szCs w:val="18"/>
              </w:rPr>
            </w:pPr>
            <w:r>
              <w:rPr>
                <w:rFonts w:ascii="宋体" w:hAnsi="宋体" w:cs="宋体" w:eastAsia="宋体" w:hint="default"/>
                <w:sz w:val="18"/>
                <w:szCs w:val="18"/>
              </w:rPr>
              <w:t>北京汤圆和 它的小伙伴 们网络科技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2,426,886.8</w:t>
            </w:r>
          </w:p>
          <w:p>
            <w:pPr>
              <w:pStyle w:val="TableParagraph"/>
              <w:spacing w:line="240" w:lineRule="auto" w:before="76"/>
              <w:ind w:right="20"/>
              <w:jc w:val="right"/>
              <w:rPr>
                <w:rFonts w:ascii="宋体" w:hAnsi="宋体" w:cs="宋体" w:eastAsia="宋体" w:hint="default"/>
                <w:sz w:val="18"/>
                <w:szCs w:val="18"/>
              </w:rPr>
            </w:pPr>
            <w:r>
              <w:rPr>
                <w:rFonts w:ascii="宋体"/>
                <w:sz w:val="18"/>
              </w:rPr>
              <w:t>9</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-2,552,063.</w:t>
            </w:r>
          </w:p>
          <w:p>
            <w:pPr>
              <w:pStyle w:val="TableParagraph"/>
              <w:spacing w:line="240" w:lineRule="auto" w:before="76"/>
              <w:ind w:right="20"/>
              <w:jc w:val="right"/>
              <w:rPr>
                <w:rFonts w:ascii="宋体" w:hAnsi="宋体" w:cs="宋体" w:eastAsia="宋体" w:hint="default"/>
                <w:sz w:val="18"/>
                <w:szCs w:val="18"/>
              </w:rPr>
            </w:pPr>
            <w:r>
              <w:rPr>
                <w:rFonts w:ascii="宋体"/>
                <w:sz w:val="18"/>
              </w:rPr>
              <w:t>27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1"/>
              <w:jc w:val="right"/>
              <w:rPr>
                <w:rFonts w:ascii="宋体" w:hAnsi="宋体" w:cs="宋体" w:eastAsia="宋体" w:hint="default"/>
                <w:sz w:val="18"/>
                <w:szCs w:val="18"/>
              </w:rPr>
            </w:pPr>
            <w:r>
              <w:rPr>
                <w:rFonts w:ascii="宋体"/>
                <w:sz w:val="18"/>
              </w:rPr>
              <w:t>-2,552,063.</w:t>
            </w:r>
          </w:p>
          <w:p>
            <w:pPr>
              <w:pStyle w:val="TableParagraph"/>
              <w:spacing w:line="240" w:lineRule="auto" w:before="76"/>
              <w:ind w:right="20"/>
              <w:jc w:val="right"/>
              <w:rPr>
                <w:rFonts w:ascii="宋体" w:hAnsi="宋体" w:cs="宋体" w:eastAsia="宋体" w:hint="default"/>
                <w:sz w:val="18"/>
                <w:szCs w:val="18"/>
              </w:rPr>
            </w:pPr>
            <w:r>
              <w:rPr>
                <w:rFonts w:ascii="宋体"/>
                <w:sz w:val="18"/>
              </w:rPr>
              <w:t>27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-2,688,588.</w:t>
            </w:r>
          </w:p>
          <w:p>
            <w:pPr>
              <w:pStyle w:val="TableParagraph"/>
              <w:spacing w:line="240" w:lineRule="auto" w:before="76"/>
              <w:ind w:right="20"/>
              <w:jc w:val="right"/>
              <w:rPr>
                <w:rFonts w:ascii="宋体" w:hAnsi="宋体" w:cs="宋体" w:eastAsia="宋体" w:hint="default"/>
                <w:sz w:val="18"/>
                <w:szCs w:val="18"/>
              </w:rPr>
            </w:pPr>
            <w:r>
              <w:rPr>
                <w:rFonts w:ascii="宋体"/>
                <w:sz w:val="18"/>
              </w:rPr>
              <w:t>62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6,290,974.8</w:t>
            </w:r>
          </w:p>
          <w:p>
            <w:pPr>
              <w:pStyle w:val="TableParagraph"/>
              <w:spacing w:line="240" w:lineRule="auto" w:before="76"/>
              <w:ind w:right="20"/>
              <w:jc w:val="right"/>
              <w:rPr>
                <w:rFonts w:ascii="宋体" w:hAnsi="宋体" w:cs="宋体" w:eastAsia="宋体" w:hint="default"/>
                <w:sz w:val="18"/>
                <w:szCs w:val="18"/>
              </w:rPr>
            </w:pPr>
            <w:r>
              <w:rPr>
                <w:rFonts w:ascii="宋体"/>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-7,873,207.</w:t>
            </w:r>
          </w:p>
          <w:p>
            <w:pPr>
              <w:pStyle w:val="TableParagraph"/>
              <w:spacing w:line="240" w:lineRule="auto" w:before="76"/>
              <w:ind w:right="23"/>
              <w:jc w:val="right"/>
              <w:rPr>
                <w:rFonts w:ascii="宋体" w:hAnsi="宋体" w:cs="宋体" w:eastAsia="宋体" w:hint="default"/>
                <w:sz w:val="18"/>
                <w:szCs w:val="18"/>
              </w:rPr>
            </w:pPr>
            <w:r>
              <w:rPr>
                <w:rFonts w:ascii="宋体"/>
                <w:sz w:val="18"/>
              </w:rPr>
              <w:t>11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-7,873,207.</w:t>
            </w:r>
          </w:p>
          <w:p>
            <w:pPr>
              <w:pStyle w:val="TableParagraph"/>
              <w:spacing w:line="240" w:lineRule="auto" w:before="76"/>
              <w:ind w:right="23"/>
              <w:jc w:val="right"/>
              <w:rPr>
                <w:rFonts w:ascii="宋体" w:hAnsi="宋体" w:cs="宋体" w:eastAsia="宋体" w:hint="default"/>
                <w:sz w:val="18"/>
                <w:szCs w:val="18"/>
              </w:rPr>
            </w:pPr>
            <w:r>
              <w:rPr>
                <w:rFonts w:ascii="宋体"/>
                <w:sz w:val="18"/>
              </w:rPr>
              <w:t>11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-6,950,265.</w:t>
            </w:r>
          </w:p>
          <w:p>
            <w:pPr>
              <w:pStyle w:val="TableParagraph"/>
              <w:spacing w:line="240" w:lineRule="auto" w:before="76"/>
              <w:ind w:right="20"/>
              <w:jc w:val="right"/>
              <w:rPr>
                <w:rFonts w:ascii="宋体" w:hAnsi="宋体" w:cs="宋体" w:eastAsia="宋体" w:hint="default"/>
                <w:sz w:val="18"/>
                <w:szCs w:val="18"/>
              </w:rPr>
            </w:pPr>
            <w:r>
              <w:rPr>
                <w:rFonts w:ascii="宋体"/>
                <w:sz w:val="18"/>
              </w:rPr>
              <w:t>97</w:t>
            </w:r>
          </w:p>
        </w:tc>
      </w:tr>
      <w:tr>
        <w:trPr>
          <w:trHeight w:val="1026" w:hRule="exact"/>
        </w:trPr>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36"/>
              <w:jc w:val="left"/>
              <w:rPr>
                <w:rFonts w:ascii="宋体" w:hAnsi="宋体" w:cs="宋体" w:eastAsia="宋体" w:hint="default"/>
                <w:sz w:val="18"/>
                <w:szCs w:val="18"/>
              </w:rPr>
            </w:pPr>
            <w:r>
              <w:rPr>
                <w:rFonts w:ascii="宋体"/>
                <w:sz w:val="18"/>
              </w:rPr>
              <w:t>CRAZY MAPLE STUDIO, INC.</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118,479,605</w:t>
            </w:r>
          </w:p>
          <w:p>
            <w:pPr>
              <w:pStyle w:val="TableParagraph"/>
              <w:spacing w:line="240" w:lineRule="auto" w:before="76"/>
              <w:ind w:right="20"/>
              <w:jc w:val="right"/>
              <w:rPr>
                <w:rFonts w:ascii="宋体" w:hAnsi="宋体" w:cs="宋体" w:eastAsia="宋体" w:hint="default"/>
                <w:sz w:val="18"/>
                <w:szCs w:val="18"/>
              </w:rPr>
            </w:pPr>
            <w:r>
              <w:rPr>
                <w:rFonts w:ascii="宋体"/>
                <w:sz w:val="18"/>
              </w:rPr>
              <w:t>.26</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-19,828,830</w:t>
            </w:r>
          </w:p>
          <w:p>
            <w:pPr>
              <w:pStyle w:val="TableParagraph"/>
              <w:spacing w:line="240" w:lineRule="auto" w:before="76"/>
              <w:ind w:right="20"/>
              <w:jc w:val="right"/>
              <w:rPr>
                <w:rFonts w:ascii="宋体" w:hAnsi="宋体" w:cs="宋体" w:eastAsia="宋体" w:hint="default"/>
                <w:sz w:val="18"/>
                <w:szCs w:val="18"/>
              </w:rPr>
            </w:pPr>
            <w:r>
              <w:rPr>
                <w:rFonts w:ascii="宋体"/>
                <w:sz w:val="18"/>
              </w:rPr>
              <w:t>.48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z w:val="18"/>
              </w:rPr>
              <w:t>-19,828,830</w:t>
            </w:r>
          </w:p>
          <w:p>
            <w:pPr>
              <w:pStyle w:val="TableParagraph"/>
              <w:spacing w:line="240" w:lineRule="auto" w:before="76"/>
              <w:ind w:right="20"/>
              <w:jc w:val="right"/>
              <w:rPr>
                <w:rFonts w:ascii="宋体" w:hAnsi="宋体" w:cs="宋体" w:eastAsia="宋体" w:hint="default"/>
                <w:sz w:val="18"/>
                <w:szCs w:val="18"/>
              </w:rPr>
            </w:pPr>
            <w:r>
              <w:rPr>
                <w:rFonts w:ascii="宋体"/>
                <w:sz w:val="18"/>
              </w:rPr>
              <w:t>.48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7,815,822.9</w:t>
            </w:r>
          </w:p>
          <w:p>
            <w:pPr>
              <w:pStyle w:val="TableParagraph"/>
              <w:spacing w:line="240" w:lineRule="auto" w:before="76"/>
              <w:ind w:right="20"/>
              <w:jc w:val="right"/>
              <w:rPr>
                <w:rFonts w:ascii="宋体" w:hAnsi="宋体" w:cs="宋体" w:eastAsia="宋体" w:hint="default"/>
                <w:sz w:val="18"/>
                <w:szCs w:val="18"/>
              </w:rPr>
            </w:pPr>
            <w:r>
              <w:rPr>
                <w:rFonts w:ascii="宋体"/>
                <w:sz w:val="18"/>
              </w:rPr>
              <w:t>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5,801,488.7</w:t>
            </w:r>
          </w:p>
          <w:p>
            <w:pPr>
              <w:pStyle w:val="TableParagraph"/>
              <w:spacing w:line="240" w:lineRule="auto" w:before="76"/>
              <w:ind w:right="20"/>
              <w:jc w:val="right"/>
              <w:rPr>
                <w:rFonts w:ascii="宋体" w:hAnsi="宋体" w:cs="宋体" w:eastAsia="宋体" w:hint="default"/>
                <w:sz w:val="18"/>
                <w:szCs w:val="18"/>
              </w:rPr>
            </w:pPr>
            <w:r>
              <w:rPr>
                <w:rFonts w:ascii="宋体"/>
                <w:sz w:val="18"/>
              </w:rPr>
              <w:t>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-4,023,713.</w:t>
            </w:r>
          </w:p>
          <w:p>
            <w:pPr>
              <w:pStyle w:val="TableParagraph"/>
              <w:spacing w:line="240" w:lineRule="auto" w:before="76"/>
              <w:ind w:right="23"/>
              <w:jc w:val="right"/>
              <w:rPr>
                <w:rFonts w:ascii="宋体" w:hAnsi="宋体" w:cs="宋体" w:eastAsia="宋体" w:hint="default"/>
                <w:sz w:val="18"/>
                <w:szCs w:val="18"/>
              </w:rPr>
            </w:pPr>
            <w:r>
              <w:rPr>
                <w:rFonts w:ascii="宋体"/>
                <w:sz w:val="18"/>
              </w:rPr>
              <w:t>66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-4,023,713.</w:t>
            </w:r>
          </w:p>
          <w:p>
            <w:pPr>
              <w:pStyle w:val="TableParagraph"/>
              <w:spacing w:line="240" w:lineRule="auto" w:before="76"/>
              <w:ind w:right="23"/>
              <w:jc w:val="right"/>
              <w:rPr>
                <w:rFonts w:ascii="宋体" w:hAnsi="宋体" w:cs="宋体" w:eastAsia="宋体" w:hint="default"/>
                <w:sz w:val="18"/>
                <w:szCs w:val="18"/>
              </w:rPr>
            </w:pPr>
            <w:r>
              <w:rPr>
                <w:rFonts w:ascii="宋体"/>
                <w:sz w:val="18"/>
              </w:rPr>
              <w:t>66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-6,260,837.</w:t>
            </w:r>
          </w:p>
          <w:p>
            <w:pPr>
              <w:pStyle w:val="TableParagraph"/>
              <w:spacing w:line="240" w:lineRule="auto" w:before="76"/>
              <w:ind w:right="20"/>
              <w:jc w:val="right"/>
              <w:rPr>
                <w:rFonts w:ascii="宋体" w:hAnsi="宋体" w:cs="宋体" w:eastAsia="宋体" w:hint="default"/>
                <w:sz w:val="18"/>
                <w:szCs w:val="18"/>
              </w:rPr>
            </w:pPr>
            <w:r>
              <w:rPr>
                <w:rFonts w:ascii="宋体"/>
                <w:sz w:val="18"/>
              </w:rPr>
              <w:t>56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4）使用企业集团资产和清偿企业集团债务的重大限制" w:id="400"/>
      <w:bookmarkEnd w:id="400"/>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）使用企业集团资产和清偿企业集团债务的重大限制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向纳入合并财务报表范围的结构化主体提供的财务支持或其他支持" w:id="401"/>
      <w:bookmarkEnd w:id="401"/>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）向纳入合并财务报表范围的结构化主体提供的财务支持或其他支持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不适用。</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在子公司的所有者权益份额发生变化且仍控制子公司的交易" w:id="402"/>
      <w:bookmarkEnd w:id="402"/>
      <w:r>
        <w:rPr/>
      </w:r>
      <w:r>
        <w:rPr>
          <w:rFonts w:ascii="宋体" w:hAnsi="宋体" w:cs="宋体" w:eastAsia="宋体" w:hint="default"/>
          <w:b/>
          <w:bCs/>
          <w:sz w:val="21"/>
          <w:szCs w:val="21"/>
        </w:rPr>
        <w:t>2</w:t>
      </w:r>
      <w:r>
        <w:rPr>
          <w:rFonts w:ascii="宋体" w:hAnsi="宋体" w:cs="宋体" w:eastAsia="宋体" w:hint="default"/>
          <w:b/>
          <w:bCs/>
          <w:sz w:val="21"/>
          <w:szCs w:val="21"/>
        </w:rPr>
        <w:t>、在子公司的所有者权益份额发生变化且仍控制子公司的交易</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在子公司所有者权益份额发生变化的情况说明" w:id="403"/>
      <w:bookmarkEnd w:id="403"/>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）在子公司所有者权益份额发生变化的情况说明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634" w:right="1092"/>
        <w:jc w:val="left"/>
      </w:pPr>
      <w:r>
        <w:rPr/>
        <w:t>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交易对于少数股东权益及归属于母公司所有者权益的影响" w:id="404"/>
      <w:bookmarkEnd w:id="404"/>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）交易对于少数股东权益及归属于母公司所有者权益的影响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在合营安排或联营企业中的权益" w:id="405"/>
      <w:bookmarkEnd w:id="405"/>
      <w:r>
        <w:rPr/>
      </w:r>
      <w:r>
        <w:rPr>
          <w:rFonts w:ascii="宋体" w:hAnsi="宋体" w:cs="宋体" w:eastAsia="宋体" w:hint="default"/>
          <w:b/>
          <w:bCs/>
          <w:sz w:val="21"/>
          <w:szCs w:val="21"/>
        </w:rPr>
        <w:t>3</w:t>
      </w:r>
      <w:r>
        <w:rPr>
          <w:rFonts w:ascii="宋体" w:hAnsi="宋体" w:cs="宋体" w:eastAsia="宋体" w:hint="default"/>
          <w:b/>
          <w:bCs/>
          <w:sz w:val="21"/>
          <w:szCs w:val="21"/>
        </w:rPr>
        <w:t>、在合营安排或联营企业中的权益</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重要的合营企业或联营企业" w:id="406"/>
      <w:bookmarkEnd w:id="406"/>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）重要的合营企业或联营企业</w:t>
      </w:r>
      <w:r>
        <w:rPr>
          <w:rFonts w:ascii="宋体" w:hAnsi="宋体" w:cs="宋体" w:eastAsia="宋体" w:hint="default"/>
          <w:sz w:val="21"/>
          <w:szCs w:val="21"/>
        </w:rPr>
      </w:r>
    </w:p>
    <w:p>
      <w:pPr>
        <w:spacing w:line="240" w:lineRule="auto" w:before="12"/>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1360"/>
        <w:gridCol w:w="1379"/>
        <w:gridCol w:w="1367"/>
        <w:gridCol w:w="1367"/>
        <w:gridCol w:w="1367"/>
        <w:gridCol w:w="1367"/>
        <w:gridCol w:w="1366"/>
      </w:tblGrid>
      <w:tr>
        <w:trPr>
          <w:trHeight w:val="402" w:hRule="exact"/>
        </w:trPr>
        <w:tc>
          <w:tcPr>
            <w:tcW w:w="13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20" w:right="39" w:hanging="270"/>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9"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3" w:hRule="exact"/>
        </w:trPr>
        <w:tc>
          <w:tcPr>
            <w:tcW w:w="1360" w:type="dxa"/>
            <w:vMerge/>
            <w:tcBorders>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both"/>
              <w:rPr>
                <w:rFonts w:ascii="宋体" w:hAnsi="宋体" w:cs="宋体" w:eastAsia="宋体" w:hint="default"/>
                <w:sz w:val="18"/>
                <w:szCs w:val="18"/>
              </w:rPr>
            </w:pPr>
            <w:r>
              <w:rPr>
                <w:rFonts w:ascii="宋体" w:hAnsi="宋体" w:cs="宋体" w:eastAsia="宋体" w:hint="default"/>
                <w:sz w:val="18"/>
                <w:szCs w:val="18"/>
              </w:rPr>
              <w:t>星偶时代</w:t>
            </w:r>
            <w:r>
              <w:rPr>
                <w:rFonts w:ascii="宋体" w:hAnsi="宋体" w:cs="宋体" w:eastAsia="宋体" w:hint="default"/>
                <w:sz w:val="18"/>
                <w:szCs w:val="18"/>
              </w:rPr>
              <w:t>(</w:t>
            </w:r>
            <w:r>
              <w:rPr>
                <w:rFonts w:ascii="宋体" w:hAnsi="宋体" w:cs="宋体" w:eastAsia="宋体" w:hint="default"/>
                <w:sz w:val="18"/>
                <w:szCs w:val="18"/>
              </w:rPr>
              <w:t>天津</w:t>
            </w:r>
            <w:r>
              <w:rPr>
                <w:rFonts w:ascii="宋体" w:hAnsi="宋体" w:cs="宋体" w:eastAsia="宋体" w:hint="default"/>
                <w:sz w:val="18"/>
                <w:szCs w:val="18"/>
              </w:rPr>
              <w:t>) </w:t>
            </w:r>
            <w:r>
              <w:rPr>
                <w:rFonts w:ascii="宋体" w:hAnsi="宋体" w:cs="宋体" w:eastAsia="宋体" w:hint="default"/>
                <w:sz w:val="18"/>
                <w:szCs w:val="18"/>
              </w:rPr>
              <w:t>动漫科技有限公 司</w:t>
            </w:r>
            <w:r>
              <w:rPr>
                <w:rFonts w:ascii="宋体" w:hAnsi="宋体" w:cs="宋体" w:eastAsia="宋体" w:hint="default"/>
                <w:sz w:val="18"/>
                <w:szCs w:val="18"/>
              </w:rPr>
              <w:t>*</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动漫</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20.00%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中经文睿河北数 字出版有限公司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唐山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唐山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49.00%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北京中文万维科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34.41%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北京新浪阅读信 息技术有限公司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16.67%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5"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425"/>
              <w:jc w:val="left"/>
              <w:rPr>
                <w:rFonts w:ascii="宋体" w:hAnsi="宋体" w:cs="宋体" w:eastAsia="宋体" w:hint="default"/>
                <w:sz w:val="18"/>
                <w:szCs w:val="18"/>
              </w:rPr>
            </w:pPr>
            <w:r>
              <w:rPr>
                <w:rFonts w:ascii="宋体"/>
                <w:sz w:val="18"/>
              </w:rPr>
              <w:t>WUXIAWORLD LIMITED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游戏</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30.00%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line="240" w:lineRule="auto" w:before="10"/>
        <w:rPr>
          <w:rFonts w:ascii="宋体" w:hAnsi="宋体" w:cs="宋体" w:eastAsia="宋体" w:hint="default"/>
          <w:b/>
          <w:bCs/>
          <w:sz w:val="8"/>
          <w:szCs w:val="8"/>
        </w:rPr>
      </w:pPr>
    </w:p>
    <w:p>
      <w:pPr>
        <w:pStyle w:val="BodyText"/>
        <w:spacing w:line="434" w:lineRule="auto" w:before="26"/>
        <w:ind w:left="634" w:right="3792"/>
        <w:jc w:val="left"/>
      </w:pPr>
      <w:r>
        <w:rPr/>
        <w:t>在合营企业或联营企业的持股比例不同于表决权比例的说明： 不适用</w:t>
      </w:r>
    </w:p>
    <w:p>
      <w:pPr>
        <w:pStyle w:val="BodyText"/>
        <w:spacing w:line="357" w:lineRule="auto" w:before="59"/>
        <w:ind w:right="1116" w:firstLine="480"/>
        <w:jc w:val="left"/>
      </w:pPr>
      <w:r>
        <w:rPr/>
        <w:t>持有</w:t>
      </w:r>
      <w:r>
        <w:rPr>
          <w:spacing w:val="-52"/>
        </w:rPr>
        <w:t> </w:t>
      </w:r>
      <w:r>
        <w:rPr>
          <w:rFonts w:ascii="宋体" w:hAnsi="宋体" w:cs="宋体" w:eastAsia="宋体" w:hint="default"/>
          <w:spacing w:val="-5"/>
        </w:rPr>
        <w:t>20%</w:t>
      </w:r>
      <w:r>
        <w:rPr>
          <w:spacing w:val="-5"/>
        </w:rPr>
        <w:t>以下表决权但具有重大影响，或者持有</w:t>
      </w:r>
      <w:r>
        <w:rPr>
          <w:spacing w:val="-52"/>
        </w:rPr>
        <w:t> </w:t>
      </w:r>
      <w:r>
        <w:rPr>
          <w:rFonts w:ascii="宋体" w:hAnsi="宋体" w:cs="宋体" w:eastAsia="宋体" w:hint="default"/>
        </w:rPr>
        <w:t>20%</w:t>
      </w:r>
      <w:r>
        <w:rPr/>
        <w:t>或以上表决权但不具有重大影响的依 据：</w:t>
      </w:r>
    </w:p>
    <w:p>
      <w:pPr>
        <w:pStyle w:val="BodyText"/>
        <w:spacing w:line="360" w:lineRule="auto" w:before="134"/>
        <w:ind w:right="1112" w:firstLine="480"/>
        <w:jc w:val="left"/>
      </w:pPr>
      <w:r>
        <w:rPr/>
        <w:t>公司持有北京新浪阅读信息技术有限公司</w:t>
      </w:r>
      <w:r>
        <w:rPr>
          <w:spacing w:val="-80"/>
        </w:rPr>
        <w:t> </w:t>
      </w:r>
      <w:r>
        <w:rPr>
          <w:rFonts w:ascii="宋体" w:hAnsi="宋体" w:cs="宋体" w:eastAsia="宋体" w:hint="default"/>
        </w:rPr>
        <w:t>16.67%</w:t>
      </w:r>
      <w:r>
        <w:rPr/>
        <w:t>，因对新浪阅读派驻董事，判断对其具 有重大影响，采用权益法核算。</w:t>
      </w:r>
    </w:p>
    <w:p>
      <w:pPr>
        <w:spacing w:after="0" w:line="36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重要合营企业的主要财务信息" w:id="407"/>
      <w:bookmarkEnd w:id="407"/>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）重要合营企业的主要财务信息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重要联营企业的主要财务信息" w:id="408"/>
      <w:bookmarkEnd w:id="408"/>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）重要联营企业的主要财务信息</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846"/>
        <w:gridCol w:w="880"/>
        <w:gridCol w:w="870"/>
        <w:gridCol w:w="869"/>
        <w:gridCol w:w="869"/>
        <w:gridCol w:w="869"/>
        <w:gridCol w:w="869"/>
        <w:gridCol w:w="869"/>
        <w:gridCol w:w="870"/>
        <w:gridCol w:w="869"/>
        <w:gridCol w:w="869"/>
      </w:tblGrid>
      <w:tr>
        <w:trPr>
          <w:trHeight w:val="403" w:hRule="exact"/>
        </w:trPr>
        <w:tc>
          <w:tcPr>
            <w:tcW w:w="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357"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22"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w:t>
            </w:r>
            <w:r>
              <w:rPr>
                <w:rFonts w:ascii="宋体" w:hAnsi="宋体" w:cs="宋体" w:eastAsia="宋体" w:hint="default"/>
                <w:sz w:val="18"/>
                <w:szCs w:val="18"/>
              </w:rPr>
              <w:t>本期发生额</w:t>
            </w:r>
          </w:p>
        </w:tc>
        <w:tc>
          <w:tcPr>
            <w:tcW w:w="4346"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11"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w:t>
            </w:r>
            <w:r>
              <w:rPr>
                <w:rFonts w:ascii="宋体" w:hAnsi="宋体" w:cs="宋体" w:eastAsia="宋体" w:hint="default"/>
                <w:sz w:val="18"/>
                <w:szCs w:val="18"/>
              </w:rPr>
              <w:t>上期发生额</w:t>
            </w:r>
          </w:p>
        </w:tc>
      </w:tr>
      <w:tr>
        <w:trPr>
          <w:trHeight w:val="161" w:hRule="exact"/>
        </w:trPr>
        <w:tc>
          <w:tcPr>
            <w:tcW w:w="846" w:type="dxa"/>
            <w:tcBorders>
              <w:top w:val="single" w:sz="4" w:space="0" w:color="000000"/>
              <w:left w:val="single" w:sz="4" w:space="0" w:color="000000"/>
              <w:bottom w:val="nil" w:sz="6" w:space="0" w:color="auto"/>
              <w:right w:val="single" w:sz="13" w:space="0" w:color="D9D9D9"/>
            </w:tcBorders>
            <w:shd w:val="clear" w:color="auto" w:fill="D2D2D2"/>
          </w:tcPr>
          <w:p>
            <w:pPr/>
          </w:p>
        </w:tc>
        <w:tc>
          <w:tcPr>
            <w:tcW w:w="880" w:type="dxa"/>
            <w:vMerge w:val="restart"/>
            <w:tcBorders>
              <w:top w:val="single" w:sz="4" w:space="0" w:color="000000"/>
              <w:left w:val="single" w:sz="9" w:space="0" w:color="D2D2D2"/>
              <w:right w:val="single" w:sz="4" w:space="0" w:color="000000"/>
            </w:tcBorders>
            <w:shd w:val="clear" w:color="auto" w:fill="D9D9D9"/>
          </w:tcPr>
          <w:p>
            <w:pPr>
              <w:pStyle w:val="TableParagraph"/>
              <w:spacing w:line="316" w:lineRule="auto" w:before="52"/>
              <w:ind w:left="163" w:right="68" w:hanging="90"/>
              <w:jc w:val="left"/>
              <w:rPr>
                <w:rFonts w:ascii="宋体" w:hAnsi="宋体" w:cs="宋体" w:eastAsia="宋体" w:hint="default"/>
                <w:sz w:val="18"/>
                <w:szCs w:val="18"/>
              </w:rPr>
            </w:pPr>
            <w:r>
              <w:rPr>
                <w:rFonts w:ascii="宋体" w:hAnsi="宋体" w:cs="宋体" w:eastAsia="宋体" w:hint="default"/>
                <w:sz w:val="18"/>
                <w:szCs w:val="18"/>
              </w:rPr>
              <w:t>星偶时代 </w:t>
            </w:r>
            <w:r>
              <w:rPr>
                <w:rFonts w:ascii="宋体" w:hAnsi="宋体" w:cs="宋体" w:eastAsia="宋体" w:hint="default"/>
                <w:sz w:val="18"/>
                <w:szCs w:val="18"/>
              </w:rPr>
              <w:t>(</w:t>
            </w:r>
            <w:r>
              <w:rPr>
                <w:rFonts w:ascii="宋体" w:hAnsi="宋体" w:cs="宋体" w:eastAsia="宋体" w:hint="default"/>
                <w:sz w:val="18"/>
                <w:szCs w:val="18"/>
              </w:rPr>
              <w:t>天津</w:t>
            </w:r>
            <w:r>
              <w:rPr>
                <w:rFonts w:ascii="宋体" w:hAnsi="宋体" w:cs="宋体" w:eastAsia="宋体" w:hint="default"/>
                <w:sz w:val="18"/>
                <w:szCs w:val="18"/>
              </w:rPr>
              <w:t>)</w:t>
            </w:r>
          </w:p>
        </w:tc>
        <w:tc>
          <w:tcPr>
            <w:tcW w:w="87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中经文睿</w:t>
            </w:r>
          </w:p>
        </w:tc>
        <w:tc>
          <w:tcPr>
            <w:tcW w:w="86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8"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869"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2"/>
              <w:ind w:left="248" w:right="23" w:hanging="135"/>
              <w:jc w:val="left"/>
              <w:rPr>
                <w:rFonts w:ascii="宋体" w:hAnsi="宋体" w:cs="宋体" w:eastAsia="宋体" w:hint="default"/>
                <w:sz w:val="18"/>
                <w:szCs w:val="18"/>
              </w:rPr>
            </w:pPr>
            <w:r>
              <w:rPr>
                <w:rFonts w:ascii="宋体" w:hAnsi="宋体" w:cs="宋体" w:eastAsia="宋体" w:hint="default"/>
                <w:sz w:val="18"/>
                <w:szCs w:val="18"/>
              </w:rPr>
              <w:t>新浪阅读 信息</w:t>
            </w:r>
          </w:p>
        </w:tc>
        <w:tc>
          <w:tcPr>
            <w:tcW w:w="869"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2"/>
              <w:ind w:left="23" w:right="23"/>
              <w:jc w:val="left"/>
              <w:rPr>
                <w:rFonts w:ascii="宋体" w:hAnsi="宋体" w:cs="宋体" w:eastAsia="宋体" w:hint="default"/>
                <w:sz w:val="18"/>
                <w:szCs w:val="18"/>
              </w:rPr>
            </w:pPr>
            <w:r>
              <w:rPr>
                <w:rFonts w:ascii="宋体"/>
                <w:sz w:val="18"/>
              </w:rPr>
              <w:t>WUXIAWORL D LIMITED</w:t>
            </w:r>
          </w:p>
        </w:tc>
        <w:tc>
          <w:tcPr>
            <w:tcW w:w="869"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2"/>
              <w:ind w:left="158" w:right="68" w:hanging="90"/>
              <w:jc w:val="left"/>
              <w:rPr>
                <w:rFonts w:ascii="宋体" w:hAnsi="宋体" w:cs="宋体" w:eastAsia="宋体" w:hint="default"/>
                <w:sz w:val="18"/>
                <w:szCs w:val="18"/>
              </w:rPr>
            </w:pPr>
            <w:r>
              <w:rPr>
                <w:rFonts w:ascii="宋体" w:hAnsi="宋体" w:cs="宋体" w:eastAsia="宋体" w:hint="default"/>
                <w:sz w:val="18"/>
                <w:szCs w:val="18"/>
              </w:rPr>
              <w:t>星偶时代 </w:t>
            </w:r>
            <w:r>
              <w:rPr>
                <w:rFonts w:ascii="宋体" w:hAnsi="宋体" w:cs="宋体" w:eastAsia="宋体" w:hint="default"/>
                <w:sz w:val="18"/>
                <w:szCs w:val="18"/>
              </w:rPr>
              <w:t>(</w:t>
            </w:r>
            <w:r>
              <w:rPr>
                <w:rFonts w:ascii="宋体" w:hAnsi="宋体" w:cs="宋体" w:eastAsia="宋体" w:hint="default"/>
                <w:sz w:val="18"/>
                <w:szCs w:val="18"/>
              </w:rPr>
              <w:t>天津</w:t>
            </w:r>
            <w:r>
              <w:rPr>
                <w:rFonts w:ascii="宋体" w:hAnsi="宋体" w:cs="宋体" w:eastAsia="宋体" w:hint="default"/>
                <w:sz w:val="18"/>
                <w:szCs w:val="18"/>
              </w:rPr>
              <w:t>)</w:t>
            </w:r>
          </w:p>
        </w:tc>
        <w:tc>
          <w:tcPr>
            <w:tcW w:w="86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8" w:right="0"/>
              <w:jc w:val="left"/>
              <w:rPr>
                <w:rFonts w:ascii="宋体" w:hAnsi="宋体" w:cs="宋体" w:eastAsia="宋体" w:hint="default"/>
                <w:sz w:val="18"/>
                <w:szCs w:val="18"/>
              </w:rPr>
            </w:pPr>
            <w:r>
              <w:rPr>
                <w:rFonts w:ascii="宋体" w:hAnsi="宋体" w:cs="宋体" w:eastAsia="宋体" w:hint="default"/>
                <w:sz w:val="18"/>
                <w:szCs w:val="18"/>
              </w:rPr>
              <w:t>中经文睿</w:t>
            </w:r>
          </w:p>
        </w:tc>
        <w:tc>
          <w:tcPr>
            <w:tcW w:w="87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869"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2"/>
              <w:ind w:left="248" w:right="68" w:hanging="180"/>
              <w:jc w:val="left"/>
              <w:rPr>
                <w:rFonts w:ascii="宋体" w:hAnsi="宋体" w:cs="宋体" w:eastAsia="宋体" w:hint="default"/>
                <w:sz w:val="18"/>
                <w:szCs w:val="18"/>
              </w:rPr>
            </w:pPr>
            <w:r>
              <w:rPr>
                <w:rFonts w:ascii="宋体" w:hAnsi="宋体" w:cs="宋体" w:eastAsia="宋体" w:hint="default"/>
                <w:sz w:val="18"/>
                <w:szCs w:val="18"/>
              </w:rPr>
              <w:t>新浪阅读 信息</w:t>
            </w:r>
          </w:p>
        </w:tc>
        <w:tc>
          <w:tcPr>
            <w:tcW w:w="869"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2"/>
              <w:ind w:left="23" w:right="23"/>
              <w:jc w:val="left"/>
              <w:rPr>
                <w:rFonts w:ascii="宋体" w:hAnsi="宋体" w:cs="宋体" w:eastAsia="宋体" w:hint="default"/>
                <w:sz w:val="18"/>
                <w:szCs w:val="18"/>
              </w:rPr>
            </w:pPr>
            <w:r>
              <w:rPr>
                <w:rFonts w:ascii="宋体"/>
                <w:sz w:val="18"/>
              </w:rPr>
              <w:t>WUXIAWORL D LIMITED</w:t>
            </w:r>
          </w:p>
        </w:tc>
      </w:tr>
      <w:tr>
        <w:trPr>
          <w:trHeight w:val="391" w:hRule="exact"/>
        </w:trPr>
        <w:tc>
          <w:tcPr>
            <w:tcW w:w="846" w:type="dxa"/>
            <w:tcBorders>
              <w:top w:val="nil" w:sz="6" w:space="0" w:color="auto"/>
              <w:left w:val="single" w:sz="4" w:space="0" w:color="000000"/>
              <w:bottom w:val="nil" w:sz="6" w:space="0" w:color="auto"/>
              <w:right w:val="single" w:sz="13" w:space="0" w:color="D9D9D9"/>
            </w:tcBorders>
            <w:shd w:val="clear" w:color="auto" w:fill="D2D2D2"/>
          </w:tcPr>
          <w:p>
            <w:pPr/>
          </w:p>
        </w:tc>
        <w:tc>
          <w:tcPr>
            <w:tcW w:w="880" w:type="dxa"/>
            <w:vMerge/>
            <w:tcBorders>
              <w:left w:val="single" w:sz="9" w:space="0" w:color="D2D2D2"/>
              <w:right w:val="single" w:sz="4" w:space="0" w:color="000000"/>
            </w:tcBorders>
            <w:shd w:val="clear" w:color="auto" w:fill="D9D9D9"/>
          </w:tcPr>
          <w:p>
            <w:pPr/>
          </w:p>
        </w:tc>
        <w:tc>
          <w:tcPr>
            <w:tcW w:w="870" w:type="dxa"/>
            <w:vMerge/>
            <w:tcBorders>
              <w:left w:val="single" w:sz="4" w:space="0" w:color="000000"/>
              <w:right w:val="single" w:sz="4" w:space="0" w:color="000000"/>
            </w:tcBorders>
            <w:shd w:val="clear" w:color="auto" w:fill="D9D9D9"/>
          </w:tcPr>
          <w:p>
            <w:pPr/>
          </w:p>
        </w:tc>
        <w:tc>
          <w:tcPr>
            <w:tcW w:w="869" w:type="dxa"/>
            <w:vMerge/>
            <w:tcBorders>
              <w:left w:val="single" w:sz="4" w:space="0" w:color="000000"/>
              <w:right w:val="single" w:sz="4" w:space="0" w:color="000000"/>
            </w:tcBorders>
            <w:shd w:val="clear" w:color="auto" w:fill="D9D9D9"/>
          </w:tcPr>
          <w:p>
            <w:pPr/>
          </w:p>
        </w:tc>
        <w:tc>
          <w:tcPr>
            <w:tcW w:w="869" w:type="dxa"/>
            <w:vMerge/>
            <w:tcBorders>
              <w:left w:val="single" w:sz="4" w:space="0" w:color="000000"/>
              <w:right w:val="single" w:sz="4" w:space="0" w:color="000000"/>
            </w:tcBorders>
            <w:shd w:val="clear" w:color="auto" w:fill="D9D9D9"/>
          </w:tcPr>
          <w:p>
            <w:pPr/>
          </w:p>
        </w:tc>
        <w:tc>
          <w:tcPr>
            <w:tcW w:w="869" w:type="dxa"/>
            <w:vMerge/>
            <w:tcBorders>
              <w:left w:val="single" w:sz="4" w:space="0" w:color="000000"/>
              <w:right w:val="single" w:sz="4" w:space="0" w:color="000000"/>
            </w:tcBorders>
            <w:shd w:val="clear" w:color="auto" w:fill="D9D9D9"/>
          </w:tcPr>
          <w:p>
            <w:pPr/>
          </w:p>
        </w:tc>
        <w:tc>
          <w:tcPr>
            <w:tcW w:w="869" w:type="dxa"/>
            <w:vMerge/>
            <w:tcBorders>
              <w:left w:val="single" w:sz="4" w:space="0" w:color="000000"/>
              <w:right w:val="single" w:sz="4" w:space="0" w:color="000000"/>
            </w:tcBorders>
            <w:shd w:val="clear" w:color="auto" w:fill="D9D9D9"/>
          </w:tcPr>
          <w:p>
            <w:pPr/>
          </w:p>
        </w:tc>
        <w:tc>
          <w:tcPr>
            <w:tcW w:w="869" w:type="dxa"/>
            <w:vMerge/>
            <w:tcBorders>
              <w:left w:val="single" w:sz="4" w:space="0" w:color="000000"/>
              <w:right w:val="single" w:sz="4" w:space="0" w:color="000000"/>
            </w:tcBorders>
            <w:shd w:val="clear" w:color="auto" w:fill="D9D9D9"/>
          </w:tcPr>
          <w:p>
            <w:pPr/>
          </w:p>
        </w:tc>
        <w:tc>
          <w:tcPr>
            <w:tcW w:w="870" w:type="dxa"/>
            <w:vMerge/>
            <w:tcBorders>
              <w:left w:val="single" w:sz="4" w:space="0" w:color="000000"/>
              <w:right w:val="single" w:sz="4" w:space="0" w:color="000000"/>
            </w:tcBorders>
            <w:shd w:val="clear" w:color="auto" w:fill="D9D9D9"/>
          </w:tcPr>
          <w:p>
            <w:pPr/>
          </w:p>
        </w:tc>
        <w:tc>
          <w:tcPr>
            <w:tcW w:w="869" w:type="dxa"/>
            <w:vMerge/>
            <w:tcBorders>
              <w:left w:val="single" w:sz="4" w:space="0" w:color="000000"/>
              <w:right w:val="single" w:sz="4" w:space="0" w:color="000000"/>
            </w:tcBorders>
            <w:shd w:val="clear" w:color="auto" w:fill="D9D9D9"/>
          </w:tcPr>
          <w:p>
            <w:pPr/>
          </w:p>
        </w:tc>
        <w:tc>
          <w:tcPr>
            <w:tcW w:w="869" w:type="dxa"/>
            <w:vMerge/>
            <w:tcBorders>
              <w:left w:val="single" w:sz="4" w:space="0" w:color="000000"/>
              <w:right w:val="single" w:sz="4" w:space="0" w:color="000000"/>
            </w:tcBorders>
            <w:shd w:val="clear" w:color="auto" w:fill="D9D9D9"/>
          </w:tcPr>
          <w:p>
            <w:pPr/>
          </w:p>
        </w:tc>
      </w:tr>
      <w:tr>
        <w:trPr>
          <w:trHeight w:val="161" w:hRule="exact"/>
        </w:trPr>
        <w:tc>
          <w:tcPr>
            <w:tcW w:w="846" w:type="dxa"/>
            <w:tcBorders>
              <w:top w:val="nil" w:sz="6" w:space="0" w:color="auto"/>
              <w:left w:val="single" w:sz="4" w:space="0" w:color="000000"/>
              <w:bottom w:val="single" w:sz="4" w:space="0" w:color="000000"/>
              <w:right w:val="single" w:sz="13" w:space="0" w:color="D9D9D9"/>
            </w:tcBorders>
            <w:shd w:val="clear" w:color="auto" w:fill="D2D2D2"/>
          </w:tcPr>
          <w:p>
            <w:pPr/>
          </w:p>
        </w:tc>
        <w:tc>
          <w:tcPr>
            <w:tcW w:w="880" w:type="dxa"/>
            <w:vMerge/>
            <w:tcBorders>
              <w:left w:val="single" w:sz="9" w:space="0" w:color="D2D2D2"/>
              <w:bottom w:val="single" w:sz="4" w:space="0" w:color="000000"/>
              <w:right w:val="single" w:sz="4" w:space="0" w:color="000000"/>
            </w:tcBorders>
            <w:shd w:val="clear" w:color="auto" w:fill="D9D9D9"/>
          </w:tcPr>
          <w:p>
            <w:pPr/>
          </w:p>
        </w:tc>
        <w:tc>
          <w:tcPr>
            <w:tcW w:w="870" w:type="dxa"/>
            <w:vMerge/>
            <w:tcBorders>
              <w:left w:val="single" w:sz="4" w:space="0" w:color="000000"/>
              <w:bottom w:val="single" w:sz="4" w:space="0" w:color="000000"/>
              <w:right w:val="single" w:sz="4" w:space="0" w:color="000000"/>
            </w:tcBorders>
            <w:shd w:val="clear" w:color="auto" w:fill="D9D9D9"/>
          </w:tcPr>
          <w:p>
            <w:pPr/>
          </w:p>
        </w:tc>
        <w:tc>
          <w:tcPr>
            <w:tcW w:w="869" w:type="dxa"/>
            <w:vMerge/>
            <w:tcBorders>
              <w:left w:val="single" w:sz="4" w:space="0" w:color="000000"/>
              <w:bottom w:val="single" w:sz="4" w:space="0" w:color="000000"/>
              <w:right w:val="single" w:sz="4" w:space="0" w:color="000000"/>
            </w:tcBorders>
            <w:shd w:val="clear" w:color="auto" w:fill="D9D9D9"/>
          </w:tcPr>
          <w:p>
            <w:pPr/>
          </w:p>
        </w:tc>
        <w:tc>
          <w:tcPr>
            <w:tcW w:w="869" w:type="dxa"/>
            <w:vMerge/>
            <w:tcBorders>
              <w:left w:val="single" w:sz="4" w:space="0" w:color="000000"/>
              <w:bottom w:val="single" w:sz="4" w:space="0" w:color="000000"/>
              <w:right w:val="single" w:sz="4" w:space="0" w:color="000000"/>
            </w:tcBorders>
            <w:shd w:val="clear" w:color="auto" w:fill="D9D9D9"/>
          </w:tcPr>
          <w:p>
            <w:pPr/>
          </w:p>
        </w:tc>
        <w:tc>
          <w:tcPr>
            <w:tcW w:w="869" w:type="dxa"/>
            <w:vMerge/>
            <w:tcBorders>
              <w:left w:val="single" w:sz="4" w:space="0" w:color="000000"/>
              <w:bottom w:val="single" w:sz="4" w:space="0" w:color="000000"/>
              <w:right w:val="single" w:sz="4" w:space="0" w:color="000000"/>
            </w:tcBorders>
            <w:shd w:val="clear" w:color="auto" w:fill="D9D9D9"/>
          </w:tcPr>
          <w:p>
            <w:pPr/>
          </w:p>
        </w:tc>
        <w:tc>
          <w:tcPr>
            <w:tcW w:w="869" w:type="dxa"/>
            <w:vMerge/>
            <w:tcBorders>
              <w:left w:val="single" w:sz="4" w:space="0" w:color="000000"/>
              <w:bottom w:val="single" w:sz="4" w:space="0" w:color="000000"/>
              <w:right w:val="single" w:sz="4" w:space="0" w:color="000000"/>
            </w:tcBorders>
            <w:shd w:val="clear" w:color="auto" w:fill="D9D9D9"/>
          </w:tcPr>
          <w:p>
            <w:pPr/>
          </w:p>
        </w:tc>
        <w:tc>
          <w:tcPr>
            <w:tcW w:w="869" w:type="dxa"/>
            <w:vMerge/>
            <w:tcBorders>
              <w:left w:val="single" w:sz="4" w:space="0" w:color="000000"/>
              <w:bottom w:val="single" w:sz="4" w:space="0" w:color="000000"/>
              <w:right w:val="single" w:sz="4" w:space="0" w:color="000000"/>
            </w:tcBorders>
            <w:shd w:val="clear" w:color="auto" w:fill="D9D9D9"/>
          </w:tcPr>
          <w:p>
            <w:pPr/>
          </w:p>
        </w:tc>
        <w:tc>
          <w:tcPr>
            <w:tcW w:w="870" w:type="dxa"/>
            <w:vMerge/>
            <w:tcBorders>
              <w:left w:val="single" w:sz="4" w:space="0" w:color="000000"/>
              <w:bottom w:val="single" w:sz="4" w:space="0" w:color="000000"/>
              <w:right w:val="single" w:sz="4" w:space="0" w:color="000000"/>
            </w:tcBorders>
            <w:shd w:val="clear" w:color="auto" w:fill="D9D9D9"/>
          </w:tcPr>
          <w:p>
            <w:pPr/>
          </w:p>
        </w:tc>
        <w:tc>
          <w:tcPr>
            <w:tcW w:w="869" w:type="dxa"/>
            <w:vMerge/>
            <w:tcBorders>
              <w:left w:val="single" w:sz="4" w:space="0" w:color="000000"/>
              <w:bottom w:val="single" w:sz="4" w:space="0" w:color="000000"/>
              <w:right w:val="single" w:sz="4" w:space="0" w:color="000000"/>
            </w:tcBorders>
            <w:shd w:val="clear" w:color="auto" w:fill="D9D9D9"/>
          </w:tcPr>
          <w:p>
            <w:pPr/>
          </w:p>
        </w:tc>
        <w:tc>
          <w:tcPr>
            <w:tcW w:w="869" w:type="dxa"/>
            <w:vMerge/>
            <w:tcBorders>
              <w:left w:val="single" w:sz="4" w:space="0" w:color="000000"/>
              <w:bottom w:val="single" w:sz="4" w:space="0" w:color="000000"/>
              <w:right w:val="single" w:sz="4" w:space="0" w:color="000000"/>
            </w:tcBorders>
            <w:shd w:val="clear" w:color="auto" w:fill="D9D9D9"/>
          </w:tcPr>
          <w:p>
            <w:pPr/>
          </w:p>
        </w:tc>
      </w:tr>
      <w:tr>
        <w:trPr>
          <w:trHeight w:val="162" w:hRule="exact"/>
        </w:trPr>
        <w:tc>
          <w:tcPr>
            <w:tcW w:w="846" w:type="dxa"/>
            <w:tcBorders>
              <w:top w:val="single" w:sz="4" w:space="0" w:color="000000"/>
              <w:left w:val="single" w:sz="4" w:space="0" w:color="000000"/>
              <w:bottom w:val="nil" w:sz="6" w:space="0" w:color="auto"/>
              <w:right w:val="single" w:sz="4" w:space="0" w:color="000000"/>
            </w:tcBorders>
            <w:shd w:val="clear" w:color="auto" w:fill="D2D2D2"/>
          </w:tcPr>
          <w:p>
            <w:pPr/>
          </w:p>
        </w:tc>
        <w:tc>
          <w:tcPr>
            <w:tcW w:w="880" w:type="dxa"/>
            <w:vMerge w:val="restart"/>
            <w:tcBorders>
              <w:top w:val="single" w:sz="4" w:space="0" w:color="000000"/>
              <w:left w:val="single" w:sz="9" w:space="0" w:color="D2D2D2"/>
              <w:right w:val="single" w:sz="4"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sz w:val="18"/>
              </w:rPr>
              <w:t>18,680,59</w:t>
            </w:r>
          </w:p>
          <w:p>
            <w:pPr>
              <w:pStyle w:val="TableParagraph"/>
              <w:spacing w:line="240" w:lineRule="auto" w:before="76"/>
              <w:ind w:left="480" w:right="0"/>
              <w:jc w:val="left"/>
              <w:rPr>
                <w:rFonts w:ascii="宋体" w:hAnsi="宋体" w:cs="宋体" w:eastAsia="宋体" w:hint="default"/>
                <w:sz w:val="18"/>
                <w:szCs w:val="18"/>
              </w:rPr>
            </w:pPr>
            <w:r>
              <w:rPr>
                <w:rFonts w:ascii="宋体"/>
                <w:sz w:val="18"/>
              </w:rPr>
              <w:t>8.74</w:t>
            </w:r>
          </w:p>
        </w:tc>
        <w:tc>
          <w:tcPr>
            <w:tcW w:w="870" w:type="dxa"/>
            <w:vMerge w:val="restart"/>
            <w:tcBorders>
              <w:top w:val="single" w:sz="4" w:space="0" w:color="000000"/>
              <w:left w:val="single" w:sz="4" w:space="0" w:color="000000"/>
              <w:right w:val="single" w:sz="4" w:space="0" w:color="000000"/>
            </w:tcBorders>
          </w:tcPr>
          <w:p>
            <w:pPr>
              <w:pStyle w:val="TableParagraph"/>
              <w:spacing w:line="240" w:lineRule="auto" w:before="52"/>
              <w:ind w:left="26" w:right="0"/>
              <w:jc w:val="left"/>
              <w:rPr>
                <w:rFonts w:ascii="宋体" w:hAnsi="宋体" w:cs="宋体" w:eastAsia="宋体" w:hint="default"/>
                <w:sz w:val="18"/>
                <w:szCs w:val="18"/>
              </w:rPr>
            </w:pPr>
            <w:r>
              <w:rPr>
                <w:rFonts w:ascii="宋体"/>
                <w:sz w:val="18"/>
              </w:rPr>
              <w:t>3,646,493</w:t>
            </w:r>
          </w:p>
          <w:p>
            <w:pPr>
              <w:pStyle w:val="TableParagraph"/>
              <w:spacing w:line="240" w:lineRule="auto" w:before="76"/>
              <w:ind w:left="566" w:right="0"/>
              <w:jc w:val="left"/>
              <w:rPr>
                <w:rFonts w:ascii="宋体" w:hAnsi="宋体" w:cs="宋体" w:eastAsia="宋体" w:hint="default"/>
                <w:sz w:val="18"/>
                <w:szCs w:val="18"/>
              </w:rPr>
            </w:pPr>
            <w:r>
              <w:rPr>
                <w:rFonts w:ascii="宋体"/>
                <w:sz w:val="18"/>
              </w:rPr>
              <w:t>.29</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99,544,90</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9.72</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148,898,6</w:t>
            </w:r>
          </w:p>
          <w:p>
            <w:pPr>
              <w:pStyle w:val="TableParagraph"/>
              <w:spacing w:line="240" w:lineRule="auto" w:before="76"/>
              <w:ind w:left="385" w:right="0"/>
              <w:jc w:val="left"/>
              <w:rPr>
                <w:rFonts w:ascii="宋体" w:hAnsi="宋体" w:cs="宋体" w:eastAsia="宋体" w:hint="default"/>
                <w:sz w:val="18"/>
                <w:szCs w:val="18"/>
              </w:rPr>
            </w:pPr>
            <w:r>
              <w:rPr>
                <w:rFonts w:ascii="宋体"/>
                <w:sz w:val="18"/>
              </w:rPr>
              <w:t>59.92</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3,210,587</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20,182,51</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7.17</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4,845,221</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.07</w:t>
            </w:r>
          </w:p>
        </w:tc>
        <w:tc>
          <w:tcPr>
            <w:tcW w:w="870"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391" w:hRule="exact"/>
        </w:trPr>
        <w:tc>
          <w:tcPr>
            <w:tcW w:w="8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880" w:type="dxa"/>
            <w:vMerge/>
            <w:tcBorders>
              <w:left w:val="single" w:sz="9" w:space="0" w:color="D2D2D2"/>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r>
      <w:tr>
        <w:trPr>
          <w:trHeight w:val="161" w:hRule="exact"/>
        </w:trPr>
        <w:tc>
          <w:tcPr>
            <w:tcW w:w="846" w:type="dxa"/>
            <w:tcBorders>
              <w:top w:val="nil" w:sz="6" w:space="0" w:color="auto"/>
              <w:left w:val="single" w:sz="4" w:space="0" w:color="000000"/>
              <w:bottom w:val="single" w:sz="4" w:space="0" w:color="000000"/>
              <w:right w:val="single" w:sz="4" w:space="0" w:color="000000"/>
            </w:tcBorders>
            <w:shd w:val="clear" w:color="auto" w:fill="D2D2D2"/>
          </w:tcPr>
          <w:p>
            <w:pPr/>
          </w:p>
        </w:tc>
        <w:tc>
          <w:tcPr>
            <w:tcW w:w="880" w:type="dxa"/>
            <w:vMerge/>
            <w:tcBorders>
              <w:left w:val="single" w:sz="9" w:space="0" w:color="D2D2D2"/>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714" w:hRule="exact"/>
        </w:trPr>
        <w:tc>
          <w:tcPr>
            <w:tcW w:w="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3"/>
              <w:jc w:val="left"/>
              <w:rPr>
                <w:rFonts w:ascii="宋体" w:hAnsi="宋体" w:cs="宋体" w:eastAsia="宋体" w:hint="default"/>
                <w:sz w:val="18"/>
                <w:szCs w:val="18"/>
              </w:rPr>
            </w:pPr>
            <w:r>
              <w:rPr>
                <w:rFonts w:ascii="宋体" w:hAnsi="宋体" w:cs="宋体" w:eastAsia="宋体" w:hint="default"/>
                <w:sz w:val="18"/>
                <w:szCs w:val="18"/>
              </w:rPr>
              <w:t>非流动资 产</w:t>
            </w:r>
          </w:p>
        </w:tc>
        <w:tc>
          <w:tcPr>
            <w:tcW w:w="8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1,491,109</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6" w:right="0"/>
              <w:jc w:val="left"/>
              <w:rPr>
                <w:rFonts w:ascii="宋体" w:hAnsi="宋体" w:cs="宋体" w:eastAsia="宋体" w:hint="default"/>
                <w:sz w:val="18"/>
                <w:szCs w:val="18"/>
              </w:rPr>
            </w:pPr>
            <w:r>
              <w:rPr>
                <w:rFonts w:ascii="宋体"/>
                <w:sz w:val="18"/>
              </w:rPr>
              <w:t>4,425.67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31,926,32</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4.62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18,129,80</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6.44</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273,466.2</w:t>
            </w:r>
          </w:p>
          <w:p>
            <w:pPr>
              <w:pStyle w:val="TableParagraph"/>
              <w:spacing w:line="240" w:lineRule="auto" w:before="76"/>
              <w:ind w:right="23"/>
              <w:jc w:val="right"/>
              <w:rPr>
                <w:rFonts w:ascii="宋体" w:hAnsi="宋体" w:cs="宋体" w:eastAsia="宋体" w:hint="default"/>
                <w:sz w:val="18"/>
                <w:szCs w:val="18"/>
              </w:rPr>
            </w:pPr>
            <w:r>
              <w:rPr>
                <w:rFonts w:ascii="宋体"/>
                <w:sz w:val="18"/>
              </w:rPr>
              <w:t>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5" w:right="0"/>
              <w:jc w:val="left"/>
              <w:rPr>
                <w:rFonts w:ascii="宋体" w:hAnsi="宋体" w:cs="宋体" w:eastAsia="宋体" w:hint="default"/>
                <w:sz w:val="18"/>
                <w:szCs w:val="18"/>
              </w:rPr>
            </w:pPr>
            <w:r>
              <w:rPr>
                <w:rFonts w:ascii="宋体"/>
                <w:sz w:val="18"/>
              </w:rPr>
              <w:t>5,510.94</w:t>
            </w: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846" w:type="dxa"/>
            <w:tcBorders>
              <w:top w:val="single" w:sz="4" w:space="0" w:color="000000"/>
              <w:left w:val="single" w:sz="4" w:space="0" w:color="000000"/>
              <w:bottom w:val="nil" w:sz="6" w:space="0" w:color="auto"/>
              <w:right w:val="single" w:sz="4" w:space="0" w:color="000000"/>
            </w:tcBorders>
            <w:shd w:val="clear" w:color="auto" w:fill="D2D2D2"/>
          </w:tcPr>
          <w:p>
            <w:pPr/>
          </w:p>
        </w:tc>
        <w:tc>
          <w:tcPr>
            <w:tcW w:w="880" w:type="dxa"/>
            <w:vMerge w:val="restart"/>
            <w:tcBorders>
              <w:top w:val="single" w:sz="4" w:space="0" w:color="000000"/>
              <w:left w:val="single" w:sz="9" w:space="0" w:color="D2D2D2"/>
              <w:right w:val="single" w:sz="4"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sz w:val="18"/>
              </w:rPr>
              <w:t>20,171,70</w:t>
            </w:r>
          </w:p>
          <w:p>
            <w:pPr>
              <w:pStyle w:val="TableParagraph"/>
              <w:spacing w:line="240" w:lineRule="auto" w:before="76"/>
              <w:ind w:left="480" w:right="0"/>
              <w:jc w:val="left"/>
              <w:rPr>
                <w:rFonts w:ascii="宋体" w:hAnsi="宋体" w:cs="宋体" w:eastAsia="宋体" w:hint="default"/>
                <w:sz w:val="18"/>
                <w:szCs w:val="18"/>
              </w:rPr>
            </w:pPr>
            <w:r>
              <w:rPr>
                <w:rFonts w:ascii="宋体"/>
                <w:sz w:val="18"/>
              </w:rPr>
              <w:t>7.75</w:t>
            </w:r>
          </w:p>
        </w:tc>
        <w:tc>
          <w:tcPr>
            <w:tcW w:w="870" w:type="dxa"/>
            <w:vMerge w:val="restart"/>
            <w:tcBorders>
              <w:top w:val="single" w:sz="4" w:space="0" w:color="000000"/>
              <w:left w:val="single" w:sz="4" w:space="0" w:color="000000"/>
              <w:right w:val="single" w:sz="4" w:space="0" w:color="000000"/>
            </w:tcBorders>
          </w:tcPr>
          <w:p>
            <w:pPr>
              <w:pStyle w:val="TableParagraph"/>
              <w:spacing w:line="240" w:lineRule="auto" w:before="52"/>
              <w:ind w:left="26" w:right="0"/>
              <w:jc w:val="left"/>
              <w:rPr>
                <w:rFonts w:ascii="宋体" w:hAnsi="宋体" w:cs="宋体" w:eastAsia="宋体" w:hint="default"/>
                <w:sz w:val="18"/>
                <w:szCs w:val="18"/>
              </w:rPr>
            </w:pPr>
            <w:r>
              <w:rPr>
                <w:rFonts w:ascii="宋体"/>
                <w:sz w:val="18"/>
              </w:rPr>
              <w:t>3,650,918</w:t>
            </w:r>
          </w:p>
          <w:p>
            <w:pPr>
              <w:pStyle w:val="TableParagraph"/>
              <w:spacing w:line="240" w:lineRule="auto" w:before="76"/>
              <w:ind w:left="566" w:right="0"/>
              <w:jc w:val="left"/>
              <w:rPr>
                <w:rFonts w:ascii="宋体" w:hAnsi="宋体" w:cs="宋体" w:eastAsia="宋体" w:hint="default"/>
                <w:sz w:val="18"/>
                <w:szCs w:val="18"/>
              </w:rPr>
            </w:pPr>
            <w:r>
              <w:rPr>
                <w:rFonts w:ascii="宋体"/>
                <w:sz w:val="18"/>
              </w:rPr>
              <w:t>.96</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131,471,2</w:t>
            </w:r>
          </w:p>
          <w:p>
            <w:pPr>
              <w:pStyle w:val="TableParagraph"/>
              <w:spacing w:line="240" w:lineRule="auto" w:before="76"/>
              <w:ind w:left="385" w:right="0"/>
              <w:jc w:val="left"/>
              <w:rPr>
                <w:rFonts w:ascii="宋体" w:hAnsi="宋体" w:cs="宋体" w:eastAsia="宋体" w:hint="default"/>
                <w:sz w:val="18"/>
                <w:szCs w:val="18"/>
              </w:rPr>
            </w:pPr>
            <w:r>
              <w:rPr>
                <w:rFonts w:ascii="宋体"/>
                <w:sz w:val="18"/>
              </w:rPr>
              <w:t>34.34</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167,028,4</w:t>
            </w:r>
          </w:p>
          <w:p>
            <w:pPr>
              <w:pStyle w:val="TableParagraph"/>
              <w:spacing w:line="240" w:lineRule="auto" w:before="76"/>
              <w:ind w:left="385" w:right="0"/>
              <w:jc w:val="left"/>
              <w:rPr>
                <w:rFonts w:ascii="宋体" w:hAnsi="宋体" w:cs="宋体" w:eastAsia="宋体" w:hint="default"/>
                <w:sz w:val="18"/>
                <w:szCs w:val="18"/>
              </w:rPr>
            </w:pPr>
            <w:r>
              <w:rPr>
                <w:rFonts w:ascii="宋体"/>
                <w:sz w:val="18"/>
              </w:rPr>
              <w:t>66.36</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3,210,587</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20,455,98</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3.40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4,850,732</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.01</w:t>
            </w:r>
          </w:p>
        </w:tc>
        <w:tc>
          <w:tcPr>
            <w:tcW w:w="870"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391" w:hRule="exact"/>
        </w:trPr>
        <w:tc>
          <w:tcPr>
            <w:tcW w:w="8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880" w:type="dxa"/>
            <w:vMerge/>
            <w:tcBorders>
              <w:left w:val="single" w:sz="9" w:space="0" w:color="D2D2D2"/>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r>
      <w:tr>
        <w:trPr>
          <w:trHeight w:val="161" w:hRule="exact"/>
        </w:trPr>
        <w:tc>
          <w:tcPr>
            <w:tcW w:w="846" w:type="dxa"/>
            <w:tcBorders>
              <w:top w:val="nil" w:sz="6" w:space="0" w:color="auto"/>
              <w:left w:val="single" w:sz="4" w:space="0" w:color="000000"/>
              <w:bottom w:val="single" w:sz="4" w:space="0" w:color="000000"/>
              <w:right w:val="single" w:sz="4" w:space="0" w:color="000000"/>
            </w:tcBorders>
            <w:shd w:val="clear" w:color="auto" w:fill="D2D2D2"/>
          </w:tcPr>
          <w:p>
            <w:pPr/>
          </w:p>
        </w:tc>
        <w:tc>
          <w:tcPr>
            <w:tcW w:w="880" w:type="dxa"/>
            <w:vMerge/>
            <w:tcBorders>
              <w:left w:val="single" w:sz="9" w:space="0" w:color="D2D2D2"/>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162" w:hRule="exact"/>
        </w:trPr>
        <w:tc>
          <w:tcPr>
            <w:tcW w:w="846" w:type="dxa"/>
            <w:tcBorders>
              <w:top w:val="single" w:sz="4" w:space="0" w:color="000000"/>
              <w:left w:val="single" w:sz="4" w:space="0" w:color="000000"/>
              <w:bottom w:val="nil" w:sz="6" w:space="0" w:color="auto"/>
              <w:right w:val="single" w:sz="4" w:space="0" w:color="000000"/>
            </w:tcBorders>
            <w:shd w:val="clear" w:color="auto" w:fill="D2D2D2"/>
          </w:tcPr>
          <w:p>
            <w:pPr/>
          </w:p>
        </w:tc>
        <w:tc>
          <w:tcPr>
            <w:tcW w:w="880" w:type="dxa"/>
            <w:vMerge w:val="restart"/>
            <w:tcBorders>
              <w:top w:val="single" w:sz="4" w:space="0" w:color="000000"/>
              <w:left w:val="single" w:sz="9" w:space="0" w:color="D2D2D2"/>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-140,515.</w:t>
            </w:r>
          </w:p>
          <w:p>
            <w:pPr>
              <w:pStyle w:val="TableParagraph"/>
              <w:spacing w:line="240" w:lineRule="auto" w:before="76"/>
              <w:ind w:right="23"/>
              <w:jc w:val="right"/>
              <w:rPr>
                <w:rFonts w:ascii="宋体" w:hAnsi="宋体" w:cs="宋体" w:eastAsia="宋体" w:hint="default"/>
                <w:sz w:val="18"/>
                <w:szCs w:val="18"/>
              </w:rPr>
            </w:pPr>
            <w:r>
              <w:rPr>
                <w:rFonts w:ascii="宋体"/>
                <w:sz w:val="18"/>
              </w:rPr>
              <w:t>23</w:t>
            </w:r>
          </w:p>
        </w:tc>
        <w:tc>
          <w:tcPr>
            <w:tcW w:w="87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sz w:val="18"/>
              </w:rPr>
              <w:t>57,883.09</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34,566,37</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6.44</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6,851,058</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.49</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355,118.0</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-39,090.3</w:t>
            </w:r>
          </w:p>
          <w:p>
            <w:pPr>
              <w:pStyle w:val="TableParagraph"/>
              <w:spacing w:line="240" w:lineRule="auto" w:before="76"/>
              <w:ind w:right="23"/>
              <w:jc w:val="right"/>
              <w:rPr>
                <w:rFonts w:ascii="宋体" w:hAnsi="宋体" w:cs="宋体" w:eastAsia="宋体" w:hint="default"/>
                <w:sz w:val="18"/>
                <w:szCs w:val="18"/>
              </w:rPr>
            </w:pPr>
            <w:r>
              <w:rPr>
                <w:rFonts w:ascii="宋体"/>
                <w:sz w:val="18"/>
              </w:rPr>
              <w:t>7</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30,087.07</w:t>
            </w:r>
          </w:p>
        </w:tc>
        <w:tc>
          <w:tcPr>
            <w:tcW w:w="870"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391" w:hRule="exact"/>
        </w:trPr>
        <w:tc>
          <w:tcPr>
            <w:tcW w:w="8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880" w:type="dxa"/>
            <w:vMerge/>
            <w:tcBorders>
              <w:left w:val="single" w:sz="9" w:space="0" w:color="D2D2D2"/>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r>
      <w:tr>
        <w:trPr>
          <w:trHeight w:val="161" w:hRule="exact"/>
        </w:trPr>
        <w:tc>
          <w:tcPr>
            <w:tcW w:w="846" w:type="dxa"/>
            <w:tcBorders>
              <w:top w:val="nil" w:sz="6" w:space="0" w:color="auto"/>
              <w:left w:val="single" w:sz="4" w:space="0" w:color="000000"/>
              <w:bottom w:val="single" w:sz="4" w:space="0" w:color="000000"/>
              <w:right w:val="single" w:sz="4" w:space="0" w:color="000000"/>
            </w:tcBorders>
            <w:shd w:val="clear" w:color="auto" w:fill="D2D2D2"/>
          </w:tcPr>
          <w:p>
            <w:pPr/>
          </w:p>
        </w:tc>
        <w:tc>
          <w:tcPr>
            <w:tcW w:w="880" w:type="dxa"/>
            <w:vMerge/>
            <w:tcBorders>
              <w:left w:val="single" w:sz="9" w:space="0" w:color="D2D2D2"/>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714" w:hRule="exact"/>
        </w:trPr>
        <w:tc>
          <w:tcPr>
            <w:tcW w:w="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3"/>
              <w:jc w:val="left"/>
              <w:rPr>
                <w:rFonts w:ascii="宋体" w:hAnsi="宋体" w:cs="宋体" w:eastAsia="宋体" w:hint="default"/>
                <w:sz w:val="18"/>
                <w:szCs w:val="18"/>
              </w:rPr>
            </w:pPr>
            <w:r>
              <w:rPr>
                <w:rFonts w:ascii="宋体" w:hAnsi="宋体" w:cs="宋体" w:eastAsia="宋体" w:hint="default"/>
                <w:sz w:val="18"/>
                <w:szCs w:val="18"/>
              </w:rPr>
              <w:t>非流动负 债</w:t>
            </w:r>
          </w:p>
        </w:tc>
        <w:tc>
          <w:tcPr>
            <w:tcW w:w="880" w:type="dxa"/>
            <w:tcBorders>
              <w:top w:val="single" w:sz="4" w:space="0" w:color="000000"/>
              <w:left w:val="single" w:sz="13" w:space="0" w:color="D2D2D2"/>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74,801.59</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846" w:type="dxa"/>
            <w:tcBorders>
              <w:top w:val="single" w:sz="4" w:space="0" w:color="000000"/>
              <w:left w:val="single" w:sz="4" w:space="0" w:color="000000"/>
              <w:bottom w:val="nil" w:sz="6" w:space="0" w:color="auto"/>
              <w:right w:val="single" w:sz="4" w:space="0" w:color="000000"/>
            </w:tcBorders>
            <w:shd w:val="clear" w:color="auto" w:fill="D2D2D2"/>
          </w:tcPr>
          <w:p>
            <w:pPr/>
          </w:p>
        </w:tc>
        <w:tc>
          <w:tcPr>
            <w:tcW w:w="880" w:type="dxa"/>
            <w:vMerge w:val="restart"/>
            <w:tcBorders>
              <w:top w:val="single" w:sz="4" w:space="0" w:color="000000"/>
              <w:left w:val="single" w:sz="9" w:space="0" w:color="D2D2D2"/>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-140,515.</w:t>
            </w:r>
          </w:p>
          <w:p>
            <w:pPr>
              <w:pStyle w:val="TableParagraph"/>
              <w:spacing w:line="240" w:lineRule="auto" w:before="76"/>
              <w:ind w:right="23"/>
              <w:jc w:val="right"/>
              <w:rPr>
                <w:rFonts w:ascii="宋体" w:hAnsi="宋体" w:cs="宋体" w:eastAsia="宋体" w:hint="default"/>
                <w:sz w:val="18"/>
                <w:szCs w:val="18"/>
              </w:rPr>
            </w:pPr>
            <w:r>
              <w:rPr>
                <w:rFonts w:ascii="宋体"/>
                <w:sz w:val="18"/>
              </w:rPr>
              <w:t>23</w:t>
            </w:r>
          </w:p>
        </w:tc>
        <w:tc>
          <w:tcPr>
            <w:tcW w:w="87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sz w:val="18"/>
              </w:rPr>
              <w:t>57,883.09</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34,566,37</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6.44</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6,925,860</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.08</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355,118.0</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-39,090.3</w:t>
            </w:r>
          </w:p>
          <w:p>
            <w:pPr>
              <w:pStyle w:val="TableParagraph"/>
              <w:spacing w:line="240" w:lineRule="auto" w:before="76"/>
              <w:ind w:right="23"/>
              <w:jc w:val="right"/>
              <w:rPr>
                <w:rFonts w:ascii="宋体" w:hAnsi="宋体" w:cs="宋体" w:eastAsia="宋体" w:hint="default"/>
                <w:sz w:val="18"/>
                <w:szCs w:val="18"/>
              </w:rPr>
            </w:pPr>
            <w:r>
              <w:rPr>
                <w:rFonts w:ascii="宋体"/>
                <w:sz w:val="18"/>
              </w:rPr>
              <w:t>7</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30,087.07</w:t>
            </w:r>
          </w:p>
        </w:tc>
        <w:tc>
          <w:tcPr>
            <w:tcW w:w="870"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391" w:hRule="exact"/>
        </w:trPr>
        <w:tc>
          <w:tcPr>
            <w:tcW w:w="8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880" w:type="dxa"/>
            <w:vMerge/>
            <w:tcBorders>
              <w:left w:val="single" w:sz="9" w:space="0" w:color="D2D2D2"/>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r>
      <w:tr>
        <w:trPr>
          <w:trHeight w:val="161" w:hRule="exact"/>
        </w:trPr>
        <w:tc>
          <w:tcPr>
            <w:tcW w:w="846" w:type="dxa"/>
            <w:tcBorders>
              <w:top w:val="nil" w:sz="6" w:space="0" w:color="auto"/>
              <w:left w:val="single" w:sz="4" w:space="0" w:color="000000"/>
              <w:bottom w:val="single" w:sz="4" w:space="0" w:color="000000"/>
              <w:right w:val="single" w:sz="4" w:space="0" w:color="000000"/>
            </w:tcBorders>
            <w:shd w:val="clear" w:color="auto" w:fill="D2D2D2"/>
          </w:tcPr>
          <w:p>
            <w:pPr/>
          </w:p>
        </w:tc>
        <w:tc>
          <w:tcPr>
            <w:tcW w:w="880" w:type="dxa"/>
            <w:vMerge/>
            <w:tcBorders>
              <w:left w:val="single" w:sz="9" w:space="0" w:color="D2D2D2"/>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1026" w:hRule="exact"/>
        </w:trPr>
        <w:tc>
          <w:tcPr>
            <w:tcW w:w="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3"/>
              <w:jc w:val="both"/>
              <w:rPr>
                <w:rFonts w:ascii="宋体" w:hAnsi="宋体" w:cs="宋体" w:eastAsia="宋体" w:hint="default"/>
                <w:sz w:val="18"/>
                <w:szCs w:val="18"/>
              </w:rPr>
            </w:pPr>
            <w:r>
              <w:rPr>
                <w:rFonts w:ascii="宋体" w:hAnsi="宋体" w:cs="宋体" w:eastAsia="宋体" w:hint="default"/>
                <w:sz w:val="18"/>
                <w:szCs w:val="18"/>
              </w:rPr>
              <w:t>归属于母 公司股东 权益</w:t>
            </w:r>
          </w:p>
        </w:tc>
        <w:tc>
          <w:tcPr>
            <w:tcW w:w="8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20,312,22</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2.98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sz w:val="18"/>
              </w:rPr>
              <w:t>3,593,035</w:t>
            </w:r>
          </w:p>
          <w:p>
            <w:pPr>
              <w:pStyle w:val="TableParagraph"/>
              <w:spacing w:line="240" w:lineRule="auto" w:before="76"/>
              <w:ind w:left="566" w:right="0"/>
              <w:jc w:val="left"/>
              <w:rPr>
                <w:rFonts w:ascii="宋体" w:hAnsi="宋体" w:cs="宋体" w:eastAsia="宋体" w:hint="default"/>
                <w:sz w:val="18"/>
                <w:szCs w:val="18"/>
              </w:rPr>
            </w:pPr>
            <w:r>
              <w:rPr>
                <w:rFonts w:ascii="宋体"/>
                <w:sz w:val="18"/>
              </w:rPr>
              <w:t>.87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92,270,41</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1.46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160,102,6</w:t>
            </w:r>
          </w:p>
          <w:p>
            <w:pPr>
              <w:pStyle w:val="TableParagraph"/>
              <w:spacing w:line="240" w:lineRule="auto" w:before="76"/>
              <w:ind w:left="385" w:right="0"/>
              <w:jc w:val="left"/>
              <w:rPr>
                <w:rFonts w:ascii="宋体" w:hAnsi="宋体" w:cs="宋体" w:eastAsia="宋体" w:hint="default"/>
                <w:sz w:val="18"/>
                <w:szCs w:val="18"/>
              </w:rPr>
            </w:pPr>
            <w:r>
              <w:rPr>
                <w:rFonts w:ascii="宋体"/>
                <w:sz w:val="18"/>
              </w:rPr>
              <w:t>06.30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2,855,469</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20,495,07</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3.77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 w:right="0"/>
              <w:jc w:val="left"/>
              <w:rPr>
                <w:rFonts w:ascii="宋体" w:hAnsi="宋体" w:cs="宋体" w:eastAsia="宋体" w:hint="default"/>
                <w:sz w:val="18"/>
                <w:szCs w:val="18"/>
              </w:rPr>
            </w:pPr>
            <w:r>
              <w:rPr>
                <w:rFonts w:ascii="宋体"/>
                <w:sz w:val="18"/>
              </w:rPr>
              <w:t>4,820,644</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.94</w:t>
            </w: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3"/>
              <w:jc w:val="both"/>
              <w:rPr>
                <w:rFonts w:ascii="宋体" w:hAnsi="宋体" w:cs="宋体" w:eastAsia="宋体" w:hint="default"/>
                <w:sz w:val="18"/>
                <w:szCs w:val="18"/>
              </w:rPr>
            </w:pPr>
            <w:r>
              <w:rPr>
                <w:rFonts w:ascii="宋体" w:hAnsi="宋体" w:cs="宋体" w:eastAsia="宋体" w:hint="default"/>
                <w:sz w:val="18"/>
                <w:szCs w:val="18"/>
              </w:rPr>
              <w:t>按持股比 例计算的 净资产份 额</w:t>
            </w:r>
          </w:p>
        </w:tc>
        <w:tc>
          <w:tcPr>
            <w:tcW w:w="8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4,062,444</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.60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6" w:right="0"/>
              <w:jc w:val="left"/>
              <w:rPr>
                <w:rFonts w:ascii="宋体" w:hAnsi="宋体" w:cs="宋体" w:eastAsia="宋体" w:hint="default"/>
                <w:sz w:val="18"/>
                <w:szCs w:val="18"/>
              </w:rPr>
            </w:pPr>
            <w:r>
              <w:rPr>
                <w:rFonts w:ascii="宋体"/>
                <w:sz w:val="18"/>
              </w:rPr>
              <w:t>1,760,587</w:t>
            </w:r>
          </w:p>
          <w:p>
            <w:pPr>
              <w:pStyle w:val="TableParagraph"/>
              <w:spacing w:line="240" w:lineRule="auto" w:before="76"/>
              <w:ind w:left="566" w:right="0"/>
              <w:jc w:val="left"/>
              <w:rPr>
                <w:rFonts w:ascii="宋体" w:hAnsi="宋体" w:cs="宋体" w:eastAsia="宋体" w:hint="default"/>
                <w:sz w:val="18"/>
                <w:szCs w:val="18"/>
              </w:rPr>
            </w:pPr>
            <w:r>
              <w:rPr>
                <w:rFonts w:ascii="宋体"/>
                <w:sz w:val="18"/>
              </w:rPr>
              <w:t>.58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31,750,24</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8.58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26,689,10</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4.47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856,640.7</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4,099,014</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.75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2,362,116</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.02</w:t>
            </w: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846" w:type="dxa"/>
            <w:tcBorders>
              <w:top w:val="single" w:sz="4" w:space="0" w:color="000000"/>
              <w:left w:val="single" w:sz="4" w:space="0" w:color="000000"/>
              <w:bottom w:val="nil" w:sz="6" w:space="0" w:color="auto"/>
              <w:right w:val="single" w:sz="4" w:space="0" w:color="000000"/>
            </w:tcBorders>
            <w:shd w:val="clear" w:color="auto" w:fill="D2D2D2"/>
          </w:tcPr>
          <w:p>
            <w:pPr/>
          </w:p>
        </w:tc>
        <w:tc>
          <w:tcPr>
            <w:tcW w:w="880" w:type="dxa"/>
            <w:vMerge w:val="restart"/>
            <w:tcBorders>
              <w:top w:val="single" w:sz="4" w:space="0" w:color="000000"/>
              <w:left w:val="single" w:sz="9" w:space="0" w:color="D2D2D2"/>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29,866,43</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2.60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3,011,130</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.00</w:t>
            </w: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391" w:hRule="exact"/>
        </w:trPr>
        <w:tc>
          <w:tcPr>
            <w:tcW w:w="8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其他</w:t>
            </w:r>
          </w:p>
        </w:tc>
        <w:tc>
          <w:tcPr>
            <w:tcW w:w="880" w:type="dxa"/>
            <w:vMerge/>
            <w:tcBorders>
              <w:left w:val="single" w:sz="9" w:space="0" w:color="D2D2D2"/>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r>
      <w:tr>
        <w:trPr>
          <w:trHeight w:val="161" w:hRule="exact"/>
        </w:trPr>
        <w:tc>
          <w:tcPr>
            <w:tcW w:w="846" w:type="dxa"/>
            <w:tcBorders>
              <w:top w:val="nil" w:sz="6" w:space="0" w:color="auto"/>
              <w:left w:val="single" w:sz="4" w:space="0" w:color="000000"/>
              <w:bottom w:val="single" w:sz="4" w:space="0" w:color="000000"/>
              <w:right w:val="single" w:sz="4" w:space="0" w:color="000000"/>
            </w:tcBorders>
            <w:shd w:val="clear" w:color="auto" w:fill="D2D2D2"/>
          </w:tcPr>
          <w:p>
            <w:pPr/>
          </w:p>
        </w:tc>
        <w:tc>
          <w:tcPr>
            <w:tcW w:w="880" w:type="dxa"/>
            <w:vMerge/>
            <w:tcBorders>
              <w:left w:val="single" w:sz="9" w:space="0" w:color="D2D2D2"/>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1338" w:hRule="exact"/>
        </w:trPr>
        <w:tc>
          <w:tcPr>
            <w:tcW w:w="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3"/>
              <w:jc w:val="both"/>
              <w:rPr>
                <w:rFonts w:ascii="宋体" w:hAnsi="宋体" w:cs="宋体" w:eastAsia="宋体" w:hint="default"/>
                <w:sz w:val="18"/>
                <w:szCs w:val="18"/>
              </w:rPr>
            </w:pPr>
            <w:r>
              <w:rPr>
                <w:rFonts w:ascii="宋体" w:hAnsi="宋体" w:cs="宋体" w:eastAsia="宋体" w:hint="default"/>
                <w:sz w:val="18"/>
                <w:szCs w:val="18"/>
              </w:rPr>
              <w:t>对联营企 业权益投 资的账面 价值</w:t>
            </w:r>
          </w:p>
        </w:tc>
        <w:tc>
          <w:tcPr>
            <w:tcW w:w="8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19,906,37</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6.52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6" w:right="0"/>
              <w:jc w:val="left"/>
              <w:rPr>
                <w:rFonts w:ascii="宋体" w:hAnsi="宋体" w:cs="宋体" w:eastAsia="宋体" w:hint="default"/>
                <w:sz w:val="18"/>
                <w:szCs w:val="18"/>
              </w:rPr>
            </w:pPr>
            <w:r>
              <w:rPr>
                <w:rFonts w:ascii="宋体"/>
                <w:sz w:val="18"/>
              </w:rPr>
              <w:t>4,250,004</w:t>
            </w:r>
          </w:p>
          <w:p>
            <w:pPr>
              <w:pStyle w:val="TableParagraph"/>
              <w:spacing w:line="240" w:lineRule="auto" w:before="76"/>
              <w:ind w:left="566" w:right="0"/>
              <w:jc w:val="left"/>
              <w:rPr>
                <w:rFonts w:ascii="宋体" w:hAnsi="宋体" w:cs="宋体" w:eastAsia="宋体" w:hint="default"/>
                <w:sz w:val="18"/>
                <w:szCs w:val="18"/>
              </w:rPr>
            </w:pPr>
            <w:r>
              <w:rPr>
                <w:rFonts w:ascii="宋体"/>
                <w:sz w:val="18"/>
              </w:rPr>
              <w:t>.67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98,700,86</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6.52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37,499,80</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21,557,46</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0.97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19,939,01</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4.75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5" w:right="0"/>
              <w:jc w:val="left"/>
              <w:rPr>
                <w:rFonts w:ascii="宋体" w:hAnsi="宋体" w:cs="宋体" w:eastAsia="宋体" w:hint="default"/>
                <w:sz w:val="18"/>
                <w:szCs w:val="18"/>
              </w:rPr>
            </w:pPr>
            <w:r>
              <w:rPr>
                <w:rFonts w:ascii="宋体"/>
                <w:sz w:val="18"/>
              </w:rPr>
              <w:t>4,861,116</w:t>
            </w:r>
          </w:p>
          <w:p>
            <w:pPr>
              <w:pStyle w:val="TableParagraph"/>
              <w:spacing w:line="240" w:lineRule="auto" w:before="76"/>
              <w:ind w:left="565" w:right="0"/>
              <w:jc w:val="left"/>
              <w:rPr>
                <w:rFonts w:ascii="宋体" w:hAnsi="宋体" w:cs="宋体" w:eastAsia="宋体" w:hint="default"/>
                <w:sz w:val="18"/>
                <w:szCs w:val="18"/>
              </w:rPr>
            </w:pPr>
            <w:r>
              <w:rPr>
                <w:rFonts w:ascii="宋体"/>
                <w:sz w:val="18"/>
              </w:rPr>
              <w:t>.01</w:t>
            </w: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846" w:type="dxa"/>
            <w:tcBorders>
              <w:top w:val="single" w:sz="4" w:space="0" w:color="000000"/>
              <w:left w:val="single" w:sz="4" w:space="0" w:color="000000"/>
              <w:bottom w:val="nil" w:sz="6" w:space="0" w:color="auto"/>
              <w:right w:val="single" w:sz="4" w:space="0" w:color="000000"/>
            </w:tcBorders>
            <w:shd w:val="clear" w:color="auto" w:fill="D2D2D2"/>
          </w:tcPr>
          <w:p>
            <w:pPr/>
          </w:p>
        </w:tc>
        <w:tc>
          <w:tcPr>
            <w:tcW w:w="880" w:type="dxa"/>
            <w:vMerge w:val="restart"/>
            <w:tcBorders>
              <w:top w:val="single" w:sz="4" w:space="0" w:color="000000"/>
              <w:left w:val="single" w:sz="9" w:space="0" w:color="D2D2D2"/>
              <w:right w:val="single" w:sz="4"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sz w:val="18"/>
              </w:rPr>
              <w:t>1,037,867</w:t>
            </w:r>
          </w:p>
          <w:p>
            <w:pPr>
              <w:pStyle w:val="TableParagraph"/>
              <w:spacing w:line="240" w:lineRule="auto" w:before="77"/>
              <w:ind w:left="570" w:right="0"/>
              <w:jc w:val="left"/>
              <w:rPr>
                <w:rFonts w:ascii="宋体" w:hAnsi="宋体" w:cs="宋体" w:eastAsia="宋体" w:hint="default"/>
                <w:sz w:val="18"/>
                <w:szCs w:val="18"/>
              </w:rPr>
            </w:pPr>
            <w:r>
              <w:rPr>
                <w:rFonts w:ascii="宋体"/>
                <w:sz w:val="18"/>
              </w:rPr>
              <w:t>.93</w:t>
            </w:r>
          </w:p>
        </w:tc>
        <w:tc>
          <w:tcPr>
            <w:tcW w:w="870"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350,756.6</w:t>
            </w:r>
          </w:p>
          <w:p>
            <w:pPr>
              <w:pStyle w:val="TableParagraph"/>
              <w:spacing w:line="240" w:lineRule="auto" w:before="77"/>
              <w:ind w:right="23"/>
              <w:jc w:val="right"/>
              <w:rPr>
                <w:rFonts w:ascii="宋体" w:hAnsi="宋体" w:cs="宋体" w:eastAsia="宋体" w:hint="default"/>
                <w:sz w:val="18"/>
                <w:szCs w:val="18"/>
              </w:rPr>
            </w:pPr>
            <w:r>
              <w:rPr>
                <w:rFonts w:ascii="宋体"/>
                <w:sz w:val="18"/>
              </w:rPr>
              <w:t>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194,286,3</w:t>
            </w:r>
          </w:p>
          <w:p>
            <w:pPr>
              <w:pStyle w:val="TableParagraph"/>
              <w:spacing w:line="240" w:lineRule="auto" w:before="77"/>
              <w:ind w:left="385" w:right="0"/>
              <w:jc w:val="left"/>
              <w:rPr>
                <w:rFonts w:ascii="宋体" w:hAnsi="宋体" w:cs="宋体" w:eastAsia="宋体" w:hint="default"/>
                <w:sz w:val="18"/>
                <w:szCs w:val="18"/>
              </w:rPr>
            </w:pPr>
            <w:r>
              <w:rPr>
                <w:rFonts w:ascii="宋体"/>
                <w:sz w:val="18"/>
              </w:rPr>
              <w:t>88.20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35,015,95</w:t>
            </w:r>
          </w:p>
          <w:p>
            <w:pPr>
              <w:pStyle w:val="TableParagraph"/>
              <w:spacing w:line="240" w:lineRule="auto" w:before="77"/>
              <w:ind w:left="475" w:right="0"/>
              <w:jc w:val="left"/>
              <w:rPr>
                <w:rFonts w:ascii="宋体" w:hAnsi="宋体" w:cs="宋体" w:eastAsia="宋体" w:hint="default"/>
                <w:sz w:val="18"/>
                <w:szCs w:val="18"/>
              </w:rPr>
            </w:pPr>
            <w:r>
              <w:rPr>
                <w:rFonts w:ascii="宋体"/>
                <w:sz w:val="18"/>
              </w:rPr>
              <w:t>7.45</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3,382,937</w:t>
            </w:r>
          </w:p>
          <w:p>
            <w:pPr>
              <w:pStyle w:val="TableParagraph"/>
              <w:spacing w:line="240" w:lineRule="auto" w:before="77"/>
              <w:ind w:left="565" w:right="0"/>
              <w:jc w:val="left"/>
              <w:rPr>
                <w:rFonts w:ascii="宋体" w:hAnsi="宋体" w:cs="宋体" w:eastAsia="宋体" w:hint="default"/>
                <w:sz w:val="18"/>
                <w:szCs w:val="18"/>
              </w:rPr>
            </w:pPr>
            <w:r>
              <w:rPr>
                <w:rFonts w:ascii="宋体"/>
                <w:sz w:val="18"/>
              </w:rPr>
              <w:t>.00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1,582,528</w:t>
            </w:r>
          </w:p>
          <w:p>
            <w:pPr>
              <w:pStyle w:val="TableParagraph"/>
              <w:spacing w:line="240" w:lineRule="auto" w:before="77"/>
              <w:ind w:left="565" w:right="0"/>
              <w:jc w:val="left"/>
              <w:rPr>
                <w:rFonts w:ascii="宋体" w:hAnsi="宋体" w:cs="宋体" w:eastAsia="宋体" w:hint="default"/>
                <w:sz w:val="18"/>
                <w:szCs w:val="18"/>
              </w:rPr>
            </w:pPr>
            <w:r>
              <w:rPr>
                <w:rFonts w:ascii="宋体"/>
                <w:sz w:val="18"/>
              </w:rPr>
              <w:t>.28</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357,229.9</w:t>
            </w:r>
          </w:p>
          <w:p>
            <w:pPr>
              <w:pStyle w:val="TableParagraph"/>
              <w:spacing w:line="240" w:lineRule="auto" w:before="77"/>
              <w:ind w:right="23"/>
              <w:jc w:val="right"/>
              <w:rPr>
                <w:rFonts w:ascii="宋体" w:hAnsi="宋体" w:cs="宋体" w:eastAsia="宋体" w:hint="default"/>
                <w:sz w:val="18"/>
                <w:szCs w:val="18"/>
              </w:rPr>
            </w:pPr>
            <w:r>
              <w:rPr>
                <w:rFonts w:ascii="宋体"/>
                <w:sz w:val="18"/>
              </w:rPr>
              <w:t>1</w:t>
            </w:r>
          </w:p>
        </w:tc>
        <w:tc>
          <w:tcPr>
            <w:tcW w:w="870"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392" w:hRule="exact"/>
        </w:trPr>
        <w:tc>
          <w:tcPr>
            <w:tcW w:w="8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880" w:type="dxa"/>
            <w:vMerge/>
            <w:tcBorders>
              <w:left w:val="single" w:sz="9" w:space="0" w:color="D2D2D2"/>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r>
      <w:tr>
        <w:trPr>
          <w:trHeight w:val="161" w:hRule="exact"/>
        </w:trPr>
        <w:tc>
          <w:tcPr>
            <w:tcW w:w="846" w:type="dxa"/>
            <w:tcBorders>
              <w:top w:val="nil" w:sz="6" w:space="0" w:color="auto"/>
              <w:left w:val="single" w:sz="4" w:space="0" w:color="000000"/>
              <w:bottom w:val="single" w:sz="4" w:space="0" w:color="000000"/>
              <w:right w:val="single" w:sz="4" w:space="0" w:color="000000"/>
            </w:tcBorders>
            <w:shd w:val="clear" w:color="auto" w:fill="D2D2D2"/>
          </w:tcPr>
          <w:p>
            <w:pPr/>
          </w:p>
        </w:tc>
        <w:tc>
          <w:tcPr>
            <w:tcW w:w="880" w:type="dxa"/>
            <w:vMerge/>
            <w:tcBorders>
              <w:left w:val="single" w:sz="9" w:space="0" w:color="D2D2D2"/>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r>
        <w:trPr>
          <w:trHeight w:val="162" w:hRule="exact"/>
        </w:trPr>
        <w:tc>
          <w:tcPr>
            <w:tcW w:w="846" w:type="dxa"/>
            <w:tcBorders>
              <w:top w:val="single" w:sz="4" w:space="0" w:color="000000"/>
              <w:left w:val="single" w:sz="4" w:space="0" w:color="000000"/>
              <w:bottom w:val="nil" w:sz="6" w:space="0" w:color="auto"/>
              <w:right w:val="single" w:sz="4" w:space="0" w:color="000000"/>
            </w:tcBorders>
            <w:shd w:val="clear" w:color="auto" w:fill="D2D2D2"/>
          </w:tcPr>
          <w:p>
            <w:pPr/>
          </w:p>
        </w:tc>
        <w:tc>
          <w:tcPr>
            <w:tcW w:w="880" w:type="dxa"/>
            <w:vMerge w:val="restart"/>
            <w:tcBorders>
              <w:top w:val="single" w:sz="4" w:space="0" w:color="000000"/>
              <w:left w:val="single" w:sz="9" w:space="0" w:color="D2D2D2"/>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-163,191.</w:t>
            </w:r>
          </w:p>
          <w:p>
            <w:pPr>
              <w:pStyle w:val="TableParagraph"/>
              <w:spacing w:line="240" w:lineRule="auto" w:before="76"/>
              <w:ind w:right="23"/>
              <w:jc w:val="right"/>
              <w:rPr>
                <w:rFonts w:ascii="宋体" w:hAnsi="宋体" w:cs="宋体" w:eastAsia="宋体" w:hint="default"/>
                <w:sz w:val="18"/>
                <w:szCs w:val="18"/>
              </w:rPr>
            </w:pPr>
            <w:r>
              <w:rPr>
                <w:rFonts w:ascii="宋体"/>
                <w:sz w:val="18"/>
              </w:rPr>
              <w:t>15</w:t>
            </w:r>
          </w:p>
        </w:tc>
        <w:tc>
          <w:tcPr>
            <w:tcW w:w="870" w:type="dxa"/>
            <w:vMerge w:val="restart"/>
            <w:tcBorders>
              <w:top w:val="single" w:sz="4" w:space="0" w:color="000000"/>
              <w:left w:val="single" w:sz="4" w:space="0" w:color="000000"/>
              <w:right w:val="single" w:sz="4" w:space="0" w:color="000000"/>
            </w:tcBorders>
          </w:tcPr>
          <w:p>
            <w:pPr>
              <w:pStyle w:val="TableParagraph"/>
              <w:spacing w:line="240" w:lineRule="auto" w:before="52"/>
              <w:ind w:left="26" w:right="0"/>
              <w:jc w:val="left"/>
              <w:rPr>
                <w:rFonts w:ascii="宋体" w:hAnsi="宋体" w:cs="宋体" w:eastAsia="宋体" w:hint="default"/>
                <w:sz w:val="18"/>
                <w:szCs w:val="18"/>
              </w:rPr>
            </w:pPr>
            <w:r>
              <w:rPr>
                <w:rFonts w:ascii="宋体"/>
                <w:sz w:val="18"/>
              </w:rPr>
              <w:t>-1,247,16</w:t>
            </w:r>
          </w:p>
          <w:p>
            <w:pPr>
              <w:pStyle w:val="TableParagraph"/>
              <w:spacing w:line="240" w:lineRule="auto" w:before="76"/>
              <w:ind w:left="476" w:right="0"/>
              <w:jc w:val="left"/>
              <w:rPr>
                <w:rFonts w:ascii="宋体" w:hAnsi="宋体" w:cs="宋体" w:eastAsia="宋体" w:hint="default"/>
                <w:sz w:val="18"/>
                <w:szCs w:val="18"/>
              </w:rPr>
            </w:pPr>
            <w:r>
              <w:rPr>
                <w:rFonts w:ascii="宋体"/>
                <w:sz w:val="18"/>
              </w:rPr>
              <w:t>6.01</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23,443,38</w:t>
            </w:r>
          </w:p>
          <w:p>
            <w:pPr>
              <w:pStyle w:val="TableParagraph"/>
              <w:spacing w:line="240" w:lineRule="auto" w:before="76"/>
              <w:ind w:left="475" w:right="0"/>
              <w:jc w:val="left"/>
              <w:rPr>
                <w:rFonts w:ascii="宋体" w:hAnsi="宋体" w:cs="宋体" w:eastAsia="宋体" w:hint="default"/>
                <w:sz w:val="18"/>
                <w:szCs w:val="18"/>
              </w:rPr>
            </w:pPr>
            <w:r>
              <w:rPr>
                <w:rFonts w:ascii="宋体"/>
                <w:sz w:val="18"/>
              </w:rPr>
              <w:t>7.63</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left="25" w:right="0"/>
              <w:jc w:val="left"/>
              <w:rPr>
                <w:rFonts w:ascii="宋体" w:hAnsi="宋体" w:cs="宋体" w:eastAsia="宋体" w:hint="default"/>
                <w:sz w:val="18"/>
                <w:szCs w:val="18"/>
              </w:rPr>
            </w:pPr>
            <w:r>
              <w:rPr>
                <w:rFonts w:ascii="宋体"/>
                <w:sz w:val="18"/>
              </w:rPr>
              <w:t>-40,196,9</w:t>
            </w:r>
          </w:p>
          <w:p>
            <w:pPr>
              <w:pStyle w:val="TableParagraph"/>
              <w:spacing w:line="240" w:lineRule="auto" w:before="76"/>
              <w:ind w:left="385" w:right="0"/>
              <w:jc w:val="left"/>
              <w:rPr>
                <w:rFonts w:ascii="宋体" w:hAnsi="宋体" w:cs="宋体" w:eastAsia="宋体" w:hint="default"/>
                <w:sz w:val="18"/>
                <w:szCs w:val="18"/>
              </w:rPr>
            </w:pPr>
            <w:r>
              <w:rPr>
                <w:rFonts w:ascii="宋体"/>
                <w:sz w:val="18"/>
              </w:rPr>
              <w:t>38.10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988,885.0</w:t>
            </w:r>
          </w:p>
          <w:p>
            <w:pPr>
              <w:pStyle w:val="TableParagraph"/>
              <w:spacing w:line="240" w:lineRule="auto" w:before="76"/>
              <w:ind w:right="23"/>
              <w:jc w:val="right"/>
              <w:rPr>
                <w:rFonts w:ascii="宋体" w:hAnsi="宋体" w:cs="宋体" w:eastAsia="宋体" w:hint="default"/>
                <w:sz w:val="18"/>
                <w:szCs w:val="18"/>
              </w:rPr>
            </w:pPr>
            <w:r>
              <w:rPr>
                <w:rFonts w:ascii="宋体"/>
                <w:sz w:val="18"/>
              </w:rPr>
              <w:t>0</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-304,926.</w:t>
            </w:r>
          </w:p>
          <w:p>
            <w:pPr>
              <w:pStyle w:val="TableParagraph"/>
              <w:spacing w:line="240" w:lineRule="auto" w:before="76"/>
              <w:ind w:right="23"/>
              <w:jc w:val="right"/>
              <w:rPr>
                <w:rFonts w:ascii="宋体" w:hAnsi="宋体" w:cs="宋体" w:eastAsia="宋体" w:hint="default"/>
                <w:sz w:val="18"/>
                <w:szCs w:val="18"/>
              </w:rPr>
            </w:pPr>
            <w:r>
              <w:rPr>
                <w:rFonts w:ascii="宋体"/>
                <w:sz w:val="18"/>
              </w:rPr>
              <w:t>23</w:t>
            </w:r>
          </w:p>
        </w:tc>
        <w:tc>
          <w:tcPr>
            <w:tcW w:w="869" w:type="dxa"/>
            <w:vMerge w:val="restart"/>
            <w:tcBorders>
              <w:top w:val="single" w:sz="4" w:space="0" w:color="000000"/>
              <w:left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-168,540.</w:t>
            </w:r>
          </w:p>
          <w:p>
            <w:pPr>
              <w:pStyle w:val="TableParagraph"/>
              <w:spacing w:line="240" w:lineRule="auto" w:before="76"/>
              <w:ind w:right="23"/>
              <w:jc w:val="right"/>
              <w:rPr>
                <w:rFonts w:ascii="宋体" w:hAnsi="宋体" w:cs="宋体" w:eastAsia="宋体" w:hint="default"/>
                <w:sz w:val="18"/>
                <w:szCs w:val="18"/>
              </w:rPr>
            </w:pPr>
            <w:r>
              <w:rPr>
                <w:rFonts w:ascii="宋体"/>
                <w:sz w:val="18"/>
              </w:rPr>
              <w:t>40</w:t>
            </w:r>
          </w:p>
        </w:tc>
        <w:tc>
          <w:tcPr>
            <w:tcW w:w="870"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c>
          <w:tcPr>
            <w:tcW w:w="869" w:type="dxa"/>
            <w:vMerge w:val="restart"/>
            <w:tcBorders>
              <w:top w:val="single" w:sz="4" w:space="0" w:color="000000"/>
              <w:left w:val="single" w:sz="4" w:space="0" w:color="000000"/>
              <w:right w:val="single" w:sz="4" w:space="0" w:color="000000"/>
            </w:tcBorders>
          </w:tcPr>
          <w:p>
            <w:pPr/>
          </w:p>
        </w:tc>
      </w:tr>
      <w:tr>
        <w:trPr>
          <w:trHeight w:val="391" w:hRule="exact"/>
        </w:trPr>
        <w:tc>
          <w:tcPr>
            <w:tcW w:w="8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880" w:type="dxa"/>
            <w:vMerge/>
            <w:tcBorders>
              <w:left w:val="single" w:sz="9" w:space="0" w:color="D2D2D2"/>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c>
          <w:tcPr>
            <w:tcW w:w="869" w:type="dxa"/>
            <w:vMerge/>
            <w:tcBorders>
              <w:left w:val="single" w:sz="4" w:space="0" w:color="000000"/>
              <w:right w:val="single" w:sz="4" w:space="0" w:color="000000"/>
            </w:tcBorders>
          </w:tcPr>
          <w:p>
            <w:pPr/>
          </w:p>
        </w:tc>
      </w:tr>
      <w:tr>
        <w:trPr>
          <w:trHeight w:val="162" w:hRule="exact"/>
        </w:trPr>
        <w:tc>
          <w:tcPr>
            <w:tcW w:w="846" w:type="dxa"/>
            <w:tcBorders>
              <w:top w:val="nil" w:sz="6" w:space="0" w:color="auto"/>
              <w:left w:val="single" w:sz="4" w:space="0" w:color="000000"/>
              <w:bottom w:val="single" w:sz="4" w:space="0" w:color="000000"/>
              <w:right w:val="single" w:sz="4" w:space="0" w:color="000000"/>
            </w:tcBorders>
            <w:shd w:val="clear" w:color="auto" w:fill="D2D2D2"/>
          </w:tcPr>
          <w:p>
            <w:pPr/>
          </w:p>
        </w:tc>
        <w:tc>
          <w:tcPr>
            <w:tcW w:w="880" w:type="dxa"/>
            <w:vMerge/>
            <w:tcBorders>
              <w:left w:val="single" w:sz="9" w:space="0" w:color="D2D2D2"/>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c>
          <w:tcPr>
            <w:tcW w:w="869"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4）不重要的合营企业和联营企业的汇总财务信息" w:id="409"/>
      <w:bookmarkEnd w:id="409"/>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）不重要的合营企业和联营企业的汇总财务信息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合营企业或联营企业向本公司转移资金的能力存在重大限制的说明" w:id="410"/>
      <w:bookmarkEnd w:id="410"/>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）合营企业或联营企业向本公司转移资金的能力存在重大限制的说明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6）合营企业或联营企业发生的超额亏损" w:id="411"/>
      <w:bookmarkEnd w:id="411"/>
      <w:r>
        <w:rPr/>
      </w:r>
      <w:r>
        <w:rPr>
          <w:rFonts w:ascii="宋体" w:hAnsi="宋体" w:cs="宋体" w:eastAsia="宋体" w:hint="default"/>
          <w:b/>
          <w:bCs/>
          <w:sz w:val="21"/>
          <w:szCs w:val="21"/>
        </w:rPr>
        <w:t>（</w:t>
      </w:r>
      <w:r>
        <w:rPr>
          <w:rFonts w:ascii="宋体" w:hAnsi="宋体" w:cs="宋体" w:eastAsia="宋体" w:hint="default"/>
          <w:b/>
          <w:bCs/>
          <w:sz w:val="21"/>
          <w:szCs w:val="21"/>
        </w:rPr>
        <w:t>6</w:t>
      </w:r>
      <w:r>
        <w:rPr>
          <w:rFonts w:ascii="宋体" w:hAnsi="宋体" w:cs="宋体" w:eastAsia="宋体" w:hint="default"/>
          <w:b/>
          <w:bCs/>
          <w:sz w:val="21"/>
          <w:szCs w:val="21"/>
        </w:rPr>
        <w:t>）合营企业或联营企业发生的超额亏损</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7）与合营企业投资相关的未确认承诺" w:id="412"/>
      <w:bookmarkEnd w:id="412"/>
      <w:r>
        <w:rPr/>
      </w:r>
      <w:r>
        <w:rPr>
          <w:rFonts w:ascii="宋体" w:hAnsi="宋体" w:cs="宋体" w:eastAsia="宋体" w:hint="default"/>
          <w:b/>
          <w:bCs/>
          <w:sz w:val="21"/>
          <w:szCs w:val="21"/>
        </w:rPr>
        <w:t>（</w:t>
      </w:r>
      <w:r>
        <w:rPr>
          <w:rFonts w:ascii="宋体" w:hAnsi="宋体" w:cs="宋体" w:eastAsia="宋体" w:hint="default"/>
          <w:b/>
          <w:bCs/>
          <w:sz w:val="21"/>
          <w:szCs w:val="21"/>
        </w:rPr>
        <w:t>7</w:t>
      </w:r>
      <w:r>
        <w:rPr>
          <w:rFonts w:ascii="宋体" w:hAnsi="宋体" w:cs="宋体" w:eastAsia="宋体" w:hint="default"/>
          <w:b/>
          <w:bCs/>
          <w:sz w:val="21"/>
          <w:szCs w:val="21"/>
        </w:rPr>
        <w:t>）与合营企业投资相关的未确认承诺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8）与合营企业或联营企业投资相关的或有负债" w:id="413"/>
      <w:bookmarkEnd w:id="413"/>
      <w:r>
        <w:rPr/>
      </w:r>
      <w:r>
        <w:rPr>
          <w:rFonts w:ascii="宋体" w:hAnsi="宋体" w:cs="宋体" w:eastAsia="宋体" w:hint="default"/>
          <w:b/>
          <w:bCs/>
          <w:sz w:val="21"/>
          <w:szCs w:val="21"/>
        </w:rPr>
        <w:t>（</w:t>
      </w:r>
      <w:r>
        <w:rPr>
          <w:rFonts w:ascii="宋体" w:hAnsi="宋体" w:cs="宋体" w:eastAsia="宋体" w:hint="default"/>
          <w:b/>
          <w:bCs/>
          <w:sz w:val="21"/>
          <w:szCs w:val="21"/>
        </w:rPr>
        <w:t>8</w:t>
      </w:r>
      <w:r>
        <w:rPr>
          <w:rFonts w:ascii="宋体" w:hAnsi="宋体" w:cs="宋体" w:eastAsia="宋体" w:hint="default"/>
          <w:b/>
          <w:bCs/>
          <w:sz w:val="21"/>
          <w:szCs w:val="21"/>
        </w:rPr>
        <w:t>）与合营企业或联营企业投资相关的或有负债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7"/>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重要的共同经营" w:id="414"/>
      <w:bookmarkEnd w:id="414"/>
      <w:r>
        <w:rPr/>
      </w:r>
      <w:r>
        <w:rPr>
          <w:rFonts w:ascii="宋体" w:hAnsi="宋体" w:cs="宋体" w:eastAsia="宋体" w:hint="default"/>
          <w:b/>
          <w:bCs/>
          <w:sz w:val="21"/>
          <w:szCs w:val="21"/>
        </w:rPr>
        <w:t>4</w:t>
      </w:r>
      <w:r>
        <w:rPr>
          <w:rFonts w:ascii="宋体" w:hAnsi="宋体" w:cs="宋体" w:eastAsia="宋体" w:hint="default"/>
          <w:b/>
          <w:bCs/>
          <w:sz w:val="21"/>
          <w:szCs w:val="21"/>
        </w:rPr>
        <w:t>、重要的共同经营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在未纳入合并财务报表范围的结构化主体中的权益" w:id="415"/>
      <w:bookmarkEnd w:id="415"/>
      <w:r>
        <w:rPr/>
      </w:r>
      <w:r>
        <w:rPr>
          <w:rFonts w:ascii="宋体" w:hAnsi="宋体" w:cs="宋体" w:eastAsia="宋体" w:hint="default"/>
          <w:b/>
          <w:bCs/>
          <w:sz w:val="21"/>
          <w:szCs w:val="21"/>
        </w:rPr>
        <w:t>5</w:t>
      </w:r>
      <w:r>
        <w:rPr>
          <w:rFonts w:ascii="宋体" w:hAnsi="宋体" w:cs="宋体" w:eastAsia="宋体" w:hint="default"/>
          <w:b/>
          <w:bCs/>
          <w:sz w:val="21"/>
          <w:szCs w:val="21"/>
        </w:rPr>
        <w:t>、在未纳入合并财务报表范围的结构化主体中的权益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4" w:lineRule="auto" w:before="133"/>
        <w:ind w:left="634" w:right="4752"/>
        <w:jc w:val="left"/>
      </w:pPr>
      <w:r>
        <w:rPr/>
        <w:t>未纳入合并财务报表范围的结构化主体的相关说明： 不适用</w:t>
      </w:r>
    </w:p>
    <w:p>
      <w:pPr>
        <w:spacing w:before="203"/>
        <w:ind w:left="154" w:right="1092" w:firstLine="0"/>
        <w:jc w:val="left"/>
        <w:rPr>
          <w:rFonts w:ascii="宋体" w:hAnsi="宋体" w:cs="宋体" w:eastAsia="宋体" w:hint="default"/>
          <w:sz w:val="21"/>
          <w:szCs w:val="21"/>
        </w:rPr>
      </w:pPr>
      <w:bookmarkStart w:name="6、其他" w:id="416"/>
      <w:bookmarkEnd w:id="416"/>
      <w:r>
        <w:rPr/>
      </w:r>
      <w:r>
        <w:rPr>
          <w:rFonts w:ascii="宋体" w:hAnsi="宋体" w:cs="宋体" w:eastAsia="宋体" w:hint="default"/>
          <w:b/>
          <w:bCs/>
          <w:sz w:val="21"/>
          <w:szCs w:val="21"/>
        </w:rPr>
        <w:t>6</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Heading2"/>
        <w:spacing w:line="525" w:lineRule="auto" w:before="133"/>
        <w:ind w:right="7152" w:firstLine="480"/>
        <w:jc w:val="left"/>
        <w:rPr>
          <w:b w:val="0"/>
          <w:bCs w:val="0"/>
        </w:rPr>
      </w:pPr>
      <w:r>
        <w:rPr>
          <w:rFonts w:ascii="宋体" w:hAnsi="宋体" w:cs="宋体" w:eastAsia="宋体" w:hint="default"/>
          <w:b w:val="0"/>
          <w:bCs w:val="0"/>
        </w:rPr>
        <w:t>无。 </w:t>
      </w:r>
      <w:bookmarkStart w:name="十、与金融工具相关的风险" w:id="417"/>
      <w:bookmarkEnd w:id="417"/>
      <w:r>
        <w:rPr>
          <w:rFonts w:ascii="宋体" w:hAnsi="宋体" w:cs="宋体" w:eastAsia="宋体" w:hint="default"/>
          <w:b w:val="0"/>
          <w:bCs w:val="0"/>
        </w:rPr>
      </w:r>
      <w:r>
        <w:rPr>
          <w:w w:val="95"/>
        </w:rPr>
        <w:t>十、与金融工具相关的风险</w:t>
      </w:r>
      <w:r>
        <w:rPr>
          <w:b w:val="0"/>
          <w:bCs w:val="0"/>
        </w:rPr>
      </w:r>
    </w:p>
    <w:p>
      <w:pPr>
        <w:pStyle w:val="BodyText"/>
        <w:spacing w:line="357" w:lineRule="auto" w:before="91"/>
        <w:ind w:right="1137" w:firstLine="480"/>
        <w:jc w:val="both"/>
      </w:pPr>
      <w:r>
        <w:rPr/>
        <w:t>本集团的主要金融工具包括货币资金、借款、应收款项、应付款项、可供出售金融资产 等，各项金融工具的详细情况说明见本附注六。与这些金融工具有关的风险，以及本集团为 降低这些风险所采取的风险管理政策如下所述。本集团管理层对这些风险敞口进行管理和监</w:t>
      </w:r>
    </w:p>
    <w:p>
      <w:pPr>
        <w:spacing w:after="0" w:line="357" w:lineRule="auto"/>
        <w:jc w:val="both"/>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434" w:lineRule="auto" w:before="26"/>
        <w:ind w:left="694" w:right="5952" w:hanging="480"/>
        <w:jc w:val="left"/>
      </w:pPr>
      <w:r>
        <w:rPr/>
        <w:t>控以确保将上述风险控制在限定的范围之内。 </w:t>
      </w:r>
      <w:r>
        <w:rPr>
          <w:rFonts w:ascii="宋体" w:hAnsi="宋体" w:cs="宋体" w:eastAsia="宋体" w:hint="default"/>
        </w:rPr>
        <w:t>1</w:t>
      </w:r>
      <w:r>
        <w:rPr/>
        <w:t>、各类风险管理目标和政策</w:t>
      </w:r>
    </w:p>
    <w:p>
      <w:pPr>
        <w:pStyle w:val="BodyText"/>
        <w:spacing w:line="357" w:lineRule="auto" w:before="59"/>
        <w:ind w:left="214" w:right="1139" w:firstLine="480"/>
        <w:jc w:val="both"/>
      </w:pPr>
      <w:r>
        <w:rPr/>
        <w:t>本集团从事风险管理的目标是在风险和收益之间取得适当的平衡，将风险对本集团经营 业绩的负面影响降低到最低水平，使股东及其它权益投资者的利益最大化。基于该风险管理 目标，本集团风险管理的基本策略是确定和分析本集团所面临的各种风险，建立适当的风险 承受底线并进行风险管理，并及时可靠地对各种风险进行监督，将风险控制在限定的范围之 内。</w:t>
      </w:r>
    </w:p>
    <w:p>
      <w:pPr>
        <w:pStyle w:val="BodyText"/>
        <w:spacing w:line="434" w:lineRule="auto" w:before="136"/>
        <w:ind w:left="694" w:right="8712"/>
        <w:jc w:val="left"/>
      </w:pPr>
      <w:r>
        <w:rPr/>
        <w:t>（</w:t>
      </w:r>
      <w:r>
        <w:rPr>
          <w:rFonts w:ascii="宋体" w:hAnsi="宋体" w:cs="宋体" w:eastAsia="宋体" w:hint="default"/>
        </w:rPr>
        <w:t>1</w:t>
      </w:r>
      <w:r>
        <w:rPr/>
        <w:t>）市场风险 </w:t>
      </w:r>
      <w:r>
        <w:rPr>
          <w:rFonts w:ascii="宋体" w:hAnsi="宋体" w:cs="宋体" w:eastAsia="宋体" w:hint="default"/>
        </w:rPr>
        <w:t>1</w:t>
      </w:r>
      <w:r>
        <w:rPr/>
        <w:t>）汇率风险</w:t>
      </w:r>
    </w:p>
    <w:p>
      <w:pPr>
        <w:pStyle w:val="BodyText"/>
        <w:spacing w:line="357" w:lineRule="auto" w:before="59"/>
        <w:ind w:left="214" w:right="1131" w:firstLine="480"/>
        <w:jc w:val="both"/>
      </w:pPr>
      <w:r>
        <w:rPr/>
        <w:t>本集团承受汇率风险主要与美元与日元有关，其它主要业务活动以人民币计价结算。于 </w:t>
      </w:r>
      <w:r>
        <w:rPr>
          <w:rFonts w:ascii="宋体" w:hAnsi="宋体" w:cs="宋体" w:eastAsia="宋体" w:hint="default"/>
        </w:rPr>
        <w:t>2018</w:t>
      </w:r>
      <w:r>
        <w:rPr>
          <w:rFonts w:ascii="宋体" w:hAnsi="宋体" w:cs="宋体" w:eastAsia="宋体" w:hint="default"/>
          <w:spacing w:val="-65"/>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31</w:t>
      </w:r>
      <w:r>
        <w:rPr>
          <w:rFonts w:ascii="宋体" w:hAnsi="宋体" w:cs="宋体" w:eastAsia="宋体" w:hint="default"/>
          <w:spacing w:val="-65"/>
        </w:rPr>
        <w:t> </w:t>
      </w:r>
      <w:r>
        <w:rPr/>
        <w:t>日，除下表所述资产及负债的美元余额外，本集团的资产及负债均为人民币 余额。</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01" w:type="dxa"/>
        <w:tblLayout w:type="fixed"/>
        <w:tblCellMar>
          <w:top w:w="0" w:type="dxa"/>
          <w:left w:w="0" w:type="dxa"/>
          <w:bottom w:w="0" w:type="dxa"/>
          <w:right w:w="0" w:type="dxa"/>
        </w:tblCellMar>
        <w:tblLook w:val="01E0"/>
      </w:tblPr>
      <w:tblGrid>
        <w:gridCol w:w="4244"/>
        <w:gridCol w:w="2860"/>
        <w:gridCol w:w="2752"/>
      </w:tblGrid>
      <w:tr>
        <w:trPr>
          <w:trHeight w:val="402" w:hRule="exact"/>
        </w:trPr>
        <w:tc>
          <w:tcPr>
            <w:tcW w:w="42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7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2" w:hRule="exact"/>
        </w:trPr>
        <w:tc>
          <w:tcPr>
            <w:tcW w:w="4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w:t>
            </w:r>
            <w:r>
              <w:rPr>
                <w:rFonts w:ascii="宋体" w:hAnsi="宋体" w:cs="宋体" w:eastAsia="宋体" w:hint="default"/>
                <w:sz w:val="18"/>
                <w:szCs w:val="18"/>
              </w:rPr>
              <w:t>美元</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5,468,097.91</w:t>
            </w:r>
          </w:p>
        </w:tc>
        <w:tc>
          <w:tcPr>
            <w:tcW w:w="2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558" w:right="0"/>
              <w:jc w:val="left"/>
              <w:rPr>
                <w:rFonts w:ascii="宋体" w:hAnsi="宋体" w:cs="宋体" w:eastAsia="宋体" w:hint="default"/>
                <w:sz w:val="18"/>
                <w:szCs w:val="18"/>
              </w:rPr>
            </w:pPr>
            <w:r>
              <w:rPr>
                <w:rFonts w:ascii="宋体"/>
                <w:sz w:val="18"/>
              </w:rPr>
              <w:t>3,757,387.59</w:t>
            </w:r>
          </w:p>
        </w:tc>
      </w:tr>
      <w:tr>
        <w:trPr>
          <w:trHeight w:val="323" w:hRule="exact"/>
        </w:trPr>
        <w:tc>
          <w:tcPr>
            <w:tcW w:w="4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w:t>
            </w:r>
            <w:r>
              <w:rPr>
                <w:rFonts w:ascii="宋体" w:hAnsi="宋体" w:cs="宋体" w:eastAsia="宋体" w:hint="default"/>
                <w:sz w:val="18"/>
                <w:szCs w:val="18"/>
              </w:rPr>
              <w:t>日元</w:t>
            </w:r>
          </w:p>
        </w:tc>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108,964,612.00</w:t>
            </w:r>
          </w:p>
        </w:tc>
        <w:tc>
          <w:tcPr>
            <w:tcW w:w="275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434" w:lineRule="auto" w:before="26"/>
        <w:ind w:left="694" w:right="1120"/>
        <w:jc w:val="left"/>
      </w:pPr>
      <w:r>
        <w:rPr>
          <w:rFonts w:ascii="宋体" w:hAnsi="宋体" w:cs="宋体" w:eastAsia="宋体" w:hint="default"/>
        </w:rPr>
        <w:t>2)</w:t>
      </w:r>
      <w:r>
        <w:rPr/>
        <w:t>利率风险 本集团的利率风险产生于银行借款带息债务。浮动利率的金融负债使本集团面临现金流</w:t>
      </w:r>
    </w:p>
    <w:p>
      <w:pPr>
        <w:pStyle w:val="BodyText"/>
        <w:spacing w:line="274" w:lineRule="exact"/>
        <w:ind w:left="214" w:right="1120"/>
        <w:jc w:val="left"/>
      </w:pPr>
      <w:r>
        <w:rPr/>
        <w:t>量利率风险，固定利率的金融负债使本集团面临公允价值利率风险。本集团根据当时的市场</w:t>
      </w:r>
    </w:p>
    <w:p>
      <w:pPr>
        <w:pStyle w:val="BodyText"/>
        <w:spacing w:line="240" w:lineRule="auto" w:before="154"/>
        <w:ind w:left="214" w:right="998"/>
        <w:jc w:val="left"/>
      </w:pPr>
      <w:r>
        <w:rPr/>
        <w:t>环境来决定固定利率及浮动利率合同的相对比例。于</w:t>
      </w:r>
      <w:r>
        <w:rPr>
          <w:spacing w:val="-66"/>
        </w:rPr>
        <w:t> </w:t>
      </w:r>
      <w:r>
        <w:rPr>
          <w:rFonts w:ascii="宋体" w:hAnsi="宋体" w:cs="宋体" w:eastAsia="宋体" w:hint="default"/>
        </w:rPr>
        <w:t>2018</w:t>
      </w:r>
      <w:r>
        <w:rPr>
          <w:rFonts w:ascii="宋体" w:hAnsi="宋体" w:cs="宋体" w:eastAsia="宋体" w:hint="default"/>
          <w:spacing w:val="-66"/>
        </w:rPr>
        <w:t> </w:t>
      </w:r>
      <w:r>
        <w:rPr/>
        <w:t>年</w:t>
      </w:r>
      <w:r>
        <w:rPr>
          <w:spacing w:val="-66"/>
        </w:rPr>
        <w:t> </w:t>
      </w:r>
      <w:r>
        <w:rPr>
          <w:rFonts w:ascii="宋体" w:hAnsi="宋体" w:cs="宋体" w:eastAsia="宋体" w:hint="default"/>
        </w:rPr>
        <w:t>12</w:t>
      </w:r>
      <w:r>
        <w:rPr>
          <w:rFonts w:ascii="宋体" w:hAnsi="宋体" w:cs="宋体" w:eastAsia="宋体" w:hint="default"/>
          <w:spacing w:val="-66"/>
        </w:rPr>
        <w:t> </w:t>
      </w:r>
      <w:r>
        <w:rPr/>
        <w:t>月</w:t>
      </w:r>
      <w:r>
        <w:rPr>
          <w:spacing w:val="-66"/>
        </w:rPr>
        <w:t> </w:t>
      </w:r>
      <w:r>
        <w:rPr>
          <w:rFonts w:ascii="宋体" w:hAnsi="宋体" w:cs="宋体" w:eastAsia="宋体" w:hint="default"/>
        </w:rPr>
        <w:t>31</w:t>
      </w:r>
      <w:r>
        <w:rPr>
          <w:rFonts w:ascii="宋体" w:hAnsi="宋体" w:cs="宋体" w:eastAsia="宋体" w:hint="default"/>
          <w:spacing w:val="-66"/>
        </w:rPr>
        <w:t> </w:t>
      </w:r>
      <w:r>
        <w:rPr>
          <w:spacing w:val="-5"/>
        </w:rPr>
        <w:t>日，本集团的带息债务</w:t>
      </w:r>
    </w:p>
    <w:p>
      <w:pPr>
        <w:pStyle w:val="BodyText"/>
        <w:spacing w:line="240" w:lineRule="auto" w:before="155"/>
        <w:ind w:left="214" w:right="1120"/>
        <w:jc w:val="left"/>
      </w:pPr>
      <w:r>
        <w:rPr/>
        <w:t>主要为人民币计价的浮动利率借款合同，金额合计为</w:t>
      </w:r>
      <w:r>
        <w:rPr>
          <w:spacing w:val="-60"/>
        </w:rPr>
        <w:t> </w:t>
      </w:r>
      <w:r>
        <w:rPr>
          <w:rFonts w:ascii="宋体" w:hAnsi="宋体" w:cs="宋体" w:eastAsia="宋体" w:hint="default"/>
        </w:rPr>
        <w:t>10,000</w:t>
      </w:r>
      <w:r>
        <w:rPr>
          <w:rFonts w:ascii="宋体" w:hAnsi="宋体" w:cs="宋体" w:eastAsia="宋体" w:hint="default"/>
          <w:spacing w:val="-60"/>
        </w:rPr>
        <w:t> </w:t>
      </w:r>
      <w:r>
        <w:rPr/>
        <w:t>万元。</w:t>
      </w:r>
    </w:p>
    <w:p>
      <w:pPr>
        <w:spacing w:line="240" w:lineRule="auto" w:before="5"/>
        <w:rPr>
          <w:rFonts w:ascii="宋体" w:hAnsi="宋体" w:cs="宋体" w:eastAsia="宋体" w:hint="default"/>
          <w:sz w:val="19"/>
          <w:szCs w:val="19"/>
        </w:rPr>
      </w:pPr>
    </w:p>
    <w:p>
      <w:pPr>
        <w:pStyle w:val="BodyText"/>
        <w:spacing w:line="240" w:lineRule="auto"/>
        <w:ind w:left="694" w:right="1120"/>
        <w:jc w:val="left"/>
      </w:pPr>
      <w:r>
        <w:rPr/>
        <w:t>（</w:t>
      </w:r>
      <w:r>
        <w:rPr>
          <w:rFonts w:ascii="宋体" w:hAnsi="宋体" w:cs="宋体" w:eastAsia="宋体" w:hint="default"/>
        </w:rPr>
        <w:t>2</w:t>
      </w:r>
      <w:r>
        <w:rPr/>
        <w:t>）信用风险</w:t>
      </w:r>
    </w:p>
    <w:p>
      <w:pPr>
        <w:spacing w:line="240" w:lineRule="auto" w:before="4"/>
        <w:rPr>
          <w:rFonts w:ascii="宋体" w:hAnsi="宋体" w:cs="宋体" w:eastAsia="宋体" w:hint="default"/>
          <w:sz w:val="19"/>
          <w:szCs w:val="19"/>
        </w:rPr>
      </w:pPr>
    </w:p>
    <w:p>
      <w:pPr>
        <w:pStyle w:val="BodyText"/>
        <w:spacing w:line="357" w:lineRule="auto"/>
        <w:ind w:left="214" w:right="1131" w:firstLine="480"/>
        <w:jc w:val="both"/>
      </w:pPr>
      <w:r>
        <w:rPr/>
        <w:t>于</w:t>
      </w:r>
      <w:r>
        <w:rPr>
          <w:spacing w:val="-59"/>
        </w:rPr>
        <w:t> </w:t>
      </w:r>
      <w:r>
        <w:rPr>
          <w:rFonts w:ascii="宋体" w:hAnsi="宋体" w:cs="宋体" w:eastAsia="宋体" w:hint="default"/>
        </w:rPr>
        <w:t>2018</w:t>
      </w:r>
      <w:r>
        <w:rPr>
          <w:rFonts w:ascii="宋体" w:hAnsi="宋体" w:cs="宋体" w:eastAsia="宋体" w:hint="default"/>
          <w:spacing w:val="-59"/>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31</w:t>
      </w:r>
      <w:r>
        <w:rPr>
          <w:rFonts w:ascii="宋体" w:hAnsi="宋体" w:cs="宋体" w:eastAsia="宋体" w:hint="default"/>
          <w:spacing w:val="-59"/>
        </w:rPr>
        <w:t> </w:t>
      </w:r>
      <w:r>
        <w:rPr>
          <w:spacing w:val="-3"/>
        </w:rPr>
        <w:t>日，可能引起本集团财务损失的最大信用风险敞口主要来自于合同另</w:t>
      </w:r>
      <w:r>
        <w:rPr/>
        <w:t> 一方未能履行义务而导致本集团金融资产产生的损失，具体包括合并资产负债表中已确认的 金融资产的账面金额。</w:t>
      </w:r>
    </w:p>
    <w:p>
      <w:pPr>
        <w:pStyle w:val="BodyText"/>
        <w:spacing w:line="357" w:lineRule="auto" w:before="136"/>
        <w:ind w:left="214" w:right="1133" w:firstLine="480"/>
        <w:jc w:val="both"/>
      </w:pPr>
      <w:r>
        <w:rPr/>
        <w:t>为降低信用风险，本集团成立专门部门确定信用额度、进行信用审批，并执行其它监控 程序以确保采取必要的措施回收过期债权。此外，本集团于每个资产负债表日审核每一单项 应收款的回收情况，以确保就无法回收的款项计提充分的坏账准备。因此，本集团管理层认</w:t>
      </w:r>
    </w:p>
    <w:p>
      <w:pPr>
        <w:spacing w:after="0" w:line="357" w:lineRule="auto"/>
        <w:jc w:val="both"/>
        <w:sectPr>
          <w:pgSz w:w="11910" w:h="16840"/>
          <w:pgMar w:header="877" w:footer="979" w:top="1100" w:bottom="1160" w:left="920" w:right="0"/>
        </w:sectPr>
      </w:pPr>
    </w:p>
    <w:p>
      <w:pPr>
        <w:spacing w:line="240" w:lineRule="auto" w:before="9"/>
        <w:rPr>
          <w:rFonts w:ascii="宋体" w:hAnsi="宋体" w:cs="宋体" w:eastAsia="宋体" w:hint="default"/>
          <w:sz w:val="25"/>
          <w:szCs w:val="25"/>
        </w:rPr>
      </w:pPr>
    </w:p>
    <w:p>
      <w:pPr>
        <w:pStyle w:val="BodyText"/>
        <w:spacing w:line="434" w:lineRule="auto" w:before="26"/>
        <w:ind w:left="634" w:right="1092" w:hanging="480"/>
        <w:jc w:val="left"/>
      </w:pPr>
      <w:r>
        <w:rPr/>
        <w:t>为本集团所承担的信用风险已经大为降低。 本集团的流动资金存放在信用评级较高的银行，故流动资金的信用风险较低。 本集团采用了必要的政策确保所有销售客户均具有良好的信用记录。除应收账款金额前</w:t>
      </w:r>
    </w:p>
    <w:p>
      <w:pPr>
        <w:pStyle w:val="BodyText"/>
        <w:spacing w:line="275" w:lineRule="exact"/>
        <w:ind w:right="999"/>
        <w:jc w:val="left"/>
      </w:pPr>
      <w:r>
        <w:rPr/>
        <w:t>五名外，本集团无其他重大信用集中风险。应收账款前五名金额合计：</w:t>
      </w:r>
      <w:r>
        <w:rPr>
          <w:rFonts w:ascii="宋体" w:hAnsi="宋体" w:cs="宋体" w:eastAsia="宋体" w:hint="default"/>
        </w:rPr>
        <w:t>143,359,078.72</w:t>
      </w:r>
      <w:r>
        <w:rPr>
          <w:rFonts w:ascii="宋体" w:hAnsi="宋体" w:cs="宋体" w:eastAsia="宋体" w:hint="default"/>
          <w:spacing w:val="-59"/>
        </w:rPr>
        <w:t> </w:t>
      </w:r>
      <w:r>
        <w:rPr/>
        <w:t>元。</w:t>
      </w:r>
    </w:p>
    <w:p>
      <w:pPr>
        <w:spacing w:line="240" w:lineRule="auto" w:before="5"/>
        <w:rPr>
          <w:rFonts w:ascii="宋体" w:hAnsi="宋体" w:cs="宋体" w:eastAsia="宋体" w:hint="default"/>
          <w:sz w:val="19"/>
          <w:szCs w:val="19"/>
        </w:rPr>
      </w:pPr>
    </w:p>
    <w:p>
      <w:pPr>
        <w:pStyle w:val="BodyText"/>
        <w:spacing w:line="432" w:lineRule="auto"/>
        <w:ind w:left="634" w:right="1092"/>
        <w:jc w:val="left"/>
      </w:pPr>
      <w:r>
        <w:rPr/>
        <w:t>（</w:t>
      </w:r>
      <w:r>
        <w:rPr>
          <w:rFonts w:ascii="宋体" w:hAnsi="宋体" w:cs="宋体" w:eastAsia="宋体" w:hint="default"/>
        </w:rPr>
        <w:t>3</w:t>
      </w:r>
      <w:r>
        <w:rPr/>
        <w:t>）流动风险 流动风险为本集团在到期日无法履行其财务义务的风险。本集团管理流动性风险的方法</w:t>
      </w:r>
    </w:p>
    <w:p>
      <w:pPr>
        <w:pStyle w:val="BodyText"/>
        <w:spacing w:line="276" w:lineRule="exact"/>
        <w:ind w:right="1092"/>
        <w:jc w:val="left"/>
      </w:pPr>
      <w:r>
        <w:rPr/>
        <w:t>是确保有足够的资金流动性来履行到期债务，而不至于造成不可接受的损失或对企业信誉造</w:t>
      </w:r>
    </w:p>
    <w:p>
      <w:pPr>
        <w:pStyle w:val="BodyText"/>
        <w:spacing w:line="357" w:lineRule="auto" w:before="154"/>
        <w:ind w:right="1136"/>
        <w:jc w:val="both"/>
      </w:pPr>
      <w:r>
        <w:rPr/>
        <w:t>成损害。本集团定期分析负债结构和期限，以确保有充裕的资金。本集团管理层对银行借款</w:t>
      </w:r>
      <w:r>
        <w:rPr>
          <w:spacing w:val="-117"/>
        </w:rPr>
        <w:t> </w:t>
      </w:r>
      <w:r>
        <w:rPr>
          <w:spacing w:val="-117"/>
        </w:rPr>
      </w:r>
      <w:r>
        <w:rPr/>
        <w:t>的使用情况进行监控并确保遵守借款协议。同时与金融机构进行融资磋商，以保持一定的授 信额度，减低流动性风险。</w:t>
      </w:r>
    </w:p>
    <w:p>
      <w:pPr>
        <w:spacing w:line="240" w:lineRule="auto" w:before="10"/>
        <w:rPr>
          <w:rFonts w:ascii="宋体" w:hAnsi="宋体" w:cs="宋体" w:eastAsia="宋体" w:hint="default"/>
          <w:sz w:val="19"/>
          <w:szCs w:val="19"/>
        </w:rPr>
      </w:pPr>
    </w:p>
    <w:p>
      <w:pPr>
        <w:pStyle w:val="Heading2"/>
        <w:spacing w:line="240" w:lineRule="auto" w:before="0"/>
        <w:ind w:right="1092"/>
        <w:jc w:val="left"/>
        <w:rPr>
          <w:b w:val="0"/>
          <w:bCs w:val="0"/>
        </w:rPr>
      </w:pPr>
      <w:bookmarkStart w:name="十一、公允价值的披露" w:id="418"/>
      <w:bookmarkEnd w:id="418"/>
      <w:r>
        <w:rPr>
          <w:b w:val="0"/>
          <w:bCs w:val="0"/>
        </w:rPr>
      </w:r>
      <w:r>
        <w:rPr/>
        <w:t>十一、公允价值的披露</w:t>
      </w:r>
      <w:r>
        <w:rPr>
          <w:b w:val="0"/>
          <w:bCs w:val="0"/>
        </w:rPr>
      </w:r>
    </w:p>
    <w:p>
      <w:pPr>
        <w:spacing w:line="240" w:lineRule="auto" w:before="8"/>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以公允价值计量的资产和负债的期末公允价值" w:id="419"/>
      <w:bookmarkEnd w:id="419"/>
      <w:r>
        <w:rPr/>
      </w:r>
      <w:r>
        <w:rPr>
          <w:rFonts w:ascii="宋体" w:hAnsi="宋体" w:cs="宋体" w:eastAsia="宋体" w:hint="default"/>
          <w:b/>
          <w:bCs/>
          <w:sz w:val="21"/>
          <w:szCs w:val="21"/>
        </w:rPr>
        <w:t>1</w:t>
      </w:r>
      <w:r>
        <w:rPr>
          <w:rFonts w:ascii="宋体" w:hAnsi="宋体" w:cs="宋体" w:eastAsia="宋体" w:hint="default"/>
          <w:b/>
          <w:bCs/>
          <w:sz w:val="21"/>
          <w:szCs w:val="21"/>
        </w:rPr>
        <w:t>、以公允价值计量的资产和负债的期末公允价值</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71"/>
        <w:gridCol w:w="1850"/>
        <w:gridCol w:w="1913"/>
        <w:gridCol w:w="1913"/>
        <w:gridCol w:w="1913"/>
      </w:tblGrid>
      <w:tr>
        <w:trPr>
          <w:trHeight w:val="402" w:hRule="exact"/>
        </w:trPr>
        <w:tc>
          <w:tcPr>
            <w:tcW w:w="1971" w:type="dxa"/>
            <w:tcBorders>
              <w:top w:val="single" w:sz="4" w:space="0" w:color="000000"/>
              <w:left w:val="single" w:sz="4" w:space="0" w:color="000000"/>
              <w:bottom w:val="nil" w:sz="6" w:space="0" w:color="auto"/>
              <w:right w:val="single" w:sz="4" w:space="0" w:color="000000"/>
            </w:tcBorders>
            <w:shd w:val="clear" w:color="auto" w:fill="D2D2D2"/>
          </w:tcPr>
          <w:p>
            <w:pPr/>
          </w:p>
        </w:tc>
        <w:tc>
          <w:tcPr>
            <w:tcW w:w="758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161" w:hRule="exact"/>
        </w:trPr>
        <w:tc>
          <w:tcPr>
            <w:tcW w:w="19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5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835"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971" w:type="dxa"/>
            <w:vMerge/>
            <w:tcBorders>
              <w:left w:val="single" w:sz="4" w:space="0" w:color="000000"/>
              <w:bottom w:val="nil" w:sz="6" w:space="0" w:color="auto"/>
              <w:right w:val="single" w:sz="4" w:space="0" w:color="000000"/>
            </w:tcBorders>
            <w:shd w:val="clear" w:color="auto" w:fill="D2D2D2"/>
          </w:tcPr>
          <w:p>
            <w:pPr/>
          </w:p>
        </w:tc>
        <w:tc>
          <w:tcPr>
            <w:tcW w:w="1850" w:type="dxa"/>
            <w:vMerge/>
            <w:tcBorders>
              <w:left w:val="single" w:sz="4" w:space="0" w:color="000000"/>
              <w:right w:val="single" w:sz="4" w:space="0" w:color="000000"/>
            </w:tcBorders>
            <w:shd w:val="clear" w:color="auto" w:fill="D2D2D2"/>
          </w:tcPr>
          <w:p>
            <w:pPr/>
          </w:p>
        </w:tc>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第二层次公允价值计量</w:t>
            </w:r>
          </w:p>
        </w:tc>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第三层次公允价值计量</w:t>
            </w:r>
          </w:p>
        </w:tc>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02" w:hRule="exact"/>
        </w:trPr>
        <w:tc>
          <w:tcPr>
            <w:tcW w:w="1971" w:type="dxa"/>
            <w:vMerge w:val="restart"/>
            <w:tcBorders>
              <w:top w:val="nil" w:sz="6" w:space="0" w:color="auto"/>
              <w:left w:val="single" w:sz="4" w:space="0" w:color="000000"/>
              <w:right w:val="single" w:sz="4" w:space="0" w:color="000000"/>
            </w:tcBorders>
            <w:shd w:val="clear" w:color="auto" w:fill="D2D2D2"/>
          </w:tcPr>
          <w:p>
            <w:pPr/>
          </w:p>
        </w:tc>
        <w:tc>
          <w:tcPr>
            <w:tcW w:w="1850" w:type="dxa"/>
            <w:vMerge/>
            <w:tcBorders>
              <w:left w:val="single" w:sz="4" w:space="0" w:color="000000"/>
              <w:right w:val="single" w:sz="4" w:space="0" w:color="000000"/>
            </w:tcBorders>
            <w:shd w:val="clear" w:color="auto" w:fill="D2D2D2"/>
          </w:tcPr>
          <w:p>
            <w:pPr/>
          </w:p>
        </w:tc>
        <w:tc>
          <w:tcPr>
            <w:tcW w:w="1913" w:type="dxa"/>
            <w:vMerge/>
            <w:tcBorders>
              <w:left w:val="single" w:sz="4" w:space="0" w:color="000000"/>
              <w:bottom w:val="nil" w:sz="6" w:space="0" w:color="auto"/>
              <w:right w:val="single" w:sz="4" w:space="0" w:color="000000"/>
            </w:tcBorders>
            <w:shd w:val="clear" w:color="auto" w:fill="D2D2D2"/>
          </w:tcPr>
          <w:p>
            <w:pPr/>
          </w:p>
        </w:tc>
        <w:tc>
          <w:tcPr>
            <w:tcW w:w="1913" w:type="dxa"/>
            <w:vMerge/>
            <w:tcBorders>
              <w:left w:val="single" w:sz="4" w:space="0" w:color="000000"/>
              <w:bottom w:val="nil" w:sz="6" w:space="0" w:color="auto"/>
              <w:right w:val="single" w:sz="4" w:space="0" w:color="000000"/>
            </w:tcBorders>
            <w:shd w:val="clear" w:color="auto" w:fill="D2D2D2"/>
          </w:tcPr>
          <w:p>
            <w:pPr/>
          </w:p>
        </w:tc>
        <w:tc>
          <w:tcPr>
            <w:tcW w:w="1913"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971" w:type="dxa"/>
            <w:vMerge/>
            <w:tcBorders>
              <w:left w:val="single" w:sz="4" w:space="0" w:color="000000"/>
              <w:bottom w:val="single" w:sz="4" w:space="0" w:color="000000"/>
              <w:right w:val="single" w:sz="4" w:space="0" w:color="000000"/>
            </w:tcBorders>
            <w:shd w:val="clear" w:color="auto" w:fill="D2D2D2"/>
          </w:tcPr>
          <w:p>
            <w:pPr/>
          </w:p>
        </w:tc>
        <w:tc>
          <w:tcPr>
            <w:tcW w:w="1850" w:type="dxa"/>
            <w:vMerge/>
            <w:tcBorders>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4"/>
                <w:sz w:val="18"/>
                <w:szCs w:val="18"/>
              </w:rPr>
              <w:t>一、持续的公允价值计量</w:t>
            </w:r>
          </w:p>
        </w:tc>
        <w:tc>
          <w:tcPr>
            <w:tcW w:w="1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交易性金融资产</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216,395,000.00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216,395,000.00</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）衍生金融资产</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216,395,000.00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216,395,000.00</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）权益工具投资</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50,445,756.99</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50,445,756.99</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（五）交易性金融负债</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22,055,864.54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22,055,864.54</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22,055,864.54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22,055,864.54</w:t>
            </w:r>
          </w:p>
        </w:tc>
      </w:tr>
      <w:tr>
        <w:trPr>
          <w:trHeight w:val="161" w:hRule="exact"/>
        </w:trPr>
        <w:tc>
          <w:tcPr>
            <w:tcW w:w="197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pacing w:val="-4"/>
                <w:sz w:val="18"/>
                <w:szCs w:val="18"/>
              </w:rPr>
              <w:t>二、非持续的公允价值计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w:t>
            </w:r>
          </w:p>
        </w:tc>
        <w:tc>
          <w:tcPr>
            <w:tcW w:w="1850"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971" w:type="dxa"/>
            <w:vMerge/>
            <w:tcBorders>
              <w:left w:val="single" w:sz="4" w:space="0" w:color="000000"/>
              <w:right w:val="single" w:sz="4" w:space="0" w:color="000000"/>
            </w:tcBorders>
            <w:shd w:val="clear" w:color="auto" w:fill="D2D2D2"/>
          </w:tcPr>
          <w:p>
            <w:pPr/>
          </w:p>
        </w:tc>
        <w:tc>
          <w:tcPr>
            <w:tcW w:w="185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sz w:val="18"/>
              </w:rPr>
              <w:t>--</w:t>
            </w:r>
          </w:p>
        </w:tc>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r>
      <w:tr>
        <w:trPr>
          <w:trHeight w:val="161" w:hRule="exact"/>
        </w:trPr>
        <w:tc>
          <w:tcPr>
            <w:tcW w:w="1971" w:type="dxa"/>
            <w:vMerge/>
            <w:tcBorders>
              <w:left w:val="single" w:sz="4" w:space="0" w:color="000000"/>
              <w:bottom w:val="single" w:sz="4" w:space="0" w:color="000000"/>
              <w:right w:val="single" w:sz="4" w:space="0" w:color="000000"/>
            </w:tcBorders>
            <w:shd w:val="clear" w:color="auto" w:fill="D2D2D2"/>
          </w:tcPr>
          <w:p>
            <w:pPr/>
          </w:p>
        </w:tc>
        <w:tc>
          <w:tcPr>
            <w:tcW w:w="1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4"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48"/>
              <w:jc w:val="left"/>
              <w:rPr>
                <w:rFonts w:ascii="宋体" w:hAnsi="宋体" w:cs="宋体" w:eastAsia="宋体" w:hint="default"/>
                <w:sz w:val="18"/>
                <w:szCs w:val="18"/>
              </w:rPr>
            </w:pPr>
            <w:r>
              <w:rPr>
                <w:rFonts w:ascii="宋体" w:hAnsi="宋体" w:cs="宋体" w:eastAsia="宋体" w:hint="default"/>
                <w:sz w:val="18"/>
                <w:szCs w:val="18"/>
              </w:rPr>
              <w:t>非持续以公允价值计量 的资产总额</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266,840,756.99</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266,840,756.99</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持续和非持续第一层次公允价值计量项目市价的确定依据" w:id="420"/>
      <w:bookmarkEnd w:id="420"/>
      <w:r>
        <w:rPr/>
      </w:r>
      <w:r>
        <w:rPr>
          <w:rFonts w:ascii="宋体" w:hAnsi="宋体" w:cs="宋体" w:eastAsia="宋体" w:hint="default"/>
          <w:b/>
          <w:bCs/>
          <w:sz w:val="21"/>
          <w:szCs w:val="21"/>
        </w:rPr>
        <w:t>2</w:t>
      </w:r>
      <w:r>
        <w:rPr>
          <w:rFonts w:ascii="宋体" w:hAnsi="宋体" w:cs="宋体" w:eastAsia="宋体" w:hint="default"/>
          <w:b/>
          <w:bCs/>
          <w:sz w:val="21"/>
          <w:szCs w:val="21"/>
        </w:rPr>
        <w:t>、持续和非持续第一层次公允价值计量项目市价的确定依据</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092" w:firstLine="480"/>
        <w:jc w:val="left"/>
      </w:pPr>
      <w:r>
        <w:rPr/>
        <w:t>本公司持有的以公允价值计量的权益工具投资为在国内上市的股票，市价按照资产负债 表日的收盘价格确定。</w:t>
      </w:r>
    </w:p>
    <w:p>
      <w:pPr>
        <w:spacing w:after="0" w:line="357"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3、持续和非持续第二层次公允价值计量项目，采用的估值技术和重要参数的定性及定量信" w:id="421"/>
      <w:bookmarkEnd w:id="421"/>
      <w:r>
        <w:rPr/>
      </w:r>
      <w:r>
        <w:rPr>
          <w:rFonts w:ascii="宋体" w:hAnsi="宋体" w:cs="宋体" w:eastAsia="宋体" w:hint="default"/>
          <w:b/>
          <w:bCs/>
          <w:sz w:val="21"/>
          <w:szCs w:val="21"/>
        </w:rPr>
        <w:t>3</w:t>
      </w:r>
      <w:r>
        <w:rPr>
          <w:rFonts w:ascii="宋体" w:hAnsi="宋体" w:cs="宋体" w:eastAsia="宋体" w:hint="default"/>
          <w:b/>
          <w:bCs/>
          <w:sz w:val="21"/>
          <w:szCs w:val="21"/>
        </w:rPr>
        <w:t>、持续和非持续第二层次公允价值计量项目，采用的估值技术和重要参数的定性及定量信息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持续和非持续第三层次公允价值计量项目，采用的估值技术和重要参数的定性及定量信" w:id="422"/>
      <w:bookmarkEnd w:id="422"/>
      <w:r>
        <w:rPr/>
      </w:r>
      <w:r>
        <w:rPr>
          <w:rFonts w:ascii="宋体" w:hAnsi="宋体" w:cs="宋体" w:eastAsia="宋体" w:hint="default"/>
          <w:b/>
          <w:bCs/>
          <w:sz w:val="21"/>
          <w:szCs w:val="21"/>
        </w:rPr>
        <w:t>4</w:t>
      </w:r>
      <w:r>
        <w:rPr>
          <w:rFonts w:ascii="宋体" w:hAnsi="宋体" w:cs="宋体" w:eastAsia="宋体" w:hint="default"/>
          <w:b/>
          <w:bCs/>
          <w:sz w:val="21"/>
          <w:szCs w:val="21"/>
        </w:rPr>
        <w:t>、持续和非持续第三层次公允价值计量项目，采用的估值技术和重要参数的定性及定量信息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持续的第三层次公允价值计量项目，期初与期末账面价值间的调节信息及不可观察参数" w:id="423"/>
      <w:bookmarkEnd w:id="423"/>
      <w:r>
        <w:rPr/>
      </w:r>
      <w:r>
        <w:rPr>
          <w:rFonts w:ascii="宋体" w:hAnsi="宋体" w:cs="宋体" w:eastAsia="宋体" w:hint="default"/>
          <w:b/>
          <w:bCs/>
          <w:sz w:val="21"/>
          <w:szCs w:val="21"/>
        </w:rPr>
        <w:t>5</w:t>
      </w:r>
      <w:r>
        <w:rPr>
          <w:rFonts w:ascii="宋体" w:hAnsi="宋体" w:cs="宋体" w:eastAsia="宋体" w:hint="default"/>
          <w:b/>
          <w:bCs/>
          <w:sz w:val="21"/>
          <w:szCs w:val="21"/>
        </w:rPr>
        <w:t>、持续的第三层次公允价值计量项目，期初与期末账面价值间的调节信息及不可观察参数敏感性分析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6、持续的公允价值计量项目，本期内发生各层级之间转换的，转换的原因及确定转换时点" w:id="424"/>
      <w:bookmarkEnd w:id="424"/>
      <w:r>
        <w:rPr/>
      </w:r>
      <w:r>
        <w:rPr>
          <w:rFonts w:ascii="宋体" w:hAnsi="宋体" w:cs="宋体" w:eastAsia="宋体" w:hint="default"/>
          <w:b/>
          <w:bCs/>
          <w:sz w:val="21"/>
          <w:szCs w:val="21"/>
        </w:rPr>
        <w:t>6</w:t>
      </w:r>
      <w:r>
        <w:rPr>
          <w:rFonts w:ascii="宋体" w:hAnsi="宋体" w:cs="宋体" w:eastAsia="宋体" w:hint="default"/>
          <w:b/>
          <w:bCs/>
          <w:sz w:val="21"/>
          <w:szCs w:val="21"/>
        </w:rPr>
        <w:t>、持续的公允价值计量项目，本期内发生各层级之间转换的，转换的原因及确定转换时点的政策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7、本期内发生的估值技术变更及变更原因" w:id="425"/>
      <w:bookmarkEnd w:id="425"/>
      <w:r>
        <w:rPr/>
      </w:r>
      <w:r>
        <w:rPr>
          <w:rFonts w:ascii="宋体" w:hAnsi="宋体" w:cs="宋体" w:eastAsia="宋体" w:hint="default"/>
          <w:b/>
          <w:bCs/>
          <w:sz w:val="21"/>
          <w:szCs w:val="21"/>
        </w:rPr>
        <w:t>7</w:t>
      </w:r>
      <w:r>
        <w:rPr>
          <w:rFonts w:ascii="宋体" w:hAnsi="宋体" w:cs="宋体" w:eastAsia="宋体" w:hint="default"/>
          <w:b/>
          <w:bCs/>
          <w:sz w:val="21"/>
          <w:szCs w:val="21"/>
        </w:rPr>
        <w:t>、本期内发生的估值技术变更及变更原因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7"/>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8、不以公允价值计量的金融资产和金融负债的公允价值情况" w:id="426"/>
      <w:bookmarkEnd w:id="426"/>
      <w:r>
        <w:rPr/>
      </w:r>
      <w:r>
        <w:rPr>
          <w:rFonts w:ascii="宋体" w:hAnsi="宋体" w:cs="宋体" w:eastAsia="宋体" w:hint="default"/>
          <w:b/>
          <w:bCs/>
          <w:sz w:val="21"/>
          <w:szCs w:val="21"/>
        </w:rPr>
        <w:t>8</w:t>
      </w:r>
      <w:r>
        <w:rPr>
          <w:rFonts w:ascii="宋体" w:hAnsi="宋体" w:cs="宋体" w:eastAsia="宋体" w:hint="default"/>
          <w:b/>
          <w:bCs/>
          <w:sz w:val="21"/>
          <w:szCs w:val="21"/>
        </w:rPr>
        <w:t>、不以公允价值计量的金融资产和金融负债的公允价值情况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9、其他" w:id="427"/>
      <w:bookmarkEnd w:id="427"/>
      <w:r>
        <w:rPr/>
      </w:r>
      <w:r>
        <w:rPr>
          <w:rFonts w:ascii="宋体" w:hAnsi="宋体" w:cs="宋体" w:eastAsia="宋体" w:hint="default"/>
          <w:b/>
          <w:bCs/>
          <w:sz w:val="21"/>
          <w:szCs w:val="21"/>
        </w:rPr>
        <w:t>9</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3"/>
        <w:ind w:left="154" w:right="8112" w:firstLine="480"/>
        <w:jc w:val="left"/>
        <w:rPr>
          <w:rFonts w:ascii="宋体" w:hAnsi="宋体" w:cs="宋体" w:eastAsia="宋体" w:hint="default"/>
          <w:sz w:val="21"/>
          <w:szCs w:val="21"/>
        </w:rPr>
      </w:pPr>
      <w:r>
        <w:rPr>
          <w:rFonts w:ascii="宋体" w:hAnsi="宋体" w:cs="宋体" w:eastAsia="宋体" w:hint="default"/>
          <w:sz w:val="24"/>
          <w:szCs w:val="24"/>
        </w:rPr>
        <w:t>无。 </w:t>
      </w:r>
      <w:bookmarkStart w:name="十二、关联方及关联交易" w:id="428"/>
      <w:bookmarkEnd w:id="428"/>
      <w:r>
        <w:rPr>
          <w:rFonts w:ascii="宋体" w:hAnsi="宋体" w:cs="宋体" w:eastAsia="宋体" w:hint="default"/>
          <w:sz w:val="24"/>
          <w:szCs w:val="24"/>
        </w:rPr>
      </w:r>
      <w:r>
        <w:rPr>
          <w:rFonts w:ascii="宋体" w:hAnsi="宋体" w:cs="宋体" w:eastAsia="宋体" w:hint="default"/>
          <w:b/>
          <w:bCs/>
          <w:w w:val="95"/>
          <w:sz w:val="24"/>
          <w:szCs w:val="24"/>
        </w:rPr>
        <w:t>十二、关联方及关联交易</w:t>
      </w:r>
      <w:r>
        <w:rPr>
          <w:rFonts w:ascii="宋体" w:hAnsi="宋体" w:cs="宋体" w:eastAsia="宋体" w:hint="default"/>
          <w:b/>
          <w:bCs/>
          <w:spacing w:val="7"/>
          <w:w w:val="95"/>
          <w:sz w:val="24"/>
          <w:szCs w:val="24"/>
        </w:rPr>
        <w:t> </w:t>
      </w:r>
      <w:bookmarkStart w:name="1、本企业的母公司情况" w:id="429"/>
      <w:bookmarkEnd w:id="429"/>
      <w:r>
        <w:rPr>
          <w:rFonts w:ascii="宋体" w:hAnsi="宋体" w:cs="宋体" w:eastAsia="宋体" w:hint="default"/>
          <w:b/>
          <w:bCs/>
          <w:spacing w:val="7"/>
          <w:w w:val="95"/>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pStyle w:val="BodyText"/>
        <w:spacing w:line="434" w:lineRule="auto" w:before="160"/>
        <w:ind w:left="634" w:right="7392"/>
        <w:jc w:val="left"/>
      </w:pPr>
      <w:r>
        <w:rPr/>
        <w:t>本企业的母公司情况的说明 无</w:t>
      </w:r>
    </w:p>
    <w:p>
      <w:pPr>
        <w:pStyle w:val="BodyText"/>
        <w:spacing w:line="240" w:lineRule="auto" w:before="59"/>
        <w:ind w:left="634" w:right="1092"/>
        <w:jc w:val="left"/>
      </w:pPr>
      <w:r>
        <w:rPr/>
        <w:t>本企业最终控制方是童之磊。</w:t>
      </w:r>
    </w:p>
    <w:p>
      <w:pPr>
        <w:spacing w:line="240" w:lineRule="auto" w:before="7"/>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本企业的子公司情况" w:id="430"/>
      <w:bookmarkEnd w:id="430"/>
      <w:r>
        <w:rPr/>
      </w:r>
      <w:r>
        <w:rPr>
          <w:rFonts w:ascii="宋体" w:hAnsi="宋体" w:cs="宋体" w:eastAsia="宋体"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本企业子公司的情况详见附注九、</w:t>
      </w:r>
      <w:r>
        <w:rPr>
          <w:rFonts w:ascii="宋体" w:hAnsi="宋体" w:cs="宋体" w:eastAsia="宋体" w:hint="default"/>
        </w:rPr>
        <w:t>1</w:t>
      </w:r>
      <w:r>
        <w:rPr/>
        <w:t>。</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3、本企业合营和联营企业情况" w:id="431"/>
      <w:bookmarkEnd w:id="431"/>
      <w:r>
        <w:rPr/>
      </w:r>
      <w:r>
        <w:rPr>
          <w:rFonts w:ascii="宋体" w:hAnsi="宋体" w:cs="宋体" w:eastAsia="宋体"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432" w:lineRule="auto" w:before="133"/>
        <w:ind w:left="634" w:right="1092"/>
        <w:jc w:val="left"/>
      </w:pPr>
      <w:r>
        <w:rPr/>
        <w:t>本企业重要的合营或联营企业详见附注九、</w:t>
      </w:r>
      <w:r>
        <w:rPr>
          <w:rFonts w:ascii="宋体" w:hAnsi="宋体" w:cs="宋体" w:eastAsia="宋体" w:hint="default"/>
        </w:rPr>
        <w:t>3</w:t>
      </w:r>
      <w:r>
        <w:rPr/>
        <w:t>。 本期与本公司发生关联方交易，或前期与本公司发生关联方交易形成余额的其他合营或</w:t>
      </w:r>
    </w:p>
    <w:p>
      <w:pPr>
        <w:pStyle w:val="BodyText"/>
        <w:spacing w:line="277" w:lineRule="exact"/>
        <w:ind w:right="1092"/>
        <w:jc w:val="left"/>
      </w:pPr>
      <w:r>
        <w:rPr/>
        <w:t>联营企业情况如下：</w:t>
      </w:r>
    </w:p>
    <w:p>
      <w:pPr>
        <w:spacing w:line="240" w:lineRule="auto" w:before="4"/>
        <w:rPr>
          <w:rFonts w:ascii="宋体" w:hAnsi="宋体" w:cs="宋体" w:eastAsia="宋体" w:hint="default"/>
          <w:sz w:val="16"/>
          <w:szCs w:val="16"/>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397"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7"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北京新浪阅读信息技术有限公司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北京中文万维科技有限公司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广州市迈步信息科技有限公司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其他说明</w:t>
      </w:r>
    </w:p>
    <w:p>
      <w:pPr>
        <w:spacing w:line="240" w:lineRule="auto" w:before="5"/>
        <w:rPr>
          <w:rFonts w:ascii="宋体" w:hAnsi="宋体" w:cs="宋体" w:eastAsia="宋体" w:hint="default"/>
          <w:sz w:val="19"/>
          <w:szCs w:val="19"/>
        </w:rPr>
      </w:pPr>
    </w:p>
    <w:p>
      <w:pPr>
        <w:pStyle w:val="BodyText"/>
        <w:spacing w:line="357" w:lineRule="auto"/>
        <w:ind w:right="1130" w:firstLine="480"/>
        <w:jc w:val="both"/>
      </w:pPr>
      <w:r>
        <w:rPr>
          <w:rFonts w:ascii="宋体" w:hAnsi="宋体" w:cs="宋体" w:eastAsia="宋体" w:hint="default"/>
        </w:rPr>
        <w:t>1</w:t>
      </w:r>
      <w:r>
        <w:rPr/>
        <w:t>、</w:t>
      </w:r>
      <w:r>
        <w:rPr>
          <w:rFonts w:ascii="宋体" w:hAnsi="宋体" w:cs="宋体" w:eastAsia="宋体" w:hint="default"/>
        </w:rPr>
        <w:t>2018</w:t>
      </w:r>
      <w:r>
        <w:rPr>
          <w:rFonts w:ascii="宋体" w:hAnsi="宋体" w:cs="宋体" w:eastAsia="宋体" w:hint="default"/>
          <w:spacing w:val="-41"/>
        </w:rPr>
        <w:t> </w:t>
      </w:r>
      <w:r>
        <w:rPr/>
        <w:t>年</w:t>
      </w:r>
      <w:r>
        <w:rPr>
          <w:spacing w:val="-41"/>
        </w:rPr>
        <w:t> </w:t>
      </w:r>
      <w:r>
        <w:rPr>
          <w:rFonts w:ascii="宋体" w:hAnsi="宋体" w:cs="宋体" w:eastAsia="宋体" w:hint="default"/>
        </w:rPr>
        <w:t>7</w:t>
      </w:r>
      <w:r>
        <w:rPr>
          <w:rFonts w:ascii="宋体" w:hAnsi="宋体" w:cs="宋体" w:eastAsia="宋体" w:hint="default"/>
          <w:spacing w:val="-41"/>
        </w:rPr>
        <w:t> </w:t>
      </w:r>
      <w:r>
        <w:rPr/>
        <w:t>月新浪阅读通过股东会决议成立董事会，董事会成员共有</w:t>
      </w:r>
      <w:r>
        <w:rPr>
          <w:spacing w:val="-40"/>
        </w:rPr>
        <w:t> </w:t>
      </w:r>
      <w:r>
        <w:rPr>
          <w:rFonts w:ascii="宋体" w:hAnsi="宋体" w:cs="宋体" w:eastAsia="宋体" w:hint="default"/>
        </w:rPr>
        <w:t>5</w:t>
      </w:r>
      <w:r>
        <w:rPr>
          <w:rFonts w:ascii="宋体" w:hAnsi="宋体" w:cs="宋体" w:eastAsia="宋体" w:hint="default"/>
          <w:spacing w:val="-40"/>
        </w:rPr>
        <w:t> </w:t>
      </w:r>
      <w:r>
        <w:rPr/>
        <w:t>名，本公司派 一名董事，对新浪阅读的经营产生重大影响，公司对新浪阅读的股权投资采用权益法核算，</w:t>
      </w:r>
      <w:r>
        <w:rPr>
          <w:spacing w:val="-113"/>
        </w:rPr>
        <w:t> </w:t>
      </w:r>
      <w:r>
        <w:rPr>
          <w:spacing w:val="-113"/>
        </w:rPr>
      </w:r>
      <w:r>
        <w:rPr/>
        <w:t>新浪阅读成为本公司联营企业。</w:t>
      </w:r>
    </w:p>
    <w:p>
      <w:pPr>
        <w:pStyle w:val="BodyText"/>
        <w:spacing w:line="357" w:lineRule="auto" w:before="134"/>
        <w:ind w:right="1131" w:firstLine="480"/>
        <w:jc w:val="both"/>
      </w:pPr>
      <w:r>
        <w:rPr>
          <w:rFonts w:ascii="宋体" w:hAnsi="宋体" w:cs="宋体" w:eastAsia="宋体" w:hint="default"/>
          <w:spacing w:val="-5"/>
        </w:rPr>
        <w:t>2</w:t>
      </w:r>
      <w:r>
        <w:rPr>
          <w:spacing w:val="-5"/>
        </w:rPr>
        <w:t>、公司因股权转让自</w:t>
      </w:r>
      <w:r>
        <w:rPr>
          <w:spacing w:val="-66"/>
        </w:rPr>
        <w:t> </w:t>
      </w:r>
      <w:r>
        <w:rPr>
          <w:rFonts w:ascii="宋体" w:hAnsi="宋体" w:cs="宋体" w:eastAsia="宋体" w:hint="default"/>
        </w:rPr>
        <w:t>2018</w:t>
      </w:r>
      <w:r>
        <w:rPr>
          <w:rFonts w:ascii="宋体" w:hAnsi="宋体" w:cs="宋体" w:eastAsia="宋体" w:hint="default"/>
          <w:spacing w:val="-66"/>
        </w:rPr>
        <w:t> </w:t>
      </w:r>
      <w:r>
        <w:rPr/>
        <w:t>年</w:t>
      </w:r>
      <w:r>
        <w:rPr>
          <w:spacing w:val="-66"/>
        </w:rPr>
        <w:t> </w:t>
      </w:r>
      <w:r>
        <w:rPr>
          <w:rFonts w:ascii="宋体" w:hAnsi="宋体" w:cs="宋体" w:eastAsia="宋体" w:hint="default"/>
        </w:rPr>
        <w:t>10</w:t>
      </w:r>
      <w:r>
        <w:rPr>
          <w:rFonts w:ascii="宋体" w:hAnsi="宋体" w:cs="宋体" w:eastAsia="宋体" w:hint="default"/>
          <w:spacing w:val="-66"/>
        </w:rPr>
        <w:t> </w:t>
      </w:r>
      <w:r>
        <w:rPr/>
        <w:t>月</w:t>
      </w:r>
      <w:r>
        <w:rPr>
          <w:spacing w:val="-66"/>
        </w:rPr>
        <w:t> </w:t>
      </w:r>
      <w:r>
        <w:rPr>
          <w:rFonts w:ascii="宋体" w:hAnsi="宋体" w:cs="宋体" w:eastAsia="宋体" w:hint="default"/>
        </w:rPr>
        <w:t>1</w:t>
      </w:r>
      <w:r>
        <w:rPr>
          <w:rFonts w:ascii="宋体" w:hAnsi="宋体" w:cs="宋体" w:eastAsia="宋体" w:hint="default"/>
          <w:spacing w:val="-66"/>
        </w:rPr>
        <w:t> </w:t>
      </w:r>
      <w:r>
        <w:rPr/>
        <w:t>日起对原控股子公司中文万维失去控制权，中文万 维成为本公司联营企业。</w:t>
      </w:r>
    </w:p>
    <w:p>
      <w:pPr>
        <w:pStyle w:val="BodyText"/>
        <w:spacing w:line="240" w:lineRule="auto" w:before="136"/>
        <w:ind w:left="634" w:right="1092"/>
        <w:jc w:val="left"/>
      </w:pPr>
      <w:r>
        <w:rPr>
          <w:rFonts w:ascii="宋体" w:hAnsi="宋体" w:cs="宋体" w:eastAsia="宋体" w:hint="default"/>
        </w:rPr>
        <w:t>3</w:t>
      </w:r>
      <w:r>
        <w:rPr/>
        <w:t>、因股权收购，自</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t>日起原联营企业广州迈步纳入公司合并范围。</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其他关联方情况" w:id="432"/>
      <w:bookmarkEnd w:id="432"/>
      <w:r>
        <w:rPr/>
      </w:r>
      <w:r>
        <w:rPr>
          <w:rFonts w:ascii="宋体" w:hAnsi="宋体" w:cs="宋体" w:eastAsia="宋体" w:hint="default"/>
          <w:b/>
          <w:bCs/>
          <w:sz w:val="21"/>
          <w:szCs w:val="21"/>
        </w:rPr>
        <w:t>4</w:t>
      </w:r>
      <w:r>
        <w:rPr>
          <w:rFonts w:ascii="宋体" w:hAnsi="宋体" w:cs="宋体" w:eastAsia="宋体" w:hint="default"/>
          <w:b/>
          <w:bCs/>
          <w:sz w:val="21"/>
          <w:szCs w:val="21"/>
        </w:rPr>
        <w:t>、其他关联方情况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关联交易情况" w:id="433"/>
      <w:bookmarkEnd w:id="433"/>
      <w:r>
        <w:rPr/>
      </w:r>
      <w:r>
        <w:rPr>
          <w:rFonts w:ascii="宋体" w:hAnsi="宋体" w:cs="宋体" w:eastAsia="宋体" w:hint="default"/>
          <w:b/>
          <w:bCs/>
          <w:sz w:val="21"/>
          <w:szCs w:val="21"/>
        </w:rPr>
        <w:t>5</w:t>
      </w:r>
      <w:r>
        <w:rPr>
          <w:rFonts w:ascii="宋体" w:hAnsi="宋体" w:cs="宋体" w:eastAsia="宋体" w:hint="default"/>
          <w:b/>
          <w:bCs/>
          <w:sz w:val="21"/>
          <w:szCs w:val="21"/>
        </w:rPr>
        <w:t>、关联交易情况</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购销商品、提供和接受劳务的关联交易" w:id="434"/>
      <w:bookmarkEnd w:id="434"/>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）购销商品、提供和接受劳务的关联交易</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154" w:right="1092"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宋体" w:hAnsi="宋体" w:cs="宋体" w:eastAsia="宋体" w:hint="default"/>
          <w:sz w:val="18"/>
          <w:szCs w:val="18"/>
        </w:rPr>
        <w:t>/</w:t>
      </w:r>
      <w:r>
        <w:rPr>
          <w:rFonts w:ascii="宋体" w:hAnsi="宋体" w:cs="宋体" w:eastAsia="宋体" w:hint="default"/>
          <w:sz w:val="18"/>
          <w:szCs w:val="18"/>
        </w:rPr>
        <w:t>提供劳务情况表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7"/>
        <w:gridCol w:w="2259"/>
        <w:gridCol w:w="2260"/>
        <w:gridCol w:w="2652"/>
      </w:tblGrid>
      <w:tr>
        <w:trPr>
          <w:trHeight w:val="402" w:hRule="exact"/>
        </w:trPr>
        <w:tc>
          <w:tcPr>
            <w:tcW w:w="23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85"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23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24"/>
              <w:jc w:val="left"/>
              <w:rPr>
                <w:rFonts w:ascii="宋体" w:hAnsi="宋体" w:cs="宋体" w:eastAsia="宋体" w:hint="default"/>
                <w:sz w:val="18"/>
                <w:szCs w:val="18"/>
              </w:rPr>
            </w:pPr>
            <w:r>
              <w:rPr>
                <w:rFonts w:ascii="宋体" w:hAnsi="宋体" w:cs="宋体" w:eastAsia="宋体" w:hint="default"/>
                <w:sz w:val="18"/>
                <w:szCs w:val="18"/>
              </w:rPr>
              <w:t>北京新浪阅读信息技术有限公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技术运营服务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1,248,119.59</w:t>
            </w:r>
          </w:p>
        </w:tc>
        <w:tc>
          <w:tcPr>
            <w:tcW w:w="265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北京中文万维科技有限公司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网站授权阅读</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117,924.53</w:t>
            </w:r>
          </w:p>
        </w:tc>
        <w:tc>
          <w:tcPr>
            <w:tcW w:w="265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广州市迈步信息科技有限公司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合作运营</w:t>
            </w: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1,016,931.64</w:t>
            </w:r>
          </w:p>
        </w:tc>
      </w:tr>
      <w:tr>
        <w:trPr>
          <w:trHeight w:val="403" w:hRule="exact"/>
        </w:trPr>
        <w:tc>
          <w:tcPr>
            <w:tcW w:w="23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广州市迈步信息科技有限公司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网站授权阅读</w:t>
            </w: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2,491,564.75</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关联受托管理/承包及委托管理/出包情况" w:id="435"/>
      <w:bookmarkEnd w:id="435"/>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）关联受托管理</w:t>
      </w:r>
      <w:r>
        <w:rPr>
          <w:rFonts w:ascii="宋体" w:hAnsi="宋体" w:cs="宋体" w:eastAsia="宋体" w:hint="default"/>
          <w:b/>
          <w:bCs/>
          <w:sz w:val="21"/>
          <w:szCs w:val="21"/>
        </w:rPr>
        <w:t>/</w:t>
      </w:r>
      <w:r>
        <w:rPr>
          <w:rFonts w:ascii="宋体" w:hAnsi="宋体" w:cs="宋体" w:eastAsia="宋体" w:hint="default"/>
          <w:b/>
          <w:bCs/>
          <w:sz w:val="21"/>
          <w:szCs w:val="21"/>
        </w:rPr>
        <w:t>承包及委托管理</w:t>
      </w:r>
      <w:r>
        <w:rPr>
          <w:rFonts w:ascii="宋体" w:hAnsi="宋体" w:cs="宋体" w:eastAsia="宋体" w:hint="default"/>
          <w:b/>
          <w:bCs/>
          <w:sz w:val="21"/>
          <w:szCs w:val="21"/>
        </w:rPr>
        <w:t>/</w:t>
      </w:r>
      <w:r>
        <w:rPr>
          <w:rFonts w:ascii="宋体" w:hAnsi="宋体" w:cs="宋体" w:eastAsia="宋体" w:hint="default"/>
          <w:b/>
          <w:bCs/>
          <w:sz w:val="21"/>
          <w:szCs w:val="21"/>
        </w:rPr>
        <w:t>出包情况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关联租赁情况" w:id="436"/>
      <w:bookmarkEnd w:id="436"/>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）关联租赁情况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关联担保情况" w:id="437"/>
      <w:bookmarkEnd w:id="437"/>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）关联担保情况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关联方资金拆借" w:id="438"/>
      <w:bookmarkEnd w:id="438"/>
      <w:r>
        <w:rPr/>
      </w:r>
      <w:r>
        <w:rPr>
          <w:rFonts w:ascii="宋体" w:hAnsi="宋体" w:cs="宋体" w:eastAsia="宋体" w:hint="default"/>
          <w:b/>
          <w:bCs/>
          <w:sz w:val="21"/>
          <w:szCs w:val="21"/>
        </w:rPr>
        <w:t>（</w:t>
      </w:r>
      <w:r>
        <w:rPr>
          <w:rFonts w:ascii="宋体" w:hAnsi="宋体" w:cs="宋体" w:eastAsia="宋体" w:hint="default"/>
          <w:b/>
          <w:bCs/>
          <w:sz w:val="21"/>
          <w:szCs w:val="21"/>
        </w:rPr>
        <w:t>5</w:t>
      </w:r>
      <w:r>
        <w:rPr>
          <w:rFonts w:ascii="宋体" w:hAnsi="宋体" w:cs="宋体" w:eastAsia="宋体" w:hint="default"/>
          <w:b/>
          <w:bCs/>
          <w:sz w:val="21"/>
          <w:szCs w:val="21"/>
        </w:rPr>
        <w:t>）关联方资金拆借</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6）关联方资产转让、债务重组情况" w:id="439"/>
      <w:bookmarkEnd w:id="439"/>
      <w:r>
        <w:rPr/>
      </w:r>
      <w:r>
        <w:rPr>
          <w:rFonts w:ascii="宋体" w:hAnsi="宋体" w:cs="宋体" w:eastAsia="宋体" w:hint="default"/>
          <w:b/>
          <w:bCs/>
          <w:sz w:val="21"/>
          <w:szCs w:val="21"/>
        </w:rPr>
        <w:t>（</w:t>
      </w:r>
      <w:r>
        <w:rPr>
          <w:rFonts w:ascii="宋体" w:hAnsi="宋体" w:cs="宋体" w:eastAsia="宋体" w:hint="default"/>
          <w:b/>
          <w:bCs/>
          <w:sz w:val="21"/>
          <w:szCs w:val="21"/>
        </w:rPr>
        <w:t>6</w:t>
      </w:r>
      <w:r>
        <w:rPr>
          <w:rFonts w:ascii="宋体" w:hAnsi="宋体" w:cs="宋体" w:eastAsia="宋体" w:hint="default"/>
          <w:b/>
          <w:bCs/>
          <w:sz w:val="21"/>
          <w:szCs w:val="21"/>
        </w:rPr>
        <w:t>）关联方资产转让、债务重组情况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7"/>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7）关键管理人员报酬" w:id="440"/>
      <w:bookmarkEnd w:id="440"/>
      <w:r>
        <w:rPr/>
      </w:r>
      <w:r>
        <w:rPr>
          <w:rFonts w:ascii="宋体" w:hAnsi="宋体" w:cs="宋体" w:eastAsia="宋体" w:hint="default"/>
          <w:b/>
          <w:bCs/>
          <w:sz w:val="21"/>
          <w:szCs w:val="21"/>
        </w:rPr>
        <w:t>（</w:t>
      </w:r>
      <w:r>
        <w:rPr>
          <w:rFonts w:ascii="宋体" w:hAnsi="宋体" w:cs="宋体" w:eastAsia="宋体" w:hint="default"/>
          <w:b/>
          <w:bCs/>
          <w:sz w:val="21"/>
          <w:szCs w:val="21"/>
        </w:rPr>
        <w:t>7</w:t>
      </w:r>
      <w:r>
        <w:rPr>
          <w:rFonts w:ascii="宋体" w:hAnsi="宋体" w:cs="宋体" w:eastAsia="宋体" w:hint="default"/>
          <w:b/>
          <w:bCs/>
          <w:sz w:val="21"/>
          <w:szCs w:val="21"/>
        </w:rPr>
        <w:t>）关键管理人员报酬</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薪酬合计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77" w:right="0"/>
              <w:jc w:val="left"/>
              <w:rPr>
                <w:rFonts w:ascii="宋体" w:hAnsi="宋体" w:cs="宋体" w:eastAsia="宋体" w:hint="default"/>
                <w:sz w:val="18"/>
                <w:szCs w:val="18"/>
              </w:rPr>
            </w:pPr>
            <w:r>
              <w:rPr>
                <w:rFonts w:ascii="宋体"/>
                <w:sz w:val="18"/>
              </w:rPr>
              <w:t>9,286,049.82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10,944,100</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8）其他关联交易" w:id="441"/>
      <w:bookmarkEnd w:id="441"/>
      <w:r>
        <w:rPr/>
      </w:r>
      <w:r>
        <w:rPr>
          <w:rFonts w:ascii="宋体" w:hAnsi="宋体" w:cs="宋体" w:eastAsia="宋体" w:hint="default"/>
          <w:b/>
          <w:bCs/>
          <w:sz w:val="21"/>
          <w:szCs w:val="21"/>
        </w:rPr>
        <w:t>（</w:t>
      </w:r>
      <w:r>
        <w:rPr>
          <w:rFonts w:ascii="宋体" w:hAnsi="宋体" w:cs="宋体" w:eastAsia="宋体" w:hint="default"/>
          <w:b/>
          <w:bCs/>
          <w:sz w:val="21"/>
          <w:szCs w:val="21"/>
        </w:rPr>
        <w:t>8</w:t>
      </w:r>
      <w:r>
        <w:rPr>
          <w:rFonts w:ascii="宋体" w:hAnsi="宋体" w:cs="宋体" w:eastAsia="宋体" w:hint="default"/>
          <w:b/>
          <w:bCs/>
          <w:sz w:val="21"/>
          <w:szCs w:val="21"/>
        </w:rPr>
        <w:t>）其他关联交易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6、关联方应收应付款项" w:id="442"/>
      <w:bookmarkEnd w:id="442"/>
      <w:r>
        <w:rPr/>
      </w:r>
      <w:r>
        <w:rPr>
          <w:rFonts w:ascii="宋体" w:hAnsi="宋体" w:cs="宋体" w:eastAsia="宋体" w:hint="default"/>
          <w:b/>
          <w:bCs/>
          <w:sz w:val="21"/>
          <w:szCs w:val="21"/>
        </w:rPr>
        <w:t>6</w:t>
      </w:r>
      <w:r>
        <w:rPr>
          <w:rFonts w:ascii="宋体" w:hAnsi="宋体" w:cs="宋体" w:eastAsia="宋体" w:hint="default"/>
          <w:b/>
          <w:bCs/>
          <w:sz w:val="21"/>
          <w:szCs w:val="21"/>
        </w:rPr>
        <w:t>、关联方应收应付款项</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应收项目" w:id="443"/>
      <w:bookmarkEnd w:id="443"/>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）应收项目</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北京新浪阅读信息 技术有限公司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62" w:right="0"/>
              <w:jc w:val="left"/>
              <w:rPr>
                <w:rFonts w:ascii="宋体" w:hAnsi="宋体" w:cs="宋体" w:eastAsia="宋体" w:hint="default"/>
                <w:sz w:val="18"/>
                <w:szCs w:val="18"/>
              </w:rPr>
            </w:pPr>
            <w:r>
              <w:rPr>
                <w:rFonts w:ascii="宋体"/>
                <w:sz w:val="18"/>
              </w:rPr>
              <w:t>500,000.00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应付项目" w:id="444"/>
      <w:bookmarkEnd w:id="444"/>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）应付项目</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1"/>
        <w:gridCol w:w="2394"/>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北京中文万维科技有限公司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2,302,989.98</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北京中文万维科技有限公司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5,423.66</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7、关联方承诺" w:id="445"/>
      <w:bookmarkEnd w:id="445"/>
      <w:r>
        <w:rPr/>
      </w:r>
      <w:r>
        <w:rPr>
          <w:rFonts w:ascii="宋体" w:hAnsi="宋体" w:cs="宋体" w:eastAsia="宋体" w:hint="default"/>
          <w:b/>
          <w:bCs/>
          <w:sz w:val="21"/>
          <w:szCs w:val="21"/>
        </w:rPr>
        <w:t>7</w:t>
      </w:r>
      <w:r>
        <w:rPr>
          <w:rFonts w:ascii="宋体" w:hAnsi="宋体" w:cs="宋体" w:eastAsia="宋体" w:hint="default"/>
          <w:b/>
          <w:bCs/>
          <w:sz w:val="21"/>
          <w:szCs w:val="21"/>
        </w:rPr>
        <w:t>、关联方承诺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8、其他" w:id="446"/>
      <w:bookmarkEnd w:id="446"/>
      <w:r>
        <w:rPr/>
      </w:r>
      <w:r>
        <w:rPr>
          <w:rFonts w:ascii="宋体" w:hAnsi="宋体" w:cs="宋体" w:eastAsia="宋体" w:hint="default"/>
          <w:b/>
          <w:bCs/>
          <w:sz w:val="21"/>
          <w:szCs w:val="21"/>
        </w:rPr>
        <w:t>8</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3"/>
        <w:ind w:left="154" w:right="8749" w:firstLine="480"/>
        <w:jc w:val="left"/>
        <w:rPr>
          <w:rFonts w:ascii="宋体" w:hAnsi="宋体" w:cs="宋体" w:eastAsia="宋体" w:hint="default"/>
          <w:sz w:val="21"/>
          <w:szCs w:val="21"/>
        </w:rPr>
      </w:pPr>
      <w:r>
        <w:rPr>
          <w:rFonts w:ascii="宋体" w:hAnsi="宋体" w:cs="宋体" w:eastAsia="宋体" w:hint="default"/>
          <w:sz w:val="24"/>
          <w:szCs w:val="24"/>
        </w:rPr>
        <w:t>无。 </w:t>
      </w:r>
      <w:bookmarkStart w:name="十三、股份支付" w:id="447"/>
      <w:bookmarkEnd w:id="447"/>
      <w:r>
        <w:rPr>
          <w:rFonts w:ascii="宋体" w:hAnsi="宋体" w:cs="宋体" w:eastAsia="宋体" w:hint="default"/>
          <w:sz w:val="24"/>
          <w:szCs w:val="24"/>
        </w:rPr>
      </w:r>
      <w:r>
        <w:rPr>
          <w:rFonts w:ascii="宋体" w:hAnsi="宋体" w:cs="宋体" w:eastAsia="宋体" w:hint="default"/>
          <w:b/>
          <w:bCs/>
          <w:sz w:val="24"/>
          <w:szCs w:val="24"/>
        </w:rPr>
        <w:t>十三、股份支付</w:t>
      </w:r>
      <w:r>
        <w:rPr>
          <w:rFonts w:ascii="宋体" w:hAnsi="宋体" w:cs="宋体" w:eastAsia="宋体" w:hint="default"/>
          <w:b/>
          <w:bCs/>
          <w:w w:val="99"/>
          <w:sz w:val="24"/>
          <w:szCs w:val="24"/>
        </w:rPr>
        <w:t> </w:t>
      </w:r>
      <w:bookmarkStart w:name="1、股份支付总体情况" w:id="448"/>
      <w:bookmarkEnd w:id="448"/>
      <w:r>
        <w:rPr>
          <w:rFonts w:ascii="宋体" w:hAnsi="宋体" w:cs="宋体" w:eastAsia="宋体" w:hint="default"/>
          <w:b/>
          <w:bCs/>
          <w:w w:val="99"/>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pStyle w:val="BodyText"/>
        <w:spacing w:line="240" w:lineRule="auto" w:before="160"/>
        <w:ind w:left="634" w:right="1092"/>
        <w:jc w:val="left"/>
      </w:pPr>
      <w:r>
        <w:rPr/>
        <w:t>√ 适用 □ 不适用</w:t>
      </w:r>
    </w:p>
    <w:p>
      <w:pPr>
        <w:spacing w:line="240" w:lineRule="auto" w:before="10"/>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spacing w:before="44"/>
        <w:ind w:left="0" w:right="1148" w:firstLine="0"/>
        <w:jc w:val="right"/>
        <w:rPr>
          <w:rFonts w:ascii="宋体" w:hAnsi="宋体" w:cs="宋体" w:eastAsia="宋体" w:hint="default"/>
          <w:sz w:val="18"/>
          <w:szCs w:val="18"/>
        </w:rPr>
      </w:pPr>
      <w:r>
        <w:rPr/>
        <w:pict>
          <v:shape style="position:absolute;margin-left:56.459999pt;margin-top:-123.488274pt;width:479.2pt;height:179pt;mso-position-horizontal-relative:page;mso-position-vertical-relative:paragraph;z-index:28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455"/>
                    <w:gridCol w:w="4114"/>
                  </w:tblGrid>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45,019,506.10</w:t>
                        </w:r>
                      </w:p>
                    </w:tc>
                  </w:tr>
                  <w:tr>
                    <w:trPr>
                      <w:trHeight w:val="196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首期期权调整后的授予价格</w:t>
                        </w:r>
                        <w:r>
                          <w:rPr>
                            <w:rFonts w:ascii="宋体" w:hAnsi="宋体" w:cs="宋体" w:eastAsia="宋体" w:hint="default"/>
                            <w:spacing w:val="-46"/>
                            <w:sz w:val="18"/>
                            <w:szCs w:val="18"/>
                          </w:rPr>
                          <w:t> </w:t>
                        </w:r>
                        <w:r>
                          <w:rPr>
                            <w:rFonts w:ascii="宋体" w:hAnsi="宋体" w:cs="宋体" w:eastAsia="宋体" w:hint="default"/>
                            <w:sz w:val="18"/>
                            <w:szCs w:val="18"/>
                          </w:rPr>
                          <w:t>22.11</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股，到期日</w:t>
                        </w:r>
                      </w:p>
                      <w:p>
                        <w:pPr>
                          <w:pStyle w:val="TableParagraph"/>
                          <w:spacing w:line="240" w:lineRule="auto" w:before="75"/>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日；首期预留期权调整后授予价格</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28.35</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股，到期日</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日；第二期期</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权调整后授予价格</w:t>
                        </w:r>
                        <w:r>
                          <w:rPr>
                            <w:rFonts w:ascii="宋体" w:hAnsi="宋体" w:cs="宋体" w:eastAsia="宋体" w:hint="default"/>
                            <w:spacing w:val="-46"/>
                            <w:sz w:val="18"/>
                            <w:szCs w:val="18"/>
                          </w:rPr>
                          <w:t> </w:t>
                        </w:r>
                        <w:r>
                          <w:rPr>
                            <w:rFonts w:ascii="宋体" w:hAnsi="宋体" w:cs="宋体" w:eastAsia="宋体" w:hint="default"/>
                            <w:sz w:val="18"/>
                            <w:szCs w:val="18"/>
                          </w:rPr>
                          <w:t>28.35</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股，到期日</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6</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6"/>
                            <w:sz w:val="18"/>
                            <w:szCs w:val="18"/>
                          </w:rPr>
                          <w:t> </w:t>
                        </w:r>
                        <w:r>
                          <w:rPr>
                            <w:rFonts w:ascii="宋体" w:hAnsi="宋体" w:cs="宋体" w:eastAsia="宋体" w:hint="default"/>
                            <w:sz w:val="18"/>
                            <w:szCs w:val="18"/>
                          </w:rPr>
                          <w:t>日；第三期期权调整后授予价格</w:t>
                        </w:r>
                        <w:r>
                          <w:rPr>
                            <w:rFonts w:ascii="宋体" w:hAnsi="宋体" w:cs="宋体" w:eastAsia="宋体" w:hint="default"/>
                            <w:spacing w:val="-46"/>
                            <w:sz w:val="18"/>
                            <w:szCs w:val="18"/>
                          </w:rPr>
                          <w:t> </w:t>
                        </w:r>
                        <w:r>
                          <w:rPr>
                            <w:rFonts w:ascii="宋体" w:hAnsi="宋体" w:cs="宋体" w:eastAsia="宋体" w:hint="default"/>
                            <w:sz w:val="18"/>
                            <w:szCs w:val="18"/>
                          </w:rPr>
                          <w:t>20.39</w:t>
                        </w:r>
                        <w:r>
                          <w:rPr>
                            <w:rFonts w:ascii="宋体" w:hAnsi="宋体" w:cs="宋体" w:eastAsia="宋体" w:hint="default"/>
                            <w:spacing w:val="-46"/>
                            <w:sz w:val="18"/>
                            <w:szCs w:val="18"/>
                          </w:rPr>
                          <w:t> </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到期日</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spacing w:before="35"/>
        <w:ind w:left="134" w:right="7905" w:firstLine="0"/>
        <w:jc w:val="center"/>
        <w:rPr>
          <w:rFonts w:ascii="宋体" w:hAnsi="宋体" w:cs="宋体" w:eastAsia="宋体" w:hint="default"/>
          <w:sz w:val="21"/>
          <w:szCs w:val="21"/>
        </w:rPr>
      </w:pPr>
      <w:bookmarkStart w:name="2、以权益结算的股份支付情况" w:id="449"/>
      <w:bookmarkEnd w:id="449"/>
      <w:r>
        <w:rPr/>
      </w:r>
      <w:r>
        <w:rPr>
          <w:rFonts w:ascii="宋体" w:hAnsi="宋体" w:cs="宋体" w:eastAsia="宋体" w:hint="default"/>
          <w:b/>
          <w:bCs/>
          <w:sz w:val="21"/>
          <w:szCs w:val="21"/>
        </w:rPr>
        <w:t>2</w:t>
      </w:r>
      <w:r>
        <w:rPr>
          <w:rFonts w:ascii="宋体" w:hAnsi="宋体" w:cs="宋体" w:eastAsia="宋体" w:hint="default"/>
          <w:b/>
          <w:bCs/>
          <w:sz w:val="21"/>
          <w:szCs w:val="21"/>
        </w:rPr>
        <w:t>、以权益结算的股份支付情况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78" w:right="7694"/>
        <w:jc w:val="center"/>
      </w:pPr>
      <w:r>
        <w:rPr/>
        <w:t>√ 适用 □ 不适用</w:t>
      </w:r>
    </w:p>
    <w:p>
      <w:pPr>
        <w:spacing w:line="240" w:lineRule="auto" w:before="10"/>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254"/>
        <w:gridCol w:w="5315"/>
      </w:tblGrid>
      <w:tr>
        <w:trPr>
          <w:trHeight w:val="1026"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53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0"/>
              <w:jc w:val="both"/>
              <w:rPr>
                <w:rFonts w:ascii="宋体" w:hAnsi="宋体" w:cs="宋体" w:eastAsia="宋体" w:hint="default"/>
                <w:sz w:val="18"/>
                <w:szCs w:val="18"/>
              </w:rPr>
            </w:pPr>
            <w:r>
              <w:rPr>
                <w:rFonts w:ascii="宋体" w:hAnsi="宋体" w:cs="宋体" w:eastAsia="宋体" w:hint="default"/>
                <w:sz w:val="18"/>
                <w:szCs w:val="18"/>
              </w:rPr>
              <w:t>根据《企业会计准则</w:t>
            </w:r>
            <w:r>
              <w:rPr>
                <w:rFonts w:ascii="宋体" w:hAnsi="宋体" w:cs="宋体" w:eastAsia="宋体" w:hint="default"/>
                <w:spacing w:val="-46"/>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号</w:t>
            </w:r>
            <w:r>
              <w:rPr>
                <w:rFonts w:ascii="宋体" w:hAnsi="宋体" w:cs="宋体" w:eastAsia="宋体" w:hint="default"/>
                <w:sz w:val="18"/>
                <w:szCs w:val="18"/>
              </w:rPr>
              <w:t>-</w:t>
            </w:r>
            <w:r>
              <w:rPr>
                <w:rFonts w:ascii="宋体" w:hAnsi="宋体" w:cs="宋体" w:eastAsia="宋体" w:hint="default"/>
                <w:sz w:val="18"/>
                <w:szCs w:val="18"/>
              </w:rPr>
              <w:t>金融工具确认和计量》中关于公允价值 确定的相关规定，公司选择</w:t>
            </w:r>
            <w:r>
              <w:rPr>
                <w:rFonts w:ascii="宋体" w:hAnsi="宋体" w:cs="宋体" w:eastAsia="宋体" w:hint="default"/>
                <w:spacing w:val="-46"/>
                <w:sz w:val="18"/>
                <w:szCs w:val="18"/>
              </w:rPr>
              <w:t> </w:t>
            </w:r>
            <w:r>
              <w:rPr>
                <w:rFonts w:ascii="宋体" w:hAnsi="宋体" w:cs="宋体" w:eastAsia="宋体" w:hint="default"/>
                <w:sz w:val="18"/>
                <w:szCs w:val="18"/>
              </w:rPr>
              <w:t>Black-Scholes</w:t>
            </w:r>
            <w:r>
              <w:rPr>
                <w:rFonts w:ascii="宋体" w:hAnsi="宋体" w:cs="宋体" w:eastAsia="宋体" w:hint="default"/>
                <w:spacing w:val="-46"/>
                <w:sz w:val="18"/>
                <w:szCs w:val="18"/>
              </w:rPr>
              <w:t> </w:t>
            </w:r>
            <w:r>
              <w:rPr>
                <w:rFonts w:ascii="宋体" w:hAnsi="宋体" w:cs="宋体" w:eastAsia="宋体" w:hint="default"/>
                <w:sz w:val="18"/>
                <w:szCs w:val="18"/>
              </w:rPr>
              <w:t>期权定价模型对股票期 权的公允价值进行测算。</w:t>
            </w:r>
          </w:p>
        </w:tc>
      </w:tr>
    </w:tbl>
    <w:p>
      <w:pPr>
        <w:spacing w:after="0" w:line="316" w:lineRule="auto"/>
        <w:jc w:val="both"/>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4254"/>
        <w:gridCol w:w="5315"/>
      </w:tblGrid>
      <w:tr>
        <w:trPr>
          <w:trHeight w:val="1026"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531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both"/>
              <w:rPr>
                <w:rFonts w:ascii="宋体" w:hAnsi="宋体" w:cs="宋体" w:eastAsia="宋体" w:hint="default"/>
                <w:sz w:val="18"/>
                <w:szCs w:val="18"/>
              </w:rPr>
            </w:pPr>
            <w:r>
              <w:rPr>
                <w:rFonts w:ascii="宋体" w:hAnsi="宋体" w:cs="宋体" w:eastAsia="宋体" w:hint="default"/>
                <w:sz w:val="18"/>
                <w:szCs w:val="18"/>
              </w:rPr>
              <w:t>等待期内每个资产负债表日，根据最新取得的可行权职工人数变动 等后续信息作出最佳估计，修正预计可行权的权益工具数量。在可 行权日，最终预计可行权权益工具的数量与实际可行权数量一致。</w:t>
            </w: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5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5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82,036,710.49</w:t>
            </w: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5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9,040,577.66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以现金结算的股份支付情况" w:id="450"/>
      <w:bookmarkEnd w:id="450"/>
      <w:r>
        <w:rPr/>
      </w:r>
      <w:r>
        <w:rPr>
          <w:rFonts w:ascii="宋体" w:hAnsi="宋体" w:cs="宋体" w:eastAsia="宋体" w:hint="default"/>
          <w:b/>
          <w:bCs/>
          <w:sz w:val="21"/>
          <w:szCs w:val="21"/>
        </w:rPr>
        <w:t>3</w:t>
      </w:r>
      <w:r>
        <w:rPr>
          <w:rFonts w:ascii="宋体" w:hAnsi="宋体" w:cs="宋体" w:eastAsia="宋体" w:hint="default"/>
          <w:b/>
          <w:bCs/>
          <w:sz w:val="21"/>
          <w:szCs w:val="21"/>
        </w:rPr>
        <w:t>、以现金结算的股份支付情况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t>□ 适用 √ 不适用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股份支付的修改、终止情况" w:id="451"/>
      <w:bookmarkEnd w:id="451"/>
      <w:r>
        <w:rPr/>
      </w:r>
      <w:r>
        <w:rPr>
          <w:rFonts w:ascii="宋体" w:hAnsi="宋体" w:cs="宋体" w:eastAsia="宋体" w:hint="default"/>
          <w:b/>
          <w:bCs/>
          <w:sz w:val="21"/>
          <w:szCs w:val="21"/>
        </w:rPr>
        <w:t>4</w:t>
      </w:r>
      <w:r>
        <w:rPr>
          <w:rFonts w:ascii="宋体" w:hAnsi="宋体" w:cs="宋体" w:eastAsia="宋体" w:hint="default"/>
          <w:b/>
          <w:bCs/>
          <w:sz w:val="21"/>
          <w:szCs w:val="21"/>
        </w:rPr>
        <w:t>、股份支付的修改、终止情况</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011" w:firstLine="480"/>
        <w:jc w:val="both"/>
      </w:pPr>
      <w:r>
        <w:rPr/>
        <w:t>公司第三届董事会第十七次会议审议通过了《关于终止第三期股票期权与限制性股票激 </w:t>
      </w:r>
      <w:r>
        <w:rPr>
          <w:spacing w:val="-5"/>
        </w:rPr>
        <w:t>励计划暨回购注销已授予未解锁的全部限制性股票的议案》，回购注销激励对象已获授但尚未</w:t>
      </w:r>
      <w:r>
        <w:rPr>
          <w:spacing w:val="-117"/>
        </w:rPr>
        <w:t> </w:t>
      </w:r>
      <w:r>
        <w:rPr>
          <w:spacing w:val="-117"/>
        </w:rPr>
      </w:r>
      <w:r>
        <w:rPr/>
        <w:t>解锁的全部限制性股票共计</w:t>
      </w:r>
      <w:r>
        <w:rPr>
          <w:spacing w:val="-53"/>
        </w:rPr>
        <w:t> </w:t>
      </w:r>
      <w:r>
        <w:rPr>
          <w:rFonts w:ascii="宋体" w:hAnsi="宋体" w:cs="宋体" w:eastAsia="宋体" w:hint="default"/>
        </w:rPr>
        <w:t>1,971,244</w:t>
      </w:r>
      <w:r>
        <w:rPr>
          <w:rFonts w:ascii="宋体" w:hAnsi="宋体" w:cs="宋体" w:eastAsia="宋体" w:hint="default"/>
          <w:spacing w:val="-53"/>
        </w:rPr>
        <w:t> </w:t>
      </w:r>
      <w:r>
        <w:rPr>
          <w:spacing w:val="-4"/>
        </w:rPr>
        <w:t>股，本次终止后对于已计提的股份支付费用不予转回，</w:t>
      </w:r>
    </w:p>
    <w:p>
      <w:pPr>
        <w:pStyle w:val="BodyText"/>
        <w:spacing w:line="357" w:lineRule="auto" w:before="36"/>
        <w:ind w:right="1116"/>
        <w:jc w:val="left"/>
      </w:pPr>
      <w:r>
        <w:rPr/>
        <w:t>对于原本应在剩余等待期内确认的股份支付费用</w:t>
      </w:r>
      <w:r>
        <w:rPr>
          <w:spacing w:val="-59"/>
        </w:rPr>
        <w:t> </w:t>
      </w:r>
      <w:r>
        <w:rPr>
          <w:rFonts w:ascii="宋体" w:hAnsi="宋体" w:cs="宋体" w:eastAsia="宋体" w:hint="default"/>
        </w:rPr>
        <w:t>426.5</w:t>
      </w:r>
      <w:r>
        <w:rPr>
          <w:rFonts w:ascii="宋体" w:hAnsi="宋体" w:cs="宋体" w:eastAsia="宋体" w:hint="default"/>
          <w:spacing w:val="-59"/>
        </w:rPr>
        <w:t> </w:t>
      </w:r>
      <w:r>
        <w:rPr/>
        <w:t>万元在</w:t>
      </w:r>
      <w:r>
        <w:rPr>
          <w:spacing w:val="-59"/>
        </w:rPr>
        <w:t> </w:t>
      </w:r>
      <w:r>
        <w:rPr>
          <w:rFonts w:ascii="宋体" w:hAnsi="宋体" w:cs="宋体" w:eastAsia="宋体" w:hint="default"/>
        </w:rPr>
        <w:t>2018</w:t>
      </w:r>
      <w:r>
        <w:rPr>
          <w:rFonts w:ascii="宋体" w:hAnsi="宋体" w:cs="宋体" w:eastAsia="宋体" w:hint="default"/>
          <w:spacing w:val="-59"/>
        </w:rPr>
        <w:t> </w:t>
      </w:r>
      <w:r>
        <w:rPr>
          <w:spacing w:val="-8"/>
        </w:rPr>
        <w:t>年加速提取，对于与激励</w:t>
      </w:r>
      <w:r>
        <w:rPr/>
        <w:t> 对象离职相关的股份支付费用不予计提。</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5、其他" w:id="452"/>
      <w:bookmarkEnd w:id="452"/>
      <w:r>
        <w:rPr/>
      </w:r>
      <w:r>
        <w:rPr>
          <w:rFonts w:ascii="宋体" w:hAnsi="宋体" w:cs="宋体" w:eastAsia="宋体" w:hint="default"/>
          <w:b/>
          <w:bCs/>
          <w:sz w:val="21"/>
          <w:szCs w:val="21"/>
        </w:rPr>
        <w:t>5</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3"/>
        <w:ind w:left="154" w:right="8232" w:firstLine="480"/>
        <w:jc w:val="left"/>
        <w:rPr>
          <w:rFonts w:ascii="宋体" w:hAnsi="宋体" w:cs="宋体" w:eastAsia="宋体" w:hint="default"/>
          <w:sz w:val="21"/>
          <w:szCs w:val="21"/>
        </w:rPr>
      </w:pPr>
      <w:r>
        <w:rPr>
          <w:rFonts w:ascii="宋体" w:hAnsi="宋体" w:cs="宋体" w:eastAsia="宋体" w:hint="default"/>
          <w:sz w:val="24"/>
          <w:szCs w:val="24"/>
        </w:rPr>
        <w:t>无。 </w:t>
      </w:r>
      <w:bookmarkStart w:name="十四、承诺及或有事项" w:id="453"/>
      <w:bookmarkEnd w:id="453"/>
      <w:r>
        <w:rPr>
          <w:rFonts w:ascii="宋体" w:hAnsi="宋体" w:cs="宋体" w:eastAsia="宋体" w:hint="default"/>
          <w:sz w:val="24"/>
          <w:szCs w:val="24"/>
        </w:rPr>
      </w:r>
      <w:r>
        <w:rPr>
          <w:rFonts w:ascii="宋体" w:hAnsi="宋体" w:cs="宋体" w:eastAsia="宋体" w:hint="default"/>
          <w:b/>
          <w:bCs/>
          <w:w w:val="95"/>
          <w:sz w:val="24"/>
          <w:szCs w:val="24"/>
        </w:rPr>
        <w:t>十四、承诺及或有事项</w:t>
      </w:r>
      <w:r>
        <w:rPr>
          <w:rFonts w:ascii="宋体" w:hAnsi="宋体" w:cs="宋体" w:eastAsia="宋体" w:hint="default"/>
          <w:b/>
          <w:bCs/>
          <w:spacing w:val="-4"/>
          <w:w w:val="95"/>
          <w:sz w:val="24"/>
          <w:szCs w:val="24"/>
        </w:rPr>
        <w:t> </w:t>
      </w:r>
      <w:bookmarkStart w:name="1、重要承诺事项" w:id="454"/>
      <w:bookmarkEnd w:id="454"/>
      <w:r>
        <w:rPr>
          <w:rFonts w:ascii="宋体" w:hAnsi="宋体" w:cs="宋体" w:eastAsia="宋体" w:hint="default"/>
          <w:b/>
          <w:bCs/>
          <w:spacing w:val="-4"/>
          <w:w w:val="95"/>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pStyle w:val="BodyText"/>
        <w:spacing w:line="240" w:lineRule="auto" w:before="160"/>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或有事项" w:id="455"/>
      <w:bookmarkEnd w:id="455"/>
      <w:r>
        <w:rPr/>
      </w:r>
      <w:r>
        <w:rPr>
          <w:rFonts w:ascii="宋体" w:hAnsi="宋体" w:cs="宋体" w:eastAsia="宋体" w:hint="default"/>
          <w:b/>
          <w:bCs/>
          <w:sz w:val="21"/>
          <w:szCs w:val="21"/>
        </w:rPr>
        <w:t>2</w:t>
      </w:r>
      <w:r>
        <w:rPr>
          <w:rFonts w:ascii="宋体" w:hAnsi="宋体" w:cs="宋体" w:eastAsia="宋体" w:hint="default"/>
          <w:b/>
          <w:bCs/>
          <w:sz w:val="21"/>
          <w:szCs w:val="21"/>
        </w:rPr>
        <w:t>、或有事项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公司不存在需要披露的重要或有事项。</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其他" w:id="456"/>
      <w:bookmarkEnd w:id="456"/>
      <w:r>
        <w:rPr/>
      </w:r>
      <w:r>
        <w:rPr>
          <w:rFonts w:ascii="宋体" w:hAnsi="宋体" w:cs="宋体" w:eastAsia="宋体" w:hint="default"/>
          <w:b/>
          <w:bCs/>
          <w:sz w:val="21"/>
          <w:szCs w:val="21"/>
        </w:rPr>
        <w:t>3</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after="0" w:line="240" w:lineRule="auto"/>
        <w:jc w:val="left"/>
        <w:sectPr>
          <w:pgSz w:w="11910" w:h="16840"/>
          <w:pgMar w:header="877" w:footer="979" w:top="1100" w:bottom="1160" w:left="980" w:right="0"/>
        </w:sectPr>
      </w:pPr>
    </w:p>
    <w:p>
      <w:pPr>
        <w:spacing w:line="240" w:lineRule="auto" w:before="8"/>
        <w:rPr>
          <w:rFonts w:ascii="宋体" w:hAnsi="宋体" w:cs="宋体" w:eastAsia="宋体" w:hint="default"/>
          <w:sz w:val="19"/>
          <w:szCs w:val="19"/>
        </w:rPr>
      </w:pPr>
    </w:p>
    <w:p>
      <w:pPr>
        <w:pStyle w:val="Heading2"/>
        <w:spacing w:line="240" w:lineRule="auto"/>
        <w:ind w:right="1092"/>
        <w:jc w:val="left"/>
        <w:rPr>
          <w:b w:val="0"/>
          <w:bCs w:val="0"/>
        </w:rPr>
      </w:pPr>
      <w:bookmarkStart w:name="十五、资产负债表日后事项" w:id="457"/>
      <w:bookmarkEnd w:id="457"/>
      <w:r>
        <w:rPr>
          <w:b w:val="0"/>
          <w:bCs w:val="0"/>
        </w:rPr>
      </w:r>
      <w:r>
        <w:rPr/>
        <w:t>十五、资产负债表日后事项</w:t>
      </w:r>
      <w:r>
        <w:rPr>
          <w:b w:val="0"/>
          <w:bCs w:val="0"/>
        </w:rPr>
      </w:r>
    </w:p>
    <w:p>
      <w:pPr>
        <w:spacing w:line="240" w:lineRule="auto" w:before="9"/>
        <w:rPr>
          <w:rFonts w:ascii="宋体" w:hAnsi="宋体" w:cs="宋体" w:eastAsia="宋体" w:hint="default"/>
          <w:b/>
          <w:bCs/>
          <w:sz w:val="24"/>
          <w:szCs w:val="24"/>
        </w:rPr>
      </w:pPr>
    </w:p>
    <w:p>
      <w:pPr>
        <w:spacing w:before="0"/>
        <w:ind w:left="154" w:right="1092" w:firstLine="0"/>
        <w:jc w:val="left"/>
        <w:rPr>
          <w:rFonts w:ascii="宋体" w:hAnsi="宋体" w:cs="宋体" w:eastAsia="宋体" w:hint="default"/>
          <w:sz w:val="21"/>
          <w:szCs w:val="21"/>
        </w:rPr>
      </w:pPr>
      <w:bookmarkStart w:name="1、重要的非调整事项" w:id="458"/>
      <w:bookmarkEnd w:id="458"/>
      <w:r>
        <w:rPr/>
      </w:r>
      <w:r>
        <w:rPr>
          <w:rFonts w:ascii="宋体" w:hAnsi="宋体" w:cs="宋体" w:eastAsia="宋体" w:hint="default"/>
          <w:b/>
          <w:bCs/>
          <w:sz w:val="21"/>
          <w:szCs w:val="21"/>
        </w:rPr>
        <w:t>1</w:t>
      </w:r>
      <w:r>
        <w:rPr>
          <w:rFonts w:ascii="宋体" w:hAnsi="宋体" w:cs="宋体" w:eastAsia="宋体" w:hint="default"/>
          <w:b/>
          <w:bCs/>
          <w:sz w:val="21"/>
          <w:szCs w:val="21"/>
        </w:rPr>
        <w:t>、重要的非调整事项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134" w:right="9310"/>
        <w:jc w:val="center"/>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利润分配情况" w:id="459"/>
      <w:bookmarkEnd w:id="459"/>
      <w:r>
        <w:rPr/>
      </w:r>
      <w:r>
        <w:rPr>
          <w:rFonts w:ascii="宋体" w:hAnsi="宋体" w:cs="宋体" w:eastAsia="宋体" w:hint="default"/>
          <w:b/>
          <w:bCs/>
          <w:sz w:val="21"/>
          <w:szCs w:val="21"/>
        </w:rPr>
        <w:t>2</w:t>
      </w:r>
      <w:r>
        <w:rPr>
          <w:rFonts w:ascii="宋体" w:hAnsi="宋体" w:cs="宋体" w:eastAsia="宋体" w:hint="default"/>
          <w:b/>
          <w:bCs/>
          <w:sz w:val="21"/>
          <w:szCs w:val="21"/>
        </w:rPr>
        <w:t>、利润分配情况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34" w:right="9310"/>
        <w:jc w:val="center"/>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销售退回" w:id="460"/>
      <w:bookmarkEnd w:id="460"/>
      <w:r>
        <w:rPr/>
      </w:r>
      <w:r>
        <w:rPr>
          <w:rFonts w:ascii="宋体" w:hAnsi="宋体" w:cs="宋体" w:eastAsia="宋体" w:hint="default"/>
          <w:b/>
          <w:bCs/>
          <w:sz w:val="21"/>
          <w:szCs w:val="21"/>
        </w:rPr>
        <w:t>3</w:t>
      </w:r>
      <w:r>
        <w:rPr>
          <w:rFonts w:ascii="宋体" w:hAnsi="宋体" w:cs="宋体" w:eastAsia="宋体" w:hint="default"/>
          <w:b/>
          <w:bCs/>
          <w:sz w:val="21"/>
          <w:szCs w:val="21"/>
        </w:rPr>
        <w:t>、销售退回</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其他资产负债表日后事项说明" w:id="461"/>
      <w:bookmarkEnd w:id="461"/>
      <w:r>
        <w:rPr/>
      </w:r>
      <w:r>
        <w:rPr>
          <w:rFonts w:ascii="宋体" w:hAnsi="宋体" w:cs="宋体" w:eastAsia="宋体" w:hint="default"/>
          <w:b/>
          <w:bCs/>
          <w:sz w:val="21"/>
          <w:szCs w:val="21"/>
        </w:rPr>
        <w:t>4</w:t>
      </w:r>
      <w:r>
        <w:rPr>
          <w:rFonts w:ascii="宋体" w:hAnsi="宋体" w:cs="宋体" w:eastAsia="宋体" w:hint="default"/>
          <w:b/>
          <w:bCs/>
          <w:sz w:val="21"/>
          <w:szCs w:val="21"/>
        </w:rPr>
        <w:t>、其他资产负债表日后事项说明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28" w:lineRule="auto" w:before="131"/>
        <w:ind w:left="154" w:right="3792" w:firstLine="480"/>
        <w:jc w:val="left"/>
        <w:rPr>
          <w:rFonts w:ascii="宋体" w:hAnsi="宋体" w:cs="宋体" w:eastAsia="宋体" w:hint="default"/>
          <w:sz w:val="24"/>
          <w:szCs w:val="24"/>
        </w:rPr>
      </w:pPr>
      <w:r>
        <w:rPr>
          <w:rFonts w:ascii="宋体" w:hAnsi="宋体" w:cs="宋体" w:eastAsia="宋体" w:hint="default"/>
          <w:sz w:val="24"/>
          <w:szCs w:val="24"/>
        </w:rPr>
        <w:t>截止本报告日，本集团无重大资产负债表日后事项需要披露。 </w:t>
      </w:r>
      <w:bookmarkStart w:name="十六、其他重要事项" w:id="462"/>
      <w:bookmarkEnd w:id="462"/>
      <w:r>
        <w:rPr>
          <w:rFonts w:ascii="宋体" w:hAnsi="宋体" w:cs="宋体" w:eastAsia="宋体" w:hint="default"/>
          <w:sz w:val="24"/>
          <w:szCs w:val="24"/>
        </w:rPr>
      </w:r>
      <w:r>
        <w:rPr>
          <w:rFonts w:ascii="宋体" w:hAnsi="宋体" w:cs="宋体" w:eastAsia="宋体" w:hint="default"/>
          <w:b/>
          <w:bCs/>
          <w:sz w:val="24"/>
          <w:szCs w:val="24"/>
        </w:rPr>
        <w:t>十六、其他重要事项</w:t>
      </w:r>
      <w:r>
        <w:rPr>
          <w:rFonts w:ascii="宋体" w:hAnsi="宋体" w:cs="宋体" w:eastAsia="宋体" w:hint="default"/>
          <w:sz w:val="24"/>
          <w:szCs w:val="24"/>
        </w:rPr>
      </w:r>
    </w:p>
    <w:p>
      <w:pPr>
        <w:spacing w:before="34"/>
        <w:ind w:left="154" w:right="1092" w:firstLine="0"/>
        <w:jc w:val="left"/>
        <w:rPr>
          <w:rFonts w:ascii="宋体" w:hAnsi="宋体" w:cs="宋体" w:eastAsia="宋体" w:hint="default"/>
          <w:sz w:val="21"/>
          <w:szCs w:val="21"/>
        </w:rPr>
      </w:pPr>
      <w:bookmarkStart w:name="1、前期会计差错更正" w:id="463"/>
      <w:bookmarkEnd w:id="463"/>
      <w:r>
        <w:rPr/>
      </w:r>
      <w:r>
        <w:rPr>
          <w:rFonts w:ascii="宋体" w:hAnsi="宋体" w:cs="宋体" w:eastAsia="宋体" w:hint="default"/>
          <w:b/>
          <w:bCs/>
          <w:sz w:val="21"/>
          <w:szCs w:val="21"/>
        </w:rPr>
        <w:t>1</w:t>
      </w:r>
      <w:r>
        <w:rPr>
          <w:rFonts w:ascii="宋体" w:hAnsi="宋体" w:cs="宋体" w:eastAsia="宋体" w:hint="default"/>
          <w:b/>
          <w:bCs/>
          <w:sz w:val="21"/>
          <w:szCs w:val="21"/>
        </w:rPr>
        <w:t>、前期会计差错更正</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追溯重述法" w:id="464"/>
      <w:bookmarkEnd w:id="464"/>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）追溯重述法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未来适用法" w:id="465"/>
      <w:bookmarkEnd w:id="465"/>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）未来适用法</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34" w:right="9310"/>
        <w:jc w:val="center"/>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债务重组" w:id="466"/>
      <w:bookmarkEnd w:id="466"/>
      <w:r>
        <w:rPr/>
      </w:r>
      <w:r>
        <w:rPr>
          <w:rFonts w:ascii="宋体" w:hAnsi="宋体" w:cs="宋体" w:eastAsia="宋体" w:hint="default"/>
          <w:b/>
          <w:bCs/>
          <w:sz w:val="21"/>
          <w:szCs w:val="21"/>
        </w:rPr>
        <w:t>2</w:t>
      </w:r>
      <w:r>
        <w:rPr>
          <w:rFonts w:ascii="宋体" w:hAnsi="宋体" w:cs="宋体" w:eastAsia="宋体" w:hint="default"/>
          <w:b/>
          <w:bCs/>
          <w:sz w:val="21"/>
          <w:szCs w:val="21"/>
        </w:rPr>
        <w:t>、债务重组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34" w:right="9310"/>
        <w:jc w:val="center"/>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资产置换" w:id="467"/>
      <w:bookmarkEnd w:id="467"/>
      <w:r>
        <w:rPr/>
      </w:r>
      <w:r>
        <w:rPr>
          <w:rFonts w:ascii="宋体" w:hAnsi="宋体" w:cs="宋体" w:eastAsia="宋体" w:hint="default"/>
          <w:b/>
          <w:bCs/>
          <w:sz w:val="21"/>
          <w:szCs w:val="21"/>
        </w:rPr>
        <w:t>3</w:t>
      </w:r>
      <w:r>
        <w:rPr>
          <w:rFonts w:ascii="宋体" w:hAnsi="宋体" w:cs="宋体" w:eastAsia="宋体" w:hint="default"/>
          <w:b/>
          <w:bCs/>
          <w:sz w:val="21"/>
          <w:szCs w:val="21"/>
        </w:rPr>
        <w:t>、资产置换</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非货币性资产交换" w:id="468"/>
      <w:bookmarkEnd w:id="468"/>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）非货币性资产交换</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134" w:right="9310"/>
        <w:jc w:val="center"/>
      </w:pPr>
      <w:r>
        <w:rPr/>
        <w:t>无。</w:t>
      </w:r>
    </w:p>
    <w:p>
      <w:pPr>
        <w:spacing w:after="0" w:line="240" w:lineRule="auto"/>
        <w:jc w:val="center"/>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1092" w:firstLine="0"/>
        <w:jc w:val="left"/>
        <w:rPr>
          <w:rFonts w:ascii="宋体" w:hAnsi="宋体" w:cs="宋体" w:eastAsia="宋体" w:hint="default"/>
          <w:sz w:val="21"/>
          <w:szCs w:val="21"/>
        </w:rPr>
      </w:pPr>
      <w:bookmarkStart w:name="（2）其他资产置换" w:id="469"/>
      <w:bookmarkEnd w:id="469"/>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）其他资产置换</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年金计划" w:id="470"/>
      <w:bookmarkEnd w:id="470"/>
      <w:r>
        <w:rPr/>
      </w:r>
      <w:r>
        <w:rPr>
          <w:rFonts w:ascii="宋体" w:hAnsi="宋体" w:cs="宋体" w:eastAsia="宋体" w:hint="default"/>
          <w:b/>
          <w:bCs/>
          <w:sz w:val="21"/>
          <w:szCs w:val="21"/>
        </w:rPr>
        <w:t>4</w:t>
      </w:r>
      <w:r>
        <w:rPr>
          <w:rFonts w:ascii="宋体" w:hAnsi="宋体" w:cs="宋体" w:eastAsia="宋体" w:hint="default"/>
          <w:b/>
          <w:bCs/>
          <w:sz w:val="21"/>
          <w:szCs w:val="21"/>
        </w:rPr>
        <w:t>、年金计划</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5、终止经营" w:id="471"/>
      <w:bookmarkEnd w:id="471"/>
      <w:r>
        <w:rPr/>
      </w:r>
      <w:r>
        <w:rPr>
          <w:rFonts w:ascii="宋体" w:hAnsi="宋体" w:cs="宋体" w:eastAsia="宋体" w:hint="default"/>
          <w:b/>
          <w:bCs/>
          <w:sz w:val="21"/>
          <w:szCs w:val="21"/>
        </w:rPr>
        <w:t>5</w:t>
      </w:r>
      <w:r>
        <w:rPr>
          <w:rFonts w:ascii="宋体" w:hAnsi="宋体" w:cs="宋体" w:eastAsia="宋体" w:hint="default"/>
          <w:b/>
          <w:bCs/>
          <w:sz w:val="21"/>
          <w:szCs w:val="21"/>
        </w:rPr>
        <w:t>、终止经营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6、分部信息" w:id="472"/>
      <w:bookmarkEnd w:id="472"/>
      <w:r>
        <w:rPr/>
      </w:r>
      <w:r>
        <w:rPr>
          <w:rFonts w:ascii="宋体" w:hAnsi="宋体" w:cs="宋体" w:eastAsia="宋体" w:hint="default"/>
          <w:b/>
          <w:bCs/>
          <w:sz w:val="21"/>
          <w:szCs w:val="21"/>
        </w:rPr>
        <w:t>6</w:t>
      </w:r>
      <w:r>
        <w:rPr>
          <w:rFonts w:ascii="宋体" w:hAnsi="宋体" w:cs="宋体" w:eastAsia="宋体" w:hint="default"/>
          <w:b/>
          <w:bCs/>
          <w:sz w:val="21"/>
          <w:szCs w:val="21"/>
        </w:rPr>
        <w:t>、分部信息</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报告分部的确定依据与会计政策" w:id="473"/>
      <w:bookmarkEnd w:id="473"/>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）报告分部的确定依据与会计政策</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p>
    <w:p>
      <w:pPr>
        <w:pStyle w:val="BodyText"/>
        <w:spacing w:line="357" w:lineRule="auto"/>
        <w:ind w:right="1131" w:firstLine="480"/>
        <w:jc w:val="both"/>
      </w:pPr>
      <w:r>
        <w:rPr/>
        <w:t>根据公司的业务性质、客户群体以及内部组织结构与管理要求，本公司的经营业务划分 为文化业务与教育业务共 </w:t>
      </w:r>
      <w:r>
        <w:rPr>
          <w:rFonts w:ascii="宋体" w:hAnsi="宋体" w:cs="宋体" w:eastAsia="宋体" w:hint="default"/>
        </w:rPr>
        <w:t>2</w:t>
      </w:r>
      <w:r>
        <w:rPr>
          <w:rFonts w:ascii="宋体" w:hAnsi="宋体" w:cs="宋体" w:eastAsia="宋体" w:hint="default"/>
          <w:spacing w:val="-82"/>
        </w:rPr>
        <w:t> </w:t>
      </w:r>
      <w:r>
        <w:rPr/>
        <w:t>个业务分部，分部报告的编制依据与公司合并财务报告的政策保 持一致。</w:t>
      </w:r>
    </w:p>
    <w:p>
      <w:pPr>
        <w:spacing w:line="240" w:lineRule="auto" w:before="7"/>
        <w:rPr>
          <w:rFonts w:ascii="宋体" w:hAnsi="宋体" w:cs="宋体" w:eastAsia="宋体" w:hint="default"/>
          <w:sz w:val="21"/>
          <w:szCs w:val="21"/>
        </w:rPr>
      </w:pPr>
    </w:p>
    <w:p>
      <w:pPr>
        <w:spacing w:before="0"/>
        <w:ind w:left="154" w:right="1092" w:firstLine="0"/>
        <w:jc w:val="left"/>
        <w:rPr>
          <w:rFonts w:ascii="宋体" w:hAnsi="宋体" w:cs="宋体" w:eastAsia="宋体" w:hint="default"/>
          <w:sz w:val="21"/>
          <w:szCs w:val="21"/>
        </w:rPr>
      </w:pPr>
      <w:bookmarkStart w:name="（2）报告分部的财务信息" w:id="474"/>
      <w:bookmarkEnd w:id="474"/>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）报告分部的财务信息</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92"/>
        <w:gridCol w:w="1926"/>
        <w:gridCol w:w="1914"/>
        <w:gridCol w:w="1914"/>
        <w:gridCol w:w="1914"/>
      </w:tblGrid>
      <w:tr>
        <w:trPr>
          <w:trHeight w:val="402" w:hRule="exact"/>
        </w:trPr>
        <w:tc>
          <w:tcPr>
            <w:tcW w:w="1892" w:type="dxa"/>
            <w:tcBorders>
              <w:top w:val="single" w:sz="4" w:space="0" w:color="000000"/>
              <w:left w:val="single" w:sz="4" w:space="0" w:color="000000"/>
              <w:bottom w:val="single" w:sz="4" w:space="0" w:color="000000"/>
              <w:right w:val="single" w:sz="9" w:space="0" w:color="D9D9D9"/>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602" w:right="0"/>
              <w:jc w:val="left"/>
              <w:rPr>
                <w:rFonts w:ascii="宋体" w:hAnsi="宋体" w:cs="宋体" w:eastAsia="宋体" w:hint="default"/>
                <w:sz w:val="18"/>
                <w:szCs w:val="18"/>
              </w:rPr>
            </w:pPr>
            <w:r>
              <w:rPr>
                <w:rFonts w:ascii="宋体" w:hAnsi="宋体" w:cs="宋体" w:eastAsia="宋体" w:hint="default"/>
                <w:sz w:val="18"/>
                <w:szCs w:val="18"/>
              </w:rPr>
              <w:t>文化业务</w:t>
            </w:r>
          </w:p>
        </w:tc>
        <w:tc>
          <w:tcPr>
            <w:tcW w:w="1914"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教育业务</w:t>
            </w:r>
          </w:p>
        </w:tc>
        <w:tc>
          <w:tcPr>
            <w:tcW w:w="1914" w:type="dxa"/>
            <w:tcBorders>
              <w:top w:val="single" w:sz="4" w:space="0" w:color="000000"/>
              <w:left w:val="single" w:sz="13" w:space="0" w:color="D9D9D9"/>
              <w:bottom w:val="single" w:sz="4" w:space="0" w:color="000000"/>
              <w:right w:val="single" w:sz="4" w:space="0" w:color="000000"/>
            </w:tcBorders>
            <w:shd w:val="clear" w:color="auto" w:fill="D2D2D2"/>
          </w:tcPr>
          <w:p>
            <w:pPr>
              <w:pStyle w:val="TableParagraph"/>
              <w:spacing w:line="240" w:lineRule="auto" w:before="51"/>
              <w:ind w:left="490"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92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799,374,574.60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86,605,021.14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2,207,901.50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883,771,694.24</w:t>
            </w: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92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501,713,786.68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32,773,957.63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2,207,901.50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532,279,842.81</w:t>
            </w: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92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281,331,753.68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31,235,713.29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312,567,466.97</w:t>
            </w: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192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2,487,669,524.90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283,039,109.16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180,132,602.82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2,590,576,031.24</w:t>
            </w: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192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438,873,733.76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45,706,893.18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70,132,602.82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414,448,024.12</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公司无报告分部的，或者不能披露各报告分部的资产总额和负债总额的，应说明原因" w:id="475"/>
      <w:bookmarkEnd w:id="475"/>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）公司无报告分部的，或者不能披露各报告分部的资产总额和负债总额的，应说明原因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6"/>
        <w:rPr>
          <w:rFonts w:ascii="宋体" w:hAnsi="宋体" w:cs="宋体" w:eastAsia="宋体" w:hint="default"/>
          <w:sz w:val="30"/>
          <w:szCs w:val="30"/>
        </w:rPr>
      </w:pPr>
    </w:p>
    <w:p>
      <w:pPr>
        <w:spacing w:before="0"/>
        <w:ind w:left="134" w:right="9380" w:firstLine="0"/>
        <w:jc w:val="center"/>
        <w:rPr>
          <w:rFonts w:ascii="宋体" w:hAnsi="宋体" w:cs="宋体" w:eastAsia="宋体" w:hint="default"/>
          <w:sz w:val="21"/>
          <w:szCs w:val="21"/>
        </w:rPr>
      </w:pPr>
      <w:bookmarkStart w:name="（4）其他说明" w:id="476"/>
      <w:bookmarkEnd w:id="476"/>
      <w:r>
        <w:rPr/>
      </w: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）其他说明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134" w:right="9310"/>
        <w:jc w:val="center"/>
      </w:pPr>
      <w:r>
        <w:rPr/>
        <w:t>无。</w:t>
      </w:r>
    </w:p>
    <w:p>
      <w:pPr>
        <w:spacing w:after="0" w:line="240" w:lineRule="auto"/>
        <w:jc w:val="center"/>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before="35"/>
        <w:ind w:left="154" w:right="0" w:firstLine="0"/>
        <w:jc w:val="both"/>
        <w:rPr>
          <w:rFonts w:ascii="宋体" w:hAnsi="宋体" w:cs="宋体" w:eastAsia="宋体" w:hint="default"/>
          <w:sz w:val="21"/>
          <w:szCs w:val="21"/>
        </w:rPr>
      </w:pPr>
      <w:bookmarkStart w:name="7、其他对投资者决策有影响的重要交易和事项" w:id="477"/>
      <w:bookmarkEnd w:id="477"/>
      <w:r>
        <w:rPr/>
      </w:r>
      <w:r>
        <w:rPr>
          <w:rFonts w:ascii="宋体" w:hAnsi="宋体" w:cs="宋体" w:eastAsia="宋体" w:hint="default"/>
          <w:b/>
          <w:bCs/>
          <w:sz w:val="21"/>
          <w:szCs w:val="21"/>
        </w:rPr>
        <w:t>7</w:t>
      </w:r>
      <w:r>
        <w:rPr>
          <w:rFonts w:ascii="宋体" w:hAnsi="宋体" w:cs="宋体" w:eastAsia="宋体" w:hint="default"/>
          <w:b/>
          <w:bCs/>
          <w:sz w:val="21"/>
          <w:szCs w:val="21"/>
        </w:rPr>
        <w:t>、其他对投资者决策有影响的重要交易和事项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rFonts w:ascii="宋体" w:hAnsi="宋体" w:cs="宋体" w:eastAsia="宋体" w:hint="default"/>
        </w:rPr>
        <w:t>1</w:t>
      </w:r>
      <w:r>
        <w:rPr/>
        <w:t>）重大资产重组基本情况</w:t>
      </w:r>
    </w:p>
    <w:p>
      <w:pPr>
        <w:spacing w:line="240" w:lineRule="auto" w:before="4"/>
        <w:rPr>
          <w:rFonts w:ascii="宋体" w:hAnsi="宋体" w:cs="宋体" w:eastAsia="宋体" w:hint="default"/>
          <w:sz w:val="19"/>
          <w:szCs w:val="19"/>
        </w:rPr>
      </w:pPr>
    </w:p>
    <w:p>
      <w:pPr>
        <w:pStyle w:val="BodyText"/>
        <w:spacing w:line="357" w:lineRule="auto"/>
        <w:ind w:right="1130" w:firstLine="480"/>
        <w:jc w:val="both"/>
      </w:pPr>
      <w:r>
        <w:rPr>
          <w:spacing w:val="-3"/>
        </w:rPr>
        <w:t>本公司第三届董事会第三次会议、</w:t>
      </w:r>
      <w:r>
        <w:rPr>
          <w:rFonts w:ascii="宋体" w:hAnsi="宋体" w:cs="宋体" w:eastAsia="宋体" w:hint="default"/>
          <w:spacing w:val="-3"/>
        </w:rPr>
        <w:t>2017</w:t>
      </w:r>
      <w:r>
        <w:rPr>
          <w:rFonts w:ascii="宋体" w:hAnsi="宋体" w:cs="宋体" w:eastAsia="宋体" w:hint="default"/>
          <w:spacing w:val="-23"/>
        </w:rPr>
        <w:t> </w:t>
      </w:r>
      <w:r>
        <w:rPr/>
        <w:t>年第三次临时股东大会，审议通过了公司发行股 </w:t>
      </w:r>
      <w:r>
        <w:rPr>
          <w:spacing w:val="-3"/>
        </w:rPr>
        <w:t>份及支付现金购买朱明等所持有的上海晨之科信息技术有限公司（以下简称“晨之科”）</w:t>
      </w:r>
      <w:r>
        <w:rPr>
          <w:rFonts w:ascii="宋体" w:hAnsi="宋体" w:cs="宋体" w:eastAsia="宋体" w:hint="default"/>
          <w:spacing w:val="-3"/>
        </w:rPr>
        <w:t>80%</w:t>
      </w:r>
      <w:r>
        <w:rPr>
          <w:rFonts w:ascii="宋体" w:hAnsi="宋体" w:cs="宋体" w:eastAsia="宋体" w:hint="default"/>
          <w:spacing w:val="-104"/>
        </w:rPr>
        <w:t> </w:t>
      </w:r>
      <w:r>
        <w:rPr>
          <w:spacing w:val="-4"/>
        </w:rPr>
        <w:t>股权。</w:t>
      </w:r>
      <w:r>
        <w:rPr>
          <w:rFonts w:ascii="宋体" w:hAnsi="宋体" w:cs="宋体" w:eastAsia="宋体" w:hint="default"/>
          <w:spacing w:val="-4"/>
        </w:rPr>
        <w:t>2018 </w:t>
      </w:r>
      <w:r>
        <w:rPr/>
        <w:t>年 </w:t>
      </w:r>
      <w:r>
        <w:rPr>
          <w:rFonts w:ascii="宋体" w:hAnsi="宋体" w:cs="宋体" w:eastAsia="宋体" w:hint="default"/>
        </w:rPr>
        <w:t>2 </w:t>
      </w:r>
      <w:r>
        <w:rPr/>
        <w:t>月 </w:t>
      </w:r>
      <w:r>
        <w:rPr>
          <w:rFonts w:ascii="宋体" w:hAnsi="宋体" w:cs="宋体" w:eastAsia="宋体" w:hint="default"/>
        </w:rPr>
        <w:t>1</w:t>
      </w:r>
      <w:r>
        <w:rPr>
          <w:rFonts w:ascii="宋体" w:hAnsi="宋体" w:cs="宋体" w:eastAsia="宋体" w:hint="default"/>
          <w:spacing w:val="-52"/>
        </w:rPr>
        <w:t> </w:t>
      </w:r>
      <w:r>
        <w:rPr/>
        <w:t>日，取得中国证券监督管理委员会于下发的《关于核准中文在线数字 </w:t>
      </w:r>
      <w:r>
        <w:rPr>
          <w:spacing w:val="-3"/>
        </w:rPr>
        <w:t>出版集团股份有限公司向朱明等发行股份购买资产的批复》（证监许可【</w:t>
      </w:r>
      <w:r>
        <w:rPr>
          <w:rFonts w:ascii="宋体" w:hAnsi="宋体" w:cs="宋体" w:eastAsia="宋体" w:hint="default"/>
          <w:spacing w:val="-3"/>
        </w:rPr>
        <w:t>2018</w:t>
      </w:r>
      <w:r>
        <w:rPr>
          <w:spacing w:val="-3"/>
        </w:rPr>
        <w:t>】</w:t>
      </w:r>
      <w:r>
        <w:rPr>
          <w:rFonts w:ascii="宋体" w:hAnsi="宋体" w:cs="宋体" w:eastAsia="宋体" w:hint="default"/>
          <w:spacing w:val="-3"/>
        </w:rPr>
        <w:t>220</w:t>
      </w:r>
      <w:r>
        <w:rPr>
          <w:rFonts w:ascii="宋体" w:hAnsi="宋体" w:cs="宋体" w:eastAsia="宋体" w:hint="default"/>
          <w:spacing w:val="9"/>
        </w:rPr>
        <w:t> </w:t>
      </w:r>
      <w:r>
        <w:rPr>
          <w:spacing w:val="-30"/>
        </w:rPr>
        <w:t>号），晨</w:t>
      </w:r>
      <w:r>
        <w:rPr>
          <w:spacing w:val="-118"/>
        </w:rPr>
        <w:t> </w:t>
      </w:r>
      <w:r>
        <w:rPr>
          <w:spacing w:val="-118"/>
        </w:rPr>
      </w:r>
      <w:r>
        <w:rPr/>
        <w:t>之科于 </w:t>
      </w:r>
      <w:r>
        <w:rPr>
          <w:rFonts w:ascii="宋体" w:hAnsi="宋体" w:cs="宋体" w:eastAsia="宋体" w:hint="default"/>
        </w:rPr>
        <w:t>2018 </w:t>
      </w:r>
      <w:r>
        <w:rPr/>
        <w:t>年 </w:t>
      </w:r>
      <w:r>
        <w:rPr>
          <w:rFonts w:ascii="宋体" w:hAnsi="宋体" w:cs="宋体" w:eastAsia="宋体" w:hint="default"/>
        </w:rPr>
        <w:t>3 </w:t>
      </w:r>
      <w:r>
        <w:rPr/>
        <w:t>月 </w:t>
      </w:r>
      <w:r>
        <w:rPr>
          <w:rFonts w:ascii="宋体" w:hAnsi="宋体" w:cs="宋体" w:eastAsia="宋体" w:hint="default"/>
        </w:rPr>
        <w:t>5 </w:t>
      </w:r>
      <w:r>
        <w:rPr/>
        <w:t>日完成工商变更。工商变更完成后，公司持有晨之科</w:t>
      </w:r>
      <w:r>
        <w:rPr>
          <w:spacing w:val="-60"/>
        </w:rPr>
        <w:t> </w:t>
      </w:r>
      <w:r>
        <w:rPr>
          <w:rFonts w:ascii="宋体" w:hAnsi="宋体" w:cs="宋体" w:eastAsia="宋体" w:hint="default"/>
        </w:rPr>
        <w:t>100%</w:t>
      </w:r>
      <w:r>
        <w:rPr/>
        <w:t>股权。</w:t>
      </w:r>
    </w:p>
    <w:p>
      <w:pPr>
        <w:pStyle w:val="BodyText"/>
        <w:spacing w:line="432" w:lineRule="auto" w:before="137"/>
        <w:ind w:left="634" w:right="999"/>
        <w:jc w:val="left"/>
      </w:pPr>
      <w:r>
        <w:rPr>
          <w:rFonts w:ascii="宋体" w:hAnsi="宋体" w:cs="宋体" w:eastAsia="宋体" w:hint="default"/>
        </w:rPr>
        <w:t>2</w:t>
      </w:r>
      <w:r>
        <w:rPr/>
        <w:t>）业绩承诺 </w:t>
      </w:r>
      <w:r>
        <w:rPr>
          <w:spacing w:val="-4"/>
        </w:rPr>
        <w:t>根据公司与朱明签署的《发行股份及支付现金购买资产协议》及《业绩承诺补偿协议》，</w:t>
      </w:r>
    </w:p>
    <w:p>
      <w:pPr>
        <w:pStyle w:val="BodyText"/>
        <w:spacing w:line="276" w:lineRule="exact"/>
        <w:ind w:right="0"/>
        <w:jc w:val="both"/>
      </w:pPr>
      <w:r>
        <w:rPr/>
        <w:t>朱明作为利润补偿义务，承诺晨之科 </w:t>
      </w:r>
      <w:r>
        <w:rPr>
          <w:rFonts w:ascii="宋体" w:hAnsi="宋体" w:cs="宋体" w:eastAsia="宋体" w:hint="default"/>
        </w:rPr>
        <w:t>2017 </w:t>
      </w:r>
      <w:r>
        <w:rPr/>
        <w:t>年度、</w:t>
      </w:r>
      <w:r>
        <w:rPr>
          <w:rFonts w:ascii="宋体" w:hAnsi="宋体" w:cs="宋体" w:eastAsia="宋体" w:hint="default"/>
        </w:rPr>
        <w:t>2018 </w:t>
      </w:r>
      <w:r>
        <w:rPr/>
        <w:t>年度和 </w:t>
      </w:r>
      <w:r>
        <w:rPr>
          <w:rFonts w:ascii="宋体" w:hAnsi="宋体" w:cs="宋体" w:eastAsia="宋体" w:hint="default"/>
        </w:rPr>
        <w:t>2019</w:t>
      </w:r>
      <w:r>
        <w:rPr>
          <w:rFonts w:ascii="宋体" w:hAnsi="宋体" w:cs="宋体" w:eastAsia="宋体" w:hint="default"/>
          <w:spacing w:val="-84"/>
        </w:rPr>
        <w:t> </w:t>
      </w:r>
      <w:r>
        <w:rPr/>
        <w:t>年度实现的净利润（扣</w:t>
      </w:r>
    </w:p>
    <w:p>
      <w:pPr>
        <w:pStyle w:val="BodyText"/>
        <w:spacing w:line="240" w:lineRule="auto" w:before="154"/>
        <w:ind w:right="0"/>
        <w:jc w:val="both"/>
      </w:pPr>
      <w:r>
        <w:rPr>
          <w:spacing w:val="-3"/>
        </w:rPr>
        <w:t>除非经常性损益后归属于母公司的净利润）分别不低于 </w:t>
      </w:r>
      <w:r>
        <w:rPr>
          <w:rFonts w:ascii="宋体" w:hAnsi="宋体" w:cs="宋体" w:eastAsia="宋体" w:hint="default"/>
        </w:rPr>
        <w:t>1.50 </w:t>
      </w:r>
      <w:r>
        <w:rPr>
          <w:spacing w:val="-11"/>
        </w:rPr>
        <w:t>亿元、</w:t>
      </w:r>
      <w:r>
        <w:rPr>
          <w:rFonts w:ascii="宋体" w:hAnsi="宋体" w:cs="宋体" w:eastAsia="宋体" w:hint="default"/>
          <w:spacing w:val="-11"/>
        </w:rPr>
        <w:t>2.20 </w:t>
      </w:r>
      <w:r>
        <w:rPr/>
        <w:t>亿元和 </w:t>
      </w:r>
      <w:r>
        <w:rPr>
          <w:rFonts w:ascii="宋体" w:hAnsi="宋体" w:cs="宋体" w:eastAsia="宋体" w:hint="default"/>
        </w:rPr>
        <w:t>2.64</w:t>
      </w:r>
      <w:r>
        <w:rPr>
          <w:rFonts w:ascii="宋体" w:hAnsi="宋体" w:cs="宋体" w:eastAsia="宋体" w:hint="default"/>
          <w:spacing w:val="-39"/>
        </w:rPr>
        <w:t> </w:t>
      </w:r>
      <w:r>
        <w:rPr/>
        <w:t>亿元，</w:t>
      </w:r>
    </w:p>
    <w:p>
      <w:pPr>
        <w:pStyle w:val="BodyText"/>
        <w:spacing w:line="434" w:lineRule="auto" w:before="155"/>
        <w:ind w:left="634" w:right="5592" w:hanging="480"/>
        <w:jc w:val="left"/>
      </w:pPr>
      <w:r>
        <w:rPr/>
        <w:t>合计不低于 </w:t>
      </w:r>
      <w:r>
        <w:rPr>
          <w:rFonts w:ascii="宋体" w:hAnsi="宋体" w:cs="宋体" w:eastAsia="宋体" w:hint="default"/>
        </w:rPr>
        <w:t>6.34 </w:t>
      </w:r>
      <w:r>
        <w:rPr/>
        <w:t>亿元。 </w:t>
      </w:r>
      <w:r>
        <w:rPr>
          <w:rFonts w:ascii="宋体" w:hAnsi="宋体" w:cs="宋体" w:eastAsia="宋体" w:hint="default"/>
        </w:rPr>
        <w:t>3</w:t>
      </w:r>
      <w:r>
        <w:rPr/>
        <w:t>）近两年业绩承诺完成情况及业绩补偿情况</w:t>
      </w:r>
    </w:p>
    <w:p>
      <w:pPr>
        <w:pStyle w:val="BodyText"/>
        <w:spacing w:line="240" w:lineRule="auto" w:before="59"/>
        <w:ind w:left="634" w:right="1092"/>
        <w:jc w:val="left"/>
      </w:pPr>
      <w:r>
        <w:rPr/>
        <w:t>本公司于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spacing w:val="-3"/>
        </w:rPr>
        <w:t>日完成了对晨之科的重大资产重组，本年为非同一控制合并后的</w:t>
      </w:r>
    </w:p>
    <w:p>
      <w:pPr>
        <w:pStyle w:val="BodyText"/>
        <w:spacing w:line="357" w:lineRule="auto" w:before="154"/>
        <w:ind w:right="1131"/>
        <w:jc w:val="both"/>
      </w:pPr>
      <w:r>
        <w:rPr/>
        <w:t>第一年，同时也是业绩承诺第二年，</w:t>
      </w:r>
      <w:r>
        <w:rPr>
          <w:rFonts w:ascii="宋体" w:hAnsi="宋体" w:cs="宋体" w:eastAsia="宋体" w:hint="default"/>
        </w:rPr>
        <w:t>2018</w:t>
      </w:r>
      <w:r>
        <w:rPr>
          <w:rFonts w:ascii="宋体" w:hAnsi="宋体" w:cs="宋体" w:eastAsia="宋体" w:hint="default"/>
          <w:spacing w:val="-41"/>
        </w:rPr>
        <w:t> </w:t>
      </w:r>
      <w:r>
        <w:rPr/>
        <w:t>年业绩承诺</w:t>
      </w:r>
      <w:r>
        <w:rPr>
          <w:spacing w:val="-41"/>
        </w:rPr>
        <w:t> </w:t>
      </w:r>
      <w:r>
        <w:rPr>
          <w:rFonts w:ascii="宋体" w:hAnsi="宋体" w:cs="宋体" w:eastAsia="宋体" w:hint="default"/>
        </w:rPr>
        <w:t>2.2</w:t>
      </w:r>
      <w:r>
        <w:rPr>
          <w:rFonts w:ascii="宋体" w:hAnsi="宋体" w:cs="宋体" w:eastAsia="宋体" w:hint="default"/>
          <w:spacing w:val="-41"/>
        </w:rPr>
        <w:t> </w:t>
      </w:r>
      <w:r>
        <w:rPr/>
        <w:t>亿元。由于</w:t>
      </w:r>
      <w:r>
        <w:rPr>
          <w:spacing w:val="-41"/>
        </w:rPr>
        <w:t> </w:t>
      </w:r>
      <w:r>
        <w:rPr>
          <w:rFonts w:ascii="宋体" w:hAnsi="宋体" w:cs="宋体" w:eastAsia="宋体" w:hint="default"/>
        </w:rPr>
        <w:t>2018</w:t>
      </w:r>
      <w:r>
        <w:rPr>
          <w:rFonts w:ascii="宋体" w:hAnsi="宋体" w:cs="宋体" w:eastAsia="宋体" w:hint="default"/>
          <w:spacing w:val="-40"/>
        </w:rPr>
        <w:t> </w:t>
      </w:r>
      <w:r>
        <w:rPr/>
        <w:t>年对网络游戏行 业版权号的发放限制的影响，</w:t>
      </w:r>
      <w:r>
        <w:rPr>
          <w:rFonts w:ascii="宋体" w:hAnsi="宋体" w:cs="宋体" w:eastAsia="宋体" w:hint="default"/>
        </w:rPr>
        <w:t>2018</w:t>
      </w:r>
      <w:r>
        <w:rPr>
          <w:rFonts w:ascii="宋体" w:hAnsi="宋体" w:cs="宋体" w:eastAsia="宋体" w:hint="default"/>
          <w:spacing w:val="-68"/>
        </w:rPr>
        <w:t> </w:t>
      </w:r>
      <w:r>
        <w:rPr/>
        <w:t>年晨之科未完成业绩承诺</w:t>
      </w:r>
      <w:r>
        <w:rPr>
          <w:spacing w:val="-68"/>
        </w:rPr>
        <w:t> </w:t>
      </w:r>
      <w:r>
        <w:rPr>
          <w:rFonts w:ascii="宋体" w:hAnsi="宋体" w:cs="宋体" w:eastAsia="宋体" w:hint="default"/>
        </w:rPr>
        <w:t>2.2</w:t>
      </w:r>
      <w:r>
        <w:rPr>
          <w:rFonts w:ascii="宋体" w:hAnsi="宋体" w:cs="宋体" w:eastAsia="宋体" w:hint="default"/>
          <w:spacing w:val="-68"/>
        </w:rPr>
        <w:t> </w:t>
      </w:r>
      <w:r>
        <w:rPr/>
        <w:t>亿元，根据业绩补偿承诺晨 之科原大股东需要对本公司进行业绩补偿。按业绩补偿协议的约定，股东优先以股权对价进</w:t>
      </w:r>
      <w:r>
        <w:rPr>
          <w:spacing w:val="-115"/>
        </w:rPr>
        <w:t> </w:t>
      </w:r>
      <w:r>
        <w:rPr>
          <w:spacing w:val="-115"/>
        </w:rPr>
      </w:r>
      <w:r>
        <w:rPr/>
        <w:t>行补偿（股权价值按发行股份时的 </w:t>
      </w:r>
      <w:r>
        <w:rPr>
          <w:rFonts w:ascii="宋体" w:hAnsi="宋体" w:cs="宋体" w:eastAsia="宋体" w:hint="default"/>
        </w:rPr>
        <w:t>15.98</w:t>
      </w:r>
      <w:r>
        <w:rPr>
          <w:rFonts w:ascii="宋体" w:hAnsi="宋体" w:cs="宋体" w:eastAsia="宋体" w:hint="default"/>
          <w:spacing w:val="-82"/>
        </w:rPr>
        <w:t> </w:t>
      </w:r>
      <w:r>
        <w:rPr/>
        <w:t>每股计算）经晨之科审定净利润扣非后计算，本期</w:t>
      </w:r>
    </w:p>
    <w:p>
      <w:pPr>
        <w:pStyle w:val="BodyText"/>
        <w:spacing w:line="357" w:lineRule="auto" w:before="36"/>
        <w:ind w:right="1131"/>
        <w:jc w:val="both"/>
      </w:pPr>
      <w:r>
        <w:rPr/>
        <w:t>应补偿</w:t>
      </w:r>
      <w:r>
        <w:rPr>
          <w:spacing w:val="-54"/>
        </w:rPr>
        <w:t> </w:t>
      </w:r>
      <w:r>
        <w:rPr>
          <w:rFonts w:ascii="宋体" w:hAnsi="宋体" w:cs="宋体" w:eastAsia="宋体" w:hint="default"/>
        </w:rPr>
        <w:t>71,435.30</w:t>
      </w:r>
      <w:r>
        <w:rPr>
          <w:rFonts w:ascii="宋体" w:hAnsi="宋体" w:cs="宋体" w:eastAsia="宋体" w:hint="default"/>
          <w:spacing w:val="-54"/>
        </w:rPr>
        <w:t> </w:t>
      </w:r>
      <w:r>
        <w:rPr>
          <w:spacing w:val="-3"/>
        </w:rPr>
        <w:t>万元，即补偿股份数为</w:t>
      </w:r>
      <w:r>
        <w:rPr>
          <w:spacing w:val="-54"/>
        </w:rPr>
        <w:t> </w:t>
      </w:r>
      <w:r>
        <w:rPr>
          <w:rFonts w:ascii="宋体" w:hAnsi="宋体" w:cs="宋体" w:eastAsia="宋体" w:hint="default"/>
        </w:rPr>
        <w:t>4,470</w:t>
      </w:r>
      <w:r>
        <w:rPr>
          <w:rFonts w:ascii="宋体" w:hAnsi="宋体" w:cs="宋体" w:eastAsia="宋体" w:hint="default"/>
          <w:spacing w:val="-54"/>
        </w:rPr>
        <w:t> </w:t>
      </w:r>
      <w:r>
        <w:rPr>
          <w:spacing w:val="-10"/>
        </w:rPr>
        <w:t>万股（取整），报告期内，股权补偿相关股权</w:t>
      </w:r>
      <w:r>
        <w:rPr/>
        <w:t> 变更事宜尚未完成。</w:t>
      </w:r>
    </w:p>
    <w:p>
      <w:pPr>
        <w:spacing w:line="240" w:lineRule="auto" w:before="5"/>
        <w:rPr>
          <w:rFonts w:ascii="宋体" w:hAnsi="宋体" w:cs="宋体" w:eastAsia="宋体" w:hint="default"/>
          <w:sz w:val="21"/>
          <w:szCs w:val="21"/>
        </w:rPr>
      </w:pPr>
    </w:p>
    <w:p>
      <w:pPr>
        <w:spacing w:before="0"/>
        <w:ind w:left="154" w:right="0" w:firstLine="0"/>
        <w:jc w:val="both"/>
        <w:rPr>
          <w:rFonts w:ascii="宋体" w:hAnsi="宋体" w:cs="宋体" w:eastAsia="宋体" w:hint="default"/>
          <w:sz w:val="21"/>
          <w:szCs w:val="21"/>
        </w:rPr>
      </w:pPr>
      <w:bookmarkStart w:name="8、其他" w:id="478"/>
      <w:bookmarkEnd w:id="478"/>
      <w:r>
        <w:rPr/>
      </w:r>
      <w:r>
        <w:rPr>
          <w:rFonts w:ascii="宋体" w:hAnsi="宋体" w:cs="宋体" w:eastAsia="宋体" w:hint="default"/>
          <w:b/>
          <w:bCs/>
          <w:sz w:val="21"/>
          <w:szCs w:val="21"/>
        </w:rPr>
        <w:t>8</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3"/>
        <w:ind w:left="154" w:right="6192" w:firstLine="480"/>
        <w:jc w:val="left"/>
        <w:rPr>
          <w:rFonts w:ascii="宋体" w:hAnsi="宋体" w:cs="宋体" w:eastAsia="宋体" w:hint="default"/>
          <w:sz w:val="21"/>
          <w:szCs w:val="21"/>
        </w:rPr>
      </w:pPr>
      <w:r>
        <w:rPr>
          <w:rFonts w:ascii="宋体" w:hAnsi="宋体" w:cs="宋体" w:eastAsia="宋体" w:hint="default"/>
          <w:sz w:val="24"/>
          <w:szCs w:val="24"/>
        </w:rPr>
        <w:t>无。 </w:t>
      </w:r>
      <w:bookmarkStart w:name="十七、母公司财务报表主要项目注释" w:id="479"/>
      <w:bookmarkEnd w:id="479"/>
      <w:r>
        <w:rPr>
          <w:rFonts w:ascii="宋体" w:hAnsi="宋体" w:cs="宋体" w:eastAsia="宋体" w:hint="default"/>
          <w:sz w:val="24"/>
          <w:szCs w:val="24"/>
        </w:rPr>
      </w:r>
      <w:r>
        <w:rPr>
          <w:rFonts w:ascii="宋体" w:hAnsi="宋体" w:cs="宋体" w:eastAsia="宋体" w:hint="default"/>
          <w:b/>
          <w:bCs/>
          <w:w w:val="95"/>
          <w:sz w:val="24"/>
          <w:szCs w:val="24"/>
        </w:rPr>
        <w:t>十七、母公司财务报表主要项目注释</w:t>
      </w:r>
      <w:r>
        <w:rPr>
          <w:rFonts w:ascii="宋体" w:hAnsi="宋体" w:cs="宋体" w:eastAsia="宋体" w:hint="default"/>
          <w:b/>
          <w:bCs/>
          <w:spacing w:val="62"/>
          <w:w w:val="95"/>
          <w:sz w:val="24"/>
          <w:szCs w:val="24"/>
        </w:rPr>
        <w:t> </w:t>
      </w:r>
      <w:bookmarkStart w:name="1、应收票据及应收账款" w:id="480"/>
      <w:bookmarkEnd w:id="480"/>
      <w:r>
        <w:rPr>
          <w:rFonts w:ascii="宋体" w:hAnsi="宋体" w:cs="宋体" w:eastAsia="宋体" w:hint="default"/>
          <w:b/>
          <w:bCs/>
          <w:spacing w:val="62"/>
          <w:w w:val="95"/>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before="13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57,783,363.83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46,524,977.76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57,783,363.83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46,524,977.76</w:t>
            </w:r>
          </w:p>
        </w:tc>
      </w:tr>
    </w:tbl>
    <w:p>
      <w:pPr>
        <w:spacing w:line="240" w:lineRule="auto" w:before="2"/>
        <w:rPr>
          <w:rFonts w:ascii="宋体" w:hAnsi="宋体" w:cs="宋体" w:eastAsia="宋体" w:hint="default"/>
          <w:sz w:val="19"/>
          <w:szCs w:val="19"/>
        </w:rPr>
      </w:pPr>
    </w:p>
    <w:p>
      <w:pPr>
        <w:spacing w:before="35"/>
        <w:ind w:left="134" w:right="9380" w:firstLine="0"/>
        <w:jc w:val="center"/>
        <w:rPr>
          <w:rFonts w:ascii="宋体" w:hAnsi="宋体" w:cs="宋体" w:eastAsia="宋体" w:hint="default"/>
          <w:sz w:val="21"/>
          <w:szCs w:val="21"/>
        </w:rPr>
      </w:pPr>
      <w:bookmarkStart w:name="（1）应收票据" w:id="481"/>
      <w:bookmarkEnd w:id="481"/>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134" w:right="9310"/>
        <w:jc w:val="center"/>
      </w:pPr>
      <w:r>
        <w:rPr/>
        <w:t>无。</w:t>
      </w:r>
    </w:p>
    <w:p>
      <w:pPr>
        <w:spacing w:line="240" w:lineRule="auto" w:before="6"/>
        <w:rPr>
          <w:rFonts w:ascii="宋体" w:hAnsi="宋体" w:cs="宋体" w:eastAsia="宋体" w:hint="default"/>
          <w:sz w:val="30"/>
          <w:szCs w:val="30"/>
        </w:rPr>
      </w:pPr>
    </w:p>
    <w:p>
      <w:pPr>
        <w:spacing w:before="0"/>
        <w:ind w:left="134" w:right="9379" w:firstLine="0"/>
        <w:jc w:val="center"/>
        <w:rPr>
          <w:rFonts w:ascii="宋体" w:hAnsi="宋体" w:cs="宋体" w:eastAsia="宋体" w:hint="default"/>
          <w:sz w:val="21"/>
          <w:szCs w:val="21"/>
        </w:rPr>
      </w:pPr>
      <w:bookmarkStart w:name="（2）应收账款" w:id="482"/>
      <w:bookmarkEnd w:id="482"/>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634" w:right="1092"/>
        <w:jc w:val="left"/>
      </w:pPr>
      <w:r>
        <w:rPr>
          <w:rFonts w:ascii="宋体" w:hAnsi="宋体" w:cs="宋体" w:eastAsia="宋体" w:hint="default"/>
        </w:rPr>
        <w:t>1)</w:t>
      </w:r>
      <w:r>
        <w:rPr/>
        <w:t>应收账款分类披露</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7" w:right="0"/>
              <w:jc w:val="left"/>
              <w:rPr>
                <w:rFonts w:ascii="宋体" w:hAnsi="宋体" w:cs="宋体" w:eastAsia="宋体" w:hint="default"/>
                <w:sz w:val="18"/>
                <w:szCs w:val="18"/>
              </w:rPr>
            </w:pPr>
            <w:r>
              <w:rPr>
                <w:rFonts w:ascii="宋体"/>
                <w:sz w:val="18"/>
              </w:rPr>
              <w:t>61,405,</w:t>
            </w:r>
          </w:p>
          <w:p>
            <w:pPr>
              <w:pStyle w:val="TableParagraph"/>
              <w:spacing w:line="240" w:lineRule="auto" w:before="77"/>
              <w:ind w:left="177" w:right="0"/>
              <w:jc w:val="left"/>
              <w:rPr>
                <w:rFonts w:ascii="宋体" w:hAnsi="宋体" w:cs="宋体" w:eastAsia="宋体" w:hint="default"/>
                <w:sz w:val="18"/>
                <w:szCs w:val="18"/>
              </w:rPr>
            </w:pPr>
            <w:r>
              <w:rPr>
                <w:rFonts w:ascii="宋体"/>
                <w:sz w:val="18"/>
              </w:rPr>
              <w:t>783.16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center"/>
              <w:rPr>
                <w:rFonts w:ascii="宋体" w:hAnsi="宋体" w:cs="宋体" w:eastAsia="宋体" w:hint="default"/>
                <w:sz w:val="18"/>
                <w:szCs w:val="18"/>
              </w:rPr>
            </w:pPr>
            <w:r>
              <w:rPr>
                <w:rFonts w:ascii="宋体"/>
                <w:sz w:val="18"/>
              </w:rPr>
              <w:t>3,622,4</w:t>
            </w:r>
          </w:p>
          <w:p>
            <w:pPr>
              <w:pStyle w:val="TableParagraph"/>
              <w:spacing w:line="240" w:lineRule="auto" w:before="77"/>
              <w:ind w:left="253" w:right="0"/>
              <w:jc w:val="center"/>
              <w:rPr>
                <w:rFonts w:ascii="宋体" w:hAnsi="宋体" w:cs="宋体" w:eastAsia="宋体" w:hint="default"/>
                <w:sz w:val="18"/>
                <w:szCs w:val="18"/>
              </w:rPr>
            </w:pPr>
            <w:r>
              <w:rPr>
                <w:rFonts w:ascii="宋体"/>
                <w:sz w:val="18"/>
              </w:rPr>
              <w:t>19.33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79" w:right="0"/>
              <w:jc w:val="left"/>
              <w:rPr>
                <w:rFonts w:ascii="宋体" w:hAnsi="宋体" w:cs="宋体" w:eastAsia="宋体" w:hint="default"/>
                <w:sz w:val="18"/>
                <w:szCs w:val="18"/>
              </w:rPr>
            </w:pPr>
            <w:r>
              <w:rPr>
                <w:rFonts w:ascii="宋体"/>
                <w:sz w:val="18"/>
              </w:rPr>
              <w:t>5.90%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 w:right="0"/>
              <w:jc w:val="left"/>
              <w:rPr>
                <w:rFonts w:ascii="宋体" w:hAnsi="宋体" w:cs="宋体" w:eastAsia="宋体" w:hint="default"/>
                <w:sz w:val="18"/>
                <w:szCs w:val="18"/>
              </w:rPr>
            </w:pPr>
            <w:r>
              <w:rPr>
                <w:rFonts w:ascii="宋体"/>
                <w:sz w:val="18"/>
              </w:rPr>
              <w:t>57,783,3</w:t>
            </w:r>
          </w:p>
          <w:p>
            <w:pPr>
              <w:pStyle w:val="TableParagraph"/>
              <w:spacing w:line="240" w:lineRule="auto" w:before="77"/>
              <w:ind w:left="307" w:right="0"/>
              <w:jc w:val="left"/>
              <w:rPr>
                <w:rFonts w:ascii="宋体" w:hAnsi="宋体" w:cs="宋体" w:eastAsia="宋体" w:hint="default"/>
                <w:sz w:val="18"/>
                <w:szCs w:val="18"/>
              </w:rPr>
            </w:pPr>
            <w:r>
              <w:rPr>
                <w:rFonts w:ascii="宋体"/>
                <w:sz w:val="18"/>
              </w:rPr>
              <w:t>63.83</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49,379</w:t>
            </w:r>
          </w:p>
          <w:p>
            <w:pPr>
              <w:pStyle w:val="TableParagraph"/>
              <w:spacing w:line="240" w:lineRule="auto" w:before="76"/>
              <w:ind w:right="23"/>
              <w:jc w:val="right"/>
              <w:rPr>
                <w:rFonts w:ascii="宋体" w:hAnsi="宋体" w:cs="宋体" w:eastAsia="宋体" w:hint="default"/>
                <w:sz w:val="18"/>
                <w:szCs w:val="18"/>
              </w:rPr>
            </w:pPr>
            <w:r>
              <w:rPr>
                <w:rFonts w:ascii="宋体"/>
                <w:sz w:val="18"/>
              </w:rPr>
              <w:t>,471.7</w:t>
            </w:r>
          </w:p>
          <w:p>
            <w:pPr>
              <w:pStyle w:val="TableParagraph"/>
              <w:spacing w:line="240" w:lineRule="auto" w:before="77"/>
              <w:ind w:right="23"/>
              <w:jc w:val="right"/>
              <w:rPr>
                <w:rFonts w:ascii="宋体" w:hAnsi="宋体" w:cs="宋体" w:eastAsia="宋体" w:hint="default"/>
                <w:sz w:val="18"/>
                <w:szCs w:val="18"/>
              </w:rPr>
            </w:pPr>
            <w:r>
              <w:rPr>
                <w:rFonts w:ascii="宋体"/>
                <w:sz w:val="18"/>
              </w:rPr>
              <w:t>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2,854,49</w:t>
            </w:r>
          </w:p>
          <w:p>
            <w:pPr>
              <w:pStyle w:val="TableParagraph"/>
              <w:spacing w:line="240" w:lineRule="auto" w:before="77"/>
              <w:ind w:left="420" w:right="0"/>
              <w:jc w:val="left"/>
              <w:rPr>
                <w:rFonts w:ascii="宋体" w:hAnsi="宋体" w:cs="宋体" w:eastAsia="宋体" w:hint="default"/>
                <w:sz w:val="18"/>
                <w:szCs w:val="18"/>
              </w:rPr>
            </w:pPr>
            <w:r>
              <w:rPr>
                <w:rFonts w:ascii="宋体"/>
                <w:sz w:val="18"/>
              </w:rPr>
              <w:t>4.02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9" w:right="0"/>
              <w:jc w:val="left"/>
              <w:rPr>
                <w:rFonts w:ascii="宋体" w:hAnsi="宋体" w:cs="宋体" w:eastAsia="宋体" w:hint="default"/>
                <w:sz w:val="18"/>
                <w:szCs w:val="18"/>
              </w:rPr>
            </w:pPr>
            <w:r>
              <w:rPr>
                <w:rFonts w:ascii="宋体"/>
                <w:sz w:val="18"/>
              </w:rPr>
              <w:t>5.78%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sz w:val="18"/>
              </w:rPr>
              <w:t>46,524,97</w:t>
            </w:r>
          </w:p>
          <w:p>
            <w:pPr>
              <w:pStyle w:val="TableParagraph"/>
              <w:spacing w:line="240" w:lineRule="auto" w:before="77"/>
              <w:ind w:left="538" w:right="0"/>
              <w:jc w:val="left"/>
              <w:rPr>
                <w:rFonts w:ascii="宋体" w:hAnsi="宋体" w:cs="宋体" w:eastAsia="宋体" w:hint="default"/>
                <w:sz w:val="18"/>
                <w:szCs w:val="18"/>
              </w:rPr>
            </w:pPr>
            <w:r>
              <w:rPr>
                <w:rFonts w:ascii="宋体"/>
                <w:sz w:val="18"/>
              </w:rPr>
              <w:t>7.76</w:t>
            </w:r>
          </w:p>
        </w:tc>
      </w:tr>
      <w:tr>
        <w:trPr>
          <w:trHeight w:val="317"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sz w:val="18"/>
              </w:rPr>
              <w:t>61,405,</w:t>
            </w:r>
          </w:p>
          <w:p>
            <w:pPr>
              <w:pStyle w:val="TableParagraph"/>
              <w:spacing w:line="240" w:lineRule="auto" w:before="77"/>
              <w:ind w:left="183" w:right="0"/>
              <w:jc w:val="left"/>
              <w:rPr>
                <w:rFonts w:ascii="宋体" w:hAnsi="宋体" w:cs="宋体" w:eastAsia="宋体" w:hint="default"/>
                <w:sz w:val="18"/>
                <w:szCs w:val="18"/>
              </w:rPr>
            </w:pPr>
            <w:r>
              <w:rPr>
                <w:rFonts w:ascii="宋体"/>
                <w:sz w:val="18"/>
              </w:rPr>
              <w:t>783.16</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center"/>
              <w:rPr>
                <w:rFonts w:ascii="宋体" w:hAnsi="宋体" w:cs="宋体" w:eastAsia="宋体" w:hint="default"/>
                <w:sz w:val="18"/>
                <w:szCs w:val="18"/>
              </w:rPr>
            </w:pPr>
            <w:r>
              <w:rPr>
                <w:rFonts w:ascii="宋体"/>
                <w:sz w:val="18"/>
              </w:rPr>
              <w:t>3,622,4</w:t>
            </w:r>
          </w:p>
          <w:p>
            <w:pPr>
              <w:pStyle w:val="TableParagraph"/>
              <w:spacing w:line="240" w:lineRule="auto" w:before="77"/>
              <w:ind w:left="253" w:right="0"/>
              <w:jc w:val="center"/>
              <w:rPr>
                <w:rFonts w:ascii="宋体" w:hAnsi="宋体" w:cs="宋体" w:eastAsia="宋体" w:hint="default"/>
                <w:sz w:val="18"/>
                <w:szCs w:val="18"/>
              </w:rPr>
            </w:pPr>
            <w:r>
              <w:rPr>
                <w:rFonts w:ascii="宋体"/>
                <w:sz w:val="18"/>
              </w:rPr>
              <w:t>19.33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79" w:right="0"/>
              <w:jc w:val="left"/>
              <w:rPr>
                <w:rFonts w:ascii="宋体" w:hAnsi="宋体" w:cs="宋体" w:eastAsia="宋体" w:hint="default"/>
                <w:sz w:val="18"/>
                <w:szCs w:val="18"/>
              </w:rPr>
            </w:pPr>
            <w:r>
              <w:rPr>
                <w:rFonts w:ascii="宋体"/>
                <w:sz w:val="18"/>
              </w:rPr>
              <w:t>5.90%</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 w:right="0"/>
              <w:jc w:val="left"/>
              <w:rPr>
                <w:rFonts w:ascii="宋体" w:hAnsi="宋体" w:cs="宋体" w:eastAsia="宋体" w:hint="default"/>
                <w:sz w:val="18"/>
                <w:szCs w:val="18"/>
              </w:rPr>
            </w:pPr>
            <w:r>
              <w:rPr>
                <w:rFonts w:ascii="宋体"/>
                <w:sz w:val="18"/>
              </w:rPr>
              <w:t>57,783,3</w:t>
            </w:r>
          </w:p>
          <w:p>
            <w:pPr>
              <w:pStyle w:val="TableParagraph"/>
              <w:spacing w:line="240" w:lineRule="auto" w:before="77"/>
              <w:ind w:left="307" w:right="0"/>
              <w:jc w:val="left"/>
              <w:rPr>
                <w:rFonts w:ascii="宋体" w:hAnsi="宋体" w:cs="宋体" w:eastAsia="宋体" w:hint="default"/>
                <w:sz w:val="18"/>
                <w:szCs w:val="18"/>
              </w:rPr>
            </w:pPr>
            <w:r>
              <w:rPr>
                <w:rFonts w:ascii="宋体"/>
                <w:sz w:val="18"/>
              </w:rPr>
              <w:t>63.83</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49,379</w:t>
            </w:r>
          </w:p>
          <w:p>
            <w:pPr>
              <w:pStyle w:val="TableParagraph"/>
              <w:spacing w:line="240" w:lineRule="auto" w:before="77"/>
              <w:ind w:right="23"/>
              <w:jc w:val="right"/>
              <w:rPr>
                <w:rFonts w:ascii="宋体" w:hAnsi="宋体" w:cs="宋体" w:eastAsia="宋体" w:hint="default"/>
                <w:sz w:val="18"/>
                <w:szCs w:val="18"/>
              </w:rPr>
            </w:pPr>
            <w:r>
              <w:rPr>
                <w:rFonts w:ascii="宋体"/>
                <w:sz w:val="18"/>
              </w:rPr>
              <w:t>,471.7</w:t>
            </w:r>
          </w:p>
          <w:p>
            <w:pPr>
              <w:pStyle w:val="TableParagraph"/>
              <w:spacing w:line="240" w:lineRule="auto" w:before="77"/>
              <w:ind w:right="23"/>
              <w:jc w:val="right"/>
              <w:rPr>
                <w:rFonts w:ascii="宋体" w:hAnsi="宋体" w:cs="宋体" w:eastAsia="宋体" w:hint="default"/>
                <w:sz w:val="18"/>
                <w:szCs w:val="18"/>
              </w:rPr>
            </w:pPr>
            <w:r>
              <w:rPr>
                <w:rFonts w:ascii="宋体"/>
                <w:sz w:val="18"/>
              </w:rPr>
              <w:t>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2,854,49</w:t>
            </w:r>
          </w:p>
          <w:p>
            <w:pPr>
              <w:pStyle w:val="TableParagraph"/>
              <w:spacing w:line="240" w:lineRule="auto" w:before="77"/>
              <w:ind w:left="420" w:right="0"/>
              <w:jc w:val="left"/>
              <w:rPr>
                <w:rFonts w:ascii="宋体" w:hAnsi="宋体" w:cs="宋体" w:eastAsia="宋体" w:hint="default"/>
                <w:sz w:val="18"/>
                <w:szCs w:val="18"/>
              </w:rPr>
            </w:pPr>
            <w:r>
              <w:rPr>
                <w:rFonts w:ascii="宋体"/>
                <w:sz w:val="18"/>
              </w:rPr>
              <w:t>4.02</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9" w:right="0"/>
              <w:jc w:val="left"/>
              <w:rPr>
                <w:rFonts w:ascii="宋体" w:hAnsi="宋体" w:cs="宋体" w:eastAsia="宋体" w:hint="default"/>
                <w:sz w:val="18"/>
                <w:szCs w:val="18"/>
              </w:rPr>
            </w:pPr>
            <w:r>
              <w:rPr>
                <w:rFonts w:ascii="宋体"/>
                <w:sz w:val="18"/>
              </w:rPr>
              <w:t>5.78%</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sz w:val="18"/>
              </w:rPr>
              <w:t>46,524,97</w:t>
            </w:r>
          </w:p>
          <w:p>
            <w:pPr>
              <w:pStyle w:val="TableParagraph"/>
              <w:spacing w:line="240" w:lineRule="auto" w:before="77"/>
              <w:ind w:left="538" w:right="0"/>
              <w:jc w:val="left"/>
              <w:rPr>
                <w:rFonts w:ascii="宋体" w:hAnsi="宋体" w:cs="宋体" w:eastAsia="宋体" w:hint="default"/>
                <w:sz w:val="18"/>
                <w:szCs w:val="18"/>
              </w:rPr>
            </w:pPr>
            <w:r>
              <w:rPr>
                <w:rFonts w:ascii="宋体"/>
                <w:sz w:val="18"/>
              </w:rPr>
              <w:t>7.76</w:t>
            </w:r>
          </w:p>
        </w:tc>
      </w:tr>
      <w:tr>
        <w:trPr>
          <w:trHeight w:val="393"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317"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期末单项金额重大并单项计提坏账准备的应收账款：</w:t>
      </w:r>
    </w:p>
    <w:p>
      <w:pPr>
        <w:spacing w:line="240" w:lineRule="auto" w:before="6"/>
        <w:rPr>
          <w:rFonts w:ascii="宋体" w:hAnsi="宋体" w:cs="宋体" w:eastAsia="宋体" w:hint="default"/>
          <w:sz w:val="19"/>
          <w:szCs w:val="19"/>
        </w:rPr>
      </w:pPr>
    </w:p>
    <w:p>
      <w:pPr>
        <w:pStyle w:val="BodyText"/>
        <w:spacing w:line="434" w:lineRule="auto"/>
        <w:ind w:left="634" w:right="4992"/>
        <w:jc w:val="left"/>
      </w:pPr>
      <w:r>
        <w:rPr/>
        <w:t>□ 适用 √ 不适用 组合中，按账龄分析法计提坏账准备的应收账款：</w:t>
      </w:r>
    </w:p>
    <w:p>
      <w:pPr>
        <w:pStyle w:val="BodyText"/>
        <w:spacing w:line="240" w:lineRule="auto" w:before="60"/>
        <w:ind w:left="634" w:right="1092"/>
        <w:jc w:val="left"/>
      </w:pPr>
      <w:r>
        <w:rPr/>
        <w:t>√ 适用 □ 不适用</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88"/>
        <w:gridCol w:w="2301"/>
        <w:gridCol w:w="2391"/>
        <w:gridCol w:w="2389"/>
      </w:tblGrid>
      <w:tr>
        <w:trPr>
          <w:trHeight w:val="402" w:hRule="exact"/>
        </w:trPr>
        <w:tc>
          <w:tcPr>
            <w:tcW w:w="24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88" w:type="dxa"/>
            <w:vMerge/>
            <w:tcBorders>
              <w:left w:val="single" w:sz="4" w:space="0" w:color="000000"/>
              <w:bottom w:val="single" w:sz="4" w:space="0" w:color="000000"/>
              <w:right w:val="single" w:sz="4" w:space="0" w:color="000000"/>
            </w:tcBorders>
            <w:shd w:val="clear" w:color="auto" w:fill="D2D2D2"/>
          </w:tcPr>
          <w:p>
            <w:pPr/>
          </w:p>
        </w:tc>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年以内分项</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30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40,254,889.69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805,097.79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40,254,889.69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805,097.79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457,419.45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宋体" w:hAnsi="宋体" w:cs="宋体" w:eastAsia="宋体" w:hint="default"/>
                <w:sz w:val="18"/>
                <w:szCs w:val="18"/>
              </w:rPr>
            </w:pPr>
            <w:r>
              <w:rPr>
                <w:rFonts w:ascii="宋体"/>
                <w:sz w:val="18"/>
              </w:rPr>
              <w:t>68,612.92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15.00%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1,638,144.40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819,072.20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50.00%</w:t>
            </w:r>
          </w:p>
        </w:tc>
      </w:tr>
      <w:tr>
        <w:trPr>
          <w:trHeight w:val="403"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1,929,636.42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1,929,636.42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100.00%</w:t>
            </w:r>
          </w:p>
        </w:tc>
      </w:tr>
    </w:tbl>
    <w:p>
      <w:pPr>
        <w:spacing w:after="0" w:line="240" w:lineRule="auto"/>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209" w:type="dxa"/>
        <w:tblLayout w:type="fixed"/>
        <w:tblCellMar>
          <w:top w:w="0" w:type="dxa"/>
          <w:left w:w="0" w:type="dxa"/>
          <w:bottom w:w="0" w:type="dxa"/>
          <w:right w:w="0" w:type="dxa"/>
        </w:tblCellMar>
        <w:tblLook w:val="01E0"/>
      </w:tblPr>
      <w:tblGrid>
        <w:gridCol w:w="2482"/>
        <w:gridCol w:w="2307"/>
        <w:gridCol w:w="2391"/>
        <w:gridCol w:w="2389"/>
      </w:tblGrid>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313,278.73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313,278.73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1,047,380.20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1,047,380.20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568,977.49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568,977.49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44,280,089.96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3,622,419.33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8.18%</w:t>
            </w:r>
          </w:p>
        </w:tc>
      </w:tr>
    </w:tbl>
    <w:p>
      <w:pPr>
        <w:spacing w:line="240" w:lineRule="auto" w:before="10"/>
        <w:rPr>
          <w:rFonts w:ascii="宋体" w:hAnsi="宋体" w:cs="宋体" w:eastAsia="宋体" w:hint="default"/>
          <w:sz w:val="8"/>
          <w:szCs w:val="8"/>
        </w:rPr>
      </w:pPr>
    </w:p>
    <w:p>
      <w:pPr>
        <w:pStyle w:val="BodyText"/>
        <w:spacing w:line="434" w:lineRule="auto" w:before="26"/>
        <w:ind w:left="694" w:right="5233"/>
        <w:jc w:val="left"/>
      </w:pPr>
      <w:r>
        <w:rPr/>
        <w:t>确定该组合依据的说明： 以应收账款的账龄为信用风险特征划分组合。</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23"/>
          <w:szCs w:val="23"/>
        </w:rPr>
      </w:pPr>
    </w:p>
    <w:p>
      <w:pPr>
        <w:pStyle w:val="BodyText"/>
        <w:spacing w:line="240" w:lineRule="auto"/>
        <w:ind w:left="694" w:right="1120"/>
        <w:jc w:val="left"/>
      </w:pPr>
      <w:r>
        <w:rPr/>
        <w:t>组合中，采用余额百分比法计提坏账准备的应收账款：</w:t>
      </w:r>
    </w:p>
    <w:p>
      <w:pPr>
        <w:spacing w:line="240" w:lineRule="auto" w:before="5"/>
        <w:rPr>
          <w:rFonts w:ascii="宋体" w:hAnsi="宋体" w:cs="宋体" w:eastAsia="宋体" w:hint="default"/>
          <w:sz w:val="19"/>
          <w:szCs w:val="19"/>
        </w:rPr>
      </w:pPr>
    </w:p>
    <w:p>
      <w:pPr>
        <w:pStyle w:val="BodyText"/>
        <w:spacing w:line="434" w:lineRule="auto"/>
        <w:ind w:left="694" w:right="4992"/>
        <w:jc w:val="left"/>
      </w:pPr>
      <w:r>
        <w:rPr/>
        <w:t>□ 适用 √ 不适用 组合中，采用其他方法计提坏账准备的应收账款：</w:t>
      </w:r>
    </w:p>
    <w:p>
      <w:pPr>
        <w:pStyle w:val="BodyText"/>
        <w:spacing w:line="434" w:lineRule="auto" w:before="60"/>
        <w:ind w:left="694" w:right="2532"/>
        <w:jc w:val="left"/>
      </w:pPr>
      <w:r>
        <w:rPr/>
        <w:t>与交易对象关系组合，为关联方组合， </w:t>
      </w:r>
      <w:r>
        <w:rPr>
          <w:rFonts w:ascii="宋体" w:hAnsi="宋体" w:cs="宋体" w:eastAsia="宋体" w:hint="default"/>
        </w:rPr>
        <w:t>17,125,693.20</w:t>
      </w:r>
      <w:r>
        <w:rPr>
          <w:rFonts w:ascii="宋体" w:hAnsi="宋体" w:cs="宋体" w:eastAsia="宋体" w:hint="default"/>
          <w:spacing w:val="-60"/>
        </w:rPr>
        <w:t> </w:t>
      </w:r>
      <w:r>
        <w:rPr/>
        <w:t>元，不计提坏账。 </w:t>
      </w:r>
      <w:r>
        <w:rPr>
          <w:rFonts w:ascii="宋体" w:hAnsi="宋体" w:cs="宋体" w:eastAsia="宋体" w:hint="default"/>
        </w:rPr>
        <w:t>2)</w:t>
      </w:r>
      <w:r>
        <w:rPr/>
        <w:t>本期计提、收回或转回的坏账准备情况</w:t>
      </w:r>
    </w:p>
    <w:p>
      <w:pPr>
        <w:pStyle w:val="BodyText"/>
        <w:spacing w:line="434" w:lineRule="auto" w:before="59"/>
        <w:ind w:left="694" w:right="998"/>
        <w:jc w:val="left"/>
      </w:pPr>
      <w:r>
        <w:rPr/>
        <w:t>本期计提坏账准备金额</w:t>
      </w:r>
      <w:r>
        <w:rPr>
          <w:spacing w:val="-59"/>
        </w:rPr>
        <w:t> </w:t>
      </w:r>
      <w:r>
        <w:rPr>
          <w:rFonts w:ascii="宋体" w:hAnsi="宋体" w:cs="宋体" w:eastAsia="宋体" w:hint="default"/>
        </w:rPr>
        <w:t>1,569,379.03</w:t>
      </w:r>
      <w:r>
        <w:rPr>
          <w:rFonts w:ascii="宋体" w:hAnsi="宋体" w:cs="宋体" w:eastAsia="宋体" w:hint="default"/>
          <w:spacing w:val="-59"/>
        </w:rPr>
        <w:t> </w:t>
      </w:r>
      <w:r>
        <w:rPr>
          <w:spacing w:val="-6"/>
        </w:rPr>
        <w:t>元；本期收回或转回坏账准备金额</w:t>
      </w:r>
      <w:r>
        <w:rPr>
          <w:spacing w:val="-59"/>
        </w:rPr>
        <w:t> </w:t>
      </w:r>
      <w:r>
        <w:rPr>
          <w:rFonts w:ascii="宋体" w:hAnsi="宋体" w:cs="宋体" w:eastAsia="宋体" w:hint="default"/>
        </w:rPr>
        <w:t>801,453.72</w:t>
      </w:r>
      <w:r>
        <w:rPr>
          <w:rFonts w:ascii="宋体" w:hAnsi="宋体" w:cs="宋体" w:eastAsia="宋体" w:hint="default"/>
          <w:spacing w:val="-59"/>
        </w:rPr>
        <w:t> </w:t>
      </w:r>
      <w:r>
        <w:rPr/>
        <w:t>元。 </w:t>
      </w:r>
      <w:r>
        <w:rPr>
          <w:rFonts w:ascii="宋体" w:hAnsi="宋体" w:cs="宋体" w:eastAsia="宋体" w:hint="default"/>
        </w:rPr>
        <w:t>3)</w:t>
      </w:r>
      <w:r>
        <w:rPr/>
        <w:t>本期实际核销的应收账款情况</w:t>
      </w:r>
    </w:p>
    <w:p>
      <w:pPr>
        <w:pStyle w:val="BodyText"/>
        <w:spacing w:line="434" w:lineRule="auto" w:before="59"/>
        <w:ind w:left="694" w:right="4992"/>
        <w:jc w:val="left"/>
      </w:pPr>
      <w:r>
        <w:rPr/>
        <w:t>无。 </w:t>
      </w:r>
      <w:r>
        <w:rPr>
          <w:rFonts w:ascii="宋体" w:hAnsi="宋体" w:cs="宋体" w:eastAsia="宋体" w:hint="default"/>
        </w:rPr>
        <w:t>4)</w:t>
      </w:r>
      <w:r>
        <w:rPr/>
        <w:t>按欠款方归集的期末余额前五名的应收账款情况</w:t>
      </w:r>
    </w:p>
    <w:tbl>
      <w:tblPr>
        <w:tblW w:w="0" w:type="auto"/>
        <w:jc w:val="left"/>
        <w:tblInd w:w="101" w:type="dxa"/>
        <w:tblLayout w:type="fixed"/>
        <w:tblCellMar>
          <w:top w:w="0" w:type="dxa"/>
          <w:left w:w="0" w:type="dxa"/>
          <w:bottom w:w="0" w:type="dxa"/>
          <w:right w:w="0" w:type="dxa"/>
        </w:tblCellMar>
        <w:tblLook w:val="01E0"/>
      </w:tblPr>
      <w:tblGrid>
        <w:gridCol w:w="1140"/>
        <w:gridCol w:w="1708"/>
        <w:gridCol w:w="1023"/>
        <w:gridCol w:w="3946"/>
        <w:gridCol w:w="2039"/>
      </w:tblGrid>
      <w:tr>
        <w:trPr>
          <w:trHeight w:val="402" w:hRule="exact"/>
        </w:trPr>
        <w:tc>
          <w:tcPr>
            <w:tcW w:w="1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5"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88"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0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25"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39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8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占应收账款年末余额合计数的比例</w:t>
            </w:r>
            <w:r>
              <w:rPr>
                <w:rFonts w:ascii="Times New Roman" w:hAnsi="Times New Roman" w:cs="Times New Roman" w:eastAsia="Times New Roman" w:hint="default"/>
                <w:sz w:val="18"/>
                <w:szCs w:val="18"/>
              </w:rPr>
              <w:t>(%)</w:t>
            </w:r>
          </w:p>
        </w:tc>
        <w:tc>
          <w:tcPr>
            <w:tcW w:w="20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93" w:right="0"/>
              <w:jc w:val="left"/>
              <w:rPr>
                <w:rFonts w:ascii="宋体" w:hAnsi="宋体" w:cs="宋体" w:eastAsia="宋体" w:hint="default"/>
                <w:sz w:val="18"/>
                <w:szCs w:val="18"/>
              </w:rPr>
            </w:pPr>
            <w:r>
              <w:rPr>
                <w:rFonts w:ascii="宋体" w:hAnsi="宋体" w:cs="宋体" w:eastAsia="宋体" w:hint="default"/>
                <w:sz w:val="18"/>
                <w:szCs w:val="18"/>
              </w:rPr>
              <w:t>坏账准备年末余额</w:t>
            </w:r>
          </w:p>
        </w:tc>
      </w:tr>
      <w:tr>
        <w:trPr>
          <w:trHeight w:val="402" w:hRule="exact"/>
        </w:trPr>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7,372,418.75</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12.01</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147,448.38</w:t>
            </w:r>
          </w:p>
        </w:tc>
      </w:tr>
      <w:tr>
        <w:trPr>
          <w:trHeight w:val="402" w:hRule="exact"/>
        </w:trPr>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7,000,000.00</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11.40</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140,000.00</w:t>
            </w:r>
          </w:p>
        </w:tc>
      </w:tr>
      <w:tr>
        <w:trPr>
          <w:trHeight w:val="402" w:hRule="exact"/>
        </w:trPr>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5,010,020.61</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8.16</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100,200.41</w:t>
            </w:r>
          </w:p>
        </w:tc>
      </w:tr>
      <w:tr>
        <w:trPr>
          <w:trHeight w:val="402" w:hRule="exact"/>
        </w:trPr>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3,350,435.50</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5.46</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67,008.71</w:t>
            </w:r>
          </w:p>
        </w:tc>
      </w:tr>
      <w:tr>
        <w:trPr>
          <w:trHeight w:val="402" w:hRule="exact"/>
        </w:trPr>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2,206,394.11</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3.59</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44,127.88</w:t>
            </w:r>
          </w:p>
        </w:tc>
      </w:tr>
      <w:tr>
        <w:trPr>
          <w:trHeight w:val="402" w:hRule="exact"/>
        </w:trPr>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24,939,268.97</w:t>
            </w:r>
          </w:p>
        </w:tc>
        <w:tc>
          <w:tcPr>
            <w:tcW w:w="1023" w:type="dxa"/>
            <w:tcBorders>
              <w:top w:val="single" w:sz="4" w:space="0" w:color="000000"/>
              <w:left w:val="single" w:sz="4" w:space="0" w:color="000000"/>
              <w:bottom w:val="single" w:sz="4" w:space="0" w:color="000000"/>
              <w:right w:val="single" w:sz="4" w:space="0" w:color="000000"/>
            </w:tcBorders>
          </w:tcPr>
          <w:p>
            <w:pP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40.62</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498,785.38</w:t>
            </w:r>
          </w:p>
        </w:tc>
      </w:tr>
    </w:tbl>
    <w:p>
      <w:pPr>
        <w:spacing w:line="240" w:lineRule="auto" w:before="3"/>
        <w:rPr>
          <w:rFonts w:ascii="宋体" w:hAnsi="宋体" w:cs="宋体" w:eastAsia="宋体" w:hint="default"/>
          <w:sz w:val="10"/>
          <w:szCs w:val="10"/>
        </w:rPr>
      </w:pPr>
    </w:p>
    <w:p>
      <w:pPr>
        <w:pStyle w:val="BodyText"/>
        <w:spacing w:line="434" w:lineRule="auto" w:before="26"/>
        <w:ind w:left="694" w:right="2832"/>
        <w:jc w:val="left"/>
      </w:pPr>
      <w:r>
        <w:rPr/>
        <w:t>截止本报告出具之日，上述前五名应收账款已收回</w:t>
      </w:r>
      <w:r>
        <w:rPr>
          <w:spacing w:val="-60"/>
        </w:rPr>
        <w:t> </w:t>
      </w:r>
      <w:r>
        <w:rPr>
          <w:rFonts w:ascii="宋体" w:hAnsi="宋体" w:cs="宋体" w:eastAsia="宋体" w:hint="default"/>
        </w:rPr>
        <w:t>14,584,835.41</w:t>
      </w:r>
      <w:r>
        <w:rPr>
          <w:rFonts w:ascii="宋体" w:hAnsi="宋体" w:cs="宋体" w:eastAsia="宋体" w:hint="default"/>
          <w:spacing w:val="-60"/>
        </w:rPr>
        <w:t> </w:t>
      </w:r>
      <w:r>
        <w:rPr/>
        <w:t>元。 </w:t>
      </w:r>
      <w:r>
        <w:rPr>
          <w:rFonts w:ascii="宋体" w:hAnsi="宋体" w:cs="宋体" w:eastAsia="宋体" w:hint="default"/>
        </w:rPr>
        <w:t>5)</w:t>
      </w:r>
      <w:r>
        <w:rPr/>
        <w:t>因金融资产转移而终止确认的应收账款</w:t>
      </w:r>
    </w:p>
    <w:p>
      <w:pPr>
        <w:pStyle w:val="BodyText"/>
        <w:spacing w:line="434" w:lineRule="auto" w:before="59"/>
        <w:ind w:left="694" w:right="4992"/>
        <w:jc w:val="left"/>
      </w:pPr>
      <w:r>
        <w:rPr/>
        <w:t>无。 </w:t>
      </w:r>
      <w:r>
        <w:rPr>
          <w:rFonts w:ascii="宋体" w:hAnsi="宋体" w:cs="宋体" w:eastAsia="宋体" w:hint="default"/>
        </w:rPr>
        <w:t>6)</w:t>
      </w:r>
      <w:r>
        <w:rPr/>
        <w:t>转移应收账款且继续涉入形成的资产、负债金额</w:t>
      </w:r>
    </w:p>
    <w:p>
      <w:pPr>
        <w:spacing w:after="0" w:line="434" w:lineRule="auto"/>
        <w:jc w:val="left"/>
        <w:sectPr>
          <w:pgSz w:w="11910" w:h="16840"/>
          <w:pgMar w:header="877" w:footer="979" w:top="1100" w:bottom="1160" w:left="920" w:right="0"/>
        </w:sectPr>
      </w:pPr>
    </w:p>
    <w:p>
      <w:pPr>
        <w:spacing w:line="240" w:lineRule="auto" w:before="9"/>
        <w:rPr>
          <w:rFonts w:ascii="宋体" w:hAnsi="宋体" w:cs="宋体" w:eastAsia="宋体" w:hint="default"/>
          <w:sz w:val="25"/>
          <w:szCs w:val="25"/>
        </w:rPr>
      </w:pPr>
    </w:p>
    <w:p>
      <w:pPr>
        <w:pStyle w:val="BodyText"/>
        <w:spacing w:line="240" w:lineRule="auto" w:before="26"/>
        <w:ind w:left="134" w:right="9310"/>
        <w:jc w:val="center"/>
      </w:pPr>
      <w:r>
        <w:rPr/>
        <w:t>无。</w:t>
      </w:r>
    </w:p>
    <w:p>
      <w:pPr>
        <w:spacing w:line="240" w:lineRule="auto" w:before="5"/>
        <w:rPr>
          <w:rFonts w:ascii="宋体" w:hAnsi="宋体" w:cs="宋体" w:eastAsia="宋体" w:hint="default"/>
          <w:sz w:val="30"/>
          <w:szCs w:val="30"/>
        </w:rPr>
      </w:pPr>
    </w:p>
    <w:p>
      <w:pPr>
        <w:spacing w:before="0"/>
        <w:ind w:left="134" w:right="9380" w:firstLine="0"/>
        <w:jc w:val="center"/>
        <w:rPr>
          <w:rFonts w:ascii="宋体" w:hAnsi="宋体" w:cs="宋体" w:eastAsia="宋体" w:hint="default"/>
          <w:sz w:val="21"/>
          <w:szCs w:val="21"/>
        </w:rPr>
      </w:pPr>
      <w:bookmarkStart w:name="2、其他应收款" w:id="483"/>
      <w:bookmarkEnd w:id="483"/>
      <w:r>
        <w:rPr/>
      </w:r>
      <w:r>
        <w:rPr>
          <w:rFonts w:ascii="宋体" w:hAnsi="宋体" w:cs="宋体" w:eastAsia="宋体" w:hint="default"/>
          <w:b/>
          <w:bCs/>
          <w:sz w:val="21"/>
          <w:szCs w:val="21"/>
        </w:rPr>
        <w:t>2</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32,874,431.44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205,453,331.03</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32,874,431.44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205,453,331.03</w:t>
            </w:r>
          </w:p>
        </w:tc>
      </w:tr>
    </w:tbl>
    <w:p>
      <w:pPr>
        <w:spacing w:line="240" w:lineRule="auto" w:before="2"/>
        <w:rPr>
          <w:rFonts w:ascii="宋体" w:hAnsi="宋体" w:cs="宋体" w:eastAsia="宋体" w:hint="default"/>
          <w:sz w:val="19"/>
          <w:szCs w:val="19"/>
        </w:rPr>
      </w:pPr>
    </w:p>
    <w:p>
      <w:pPr>
        <w:spacing w:before="35"/>
        <w:ind w:left="134" w:right="9380" w:firstLine="0"/>
        <w:jc w:val="center"/>
        <w:rPr>
          <w:rFonts w:ascii="宋体" w:hAnsi="宋体" w:cs="宋体" w:eastAsia="宋体" w:hint="default"/>
          <w:sz w:val="21"/>
          <w:szCs w:val="21"/>
        </w:rPr>
      </w:pPr>
      <w:bookmarkStart w:name="（1）应收利息" w:id="484"/>
      <w:bookmarkEnd w:id="484"/>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）应收利息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1"/>
        <w:ind w:left="134" w:right="9310"/>
        <w:jc w:val="center"/>
      </w:pPr>
      <w:r>
        <w:rPr/>
        <w:t>无。</w:t>
      </w:r>
    </w:p>
    <w:p>
      <w:pPr>
        <w:spacing w:line="240" w:lineRule="auto" w:before="5"/>
        <w:rPr>
          <w:rFonts w:ascii="宋体" w:hAnsi="宋体" w:cs="宋体" w:eastAsia="宋体" w:hint="default"/>
          <w:sz w:val="30"/>
          <w:szCs w:val="30"/>
        </w:rPr>
      </w:pPr>
    </w:p>
    <w:p>
      <w:pPr>
        <w:spacing w:before="0"/>
        <w:ind w:left="134" w:right="9380" w:firstLine="0"/>
        <w:jc w:val="center"/>
        <w:rPr>
          <w:rFonts w:ascii="宋体" w:hAnsi="宋体" w:cs="宋体" w:eastAsia="宋体" w:hint="default"/>
          <w:sz w:val="21"/>
          <w:szCs w:val="21"/>
        </w:rPr>
      </w:pPr>
      <w:bookmarkStart w:name="（2）应收股利" w:id="485"/>
      <w:bookmarkEnd w:id="485"/>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）应收股利</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134" w:right="9310"/>
        <w:jc w:val="center"/>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3）其他应收款" w:id="486"/>
      <w:bookmarkEnd w:id="486"/>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154" w:right="1092"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其他应收款分类披露</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3" w:right="0"/>
              <w:jc w:val="center"/>
              <w:rPr>
                <w:rFonts w:ascii="宋体" w:hAnsi="宋体" w:cs="宋体" w:eastAsia="宋体" w:hint="default"/>
                <w:sz w:val="18"/>
                <w:szCs w:val="18"/>
              </w:rPr>
            </w:pPr>
            <w:r>
              <w:rPr>
                <w:rFonts w:ascii="宋体"/>
                <w:sz w:val="18"/>
              </w:rPr>
              <w:t>4,680,0</w:t>
            </w:r>
          </w:p>
          <w:p>
            <w:pPr>
              <w:pStyle w:val="TableParagraph"/>
              <w:spacing w:line="240" w:lineRule="auto" w:before="76"/>
              <w:ind w:left="243" w:right="0"/>
              <w:jc w:val="center"/>
              <w:rPr>
                <w:rFonts w:ascii="宋体" w:hAnsi="宋体" w:cs="宋体" w:eastAsia="宋体" w:hint="default"/>
                <w:sz w:val="18"/>
                <w:szCs w:val="18"/>
              </w:rPr>
            </w:pPr>
            <w:r>
              <w:rPr>
                <w:rFonts w:ascii="宋体"/>
                <w:sz w:val="18"/>
              </w:rPr>
              <w:t>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11.27%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center"/>
              <w:rPr>
                <w:rFonts w:ascii="宋体" w:hAnsi="宋体" w:cs="宋体" w:eastAsia="宋体" w:hint="default"/>
                <w:sz w:val="18"/>
                <w:szCs w:val="18"/>
              </w:rPr>
            </w:pPr>
            <w:r>
              <w:rPr>
                <w:rFonts w:ascii="宋体"/>
                <w:sz w:val="18"/>
              </w:rPr>
              <w:t>4,680,0</w:t>
            </w:r>
          </w:p>
          <w:p>
            <w:pPr>
              <w:pStyle w:val="TableParagraph"/>
              <w:spacing w:line="240" w:lineRule="auto" w:before="76"/>
              <w:ind w:left="253" w:right="0"/>
              <w:jc w:val="center"/>
              <w:rPr>
                <w:rFonts w:ascii="宋体" w:hAnsi="宋体" w:cs="宋体" w:eastAsia="宋体" w:hint="default"/>
                <w:sz w:val="18"/>
                <w:szCs w:val="18"/>
              </w:rPr>
            </w:pPr>
            <w:r>
              <w:rPr>
                <w:rFonts w:ascii="宋体"/>
                <w:sz w:val="18"/>
              </w:rPr>
              <w:t>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0" w:right="0"/>
              <w:jc w:val="left"/>
              <w:rPr>
                <w:rFonts w:ascii="宋体" w:hAnsi="宋体" w:cs="宋体" w:eastAsia="宋体" w:hint="default"/>
                <w:sz w:val="18"/>
                <w:szCs w:val="18"/>
              </w:rPr>
            </w:pPr>
            <w:r>
              <w:rPr>
                <w:rFonts w:ascii="宋体"/>
                <w:sz w:val="18"/>
              </w:rPr>
              <w:t>4,680,</w:t>
            </w:r>
          </w:p>
          <w:p>
            <w:pPr>
              <w:pStyle w:val="TableParagraph"/>
              <w:spacing w:line="240" w:lineRule="auto" w:before="76"/>
              <w:ind w:left="80" w:right="0"/>
              <w:jc w:val="left"/>
              <w:rPr>
                <w:rFonts w:ascii="宋体" w:hAnsi="宋体" w:cs="宋体" w:eastAsia="宋体" w:hint="default"/>
                <w:sz w:val="18"/>
                <w:szCs w:val="18"/>
              </w:rPr>
            </w:pPr>
            <w:r>
              <w:rPr>
                <w:rFonts w:ascii="宋体"/>
                <w:sz w:val="18"/>
              </w:rPr>
              <w:t>000.00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2.21%</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4,680,00</w:t>
            </w:r>
          </w:p>
          <w:p>
            <w:pPr>
              <w:pStyle w:val="TableParagraph"/>
              <w:spacing w:line="240" w:lineRule="auto" w:before="76"/>
              <w:ind w:left="420" w:right="0"/>
              <w:jc w:val="left"/>
              <w:rPr>
                <w:rFonts w:ascii="宋体" w:hAnsi="宋体" w:cs="宋体" w:eastAsia="宋体" w:hint="default"/>
                <w:sz w:val="18"/>
                <w:szCs w:val="18"/>
              </w:rPr>
            </w:pPr>
            <w:r>
              <w:rPr>
                <w:rFonts w:ascii="宋体"/>
                <w:sz w:val="18"/>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7" w:right="0"/>
              <w:jc w:val="left"/>
              <w:rPr>
                <w:rFonts w:ascii="宋体" w:hAnsi="宋体" w:cs="宋体" w:eastAsia="宋体" w:hint="default"/>
                <w:sz w:val="18"/>
                <w:szCs w:val="18"/>
              </w:rPr>
            </w:pPr>
            <w:r>
              <w:rPr>
                <w:rFonts w:ascii="宋体"/>
                <w:sz w:val="18"/>
              </w:rPr>
              <w:t>36,842,</w:t>
            </w:r>
          </w:p>
          <w:p>
            <w:pPr>
              <w:pStyle w:val="TableParagraph"/>
              <w:spacing w:line="240" w:lineRule="auto" w:before="76"/>
              <w:ind w:left="177" w:right="0"/>
              <w:jc w:val="left"/>
              <w:rPr>
                <w:rFonts w:ascii="宋体" w:hAnsi="宋体" w:cs="宋体" w:eastAsia="宋体" w:hint="default"/>
                <w:sz w:val="18"/>
                <w:szCs w:val="18"/>
              </w:rPr>
            </w:pPr>
            <w:r>
              <w:rPr>
                <w:rFonts w:ascii="宋体"/>
                <w:sz w:val="18"/>
              </w:rPr>
              <w:t>585.14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88.73%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center"/>
              <w:rPr>
                <w:rFonts w:ascii="宋体" w:hAnsi="宋体" w:cs="宋体" w:eastAsia="宋体" w:hint="default"/>
                <w:sz w:val="18"/>
                <w:szCs w:val="18"/>
              </w:rPr>
            </w:pPr>
            <w:r>
              <w:rPr>
                <w:rFonts w:ascii="宋体"/>
                <w:sz w:val="18"/>
              </w:rPr>
              <w:t>3,968,1</w:t>
            </w:r>
          </w:p>
          <w:p>
            <w:pPr>
              <w:pStyle w:val="TableParagraph"/>
              <w:spacing w:line="240" w:lineRule="auto" w:before="76"/>
              <w:ind w:left="253" w:right="0"/>
              <w:jc w:val="center"/>
              <w:rPr>
                <w:rFonts w:ascii="宋体" w:hAnsi="宋体" w:cs="宋体" w:eastAsia="宋体" w:hint="default"/>
                <w:sz w:val="18"/>
                <w:szCs w:val="18"/>
              </w:rPr>
            </w:pPr>
            <w:r>
              <w:rPr>
                <w:rFonts w:ascii="宋体"/>
                <w:sz w:val="18"/>
              </w:rPr>
              <w:t>53.70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10.77%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 w:right="0"/>
              <w:jc w:val="left"/>
              <w:rPr>
                <w:rFonts w:ascii="宋体" w:hAnsi="宋体" w:cs="宋体" w:eastAsia="宋体" w:hint="default"/>
                <w:sz w:val="18"/>
                <w:szCs w:val="18"/>
              </w:rPr>
            </w:pPr>
            <w:r>
              <w:rPr>
                <w:rFonts w:ascii="宋体"/>
                <w:sz w:val="18"/>
              </w:rPr>
              <w:t>32,874,4</w:t>
            </w:r>
          </w:p>
          <w:p>
            <w:pPr>
              <w:pStyle w:val="TableParagraph"/>
              <w:spacing w:line="240" w:lineRule="auto" w:before="76"/>
              <w:ind w:left="307" w:right="0"/>
              <w:jc w:val="left"/>
              <w:rPr>
                <w:rFonts w:ascii="宋体" w:hAnsi="宋体" w:cs="宋体" w:eastAsia="宋体" w:hint="default"/>
                <w:sz w:val="18"/>
                <w:szCs w:val="18"/>
              </w:rPr>
            </w:pPr>
            <w:r>
              <w:rPr>
                <w:rFonts w:ascii="宋体"/>
                <w:sz w:val="18"/>
              </w:rPr>
              <w:t>31.44</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206,80</w:t>
            </w:r>
          </w:p>
          <w:p>
            <w:pPr>
              <w:pStyle w:val="TableParagraph"/>
              <w:spacing w:line="240" w:lineRule="auto" w:before="75"/>
              <w:ind w:right="23"/>
              <w:jc w:val="right"/>
              <w:rPr>
                <w:rFonts w:ascii="宋体" w:hAnsi="宋体" w:cs="宋体" w:eastAsia="宋体" w:hint="default"/>
                <w:sz w:val="18"/>
                <w:szCs w:val="18"/>
              </w:rPr>
            </w:pPr>
            <w:r>
              <w:rPr>
                <w:rFonts w:ascii="宋体"/>
                <w:sz w:val="18"/>
              </w:rPr>
              <w:t>0,271.</w:t>
            </w:r>
          </w:p>
          <w:p>
            <w:pPr>
              <w:pStyle w:val="TableParagraph"/>
              <w:spacing w:line="240" w:lineRule="auto" w:before="77"/>
              <w:ind w:right="23"/>
              <w:jc w:val="right"/>
              <w:rPr>
                <w:rFonts w:ascii="宋体" w:hAnsi="宋体" w:cs="宋体" w:eastAsia="宋体" w:hint="default"/>
                <w:sz w:val="18"/>
                <w:szCs w:val="18"/>
              </w:rPr>
            </w:pPr>
            <w:r>
              <w:rPr>
                <w:rFonts w:ascii="宋体"/>
                <w:sz w:val="18"/>
              </w:rPr>
              <w:t>62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97.79%</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1,346,94</w:t>
            </w:r>
          </w:p>
          <w:p>
            <w:pPr>
              <w:pStyle w:val="TableParagraph"/>
              <w:spacing w:line="240" w:lineRule="auto" w:before="76"/>
              <w:ind w:left="420" w:right="0"/>
              <w:jc w:val="left"/>
              <w:rPr>
                <w:rFonts w:ascii="宋体" w:hAnsi="宋体" w:cs="宋体" w:eastAsia="宋体" w:hint="default"/>
                <w:sz w:val="18"/>
                <w:szCs w:val="18"/>
              </w:rPr>
            </w:pPr>
            <w:r>
              <w:rPr>
                <w:rFonts w:ascii="宋体"/>
                <w:sz w:val="18"/>
              </w:rPr>
              <w:t>0.59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0.65%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sz w:val="18"/>
              </w:rPr>
              <w:t>205,453,3</w:t>
            </w:r>
          </w:p>
          <w:p>
            <w:pPr>
              <w:pStyle w:val="TableParagraph"/>
              <w:spacing w:line="240" w:lineRule="auto" w:before="76"/>
              <w:ind w:left="448" w:right="0"/>
              <w:jc w:val="left"/>
              <w:rPr>
                <w:rFonts w:ascii="宋体" w:hAnsi="宋体" w:cs="宋体" w:eastAsia="宋体" w:hint="default"/>
                <w:sz w:val="18"/>
                <w:szCs w:val="18"/>
              </w:rPr>
            </w:pPr>
            <w:r>
              <w:rPr>
                <w:rFonts w:ascii="宋体"/>
                <w:sz w:val="18"/>
              </w:rPr>
              <w:t>31.03</w:t>
            </w:r>
          </w:p>
        </w:tc>
      </w:tr>
      <w:tr>
        <w:trPr>
          <w:trHeight w:val="317"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sz w:val="18"/>
              </w:rPr>
              <w:t>41,522,</w:t>
            </w:r>
          </w:p>
          <w:p>
            <w:pPr>
              <w:pStyle w:val="TableParagraph"/>
              <w:spacing w:line="240" w:lineRule="auto" w:before="76"/>
              <w:ind w:left="183" w:right="0"/>
              <w:jc w:val="left"/>
              <w:rPr>
                <w:rFonts w:ascii="宋体" w:hAnsi="宋体" w:cs="宋体" w:eastAsia="宋体" w:hint="default"/>
                <w:sz w:val="18"/>
                <w:szCs w:val="18"/>
              </w:rPr>
            </w:pPr>
            <w:r>
              <w:rPr>
                <w:rFonts w:ascii="宋体"/>
                <w:sz w:val="18"/>
              </w:rPr>
              <w:t>585.14</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center"/>
              <w:rPr>
                <w:rFonts w:ascii="宋体" w:hAnsi="宋体" w:cs="宋体" w:eastAsia="宋体" w:hint="default"/>
                <w:sz w:val="18"/>
                <w:szCs w:val="18"/>
              </w:rPr>
            </w:pPr>
            <w:r>
              <w:rPr>
                <w:rFonts w:ascii="宋体"/>
                <w:sz w:val="18"/>
              </w:rPr>
              <w:t>8,648,1</w:t>
            </w:r>
          </w:p>
          <w:p>
            <w:pPr>
              <w:pStyle w:val="TableParagraph"/>
              <w:spacing w:line="240" w:lineRule="auto" w:before="76"/>
              <w:ind w:left="253" w:right="0"/>
              <w:jc w:val="center"/>
              <w:rPr>
                <w:rFonts w:ascii="宋体" w:hAnsi="宋体" w:cs="宋体" w:eastAsia="宋体" w:hint="default"/>
                <w:sz w:val="18"/>
                <w:szCs w:val="18"/>
              </w:rPr>
            </w:pPr>
            <w:r>
              <w:rPr>
                <w:rFonts w:ascii="宋体"/>
                <w:sz w:val="18"/>
              </w:rPr>
              <w:t>53.70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9" w:right="0"/>
              <w:jc w:val="left"/>
              <w:rPr>
                <w:rFonts w:ascii="宋体" w:hAnsi="宋体" w:cs="宋体" w:eastAsia="宋体" w:hint="default"/>
                <w:sz w:val="18"/>
                <w:szCs w:val="18"/>
              </w:rPr>
            </w:pPr>
            <w:r>
              <w:rPr>
                <w:rFonts w:ascii="宋体"/>
                <w:sz w:val="18"/>
              </w:rPr>
              <w:t>20.83%</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 w:right="0"/>
              <w:jc w:val="left"/>
              <w:rPr>
                <w:rFonts w:ascii="宋体" w:hAnsi="宋体" w:cs="宋体" w:eastAsia="宋体" w:hint="default"/>
                <w:sz w:val="18"/>
                <w:szCs w:val="18"/>
              </w:rPr>
            </w:pPr>
            <w:r>
              <w:rPr>
                <w:rFonts w:ascii="宋体"/>
                <w:sz w:val="18"/>
              </w:rPr>
              <w:t>32,874,4</w:t>
            </w:r>
          </w:p>
          <w:p>
            <w:pPr>
              <w:pStyle w:val="TableParagraph"/>
              <w:spacing w:line="240" w:lineRule="auto" w:before="76"/>
              <w:ind w:left="307" w:right="0"/>
              <w:jc w:val="left"/>
              <w:rPr>
                <w:rFonts w:ascii="宋体" w:hAnsi="宋体" w:cs="宋体" w:eastAsia="宋体" w:hint="default"/>
                <w:sz w:val="18"/>
                <w:szCs w:val="18"/>
              </w:rPr>
            </w:pPr>
            <w:r>
              <w:rPr>
                <w:rFonts w:ascii="宋体"/>
                <w:sz w:val="18"/>
              </w:rPr>
              <w:t>31.44</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211,48</w:t>
            </w:r>
          </w:p>
          <w:p>
            <w:pPr>
              <w:pStyle w:val="TableParagraph"/>
              <w:spacing w:line="240" w:lineRule="auto" w:before="75"/>
              <w:ind w:right="23"/>
              <w:jc w:val="right"/>
              <w:rPr>
                <w:rFonts w:ascii="宋体" w:hAnsi="宋体" w:cs="宋体" w:eastAsia="宋体" w:hint="default"/>
                <w:sz w:val="18"/>
                <w:szCs w:val="18"/>
              </w:rPr>
            </w:pPr>
            <w:r>
              <w:rPr>
                <w:rFonts w:ascii="宋体"/>
                <w:sz w:val="18"/>
              </w:rPr>
              <w:t>0,271.</w:t>
            </w:r>
          </w:p>
          <w:p>
            <w:pPr>
              <w:pStyle w:val="TableParagraph"/>
              <w:spacing w:line="240" w:lineRule="auto" w:before="77"/>
              <w:ind w:right="23"/>
              <w:jc w:val="right"/>
              <w:rPr>
                <w:rFonts w:ascii="宋体" w:hAnsi="宋体" w:cs="宋体" w:eastAsia="宋体" w:hint="default"/>
                <w:sz w:val="18"/>
                <w:szCs w:val="18"/>
              </w:rPr>
            </w:pPr>
            <w:r>
              <w:rPr>
                <w:rFonts w:ascii="宋体"/>
                <w:sz w:val="18"/>
              </w:rPr>
              <w:t>62</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sz w:val="18"/>
              </w:rPr>
              <w:t>6,026,94</w:t>
            </w:r>
          </w:p>
          <w:p>
            <w:pPr>
              <w:pStyle w:val="TableParagraph"/>
              <w:spacing w:line="240" w:lineRule="auto" w:before="76"/>
              <w:ind w:left="420" w:right="0"/>
              <w:jc w:val="left"/>
              <w:rPr>
                <w:rFonts w:ascii="宋体" w:hAnsi="宋体" w:cs="宋体" w:eastAsia="宋体" w:hint="default"/>
                <w:sz w:val="18"/>
                <w:szCs w:val="18"/>
              </w:rPr>
            </w:pPr>
            <w:r>
              <w:rPr>
                <w:rFonts w:ascii="宋体"/>
                <w:sz w:val="18"/>
              </w:rPr>
              <w:t>0.59</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49" w:right="0"/>
              <w:jc w:val="left"/>
              <w:rPr>
                <w:rFonts w:ascii="宋体" w:hAnsi="宋体" w:cs="宋体" w:eastAsia="宋体" w:hint="default"/>
                <w:sz w:val="18"/>
                <w:szCs w:val="18"/>
              </w:rPr>
            </w:pPr>
            <w:r>
              <w:rPr>
                <w:rFonts w:ascii="宋体"/>
                <w:sz w:val="18"/>
              </w:rPr>
              <w:t>2.85%</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sz w:val="18"/>
              </w:rPr>
              <w:t>205,453,3</w:t>
            </w:r>
          </w:p>
          <w:p>
            <w:pPr>
              <w:pStyle w:val="TableParagraph"/>
              <w:spacing w:line="240" w:lineRule="auto" w:before="76"/>
              <w:ind w:left="448" w:right="0"/>
              <w:jc w:val="left"/>
              <w:rPr>
                <w:rFonts w:ascii="宋体" w:hAnsi="宋体" w:cs="宋体" w:eastAsia="宋体" w:hint="default"/>
                <w:sz w:val="18"/>
                <w:szCs w:val="18"/>
              </w:rPr>
            </w:pPr>
            <w:r>
              <w:rPr>
                <w:rFonts w:ascii="宋体"/>
                <w:sz w:val="18"/>
              </w:rPr>
              <w:t>31.03</w:t>
            </w:r>
          </w:p>
        </w:tc>
      </w:tr>
      <w:tr>
        <w:trPr>
          <w:trHeight w:val="392" w:hRule="exact"/>
        </w:trPr>
        <w:tc>
          <w:tcPr>
            <w:tcW w:w="16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317"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期末单项金额重大并单项计提坏账准备的其他应收款：</w:t>
      </w:r>
    </w:p>
    <w:p>
      <w:pPr>
        <w:spacing w:line="240" w:lineRule="auto" w:before="7"/>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5"/>
        <w:gridCol w:w="7565"/>
      </w:tblGrid>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7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center"/>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4,680,000.00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4,680,000.00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50" w:right="0"/>
              <w:jc w:val="left"/>
              <w:rPr>
                <w:rFonts w:ascii="宋体" w:hAnsi="宋体" w:cs="宋体" w:eastAsia="宋体" w:hint="default"/>
                <w:sz w:val="18"/>
                <w:szCs w:val="18"/>
              </w:rPr>
            </w:pPr>
            <w:r>
              <w:rPr>
                <w:rFonts w:ascii="宋体"/>
                <w:sz w:val="18"/>
              </w:rPr>
              <w:t>100.00%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4,680,000.00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4,680,000.00</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r>
    </w:tbl>
    <w:p>
      <w:pPr>
        <w:spacing w:line="240" w:lineRule="auto" w:before="11"/>
        <w:rPr>
          <w:rFonts w:ascii="宋体" w:hAnsi="宋体" w:cs="宋体" w:eastAsia="宋体" w:hint="default"/>
          <w:sz w:val="8"/>
          <w:szCs w:val="8"/>
        </w:rPr>
      </w:pPr>
    </w:p>
    <w:p>
      <w:pPr>
        <w:pStyle w:val="BodyText"/>
        <w:spacing w:line="240" w:lineRule="auto" w:before="26"/>
        <w:ind w:left="634" w:right="1092"/>
        <w:jc w:val="left"/>
      </w:pPr>
      <w:r>
        <w:rPr/>
        <w:t>组合中，按账龄分析法计提坏账准备的其他应收款：</w:t>
      </w:r>
    </w:p>
    <w:p>
      <w:pPr>
        <w:spacing w:line="240" w:lineRule="auto" w:before="6"/>
        <w:rPr>
          <w:rFonts w:ascii="宋体" w:hAnsi="宋体" w:cs="宋体" w:eastAsia="宋体" w:hint="default"/>
          <w:sz w:val="19"/>
          <w:szCs w:val="19"/>
        </w:rPr>
      </w:pPr>
    </w:p>
    <w:p>
      <w:pPr>
        <w:pStyle w:val="BodyText"/>
        <w:spacing w:line="240" w:lineRule="auto"/>
        <w:ind w:left="634" w:right="1092"/>
        <w:jc w:val="left"/>
      </w:pPr>
      <w:r>
        <w:rPr/>
        <w:t>√ 适用 □ 不适用</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88"/>
        <w:gridCol w:w="2301"/>
        <w:gridCol w:w="2391"/>
        <w:gridCol w:w="2389"/>
      </w:tblGrid>
      <w:tr>
        <w:trPr>
          <w:trHeight w:val="402" w:hRule="exact"/>
        </w:trPr>
        <w:tc>
          <w:tcPr>
            <w:tcW w:w="24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88" w:type="dxa"/>
            <w:vMerge/>
            <w:tcBorders>
              <w:left w:val="single" w:sz="4" w:space="0" w:color="000000"/>
              <w:bottom w:val="single" w:sz="4" w:space="0" w:color="000000"/>
              <w:right w:val="single" w:sz="4" w:space="0" w:color="000000"/>
            </w:tcBorders>
            <w:shd w:val="clear" w:color="auto" w:fill="D2D2D2"/>
          </w:tcPr>
          <w:p>
            <w:pPr/>
          </w:p>
        </w:tc>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年以内分项</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30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2,221,894.88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44,437.90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2,221,894.88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44,437.90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5,400,459.58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810,068.94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15.00%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4,652,687.50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2,326,343.74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787,303.12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787,303.12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651,944.20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651,944.20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39,800.00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39,800.00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95,558.92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95,558.92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13,062,345.08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3,968,153.70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30.38%</w:t>
            </w:r>
          </w:p>
        </w:tc>
      </w:tr>
    </w:tbl>
    <w:p>
      <w:pPr>
        <w:spacing w:line="240" w:lineRule="auto" w:before="10"/>
        <w:rPr>
          <w:rFonts w:ascii="宋体" w:hAnsi="宋体" w:cs="宋体" w:eastAsia="宋体" w:hint="default"/>
          <w:sz w:val="8"/>
          <w:szCs w:val="8"/>
        </w:rPr>
      </w:pPr>
    </w:p>
    <w:p>
      <w:pPr>
        <w:pStyle w:val="BodyText"/>
        <w:spacing w:line="434" w:lineRule="auto" w:before="26"/>
        <w:ind w:left="634" w:right="4272"/>
        <w:jc w:val="left"/>
      </w:pPr>
      <w:r>
        <w:rPr/>
        <w:t>确定该组合依据的说明： 以其他应收款的账龄为信用风险特征划分组合。 组合中，采用余额百分比法计提坏账准备的其他应收款：</w:t>
      </w:r>
    </w:p>
    <w:p>
      <w:pPr>
        <w:pStyle w:val="BodyText"/>
        <w:spacing w:line="434" w:lineRule="auto" w:before="59"/>
        <w:ind w:left="634" w:right="4752"/>
        <w:jc w:val="left"/>
      </w:pPr>
      <w:r>
        <w:rPr/>
        <w:t>□ 适用 √ 不适用 组合中，采用其他方法计提坏账准备的其他应收款：</w:t>
      </w:r>
    </w:p>
    <w:p>
      <w:pPr>
        <w:pStyle w:val="BodyText"/>
        <w:spacing w:line="434" w:lineRule="auto" w:before="59"/>
        <w:ind w:left="634" w:right="2652"/>
        <w:jc w:val="left"/>
      </w:pPr>
      <w:r>
        <w:rPr/>
        <w:t>√ 适用 □ 不适用 与交易对象关系组合，为关联方组合，</w:t>
      </w:r>
      <w:r>
        <w:rPr>
          <w:rFonts w:ascii="宋体" w:hAnsi="宋体" w:cs="宋体" w:eastAsia="宋体" w:hint="default"/>
        </w:rPr>
        <w:t>23,780,240.06</w:t>
      </w:r>
      <w:r>
        <w:rPr>
          <w:rFonts w:ascii="宋体" w:hAnsi="宋体" w:cs="宋体" w:eastAsia="宋体" w:hint="default"/>
          <w:spacing w:val="-60"/>
        </w:rPr>
        <w:t> </w:t>
      </w:r>
      <w:r>
        <w:rPr/>
        <w:t>元，不计提坏账。 </w:t>
      </w:r>
      <w:r>
        <w:rPr>
          <w:rFonts w:ascii="宋体" w:hAnsi="宋体" w:cs="宋体" w:eastAsia="宋体" w:hint="default"/>
        </w:rPr>
        <w:t>2)</w:t>
      </w:r>
      <w:r>
        <w:rPr/>
        <w:t>本期计提、收回或转回的坏账准备情况</w:t>
      </w:r>
    </w:p>
    <w:p>
      <w:pPr>
        <w:pStyle w:val="BodyText"/>
        <w:spacing w:line="434" w:lineRule="auto" w:before="59"/>
        <w:ind w:left="634" w:right="998"/>
        <w:jc w:val="left"/>
      </w:pPr>
      <w:r>
        <w:rPr/>
        <w:t>本期计提坏账准备金额</w:t>
      </w:r>
      <w:r>
        <w:rPr>
          <w:spacing w:val="-59"/>
        </w:rPr>
        <w:t> </w:t>
      </w:r>
      <w:r>
        <w:rPr>
          <w:rFonts w:ascii="宋体" w:hAnsi="宋体" w:cs="宋体" w:eastAsia="宋体" w:hint="default"/>
        </w:rPr>
        <w:t>3,168,548.44</w:t>
      </w:r>
      <w:r>
        <w:rPr>
          <w:rFonts w:ascii="宋体" w:hAnsi="宋体" w:cs="宋体" w:eastAsia="宋体" w:hint="default"/>
          <w:spacing w:val="-59"/>
        </w:rPr>
        <w:t> </w:t>
      </w:r>
      <w:r>
        <w:rPr>
          <w:spacing w:val="-6"/>
        </w:rPr>
        <w:t>元；本期收回或转回坏账准备金额</w:t>
      </w:r>
      <w:r>
        <w:rPr>
          <w:spacing w:val="-59"/>
        </w:rPr>
        <w:t> </w:t>
      </w:r>
      <w:r>
        <w:rPr>
          <w:rFonts w:ascii="宋体" w:hAnsi="宋体" w:cs="宋体" w:eastAsia="宋体" w:hint="default"/>
        </w:rPr>
        <w:t>547,335.33</w:t>
      </w:r>
      <w:r>
        <w:rPr>
          <w:rFonts w:ascii="宋体" w:hAnsi="宋体" w:cs="宋体" w:eastAsia="宋体" w:hint="default"/>
          <w:spacing w:val="-59"/>
        </w:rPr>
        <w:t> </w:t>
      </w:r>
      <w:r>
        <w:rPr/>
        <w:t>元。 </w:t>
      </w:r>
      <w:r>
        <w:rPr>
          <w:rFonts w:ascii="宋体" w:hAnsi="宋体" w:cs="宋体" w:eastAsia="宋体" w:hint="default"/>
        </w:rPr>
        <w:t>3)</w:t>
      </w:r>
      <w:r>
        <w:rPr/>
        <w:t>本期实际核销的其他应收款情况</w:t>
      </w:r>
    </w:p>
    <w:p>
      <w:pPr>
        <w:pStyle w:val="BodyText"/>
        <w:spacing w:line="240" w:lineRule="auto" w:before="60"/>
        <w:ind w:left="634" w:right="1092"/>
        <w:jc w:val="left"/>
      </w:pPr>
      <w:r>
        <w:rPr/>
        <w:t>无。</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5"/>
          <w:szCs w:val="25"/>
        </w:rPr>
      </w:pPr>
    </w:p>
    <w:p>
      <w:pPr>
        <w:pStyle w:val="BodyText"/>
        <w:spacing w:line="240" w:lineRule="auto" w:before="26"/>
        <w:ind w:left="634" w:right="1092"/>
        <w:jc w:val="left"/>
      </w:pPr>
      <w:r>
        <w:rPr>
          <w:rFonts w:ascii="宋体" w:hAnsi="宋体" w:cs="宋体" w:eastAsia="宋体" w:hint="default"/>
        </w:rPr>
        <w:t>4)</w:t>
      </w:r>
      <w:r>
        <w:rPr/>
        <w:t>其他应收款按款项性质分类情况</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8"/>
        <w:gridCol w:w="3101"/>
        <w:gridCol w:w="3100"/>
      </w:tblGrid>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28,344,781.53</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118,850,340.76</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3101"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83,168,862.02</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5,686,592.14</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7,447,152.14</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职工借款及备用金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7,491,211.47</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2,013,916.70</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41,522,585.14</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211,480,271.62</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rFonts w:ascii="宋体" w:hAnsi="宋体" w:cs="宋体" w:eastAsia="宋体" w:hint="default"/>
        </w:rPr>
        <w:t>5)</w:t>
      </w:r>
      <w:r>
        <w:rPr/>
        <w:t>按欠款方归集的期末余额前五名的其他应收款情况</w:t>
      </w:r>
    </w:p>
    <w:p>
      <w:pPr>
        <w:spacing w:line="240" w:lineRule="auto" w:before="11"/>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90"/>
              <w:jc w:val="right"/>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1" w:right="8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0"/>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内部往来款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9,099,567.00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21.91%</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内部往来款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1"/>
              <w:jc w:val="right"/>
              <w:rPr>
                <w:rFonts w:ascii="宋体" w:hAnsi="宋体" w:cs="宋体" w:eastAsia="宋体" w:hint="default"/>
                <w:sz w:val="18"/>
                <w:szCs w:val="18"/>
              </w:rPr>
            </w:pPr>
            <w:r>
              <w:rPr>
                <w:rFonts w:ascii="宋体"/>
                <w:sz w:val="18"/>
              </w:rPr>
              <w:t>7,955,081.10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p>
            <w:pPr>
              <w:pStyle w:val="TableParagraph"/>
              <w:spacing w:line="319" w:lineRule="auto" w:before="76"/>
              <w:ind w:left="22" w:right="23"/>
              <w:jc w:val="left"/>
              <w:rPr>
                <w:rFonts w:ascii="宋体" w:hAnsi="宋体" w:cs="宋体" w:eastAsia="宋体" w:hint="default"/>
                <w:sz w:val="18"/>
                <w:szCs w:val="18"/>
              </w:rPr>
            </w:pPr>
            <w:r>
              <w:rPr>
                <w:rFonts w:ascii="宋体" w:hAnsi="宋体" w:cs="宋体" w:eastAsia="宋体" w:hint="default"/>
                <w:spacing w:val="-3"/>
                <w:sz w:val="18"/>
                <w:szCs w:val="18"/>
              </w:rPr>
              <w:t>2,697,645.10</w:t>
            </w:r>
            <w:r>
              <w:rPr>
                <w:rFonts w:ascii="宋体" w:hAnsi="宋体" w:cs="宋体" w:eastAsia="宋体" w:hint="default"/>
                <w:spacing w:val="-3"/>
                <w:sz w:val="18"/>
                <w:szCs w:val="18"/>
              </w:rPr>
              <w:t>；</w:t>
            </w:r>
            <w:r>
              <w:rPr>
                <w:rFonts w:ascii="宋体" w:hAnsi="宋体" w:cs="宋体" w:eastAsia="宋体" w:hint="default"/>
                <w:spacing w:val="-3"/>
                <w:sz w:val="18"/>
                <w:szCs w:val="18"/>
              </w:rPr>
              <w:t>1-2</w:t>
            </w:r>
            <w:r>
              <w:rPr>
                <w:rFonts w:ascii="宋体" w:hAnsi="宋体" w:cs="宋体" w:eastAsia="宋体" w:hint="default"/>
                <w:spacing w:val="-7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5,257,436.00</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19.16%</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3</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外部往来款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4,680,000.00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11.27%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4,680,000.00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4</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外部往来款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4,478,000.00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10.78%</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2,239,000.00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46"/>
                <w:sz w:val="18"/>
                <w:szCs w:val="18"/>
              </w:rPr>
              <w:t> </w:t>
            </w:r>
            <w:r>
              <w:rPr>
                <w:rFonts w:ascii="宋体" w:hAnsi="宋体" w:cs="宋体" w:eastAsia="宋体" w:hint="default"/>
                <w:sz w:val="18"/>
                <w:szCs w:val="18"/>
              </w:rPr>
              <w:t>5</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外部往来款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4,268,690.64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10.28%</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640,303.60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30,481,338.74</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80"/>
              <w:jc w:val="right"/>
              <w:rPr>
                <w:rFonts w:ascii="宋体" w:hAnsi="宋体" w:cs="宋体" w:eastAsia="宋体" w:hint="default"/>
                <w:sz w:val="18"/>
                <w:szCs w:val="18"/>
              </w:rPr>
            </w:pPr>
            <w:r>
              <w:rPr>
                <w:rFonts w:ascii="宋体"/>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73.40%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7,559,303.60</w:t>
            </w:r>
          </w:p>
        </w:tc>
      </w:tr>
    </w:tbl>
    <w:p>
      <w:pPr>
        <w:spacing w:line="240" w:lineRule="auto" w:before="10"/>
        <w:rPr>
          <w:rFonts w:ascii="宋体" w:hAnsi="宋体" w:cs="宋体" w:eastAsia="宋体" w:hint="default"/>
          <w:sz w:val="8"/>
          <w:szCs w:val="8"/>
        </w:rPr>
      </w:pPr>
    </w:p>
    <w:p>
      <w:pPr>
        <w:pStyle w:val="BodyText"/>
        <w:spacing w:line="434" w:lineRule="auto" w:before="26"/>
        <w:ind w:left="634" w:right="7392"/>
        <w:jc w:val="left"/>
      </w:pPr>
      <w:r>
        <w:rPr>
          <w:rFonts w:ascii="宋体" w:hAnsi="宋体" w:cs="宋体" w:eastAsia="宋体" w:hint="default"/>
        </w:rPr>
        <w:t>6)</w:t>
      </w:r>
      <w:r>
        <w:rPr/>
        <w:t>涉及政府补助的应收款项 无。</w:t>
      </w:r>
    </w:p>
    <w:p>
      <w:pPr>
        <w:pStyle w:val="BodyText"/>
        <w:spacing w:line="434" w:lineRule="auto" w:before="59"/>
        <w:ind w:left="634" w:right="5712"/>
        <w:jc w:val="left"/>
      </w:pPr>
      <w:r>
        <w:rPr>
          <w:rFonts w:ascii="宋体" w:hAnsi="宋体" w:cs="宋体" w:eastAsia="宋体" w:hint="default"/>
        </w:rPr>
        <w:t>7)</w:t>
      </w:r>
      <w:r>
        <w:rPr/>
        <w:t>因金融资产转移而终止确认的其他应收款 无。</w:t>
      </w:r>
    </w:p>
    <w:p>
      <w:pPr>
        <w:pStyle w:val="BodyText"/>
        <w:spacing w:line="434" w:lineRule="auto" w:before="59"/>
        <w:ind w:left="634" w:right="4752"/>
        <w:jc w:val="left"/>
      </w:pPr>
      <w:r>
        <w:rPr>
          <w:rFonts w:ascii="宋体" w:hAnsi="宋体" w:cs="宋体" w:eastAsia="宋体" w:hint="default"/>
        </w:rPr>
        <w:t>8)</w:t>
      </w:r>
      <w:r>
        <w:rPr/>
        <w:t>转移其他应收款且继续涉入形成的资产、负债金额 无。</w:t>
      </w:r>
    </w:p>
    <w:p>
      <w:pPr>
        <w:spacing w:before="204"/>
        <w:ind w:left="154" w:right="1092" w:firstLine="0"/>
        <w:jc w:val="left"/>
        <w:rPr>
          <w:rFonts w:ascii="宋体" w:hAnsi="宋体" w:cs="宋体" w:eastAsia="宋体" w:hint="default"/>
          <w:sz w:val="21"/>
          <w:szCs w:val="21"/>
        </w:rPr>
      </w:pPr>
      <w:bookmarkStart w:name="3、长期股权投资" w:id="487"/>
      <w:bookmarkEnd w:id="487"/>
      <w:r>
        <w:rPr/>
      </w:r>
      <w:r>
        <w:rPr>
          <w:rFonts w:ascii="宋体" w:hAnsi="宋体" w:cs="宋体" w:eastAsia="宋体" w:hint="default"/>
          <w:b/>
          <w:bCs/>
          <w:sz w:val="21"/>
          <w:szCs w:val="21"/>
        </w:rPr>
        <w:t>3</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6"/>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3,254,384,522.</w:t>
            </w:r>
          </w:p>
          <w:p>
            <w:pPr>
              <w:pStyle w:val="TableParagraph"/>
              <w:spacing w:line="240" w:lineRule="auto" w:before="77"/>
              <w:ind w:right="23"/>
              <w:jc w:val="right"/>
              <w:rPr>
                <w:rFonts w:ascii="宋体" w:hAnsi="宋体" w:cs="宋体" w:eastAsia="宋体" w:hint="default"/>
                <w:sz w:val="18"/>
                <w:szCs w:val="18"/>
              </w:rPr>
            </w:pPr>
            <w:r>
              <w:rPr>
                <w:rFonts w:ascii="宋体"/>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1,433,299,356.</w:t>
            </w:r>
          </w:p>
          <w:p>
            <w:pPr>
              <w:pStyle w:val="TableParagraph"/>
              <w:spacing w:line="240" w:lineRule="auto" w:before="77"/>
              <w:ind w:right="20"/>
              <w:jc w:val="right"/>
              <w:rPr>
                <w:rFonts w:ascii="宋体" w:hAnsi="宋体" w:cs="宋体" w:eastAsia="宋体" w:hint="default"/>
                <w:sz w:val="18"/>
                <w:szCs w:val="18"/>
              </w:rPr>
            </w:pPr>
            <w:r>
              <w:rPr>
                <w:rFonts w:ascii="宋体"/>
                <w:sz w:val="18"/>
              </w:rPr>
              <w:t>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1,821,085,166.</w:t>
            </w:r>
          </w:p>
          <w:p>
            <w:pPr>
              <w:pStyle w:val="TableParagraph"/>
              <w:spacing w:line="240" w:lineRule="auto" w:before="77"/>
              <w:ind w:right="20"/>
              <w:jc w:val="right"/>
              <w:rPr>
                <w:rFonts w:ascii="宋体" w:hAnsi="宋体" w:cs="宋体" w:eastAsia="宋体" w:hint="default"/>
                <w:sz w:val="18"/>
                <w:szCs w:val="18"/>
              </w:rPr>
            </w:pPr>
            <w:r>
              <w:rPr>
                <w:rFonts w:ascii="宋体"/>
                <w:sz w:val="18"/>
              </w:rPr>
              <w:t>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1,442,399,773.</w:t>
            </w:r>
          </w:p>
          <w:p>
            <w:pPr>
              <w:pStyle w:val="TableParagraph"/>
              <w:spacing w:line="240" w:lineRule="auto" w:before="77"/>
              <w:ind w:right="20"/>
              <w:jc w:val="right"/>
              <w:rPr>
                <w:rFonts w:ascii="宋体" w:hAnsi="宋体" w:cs="宋体" w:eastAsia="宋体" w:hint="default"/>
                <w:sz w:val="18"/>
                <w:szCs w:val="18"/>
              </w:rPr>
            </w:pPr>
            <w:r>
              <w:rPr>
                <w:rFonts w:ascii="宋体"/>
                <w:sz w:val="18"/>
              </w:rPr>
              <w:t>97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1,442,399,773.</w:t>
            </w:r>
          </w:p>
          <w:p>
            <w:pPr>
              <w:pStyle w:val="TableParagraph"/>
              <w:spacing w:line="240" w:lineRule="auto" w:before="77"/>
              <w:ind w:right="20"/>
              <w:jc w:val="right"/>
              <w:rPr>
                <w:rFonts w:ascii="宋体" w:hAnsi="宋体" w:cs="宋体" w:eastAsia="宋体" w:hint="default"/>
                <w:sz w:val="18"/>
                <w:szCs w:val="18"/>
              </w:rPr>
            </w:pPr>
            <w:r>
              <w:rPr>
                <w:rFonts w:ascii="宋体"/>
                <w:sz w:val="18"/>
              </w:rPr>
              <w:t>97</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376,234,714.20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208,015,379.58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168,219,334.62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5" w:right="0"/>
              <w:jc w:val="left"/>
              <w:rPr>
                <w:rFonts w:ascii="宋体" w:hAnsi="宋体" w:cs="宋体" w:eastAsia="宋体" w:hint="default"/>
                <w:sz w:val="18"/>
                <w:szCs w:val="18"/>
              </w:rPr>
            </w:pPr>
            <w:r>
              <w:rPr>
                <w:rFonts w:ascii="宋体"/>
                <w:sz w:val="18"/>
              </w:rPr>
              <w:t>300,301,886.12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sz w:val="18"/>
              </w:rPr>
              <w:t>300,301,886.12</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3,630,619,236.</w:t>
            </w:r>
          </w:p>
          <w:p>
            <w:pPr>
              <w:pStyle w:val="TableParagraph"/>
              <w:spacing w:line="240" w:lineRule="auto" w:before="77"/>
              <w:ind w:right="23"/>
              <w:jc w:val="right"/>
              <w:rPr>
                <w:rFonts w:ascii="宋体" w:hAnsi="宋体" w:cs="宋体" w:eastAsia="宋体" w:hint="default"/>
                <w:sz w:val="18"/>
                <w:szCs w:val="18"/>
              </w:rPr>
            </w:pPr>
            <w:r>
              <w:rPr>
                <w:rFonts w:ascii="宋体"/>
                <w:sz w:val="18"/>
              </w:rPr>
              <w:t>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1,641,314,736.</w:t>
            </w:r>
          </w:p>
          <w:p>
            <w:pPr>
              <w:pStyle w:val="TableParagraph"/>
              <w:spacing w:line="240" w:lineRule="auto" w:before="77"/>
              <w:ind w:right="20"/>
              <w:jc w:val="right"/>
              <w:rPr>
                <w:rFonts w:ascii="宋体" w:hAnsi="宋体" w:cs="宋体" w:eastAsia="宋体" w:hint="default"/>
                <w:sz w:val="18"/>
                <w:szCs w:val="18"/>
              </w:rPr>
            </w:pPr>
            <w:r>
              <w:rPr>
                <w:rFonts w:ascii="宋体"/>
                <w:sz w:val="18"/>
              </w:rPr>
              <w:t>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1,989,304,500.</w:t>
            </w:r>
          </w:p>
          <w:p>
            <w:pPr>
              <w:pStyle w:val="TableParagraph"/>
              <w:spacing w:line="240" w:lineRule="auto" w:before="77"/>
              <w:ind w:right="20"/>
              <w:jc w:val="right"/>
              <w:rPr>
                <w:rFonts w:ascii="宋体" w:hAnsi="宋体" w:cs="宋体" w:eastAsia="宋体" w:hint="default"/>
                <w:sz w:val="18"/>
                <w:szCs w:val="18"/>
              </w:rPr>
            </w:pPr>
            <w:r>
              <w:rPr>
                <w:rFonts w:ascii="宋体"/>
                <w:sz w:val="18"/>
              </w:rPr>
              <w:t>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1,742,701,660.</w:t>
            </w:r>
          </w:p>
          <w:p>
            <w:pPr>
              <w:pStyle w:val="TableParagraph"/>
              <w:spacing w:line="240" w:lineRule="auto" w:before="77"/>
              <w:ind w:right="20"/>
              <w:jc w:val="right"/>
              <w:rPr>
                <w:rFonts w:ascii="宋体" w:hAnsi="宋体" w:cs="宋体" w:eastAsia="宋体" w:hint="default"/>
                <w:sz w:val="18"/>
                <w:szCs w:val="18"/>
              </w:rPr>
            </w:pPr>
            <w:r>
              <w:rPr>
                <w:rFonts w:ascii="宋体"/>
                <w:sz w:val="18"/>
              </w:rPr>
              <w:t>09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1,742,701,660.</w:t>
            </w:r>
          </w:p>
          <w:p>
            <w:pPr>
              <w:pStyle w:val="TableParagraph"/>
              <w:spacing w:line="240" w:lineRule="auto" w:before="77"/>
              <w:ind w:right="20"/>
              <w:jc w:val="right"/>
              <w:rPr>
                <w:rFonts w:ascii="宋体" w:hAnsi="宋体" w:cs="宋体" w:eastAsia="宋体" w:hint="default"/>
                <w:sz w:val="18"/>
                <w:szCs w:val="18"/>
              </w:rPr>
            </w:pPr>
            <w:r>
              <w:rPr>
                <w:rFonts w:ascii="宋体"/>
                <w:sz w:val="18"/>
              </w:rPr>
              <w:t>09</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1）对子公司投资" w:id="488"/>
      <w:bookmarkEnd w:id="488"/>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）对子公司投资</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36"/>
        <w:gridCol w:w="1348"/>
        <w:gridCol w:w="1336"/>
        <w:gridCol w:w="1334"/>
        <w:gridCol w:w="1336"/>
        <w:gridCol w:w="1389"/>
        <w:gridCol w:w="1390"/>
      </w:tblGrid>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99" w:right="58" w:hanging="541"/>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98"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北京中文在线文 化传媒有限公司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52,436,669.91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89,490.98</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52,526,160.89</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杭州中文在线信 息科技有限公司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16,275,053.07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50,004,427.39</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66,279,480.46</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北京中文在线教 育科技发展公司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158,957,370.61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1,911,897.43</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160,869,268.04</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湖北中文在线数 字出版有限公司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85,339.85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41,571.59</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126,911.44</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上海中文在线文 化发展有限公司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1,645,045.10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292,888.54</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1,937,933.64</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广州市四月天信 息科技有限公司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2,829,982.93</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2,829,982.93</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both"/>
              <w:rPr>
                <w:rFonts w:ascii="宋体" w:hAnsi="宋体" w:cs="宋体" w:eastAsia="宋体" w:hint="default"/>
                <w:sz w:val="18"/>
                <w:szCs w:val="18"/>
              </w:rPr>
            </w:pPr>
            <w:r>
              <w:rPr>
                <w:rFonts w:ascii="宋体" w:hAnsi="宋体" w:cs="宋体" w:eastAsia="宋体" w:hint="default"/>
                <w:sz w:val="18"/>
                <w:szCs w:val="18"/>
              </w:rPr>
              <w:t>北京汤圆和它的 小伙伴们网络科 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354,491.68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2"/>
              <w:jc w:val="right"/>
              <w:rPr>
                <w:rFonts w:ascii="宋体" w:hAnsi="宋体" w:cs="宋体" w:eastAsia="宋体" w:hint="default"/>
                <w:sz w:val="18"/>
                <w:szCs w:val="18"/>
              </w:rPr>
            </w:pPr>
            <w:r>
              <w:rPr>
                <w:rFonts w:ascii="宋体"/>
                <w:sz w:val="18"/>
              </w:rPr>
              <w:t>466,800.00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821,291.68</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上海晨之科信息 技术有限公司</w:t>
            </w:r>
          </w:p>
        </w:tc>
        <w:tc>
          <w:tcPr>
            <w:tcW w:w="1348" w:type="dxa"/>
            <w:tcBorders>
              <w:top w:val="single" w:sz="4" w:space="0" w:color="000000"/>
              <w:left w:val="single" w:sz="10" w:space="0" w:color="D9D9D9"/>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1,754,933,185.</w:t>
            </w:r>
          </w:p>
          <w:p>
            <w:pPr>
              <w:pStyle w:val="TableParagraph"/>
              <w:spacing w:line="240" w:lineRule="auto" w:before="76"/>
              <w:ind w:right="23"/>
              <w:jc w:val="right"/>
              <w:rPr>
                <w:rFonts w:ascii="宋体" w:hAnsi="宋体" w:cs="宋体" w:eastAsia="宋体" w:hint="default"/>
                <w:sz w:val="18"/>
                <w:szCs w:val="18"/>
              </w:rPr>
            </w:pPr>
            <w:r>
              <w:rPr>
                <w:rFonts w:ascii="宋体"/>
                <w:sz w:val="18"/>
              </w:rPr>
              <w:t>87</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1,754,933,185.</w:t>
            </w:r>
          </w:p>
          <w:p>
            <w:pPr>
              <w:pStyle w:val="TableParagraph"/>
              <w:spacing w:line="240" w:lineRule="auto" w:before="76"/>
              <w:ind w:right="23"/>
              <w:jc w:val="right"/>
              <w:rPr>
                <w:rFonts w:ascii="宋体" w:hAnsi="宋体" w:cs="宋体" w:eastAsia="宋体" w:hint="default"/>
                <w:sz w:val="18"/>
                <w:szCs w:val="18"/>
              </w:rPr>
            </w:pPr>
            <w:r>
              <w:rPr>
                <w:rFonts w:ascii="宋体"/>
                <w:sz w:val="18"/>
              </w:rPr>
              <w:t>87</w:t>
            </w:r>
          </w:p>
        </w:tc>
        <w:tc>
          <w:tcPr>
            <w:tcW w:w="1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1,433,299,356.</w:t>
            </w:r>
          </w:p>
          <w:p>
            <w:pPr>
              <w:pStyle w:val="TableParagraph"/>
              <w:spacing w:line="240" w:lineRule="auto" w:before="76"/>
              <w:ind w:right="20"/>
              <w:jc w:val="right"/>
              <w:rPr>
                <w:rFonts w:ascii="宋体" w:hAnsi="宋体" w:cs="宋体" w:eastAsia="宋体" w:hint="default"/>
                <w:sz w:val="18"/>
                <w:szCs w:val="18"/>
              </w:rPr>
            </w:pPr>
            <w:r>
              <w:rPr>
                <w:rFonts w:ascii="宋体"/>
                <w:sz w:val="18"/>
              </w:rPr>
              <w:t>42</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1,433,299,356.</w:t>
            </w:r>
          </w:p>
          <w:p>
            <w:pPr>
              <w:pStyle w:val="TableParagraph"/>
              <w:spacing w:line="240" w:lineRule="auto" w:before="76"/>
              <w:ind w:right="23"/>
              <w:jc w:val="right"/>
              <w:rPr>
                <w:rFonts w:ascii="宋体" w:hAnsi="宋体" w:cs="宋体" w:eastAsia="宋体" w:hint="default"/>
                <w:sz w:val="18"/>
                <w:szCs w:val="18"/>
              </w:rPr>
            </w:pPr>
            <w:r>
              <w:rPr>
                <w:rFonts w:ascii="宋体"/>
                <w:sz w:val="18"/>
              </w:rPr>
              <w:t>42</w:t>
            </w: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中文在线集团有 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179,567,925.05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3,795,807.83</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183,363,732.88</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北京中文万维科 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431,596.23</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1" w:right="0"/>
              <w:jc w:val="left"/>
              <w:rPr>
                <w:rFonts w:ascii="宋体" w:hAnsi="宋体" w:cs="宋体" w:eastAsia="宋体" w:hint="default"/>
                <w:sz w:val="18"/>
                <w:szCs w:val="18"/>
              </w:rPr>
            </w:pPr>
            <w:r>
              <w:rPr>
                <w:rFonts w:ascii="宋体"/>
                <w:sz w:val="18"/>
              </w:rPr>
              <w:t>431,596.23</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北京鸿达以太文 化发展有限公司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1,684,355.12</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1,684,355.12</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杭州四月天网络 科技有限公司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10,800,596.55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89,490.98</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10,890,087.53</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13" w:space="0" w:color="FFFFFF"/>
            </w:tcBorders>
            <w:shd w:val="clear" w:color="auto" w:fill="D9D9D9"/>
          </w:tcPr>
          <w:p>
            <w:pPr>
              <w:pStyle w:val="TableParagraph"/>
              <w:spacing w:line="316" w:lineRule="auto" w:before="71"/>
              <w:ind w:left="22" w:right="-49"/>
              <w:jc w:val="left"/>
              <w:rPr>
                <w:rFonts w:ascii="宋体" w:hAnsi="宋体" w:cs="宋体" w:eastAsia="宋体" w:hint="default"/>
                <w:sz w:val="18"/>
                <w:szCs w:val="18"/>
              </w:rPr>
            </w:pPr>
            <w:r>
              <w:rPr>
                <w:rFonts w:ascii="宋体" w:hAnsi="宋体" w:cs="宋体" w:eastAsia="宋体" w:hint="default"/>
                <w:sz w:val="18"/>
                <w:szCs w:val="18"/>
              </w:rPr>
              <w:t>中文在线（天津） 文化发展有限公</w:t>
            </w:r>
          </w:p>
        </w:tc>
        <w:tc>
          <w:tcPr>
            <w:tcW w:w="1348" w:type="dxa"/>
            <w:tcBorders>
              <w:top w:val="single" w:sz="4" w:space="0" w:color="000000"/>
              <w:left w:val="single" w:sz="23" w:space="0" w:color="FFFFFF"/>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1,005,119,990.</w:t>
            </w:r>
          </w:p>
          <w:p>
            <w:pPr>
              <w:pStyle w:val="TableParagraph"/>
              <w:spacing w:line="240" w:lineRule="auto" w:before="76"/>
              <w:ind w:right="20"/>
              <w:jc w:val="right"/>
              <w:rPr>
                <w:rFonts w:ascii="宋体" w:hAnsi="宋体" w:cs="宋体" w:eastAsia="宋体" w:hint="default"/>
                <w:sz w:val="18"/>
                <w:szCs w:val="18"/>
              </w:rPr>
            </w:pPr>
            <w:r>
              <w:rPr>
                <w:rFonts w:ascii="宋体"/>
                <w:sz w:val="18"/>
              </w:rPr>
              <w:t>74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810,784.37</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1,005,930,775.</w:t>
            </w:r>
          </w:p>
          <w:p>
            <w:pPr>
              <w:pStyle w:val="TableParagraph"/>
              <w:spacing w:line="240" w:lineRule="auto" w:before="76"/>
              <w:ind w:right="23"/>
              <w:jc w:val="right"/>
              <w:rPr>
                <w:rFonts w:ascii="宋体" w:hAnsi="宋体" w:cs="宋体" w:eastAsia="宋体" w:hint="default"/>
                <w:sz w:val="18"/>
                <w:szCs w:val="18"/>
              </w:rPr>
            </w:pPr>
            <w:r>
              <w:rPr>
                <w:rFonts w:ascii="宋体"/>
                <w:sz w:val="18"/>
              </w:rPr>
              <w:t>11</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436"/>
        <w:gridCol w:w="1348"/>
        <w:gridCol w:w="1336"/>
        <w:gridCol w:w="1334"/>
        <w:gridCol w:w="1336"/>
        <w:gridCol w:w="1389"/>
        <w:gridCol w:w="1390"/>
      </w:tblGrid>
      <w:tr>
        <w:trPr>
          <w:trHeight w:val="362"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48" w:type="dxa"/>
            <w:tcBorders>
              <w:top w:val="single" w:sz="4" w:space="0" w:color="000000"/>
              <w:left w:val="single" w:sz="10" w:space="0" w:color="D9D9D9"/>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both"/>
              <w:rPr>
                <w:rFonts w:ascii="宋体" w:hAnsi="宋体" w:cs="宋体" w:eastAsia="宋体" w:hint="default"/>
                <w:sz w:val="18"/>
                <w:szCs w:val="18"/>
              </w:rPr>
            </w:pPr>
            <w:r>
              <w:rPr>
                <w:rFonts w:ascii="宋体" w:hAnsi="宋体" w:cs="宋体" w:eastAsia="宋体" w:hint="default"/>
                <w:sz w:val="18"/>
                <w:szCs w:val="18"/>
              </w:rPr>
              <w:t>宁波梅山保税港 区中昊嘉华股权 投资合伙企业</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20,000.00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0"/>
              <w:jc w:val="right"/>
              <w:rPr>
                <w:rFonts w:ascii="宋体" w:hAnsi="宋体" w:cs="宋体" w:eastAsia="宋体" w:hint="default"/>
                <w:sz w:val="18"/>
                <w:szCs w:val="18"/>
              </w:rPr>
            </w:pPr>
            <w:r>
              <w:rPr>
                <w:rFonts w:ascii="宋体"/>
                <w:sz w:val="18"/>
              </w:rPr>
              <w:t>20,000.00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广州市迈步信息 科技有限公司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12,191,357.13</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1" w:right="0"/>
              <w:jc w:val="left"/>
              <w:rPr>
                <w:rFonts w:ascii="宋体" w:hAnsi="宋体" w:cs="宋体" w:eastAsia="宋体" w:hint="default"/>
                <w:sz w:val="18"/>
                <w:szCs w:val="18"/>
              </w:rPr>
            </w:pPr>
            <w:r>
              <w:rPr>
                <w:rFonts w:ascii="宋体"/>
                <w:sz w:val="18"/>
              </w:rPr>
              <w:t>12,191,357.13</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1,442,399,773.</w:t>
            </w:r>
          </w:p>
          <w:p>
            <w:pPr>
              <w:pStyle w:val="TableParagraph"/>
              <w:spacing w:line="240" w:lineRule="auto" w:before="76"/>
              <w:ind w:right="20"/>
              <w:jc w:val="right"/>
              <w:rPr>
                <w:rFonts w:ascii="宋体" w:hAnsi="宋体" w:cs="宋体" w:eastAsia="宋体" w:hint="default"/>
                <w:sz w:val="18"/>
                <w:szCs w:val="18"/>
              </w:rPr>
            </w:pPr>
            <w:r>
              <w:rPr>
                <w:rFonts w:ascii="宋体"/>
                <w:sz w:val="18"/>
              </w:rPr>
              <w:t>97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z w:val="18"/>
              </w:rPr>
              <w:t>1,812,436,344.</w:t>
            </w:r>
          </w:p>
          <w:p>
            <w:pPr>
              <w:pStyle w:val="TableParagraph"/>
              <w:spacing w:line="240" w:lineRule="auto" w:before="76"/>
              <w:ind w:right="23"/>
              <w:jc w:val="right"/>
              <w:rPr>
                <w:rFonts w:ascii="宋体" w:hAnsi="宋体" w:cs="宋体" w:eastAsia="宋体" w:hint="default"/>
                <w:sz w:val="18"/>
                <w:szCs w:val="18"/>
              </w:rPr>
            </w:pPr>
            <w:r>
              <w:rPr>
                <w:rFonts w:ascii="宋体"/>
                <w:sz w:val="18"/>
              </w:rPr>
              <w:t>98</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451,596.23</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3,254,384,522.</w:t>
            </w:r>
          </w:p>
          <w:p>
            <w:pPr>
              <w:pStyle w:val="TableParagraph"/>
              <w:spacing w:line="240" w:lineRule="auto" w:before="76"/>
              <w:ind w:right="23"/>
              <w:jc w:val="right"/>
              <w:rPr>
                <w:rFonts w:ascii="宋体" w:hAnsi="宋体" w:cs="宋体" w:eastAsia="宋体" w:hint="default"/>
                <w:sz w:val="18"/>
                <w:szCs w:val="18"/>
              </w:rPr>
            </w:pPr>
            <w:r>
              <w:rPr>
                <w:rFonts w:ascii="宋体"/>
                <w:sz w:val="18"/>
              </w:rPr>
              <w:t>72</w:t>
            </w:r>
          </w:p>
        </w:tc>
        <w:tc>
          <w:tcPr>
            <w:tcW w:w="1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1,433,299,356.</w:t>
            </w:r>
          </w:p>
          <w:p>
            <w:pPr>
              <w:pStyle w:val="TableParagraph"/>
              <w:spacing w:line="240" w:lineRule="auto" w:before="76"/>
              <w:ind w:right="20"/>
              <w:jc w:val="right"/>
              <w:rPr>
                <w:rFonts w:ascii="宋体" w:hAnsi="宋体" w:cs="宋体" w:eastAsia="宋体" w:hint="default"/>
                <w:sz w:val="18"/>
                <w:szCs w:val="18"/>
              </w:rPr>
            </w:pPr>
            <w:r>
              <w:rPr>
                <w:rFonts w:ascii="宋体"/>
                <w:sz w:val="18"/>
              </w:rPr>
              <w:t>42</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1,433,299,356.</w:t>
            </w:r>
          </w:p>
          <w:p>
            <w:pPr>
              <w:pStyle w:val="TableParagraph"/>
              <w:spacing w:line="240" w:lineRule="auto" w:before="76"/>
              <w:ind w:right="23"/>
              <w:jc w:val="right"/>
              <w:rPr>
                <w:rFonts w:ascii="宋体" w:hAnsi="宋体" w:cs="宋体" w:eastAsia="宋体" w:hint="default"/>
                <w:sz w:val="18"/>
                <w:szCs w:val="18"/>
              </w:rPr>
            </w:pPr>
            <w:r>
              <w:rPr>
                <w:rFonts w:ascii="宋体"/>
                <w:sz w:val="18"/>
              </w:rPr>
              <w:t>42</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2）对联营、合营企业投资" w:id="489"/>
      <w:bookmarkEnd w:id="489"/>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）对联营、合营企业投资</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center"/>
              <w:rPr>
                <w:rFonts w:ascii="宋体" w:hAnsi="宋体" w:cs="宋体" w:eastAsia="宋体" w:hint="default"/>
                <w:sz w:val="18"/>
                <w:szCs w:val="18"/>
              </w:rPr>
            </w:pPr>
            <w:r>
              <w:rPr>
                <w:rFonts w:ascii="宋体"/>
                <w:sz w:val="18"/>
              </w:rPr>
              <w:t>279,753,</w:t>
            </w:r>
          </w:p>
          <w:p>
            <w:pPr>
              <w:pStyle w:val="TableParagraph"/>
              <w:spacing w:line="240" w:lineRule="auto" w:before="76"/>
              <w:ind w:left="202" w:right="0"/>
              <w:jc w:val="center"/>
              <w:rPr>
                <w:rFonts w:ascii="宋体" w:hAnsi="宋体" w:cs="宋体" w:eastAsia="宋体" w:hint="default"/>
                <w:sz w:val="18"/>
                <w:szCs w:val="18"/>
              </w:rPr>
            </w:pPr>
            <w:r>
              <w:rPr>
                <w:rFonts w:ascii="宋体"/>
                <w:sz w:val="18"/>
              </w:rPr>
              <w:t>464.73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1,504,93</w:t>
            </w:r>
          </w:p>
          <w:p>
            <w:pPr>
              <w:pStyle w:val="TableParagraph"/>
              <w:spacing w:line="240" w:lineRule="auto" w:before="76"/>
              <w:ind w:left="44" w:right="0"/>
              <w:jc w:val="left"/>
              <w:rPr>
                <w:rFonts w:ascii="宋体" w:hAnsi="宋体" w:cs="宋体" w:eastAsia="宋体" w:hint="default"/>
                <w:sz w:val="18"/>
                <w:szCs w:val="18"/>
              </w:rPr>
            </w:pPr>
            <w:r>
              <w:rPr>
                <w:rFonts w:ascii="宋体"/>
                <w:sz w:val="18"/>
              </w:rPr>
              <w:t>3,185.87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0" w:right="0"/>
              <w:jc w:val="center"/>
              <w:rPr>
                <w:rFonts w:ascii="宋体" w:hAnsi="宋体" w:cs="宋体" w:eastAsia="宋体" w:hint="default"/>
                <w:sz w:val="18"/>
                <w:szCs w:val="18"/>
              </w:rPr>
            </w:pPr>
            <w:r>
              <w:rPr>
                <w:rFonts w:ascii="宋体"/>
                <w:sz w:val="18"/>
              </w:rPr>
              <w:t>-29,753,</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464.73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1,754,93</w:t>
            </w:r>
          </w:p>
          <w:p>
            <w:pPr>
              <w:pStyle w:val="TableParagraph"/>
              <w:spacing w:line="240" w:lineRule="auto" w:before="76"/>
              <w:ind w:left="44" w:right="0"/>
              <w:jc w:val="left"/>
              <w:rPr>
                <w:rFonts w:ascii="宋体" w:hAnsi="宋体" w:cs="宋体" w:eastAsia="宋体" w:hint="default"/>
                <w:sz w:val="18"/>
                <w:szCs w:val="18"/>
              </w:rPr>
            </w:pPr>
            <w:r>
              <w:rPr>
                <w:rFonts w:ascii="宋体"/>
                <w:sz w:val="18"/>
              </w:rPr>
              <w:t>3,185.87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both"/>
              <w:rPr>
                <w:rFonts w:ascii="宋体" w:hAnsi="宋体" w:cs="宋体" w:eastAsia="宋体" w:hint="default"/>
                <w:sz w:val="18"/>
                <w:szCs w:val="18"/>
              </w:rPr>
            </w:pPr>
            <w:r>
              <w:rPr>
                <w:rFonts w:ascii="宋体" w:hAnsi="宋体" w:cs="宋体" w:eastAsia="宋体" w:hint="default"/>
                <w:sz w:val="18"/>
                <w:szCs w:val="18"/>
              </w:rPr>
              <w:t>中文在线</w:t>
            </w:r>
          </w:p>
          <w:p>
            <w:pPr>
              <w:pStyle w:val="TableParagraph"/>
              <w:spacing w:line="319" w:lineRule="auto" w:before="75"/>
              <w:ind w:left="22" w:right="41"/>
              <w:jc w:val="both"/>
              <w:rPr>
                <w:rFonts w:ascii="宋体" w:hAnsi="宋体" w:cs="宋体" w:eastAsia="宋体" w:hint="default"/>
                <w:sz w:val="18"/>
                <w:szCs w:val="18"/>
              </w:rPr>
            </w:pPr>
            <w:r>
              <w:rPr>
                <w:rFonts w:ascii="宋体" w:hAnsi="宋体" w:cs="宋体" w:eastAsia="宋体" w:hint="default"/>
                <w:sz w:val="18"/>
                <w:szCs w:val="18"/>
              </w:rPr>
              <w:t>（天津） 文化教育 产业投资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609,406.</w:t>
            </w:r>
          </w:p>
          <w:p>
            <w:pPr>
              <w:pStyle w:val="TableParagraph"/>
              <w:spacing w:line="240" w:lineRule="auto" w:before="76"/>
              <w:ind w:right="20"/>
              <w:jc w:val="right"/>
              <w:rPr>
                <w:rFonts w:ascii="宋体" w:hAnsi="宋体" w:cs="宋体" w:eastAsia="宋体" w:hint="default"/>
                <w:sz w:val="18"/>
                <w:szCs w:val="18"/>
              </w:rPr>
            </w:pPr>
            <w:r>
              <w:rPr>
                <w:rFonts w:ascii="宋体"/>
                <w:sz w:val="18"/>
              </w:rPr>
              <w:t>64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z w:val="18"/>
              </w:rPr>
              <w:t>34,151.4</w:t>
            </w:r>
          </w:p>
          <w:p>
            <w:pPr>
              <w:pStyle w:val="TableParagraph"/>
              <w:spacing w:line="240" w:lineRule="auto" w:before="76"/>
              <w:ind w:right="23"/>
              <w:jc w:val="right"/>
              <w:rPr>
                <w:rFonts w:ascii="宋体" w:hAnsi="宋体" w:cs="宋体" w:eastAsia="宋体" w:hint="default"/>
                <w:sz w:val="18"/>
                <w:szCs w:val="18"/>
              </w:rPr>
            </w:pPr>
            <w:r>
              <w:rPr>
                <w:rFonts w:ascii="宋体"/>
                <w:sz w:val="18"/>
              </w:rPr>
              <w:t>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643,558.</w:t>
            </w:r>
          </w:p>
          <w:p>
            <w:pPr>
              <w:pStyle w:val="TableParagraph"/>
              <w:spacing w:line="240" w:lineRule="auto" w:before="76"/>
              <w:ind w:right="23"/>
              <w:jc w:val="right"/>
              <w:rPr>
                <w:rFonts w:ascii="宋体" w:hAnsi="宋体" w:cs="宋体" w:eastAsia="宋体" w:hint="default"/>
                <w:sz w:val="18"/>
                <w:szCs w:val="18"/>
              </w:rPr>
            </w:pPr>
            <w:r>
              <w:rPr>
                <w:rFonts w:ascii="宋体"/>
                <w:sz w:val="18"/>
              </w:rPr>
              <w:t>10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星偶时代</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5" w:right="0"/>
              <w:jc w:val="left"/>
              <w:rPr>
                <w:rFonts w:ascii="宋体" w:hAnsi="宋体" w:cs="宋体" w:eastAsia="宋体" w:hint="default"/>
                <w:sz w:val="18"/>
                <w:szCs w:val="18"/>
              </w:rPr>
            </w:pPr>
            <w:r>
              <w:rPr>
                <w:rFonts w:ascii="宋体"/>
                <w:sz w:val="18"/>
              </w:rPr>
              <w:t>19,939,0</w:t>
            </w:r>
          </w:p>
          <w:p>
            <w:pPr>
              <w:pStyle w:val="TableParagraph"/>
              <w:spacing w:line="240" w:lineRule="auto" w:before="76"/>
              <w:ind w:left="315" w:right="0"/>
              <w:jc w:val="left"/>
              <w:rPr>
                <w:rFonts w:ascii="宋体" w:hAnsi="宋体" w:cs="宋体" w:eastAsia="宋体" w:hint="default"/>
                <w:sz w:val="18"/>
                <w:szCs w:val="18"/>
              </w:rPr>
            </w:pPr>
            <w:r>
              <w:rPr>
                <w:rFonts w:ascii="宋体"/>
                <w:sz w:val="18"/>
              </w:rPr>
              <w:t>14.75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-32,638.</w:t>
            </w:r>
          </w:p>
          <w:p>
            <w:pPr>
              <w:pStyle w:val="TableParagraph"/>
              <w:spacing w:line="240" w:lineRule="auto" w:before="76"/>
              <w:ind w:right="23"/>
              <w:jc w:val="right"/>
              <w:rPr>
                <w:rFonts w:ascii="宋体" w:hAnsi="宋体" w:cs="宋体" w:eastAsia="宋体" w:hint="default"/>
                <w:sz w:val="18"/>
                <w:szCs w:val="18"/>
              </w:rPr>
            </w:pPr>
            <w:r>
              <w:rPr>
                <w:rFonts w:ascii="宋体"/>
                <w:sz w:val="18"/>
              </w:rPr>
              <w:t>23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19,906,3</w:t>
            </w:r>
          </w:p>
          <w:p>
            <w:pPr>
              <w:pStyle w:val="TableParagraph"/>
              <w:spacing w:line="240" w:lineRule="auto" w:before="76"/>
              <w:ind w:left="314" w:right="0"/>
              <w:jc w:val="left"/>
              <w:rPr>
                <w:rFonts w:ascii="宋体" w:hAnsi="宋体" w:cs="宋体" w:eastAsia="宋体" w:hint="default"/>
                <w:sz w:val="18"/>
                <w:szCs w:val="18"/>
              </w:rPr>
            </w:pPr>
            <w:r>
              <w:rPr>
                <w:rFonts w:ascii="宋体"/>
                <w:sz w:val="18"/>
              </w:rPr>
              <w:t>76.52</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新浪阅读</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-4,484,8</w:t>
            </w:r>
          </w:p>
          <w:p>
            <w:pPr>
              <w:pStyle w:val="TableParagraph"/>
              <w:spacing w:line="240" w:lineRule="auto" w:before="76"/>
              <w:ind w:left="314" w:right="0"/>
              <w:jc w:val="left"/>
              <w:rPr>
                <w:rFonts w:ascii="宋体" w:hAnsi="宋体" w:cs="宋体" w:eastAsia="宋体" w:hint="default"/>
                <w:sz w:val="18"/>
                <w:szCs w:val="18"/>
              </w:rPr>
            </w:pPr>
            <w:r>
              <w:rPr>
                <w:rFonts w:ascii="宋体"/>
                <w:sz w:val="18"/>
              </w:rPr>
              <w:t>20.42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0" w:right="0"/>
              <w:jc w:val="center"/>
              <w:rPr>
                <w:rFonts w:ascii="宋体" w:hAnsi="宋体" w:cs="宋体" w:eastAsia="宋体" w:hint="default"/>
                <w:sz w:val="18"/>
                <w:szCs w:val="18"/>
              </w:rPr>
            </w:pPr>
            <w:r>
              <w:rPr>
                <w:rFonts w:ascii="宋体"/>
                <w:sz w:val="18"/>
              </w:rPr>
              <w:t>250,000,</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000.00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 w:right="0"/>
              <w:jc w:val="center"/>
              <w:rPr>
                <w:rFonts w:ascii="宋体" w:hAnsi="宋体" w:cs="宋体" w:eastAsia="宋体" w:hint="default"/>
                <w:sz w:val="18"/>
                <w:szCs w:val="18"/>
              </w:rPr>
            </w:pPr>
            <w:r>
              <w:rPr>
                <w:rFonts w:ascii="宋体"/>
                <w:sz w:val="18"/>
              </w:rPr>
              <w:t>208,015,</w:t>
            </w:r>
          </w:p>
          <w:p>
            <w:pPr>
              <w:pStyle w:val="TableParagraph"/>
              <w:spacing w:line="240" w:lineRule="auto" w:before="76"/>
              <w:ind w:left="199" w:right="0"/>
              <w:jc w:val="center"/>
              <w:rPr>
                <w:rFonts w:ascii="宋体" w:hAnsi="宋体" w:cs="宋体" w:eastAsia="宋体" w:hint="default"/>
                <w:sz w:val="18"/>
                <w:szCs w:val="18"/>
              </w:rPr>
            </w:pPr>
            <w:r>
              <w:rPr>
                <w:rFonts w:ascii="宋体"/>
                <w:sz w:val="18"/>
              </w:rPr>
              <w:t>379.58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0" w:right="0"/>
              <w:jc w:val="center"/>
              <w:rPr>
                <w:rFonts w:ascii="宋体" w:hAnsi="宋体" w:cs="宋体" w:eastAsia="宋体" w:hint="default"/>
                <w:sz w:val="18"/>
                <w:szCs w:val="18"/>
              </w:rPr>
            </w:pPr>
            <w:r>
              <w:rPr>
                <w:rFonts w:ascii="宋体"/>
                <w:sz w:val="18"/>
              </w:rPr>
              <w:t>245,515,</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179.58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0" w:right="0"/>
              <w:jc w:val="center"/>
              <w:rPr>
                <w:rFonts w:ascii="宋体" w:hAnsi="宋体" w:cs="宋体" w:eastAsia="宋体" w:hint="default"/>
                <w:sz w:val="18"/>
                <w:szCs w:val="18"/>
              </w:rPr>
            </w:pPr>
            <w:r>
              <w:rPr>
                <w:rFonts w:ascii="宋体"/>
                <w:sz w:val="18"/>
              </w:rPr>
              <w:t>208,015,</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379.58</w:t>
            </w:r>
          </w:p>
        </w:tc>
      </w:tr>
      <w:tr>
        <w:trPr>
          <w:trHeight w:val="1650"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both"/>
              <w:rPr>
                <w:rFonts w:ascii="宋体" w:hAnsi="宋体" w:cs="宋体" w:eastAsia="宋体" w:hint="default"/>
                <w:sz w:val="18"/>
                <w:szCs w:val="18"/>
              </w:rPr>
            </w:pPr>
            <w:r>
              <w:rPr>
                <w:rFonts w:ascii="宋体" w:hAnsi="宋体" w:cs="宋体" w:eastAsia="宋体" w:hint="default"/>
                <w:sz w:val="18"/>
                <w:szCs w:val="18"/>
              </w:rPr>
              <w:t>全美在线</w:t>
            </w:r>
          </w:p>
          <w:p>
            <w:pPr>
              <w:pStyle w:val="TableParagraph"/>
              <w:spacing w:line="319" w:lineRule="auto" w:before="75"/>
              <w:ind w:left="22" w:right="41"/>
              <w:jc w:val="both"/>
              <w:rPr>
                <w:rFonts w:ascii="宋体" w:hAnsi="宋体" w:cs="宋体" w:eastAsia="宋体" w:hint="default"/>
                <w:sz w:val="18"/>
                <w:szCs w:val="18"/>
              </w:rPr>
            </w:pPr>
            <w:r>
              <w:rPr>
                <w:rFonts w:ascii="宋体" w:hAnsi="宋体" w:cs="宋体" w:eastAsia="宋体" w:hint="default"/>
                <w:sz w:val="18"/>
                <w:szCs w:val="18"/>
              </w:rPr>
              <w:t>（北京） 教育科技 股份有限 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1" w:right="0"/>
              <w:jc w:val="center"/>
              <w:rPr>
                <w:rFonts w:ascii="宋体" w:hAnsi="宋体" w:cs="宋体" w:eastAsia="宋体" w:hint="default"/>
                <w:sz w:val="18"/>
                <w:szCs w:val="18"/>
              </w:rPr>
            </w:pPr>
            <w:r>
              <w:rPr>
                <w:rFonts w:ascii="宋体"/>
                <w:sz w:val="18"/>
              </w:rPr>
              <w:t>110,169,</w:t>
            </w:r>
          </w:p>
          <w:p>
            <w:pPr>
              <w:pStyle w:val="TableParagraph"/>
              <w:spacing w:line="240" w:lineRule="auto" w:before="76"/>
              <w:ind w:left="201" w:right="0"/>
              <w:jc w:val="center"/>
              <w:rPr>
                <w:rFonts w:ascii="宋体" w:hAnsi="宋体" w:cs="宋体" w:eastAsia="宋体" w:hint="default"/>
                <w:sz w:val="18"/>
                <w:szCs w:val="18"/>
              </w:rPr>
            </w:pPr>
            <w:r>
              <w:rPr>
                <w:rFonts w:ascii="宋体"/>
                <w:sz w:val="18"/>
              </w:rPr>
              <w:t>600.00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0" w:right="0"/>
              <w:jc w:val="center"/>
              <w:rPr>
                <w:rFonts w:ascii="宋体" w:hAnsi="宋体" w:cs="宋体" w:eastAsia="宋体" w:hint="default"/>
                <w:sz w:val="18"/>
                <w:szCs w:val="18"/>
              </w:rPr>
            </w:pPr>
            <w:r>
              <w:rPr>
                <w:rFonts w:ascii="宋体"/>
                <w:sz w:val="18"/>
              </w:rPr>
              <w:t>110,169,</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600.00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center"/>
              <w:rPr>
                <w:rFonts w:ascii="宋体" w:hAnsi="宋体" w:cs="宋体" w:eastAsia="宋体" w:hint="default"/>
                <w:sz w:val="18"/>
                <w:szCs w:val="18"/>
              </w:rPr>
            </w:pPr>
            <w:r>
              <w:rPr>
                <w:rFonts w:ascii="宋体"/>
                <w:sz w:val="18"/>
              </w:rPr>
              <w:t>300,301,</w:t>
            </w:r>
          </w:p>
          <w:p>
            <w:pPr>
              <w:pStyle w:val="TableParagraph"/>
              <w:spacing w:line="240" w:lineRule="auto" w:before="77"/>
              <w:ind w:left="202" w:right="0"/>
              <w:jc w:val="center"/>
              <w:rPr>
                <w:rFonts w:ascii="宋体" w:hAnsi="宋体" w:cs="宋体" w:eastAsia="宋体" w:hint="default"/>
                <w:sz w:val="18"/>
                <w:szCs w:val="18"/>
              </w:rPr>
            </w:pPr>
            <w:r>
              <w:rPr>
                <w:rFonts w:ascii="宋体"/>
                <w:sz w:val="18"/>
              </w:rPr>
              <w:t>886.12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4" w:right="0"/>
              <w:jc w:val="left"/>
              <w:rPr>
                <w:rFonts w:ascii="宋体" w:hAnsi="宋体" w:cs="宋体" w:eastAsia="宋体" w:hint="default"/>
                <w:sz w:val="18"/>
                <w:szCs w:val="18"/>
              </w:rPr>
            </w:pPr>
            <w:r>
              <w:rPr>
                <w:rFonts w:ascii="宋体"/>
                <w:sz w:val="18"/>
              </w:rPr>
              <w:t>1,860,61</w:t>
            </w:r>
          </w:p>
          <w:p>
            <w:pPr>
              <w:pStyle w:val="TableParagraph"/>
              <w:spacing w:line="240" w:lineRule="auto" w:before="77"/>
              <w:ind w:left="44" w:right="0"/>
              <w:jc w:val="left"/>
              <w:rPr>
                <w:rFonts w:ascii="宋体" w:hAnsi="宋体" w:cs="宋体" w:eastAsia="宋体" w:hint="default"/>
                <w:sz w:val="18"/>
                <w:szCs w:val="18"/>
              </w:rPr>
            </w:pPr>
            <w:r>
              <w:rPr>
                <w:rFonts w:ascii="宋体"/>
                <w:sz w:val="18"/>
              </w:rPr>
              <w:t>7,965.45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center"/>
              <w:rPr>
                <w:rFonts w:ascii="宋体" w:hAnsi="宋体" w:cs="宋体" w:eastAsia="宋体" w:hint="default"/>
                <w:sz w:val="18"/>
                <w:szCs w:val="18"/>
              </w:rPr>
            </w:pPr>
            <w:r>
              <w:rPr>
                <w:rFonts w:ascii="宋体"/>
                <w:sz w:val="18"/>
              </w:rPr>
              <w:t>-29,751,</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951.50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-1,504,9</w:t>
            </w:r>
          </w:p>
          <w:p>
            <w:pPr>
              <w:pStyle w:val="TableParagraph"/>
              <w:spacing w:line="240" w:lineRule="auto" w:before="75"/>
              <w:ind w:right="23"/>
              <w:jc w:val="right"/>
              <w:rPr>
                <w:rFonts w:ascii="宋体" w:hAnsi="宋体" w:cs="宋体" w:eastAsia="宋体" w:hint="default"/>
                <w:sz w:val="18"/>
                <w:szCs w:val="18"/>
              </w:rPr>
            </w:pPr>
            <w:r>
              <w:rPr>
                <w:rFonts w:ascii="宋体"/>
                <w:sz w:val="18"/>
              </w:rPr>
              <w:t>33,185.8</w:t>
            </w:r>
          </w:p>
          <w:p>
            <w:pPr>
              <w:pStyle w:val="TableParagraph"/>
              <w:spacing w:line="240" w:lineRule="auto" w:before="77"/>
              <w:ind w:right="23"/>
              <w:jc w:val="right"/>
              <w:rPr>
                <w:rFonts w:ascii="宋体" w:hAnsi="宋体" w:cs="宋体" w:eastAsia="宋体" w:hint="default"/>
                <w:sz w:val="18"/>
                <w:szCs w:val="18"/>
              </w:rPr>
            </w:pPr>
            <w:r>
              <w:rPr>
                <w:rFonts w:ascii="宋体"/>
                <w:sz w:val="18"/>
              </w:rPr>
              <w:t>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sz w:val="18"/>
              </w:rPr>
              <w:t>208,015,</w:t>
            </w:r>
          </w:p>
          <w:p>
            <w:pPr>
              <w:pStyle w:val="TableParagraph"/>
              <w:spacing w:line="240" w:lineRule="auto" w:before="77"/>
              <w:ind w:left="199" w:right="0"/>
              <w:jc w:val="center"/>
              <w:rPr>
                <w:rFonts w:ascii="宋体" w:hAnsi="宋体" w:cs="宋体" w:eastAsia="宋体" w:hint="default"/>
                <w:sz w:val="18"/>
                <w:szCs w:val="18"/>
              </w:rPr>
            </w:pPr>
            <w:r>
              <w:rPr>
                <w:rFonts w:ascii="宋体"/>
                <w:sz w:val="18"/>
              </w:rPr>
              <w:t>379.58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center"/>
              <w:rPr>
                <w:rFonts w:ascii="宋体" w:hAnsi="宋体" w:cs="宋体" w:eastAsia="宋体" w:hint="default"/>
                <w:sz w:val="18"/>
                <w:szCs w:val="18"/>
              </w:rPr>
            </w:pPr>
            <w:r>
              <w:rPr>
                <w:rFonts w:ascii="宋体"/>
                <w:sz w:val="18"/>
              </w:rPr>
              <w:t>376,234,</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714.20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center"/>
              <w:rPr>
                <w:rFonts w:ascii="宋体" w:hAnsi="宋体" w:cs="宋体" w:eastAsia="宋体" w:hint="default"/>
                <w:sz w:val="18"/>
                <w:szCs w:val="18"/>
              </w:rPr>
            </w:pPr>
            <w:r>
              <w:rPr>
                <w:rFonts w:ascii="宋体"/>
                <w:sz w:val="18"/>
              </w:rPr>
              <w:t>208,015,</w:t>
            </w:r>
          </w:p>
          <w:p>
            <w:pPr>
              <w:pStyle w:val="TableParagraph"/>
              <w:spacing w:line="240" w:lineRule="auto" w:before="77"/>
              <w:ind w:left="200" w:right="0"/>
              <w:jc w:val="center"/>
              <w:rPr>
                <w:rFonts w:ascii="宋体" w:hAnsi="宋体" w:cs="宋体" w:eastAsia="宋体" w:hint="default"/>
                <w:sz w:val="18"/>
                <w:szCs w:val="18"/>
              </w:rPr>
            </w:pPr>
            <w:r>
              <w:rPr>
                <w:rFonts w:ascii="宋体"/>
                <w:sz w:val="18"/>
              </w:rPr>
              <w:t>379.58</w:t>
            </w:r>
          </w:p>
        </w:tc>
      </w:tr>
      <w:tr>
        <w:trPr>
          <w:trHeight w:val="715"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center"/>
              <w:rPr>
                <w:rFonts w:ascii="宋体" w:hAnsi="宋体" w:cs="宋体" w:eastAsia="宋体" w:hint="default"/>
                <w:sz w:val="18"/>
                <w:szCs w:val="18"/>
              </w:rPr>
            </w:pPr>
            <w:r>
              <w:rPr>
                <w:rFonts w:ascii="宋体"/>
                <w:sz w:val="18"/>
              </w:rPr>
              <w:t>300,301,</w:t>
            </w:r>
          </w:p>
          <w:p>
            <w:pPr>
              <w:pStyle w:val="TableParagraph"/>
              <w:spacing w:line="240" w:lineRule="auto" w:before="76"/>
              <w:ind w:left="202" w:right="0"/>
              <w:jc w:val="center"/>
              <w:rPr>
                <w:rFonts w:ascii="宋体" w:hAnsi="宋体" w:cs="宋体" w:eastAsia="宋体" w:hint="default"/>
                <w:sz w:val="18"/>
                <w:szCs w:val="18"/>
              </w:rPr>
            </w:pPr>
            <w:r>
              <w:rPr>
                <w:rFonts w:ascii="宋体"/>
                <w:sz w:val="18"/>
              </w:rPr>
              <w:t>886.12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4" w:right="0"/>
              <w:jc w:val="left"/>
              <w:rPr>
                <w:rFonts w:ascii="宋体" w:hAnsi="宋体" w:cs="宋体" w:eastAsia="宋体" w:hint="default"/>
                <w:sz w:val="18"/>
                <w:szCs w:val="18"/>
              </w:rPr>
            </w:pPr>
            <w:r>
              <w:rPr>
                <w:rFonts w:ascii="宋体"/>
                <w:sz w:val="18"/>
              </w:rPr>
              <w:t>1,860,61</w:t>
            </w:r>
          </w:p>
          <w:p>
            <w:pPr>
              <w:pStyle w:val="TableParagraph"/>
              <w:spacing w:line="240" w:lineRule="auto" w:before="76"/>
              <w:ind w:left="44" w:right="0"/>
              <w:jc w:val="left"/>
              <w:rPr>
                <w:rFonts w:ascii="宋体" w:hAnsi="宋体" w:cs="宋体" w:eastAsia="宋体" w:hint="default"/>
                <w:sz w:val="18"/>
                <w:szCs w:val="18"/>
              </w:rPr>
            </w:pPr>
            <w:r>
              <w:rPr>
                <w:rFonts w:ascii="宋体"/>
                <w:sz w:val="18"/>
              </w:rPr>
              <w:t>7,965.45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0" w:right="0"/>
              <w:jc w:val="center"/>
              <w:rPr>
                <w:rFonts w:ascii="宋体" w:hAnsi="宋体" w:cs="宋体" w:eastAsia="宋体" w:hint="default"/>
                <w:sz w:val="18"/>
                <w:szCs w:val="18"/>
              </w:rPr>
            </w:pPr>
            <w:r>
              <w:rPr>
                <w:rFonts w:ascii="宋体"/>
                <w:sz w:val="18"/>
              </w:rPr>
              <w:t>-34,236,</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771.92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44" w:right="0"/>
              <w:jc w:val="left"/>
              <w:rPr>
                <w:rFonts w:ascii="宋体" w:hAnsi="宋体" w:cs="宋体" w:eastAsia="宋体" w:hint="default"/>
                <w:sz w:val="18"/>
                <w:szCs w:val="18"/>
              </w:rPr>
            </w:pPr>
            <w:r>
              <w:rPr>
                <w:rFonts w:ascii="宋体"/>
                <w:sz w:val="18"/>
              </w:rPr>
              <w:t>-1,504,9</w:t>
            </w:r>
          </w:p>
          <w:p>
            <w:pPr>
              <w:pStyle w:val="TableParagraph"/>
              <w:spacing w:line="240" w:lineRule="auto" w:before="76"/>
              <w:ind w:left="44" w:right="0"/>
              <w:jc w:val="left"/>
              <w:rPr>
                <w:rFonts w:ascii="宋体" w:hAnsi="宋体" w:cs="宋体" w:eastAsia="宋体" w:hint="default"/>
                <w:sz w:val="18"/>
                <w:szCs w:val="18"/>
              </w:rPr>
            </w:pPr>
            <w:r>
              <w:rPr>
                <w:rFonts w:ascii="宋体"/>
                <w:sz w:val="18"/>
              </w:rPr>
              <w:t>33,185.8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 w:right="0"/>
              <w:jc w:val="center"/>
              <w:rPr>
                <w:rFonts w:ascii="宋体" w:hAnsi="宋体" w:cs="宋体" w:eastAsia="宋体" w:hint="default"/>
                <w:sz w:val="18"/>
                <w:szCs w:val="18"/>
              </w:rPr>
            </w:pPr>
            <w:r>
              <w:rPr>
                <w:rFonts w:ascii="宋体"/>
                <w:sz w:val="18"/>
              </w:rPr>
              <w:t>208,015,</w:t>
            </w:r>
          </w:p>
          <w:p>
            <w:pPr>
              <w:pStyle w:val="TableParagraph"/>
              <w:spacing w:line="240" w:lineRule="auto" w:before="76"/>
              <w:ind w:left="199" w:right="0"/>
              <w:jc w:val="center"/>
              <w:rPr>
                <w:rFonts w:ascii="宋体" w:hAnsi="宋体" w:cs="宋体" w:eastAsia="宋体" w:hint="default"/>
                <w:sz w:val="18"/>
                <w:szCs w:val="18"/>
              </w:rPr>
            </w:pPr>
            <w:r>
              <w:rPr>
                <w:rFonts w:ascii="宋体"/>
                <w:sz w:val="18"/>
              </w:rPr>
              <w:t>379.58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0" w:right="0"/>
              <w:jc w:val="center"/>
              <w:rPr>
                <w:rFonts w:ascii="宋体" w:hAnsi="宋体" w:cs="宋体" w:eastAsia="宋体" w:hint="default"/>
                <w:sz w:val="18"/>
                <w:szCs w:val="18"/>
              </w:rPr>
            </w:pPr>
            <w:r>
              <w:rPr>
                <w:rFonts w:ascii="宋体"/>
                <w:sz w:val="18"/>
              </w:rPr>
              <w:t>376,234,</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714.20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0" w:right="0"/>
              <w:jc w:val="center"/>
              <w:rPr>
                <w:rFonts w:ascii="宋体" w:hAnsi="宋体" w:cs="宋体" w:eastAsia="宋体" w:hint="default"/>
                <w:sz w:val="18"/>
                <w:szCs w:val="18"/>
              </w:rPr>
            </w:pPr>
            <w:r>
              <w:rPr>
                <w:rFonts w:ascii="宋体"/>
                <w:sz w:val="18"/>
              </w:rPr>
              <w:t>208,015,</w:t>
            </w:r>
          </w:p>
          <w:p>
            <w:pPr>
              <w:pStyle w:val="TableParagraph"/>
              <w:spacing w:line="240" w:lineRule="auto" w:before="76"/>
              <w:ind w:left="200" w:right="0"/>
              <w:jc w:val="center"/>
              <w:rPr>
                <w:rFonts w:ascii="宋体" w:hAnsi="宋体" w:cs="宋体" w:eastAsia="宋体" w:hint="default"/>
                <w:sz w:val="18"/>
                <w:szCs w:val="18"/>
              </w:rPr>
            </w:pPr>
            <w:r>
              <w:rPr>
                <w:rFonts w:ascii="宋体"/>
                <w:sz w:val="18"/>
              </w:rPr>
              <w:t>379.58</w:t>
            </w:r>
          </w:p>
        </w:tc>
      </w:tr>
    </w:tbl>
    <w:p>
      <w:pPr>
        <w:spacing w:after="0" w:line="240" w:lineRule="auto"/>
        <w:jc w:val="center"/>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
              <w:jc w:val="right"/>
              <w:rPr>
                <w:rFonts w:ascii="宋体" w:hAnsi="宋体" w:cs="宋体" w:eastAsia="宋体" w:hint="default"/>
                <w:sz w:val="18"/>
                <w:szCs w:val="18"/>
              </w:rPr>
            </w:pPr>
            <w:r>
              <w:rPr>
                <w:rFonts w:ascii="宋体"/>
                <w:sz w:val="18"/>
              </w:rPr>
              <w:t>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3）其他说明" w:id="490"/>
      <w:bookmarkEnd w:id="490"/>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）其他说明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2"/>
        <w:ind w:left="134" w:right="9310"/>
        <w:jc w:val="center"/>
      </w:pPr>
      <w:r>
        <w:rPr/>
        <w:t>无。</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营业收入和营业成本" w:id="491"/>
      <w:bookmarkEnd w:id="491"/>
      <w:r>
        <w:rPr/>
      </w:r>
      <w:r>
        <w:rPr>
          <w:rFonts w:ascii="宋体" w:hAnsi="宋体" w:cs="宋体" w:eastAsia="宋体" w:hint="default"/>
          <w:b/>
          <w:bCs/>
          <w:sz w:val="21"/>
          <w:szCs w:val="21"/>
        </w:rPr>
        <w:t>4</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71"/>
        <w:gridCol w:w="1850"/>
        <w:gridCol w:w="1913"/>
        <w:gridCol w:w="1913"/>
        <w:gridCol w:w="1913"/>
      </w:tblGrid>
      <w:tr>
        <w:trPr>
          <w:trHeight w:val="206" w:hRule="exact"/>
        </w:trPr>
        <w:tc>
          <w:tcPr>
            <w:tcW w:w="1971" w:type="dxa"/>
            <w:tcBorders>
              <w:top w:val="single" w:sz="4" w:space="0" w:color="000000"/>
              <w:left w:val="single" w:sz="4" w:space="0" w:color="000000"/>
              <w:bottom w:val="nil" w:sz="6" w:space="0" w:color="auto"/>
              <w:right w:val="single" w:sz="4" w:space="0" w:color="000000"/>
            </w:tcBorders>
            <w:shd w:val="clear" w:color="auto" w:fill="D2D2D2"/>
          </w:tcPr>
          <w:p>
            <w:pPr/>
          </w:p>
        </w:tc>
        <w:tc>
          <w:tcPr>
            <w:tcW w:w="376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62"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71" w:type="dxa"/>
            <w:vMerge/>
            <w:tcBorders>
              <w:left w:val="single" w:sz="4" w:space="0" w:color="000000"/>
              <w:bottom w:val="nil" w:sz="6" w:space="0" w:color="auto"/>
              <w:right w:val="single" w:sz="4" w:space="0" w:color="000000"/>
            </w:tcBorders>
            <w:shd w:val="clear" w:color="auto" w:fill="D2D2D2"/>
          </w:tcPr>
          <w:p>
            <w:pPr/>
          </w:p>
        </w:tc>
        <w:tc>
          <w:tcPr>
            <w:tcW w:w="1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71" w:type="dxa"/>
            <w:tcBorders>
              <w:top w:val="nil" w:sz="6" w:space="0" w:color="auto"/>
              <w:left w:val="single" w:sz="4" w:space="0" w:color="000000"/>
              <w:bottom w:val="single" w:sz="4" w:space="0" w:color="000000"/>
              <w:right w:val="single" w:sz="4" w:space="0" w:color="000000"/>
            </w:tcBorders>
            <w:shd w:val="clear" w:color="auto" w:fill="D2D2D2"/>
          </w:tcPr>
          <w:p>
            <w:pPr/>
          </w:p>
        </w:tc>
        <w:tc>
          <w:tcPr>
            <w:tcW w:w="1850"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224,270,106.03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180,849,139.56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364,899,838.38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183,659,329.06</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118,965.70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211,456.94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2"/>
              <w:jc w:val="right"/>
              <w:rPr>
                <w:rFonts w:ascii="宋体" w:hAnsi="宋体" w:cs="宋体" w:eastAsia="宋体" w:hint="default"/>
                <w:sz w:val="18"/>
                <w:szCs w:val="18"/>
              </w:rPr>
            </w:pPr>
            <w:r>
              <w:rPr>
                <w:rFonts w:ascii="宋体"/>
                <w:sz w:val="18"/>
              </w:rPr>
              <w:t>224,389,071.73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181,060,596.50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364,899,838.38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183,659,329.06</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5、投资收益" w:id="492"/>
      <w:bookmarkEnd w:id="492"/>
      <w:r>
        <w:rPr/>
      </w:r>
      <w:r>
        <w:rPr>
          <w:rFonts w:ascii="宋体" w:hAnsi="宋体" w:cs="宋体" w:eastAsia="宋体" w:hint="default"/>
          <w:b/>
          <w:bCs/>
          <w:sz w:val="21"/>
          <w:szCs w:val="21"/>
        </w:rPr>
        <w:t>5</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5"/>
        <w:rPr>
          <w:rFonts w:ascii="宋体" w:hAnsi="宋体" w:cs="宋体" w:eastAsia="宋体" w:hint="default"/>
          <w:b/>
          <w:bCs/>
          <w:sz w:val="24"/>
          <w:szCs w:val="24"/>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-1,903,586.05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29,561,897.03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1,481,656.47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-421,929.58</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29,561,897.03</w:t>
            </w:r>
          </w:p>
        </w:tc>
      </w:tr>
    </w:tbl>
    <w:p>
      <w:pPr>
        <w:spacing w:line="240" w:lineRule="auto" w:before="2"/>
        <w:rPr>
          <w:rFonts w:ascii="宋体" w:hAnsi="宋体" w:cs="宋体" w:eastAsia="宋体" w:hint="default"/>
          <w:sz w:val="19"/>
          <w:szCs w:val="19"/>
        </w:rPr>
      </w:pPr>
    </w:p>
    <w:p>
      <w:pPr>
        <w:spacing w:before="35"/>
        <w:ind w:left="154" w:right="1092" w:firstLine="0"/>
        <w:jc w:val="left"/>
        <w:rPr>
          <w:rFonts w:ascii="宋体" w:hAnsi="宋体" w:cs="宋体" w:eastAsia="宋体" w:hint="default"/>
          <w:sz w:val="21"/>
          <w:szCs w:val="21"/>
        </w:rPr>
      </w:pPr>
      <w:bookmarkStart w:name="6、其他" w:id="493"/>
      <w:bookmarkEnd w:id="493"/>
      <w:r>
        <w:rPr/>
      </w:r>
      <w:r>
        <w:rPr>
          <w:rFonts w:ascii="宋体" w:hAnsi="宋体" w:cs="宋体" w:eastAsia="宋体" w:hint="default"/>
          <w:b/>
          <w:bCs/>
          <w:sz w:val="21"/>
          <w:szCs w:val="21"/>
        </w:rPr>
        <w:t>6</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506" w:lineRule="auto" w:before="131"/>
        <w:ind w:left="154" w:right="8125" w:firstLine="480"/>
        <w:jc w:val="left"/>
        <w:rPr>
          <w:rFonts w:ascii="宋体" w:hAnsi="宋体" w:cs="宋体" w:eastAsia="宋体" w:hint="default"/>
          <w:sz w:val="21"/>
          <w:szCs w:val="21"/>
        </w:rPr>
      </w:pPr>
      <w:r>
        <w:rPr>
          <w:rFonts w:ascii="宋体" w:hAnsi="宋体" w:cs="宋体" w:eastAsia="宋体" w:hint="default"/>
          <w:sz w:val="24"/>
          <w:szCs w:val="24"/>
        </w:rPr>
        <w:t>无。 </w:t>
      </w:r>
      <w:bookmarkStart w:name="十八、补充资料" w:id="494"/>
      <w:bookmarkEnd w:id="494"/>
      <w:r>
        <w:rPr>
          <w:rFonts w:ascii="宋体" w:hAnsi="宋体" w:cs="宋体" w:eastAsia="宋体" w:hint="default"/>
          <w:sz w:val="24"/>
          <w:szCs w:val="24"/>
        </w:rPr>
      </w:r>
      <w:r>
        <w:rPr>
          <w:rFonts w:ascii="宋体" w:hAnsi="宋体" w:cs="宋体" w:eastAsia="宋体" w:hint="default"/>
          <w:b/>
          <w:bCs/>
          <w:sz w:val="24"/>
          <w:szCs w:val="24"/>
        </w:rPr>
        <w:t>十八、补充资料</w:t>
      </w:r>
      <w:r>
        <w:rPr>
          <w:rFonts w:ascii="宋体" w:hAnsi="宋体" w:cs="宋体" w:eastAsia="宋体" w:hint="default"/>
          <w:b/>
          <w:bCs/>
          <w:w w:val="99"/>
          <w:sz w:val="24"/>
          <w:szCs w:val="24"/>
        </w:rPr>
        <w:t> </w:t>
      </w:r>
      <w:bookmarkStart w:name="1、当期非经常性损益明细表" w:id="495"/>
      <w:bookmarkEnd w:id="495"/>
      <w:r>
        <w:rPr>
          <w:rFonts w:ascii="宋体" w:hAnsi="宋体" w:cs="宋体" w:eastAsia="宋体" w:hint="default"/>
          <w:b/>
          <w:bCs/>
          <w:w w:val="99"/>
          <w:sz w:val="24"/>
          <w:szCs w:val="24"/>
        </w:rPr>
      </w:r>
      <w:r>
        <w:rPr>
          <w:rFonts w:ascii="宋体" w:hAnsi="宋体" w:cs="宋体" w:eastAsia="宋体" w:hint="default"/>
          <w:b/>
          <w:bCs/>
          <w:sz w:val="21"/>
          <w:szCs w:val="21"/>
        </w:rPr>
        <w:t>1</w:t>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pStyle w:val="BodyText"/>
        <w:spacing w:line="240" w:lineRule="auto" w:before="160"/>
        <w:ind w:left="634" w:right="1092"/>
        <w:jc w:val="left"/>
      </w:pPr>
      <w:r>
        <w:rPr/>
        <w:t>√ 适用 □ 不适用</w:t>
      </w:r>
    </w:p>
    <w:p>
      <w:pPr>
        <w:spacing w:line="240" w:lineRule="auto" w:before="9"/>
        <w:rPr>
          <w:rFonts w:ascii="宋体" w:hAnsi="宋体" w:cs="宋体" w:eastAsia="宋体" w:hint="default"/>
          <w:sz w:val="13"/>
          <w:szCs w:val="1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52,677,505.20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3"/>
              <w:jc w:val="right"/>
              <w:rPr>
                <w:rFonts w:ascii="宋体" w:hAnsi="宋体" w:cs="宋体" w:eastAsia="宋体" w:hint="default"/>
                <w:sz w:val="18"/>
                <w:szCs w:val="18"/>
              </w:rPr>
            </w:pPr>
            <w:r>
              <w:rPr>
                <w:rFonts w:ascii="宋体"/>
                <w:sz w:val="18"/>
              </w:rPr>
              <w:t>10,406,846.22</w:t>
            </w:r>
          </w:p>
        </w:tc>
        <w:tc>
          <w:tcPr>
            <w:tcW w:w="318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1026"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1"/>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 投资成本小于取得投资时应享有被投资单 位可辨认净资产公允价值产生的收益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3"/>
              <w:jc w:val="right"/>
              <w:rPr>
                <w:rFonts w:ascii="宋体" w:hAnsi="宋体" w:cs="宋体" w:eastAsia="宋体" w:hint="default"/>
                <w:sz w:val="18"/>
                <w:szCs w:val="18"/>
              </w:rPr>
            </w:pPr>
            <w:r>
              <w:rPr>
                <w:rFonts w:ascii="宋体"/>
                <w:sz w:val="18"/>
              </w:rPr>
              <w:t>133,631,127.91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1"/>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260,502,000.00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7,364,830.97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513,157.93</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7,482,826.39</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-67,594.42</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457,680,236.26</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r>
    </w:tbl>
    <w:p>
      <w:pPr>
        <w:spacing w:line="240" w:lineRule="auto" w:before="10"/>
        <w:rPr>
          <w:rFonts w:ascii="宋体" w:hAnsi="宋体" w:cs="宋体" w:eastAsia="宋体" w:hint="default"/>
          <w:sz w:val="8"/>
          <w:szCs w:val="8"/>
        </w:rPr>
      </w:pPr>
    </w:p>
    <w:p>
      <w:pPr>
        <w:pStyle w:val="BodyText"/>
        <w:spacing w:line="240" w:lineRule="auto" w:before="26"/>
        <w:ind w:left="634" w:right="1092"/>
        <w:jc w:val="left"/>
      </w:pPr>
      <w:r>
        <w:rPr/>
        <w:t>对公司根据《公开发行证券的公司信息披露解释性公告第 </w:t>
      </w:r>
      <w:r>
        <w:rPr>
          <w:rFonts w:ascii="宋体" w:hAnsi="宋体" w:cs="宋体" w:eastAsia="宋体" w:hint="default"/>
        </w:rPr>
        <w:t>1</w:t>
      </w:r>
      <w:r>
        <w:rPr>
          <w:rFonts w:ascii="宋体" w:hAnsi="宋体" w:cs="宋体" w:eastAsia="宋体" w:hint="default"/>
          <w:spacing w:val="-81"/>
        </w:rPr>
        <w:t> </w:t>
      </w:r>
      <w:r>
        <w:rPr/>
        <w:t>号——非经常性损益》定义</w:t>
      </w:r>
    </w:p>
    <w:p>
      <w:pPr>
        <w:pStyle w:val="BodyText"/>
        <w:spacing w:line="357" w:lineRule="auto" w:before="154"/>
        <w:ind w:right="1113"/>
        <w:jc w:val="left"/>
      </w:pPr>
      <w:r>
        <w:rPr/>
        <w:t>界定的非经常性损益项目，以及把《公开发行证券的公司信息披露解释性公告第 </w:t>
      </w:r>
      <w:r>
        <w:rPr>
          <w:rFonts w:ascii="宋体" w:hAnsi="宋体" w:cs="宋体" w:eastAsia="宋体" w:hint="default"/>
        </w:rPr>
        <w:t>1</w:t>
      </w:r>
      <w:r>
        <w:rPr>
          <w:rFonts w:ascii="宋体" w:hAnsi="宋体" w:cs="宋体" w:eastAsia="宋体" w:hint="default"/>
          <w:spacing w:val="-81"/>
        </w:rPr>
        <w:t> </w:t>
      </w:r>
      <w:r>
        <w:rPr/>
        <w:t>号——非 经常性损益》中列举的非经常性损益项目界定为经常性损益的项目，应说明原因。</w:t>
      </w:r>
    </w:p>
    <w:p>
      <w:pPr>
        <w:pStyle w:val="BodyText"/>
        <w:spacing w:line="240" w:lineRule="auto" w:before="136"/>
        <w:ind w:left="634" w:right="1092"/>
        <w:jc w:val="left"/>
      </w:pPr>
      <w:r>
        <w:rPr/>
        <w:t>□ 适用 √ 不适用</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净资产收益率及每股收益" w:id="496"/>
      <w:bookmarkEnd w:id="496"/>
      <w:r>
        <w:rPr/>
      </w:r>
      <w:r>
        <w:rPr>
          <w:rFonts w:ascii="宋体" w:hAnsi="宋体" w:cs="宋体" w:eastAsia="宋体" w:hint="default"/>
          <w:b/>
          <w:bCs/>
          <w:sz w:val="21"/>
          <w:szCs w:val="21"/>
        </w:rPr>
        <w:t>2</w:t>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13"/>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2662"/>
        <w:gridCol w:w="3081"/>
        <w:gridCol w:w="1913"/>
        <w:gridCol w:w="1913"/>
      </w:tblGrid>
      <w:tr>
        <w:trPr>
          <w:trHeight w:val="206" w:hRule="exact"/>
        </w:trPr>
        <w:tc>
          <w:tcPr>
            <w:tcW w:w="2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1" w:hRule="exact"/>
        </w:trPr>
        <w:tc>
          <w:tcPr>
            <w:tcW w:w="26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662" w:type="dxa"/>
            <w:vMerge/>
            <w:tcBorders>
              <w:left w:val="single" w:sz="4" w:space="0" w:color="000000"/>
              <w:bottom w:val="nil" w:sz="6" w:space="0" w:color="auto"/>
              <w:right w:val="single" w:sz="4" w:space="0" w:color="000000"/>
            </w:tcBorders>
            <w:shd w:val="clear" w:color="auto" w:fill="D2D2D2"/>
          </w:tcPr>
          <w:p>
            <w:pPr/>
          </w:p>
        </w:tc>
        <w:tc>
          <w:tcPr>
            <w:tcW w:w="3081"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 w:right="-1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 w:right="-1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宋体" w:hAnsi="宋体" w:cs="宋体" w:eastAsia="宋体" w:hint="default"/>
                <w:sz w:val="18"/>
                <w:szCs w:val="18"/>
              </w:rPr>
              <w:t>/</w:t>
            </w:r>
            <w:r>
              <w:rPr>
                <w:rFonts w:ascii="宋体" w:hAnsi="宋体" w:cs="宋体" w:eastAsia="宋体" w:hint="default"/>
                <w:sz w:val="18"/>
                <w:szCs w:val="18"/>
              </w:rPr>
              <w:t>股）</w:t>
            </w:r>
          </w:p>
        </w:tc>
      </w:tr>
      <w:tr>
        <w:trPr>
          <w:trHeight w:val="205" w:hRule="exact"/>
        </w:trPr>
        <w:tc>
          <w:tcPr>
            <w:tcW w:w="2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-56.34%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-1.9912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-1.9912</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-73.43%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-2.5952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-2.5952</w:t>
            </w:r>
          </w:p>
        </w:tc>
      </w:tr>
    </w:tbl>
    <w:p>
      <w:pPr>
        <w:spacing w:line="240" w:lineRule="auto" w:before="2"/>
        <w:rPr>
          <w:rFonts w:ascii="宋体" w:hAnsi="宋体" w:cs="宋体" w:eastAsia="宋体" w:hint="default"/>
          <w:b/>
          <w:bCs/>
          <w:sz w:val="19"/>
          <w:szCs w:val="19"/>
        </w:rPr>
      </w:pPr>
    </w:p>
    <w:p>
      <w:pPr>
        <w:spacing w:before="35"/>
        <w:ind w:left="154" w:right="1092" w:firstLine="0"/>
        <w:jc w:val="left"/>
        <w:rPr>
          <w:rFonts w:ascii="宋体" w:hAnsi="宋体" w:cs="宋体" w:eastAsia="宋体" w:hint="default"/>
          <w:sz w:val="21"/>
          <w:szCs w:val="21"/>
        </w:rPr>
      </w:pPr>
      <w:bookmarkStart w:name="3、境内外会计准则下会计数据差异" w:id="497"/>
      <w:bookmarkEnd w:id="497"/>
      <w:r>
        <w:rPr/>
      </w:r>
      <w:r>
        <w:rPr>
          <w:rFonts w:ascii="宋体" w:hAnsi="宋体" w:cs="宋体" w:eastAsia="宋体" w:hint="default"/>
          <w:b/>
          <w:bCs/>
          <w:sz w:val="21"/>
          <w:szCs w:val="21"/>
        </w:rPr>
        <w:t>3</w:t>
      </w:r>
      <w:r>
        <w:rPr>
          <w:rFonts w:ascii="宋体" w:hAnsi="宋体" w:cs="宋体" w:eastAsia="宋体" w:hint="default"/>
          <w:b/>
          <w:bCs/>
          <w:sz w:val="21"/>
          <w:szCs w:val="21"/>
        </w:rPr>
        <w:t>、境内外会计准则下会计数据差异</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p>
      <w:pPr>
        <w:spacing w:before="0"/>
        <w:ind w:left="154" w:right="1092" w:firstLine="0"/>
        <w:jc w:val="left"/>
        <w:rPr>
          <w:rFonts w:ascii="宋体" w:hAnsi="宋体" w:cs="宋体" w:eastAsia="宋体" w:hint="default"/>
          <w:sz w:val="21"/>
          <w:szCs w:val="21"/>
        </w:rPr>
      </w:pPr>
      <w:bookmarkStart w:name="（1）同时按照国际会计准则与按中国会计准则披露的财务报告中净利润和净资产差异情况" w:id="498"/>
      <w:bookmarkEnd w:id="498"/>
      <w:r>
        <w:rPr/>
      </w: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）同时按照国际会计准则与按中国会计准则披露的财务报告中净利润和净资产差异情况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line="240" w:lineRule="auto" w:before="5"/>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2）同时按照境外会计准则与按中国会计准则披露的财务报告中净利润和净资产差异情况" w:id="499"/>
      <w:bookmarkEnd w:id="499"/>
      <w:r>
        <w:rPr/>
      </w: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）同时按照境外会计准则与按中国会计准则披露的财务报告中净利润和净资产差异情况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 适用 √ 不适用</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spacing w:line="273" w:lineRule="auto" w:before="35"/>
        <w:ind w:left="154" w:right="1092" w:firstLine="0"/>
        <w:jc w:val="left"/>
        <w:rPr>
          <w:rFonts w:ascii="宋体" w:hAnsi="宋体" w:cs="宋体" w:eastAsia="宋体" w:hint="default"/>
          <w:sz w:val="21"/>
          <w:szCs w:val="21"/>
        </w:rPr>
      </w:pPr>
      <w:bookmarkStart w:name="（3）境内外会计准则下会计数据差异原因说明，对已经境外审计机构审计的数据进行差异" w:id="500"/>
      <w:bookmarkEnd w:id="500"/>
      <w:r>
        <w:rPr/>
      </w: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）境内外会计准则下会计数据差异原因说明，对已经境外审计机构审计的数据进行差异调节的，应注</w:t>
      </w:r>
      <w:r>
        <w:rPr>
          <w:rFonts w:ascii="宋体" w:hAnsi="宋体" w:cs="宋体" w:eastAsia="宋体" w:hint="default"/>
          <w:b/>
          <w:bCs/>
          <w:spacing w:val="-74"/>
          <w:sz w:val="21"/>
          <w:szCs w:val="21"/>
        </w:rPr>
        <w:t> </w:t>
      </w:r>
      <w:r>
        <w:rPr>
          <w:rFonts w:ascii="宋体" w:hAnsi="宋体" w:cs="宋体" w:eastAsia="宋体" w:hint="default"/>
          <w:b/>
          <w:bCs/>
          <w:spacing w:val="-74"/>
          <w:sz w:val="21"/>
          <w:szCs w:val="21"/>
        </w:rPr>
      </w:r>
      <w:r>
        <w:rPr>
          <w:rFonts w:ascii="宋体" w:hAnsi="宋体" w:cs="宋体" w:eastAsia="宋体" w:hint="default"/>
          <w:b/>
          <w:bCs/>
          <w:sz w:val="21"/>
          <w:szCs w:val="21"/>
        </w:rPr>
        <w:t>明该境外机构的名称</w:t>
      </w:r>
      <w:r>
        <w:rPr>
          <w:rFonts w:ascii="宋体" w:hAnsi="宋体" w:cs="宋体" w:eastAsia="宋体" w:hint="default"/>
          <w:sz w:val="21"/>
          <w:szCs w:val="21"/>
        </w:rPr>
      </w:r>
    </w:p>
    <w:p>
      <w:pPr>
        <w:spacing w:line="240" w:lineRule="auto" w:before="11"/>
        <w:rPr>
          <w:rFonts w:ascii="宋体" w:hAnsi="宋体" w:cs="宋体" w:eastAsia="宋体" w:hint="default"/>
          <w:b/>
          <w:bCs/>
          <w:sz w:val="27"/>
          <w:szCs w:val="27"/>
        </w:rPr>
      </w:pPr>
    </w:p>
    <w:p>
      <w:pPr>
        <w:pStyle w:val="BodyText"/>
        <w:spacing w:line="240" w:lineRule="auto"/>
        <w:ind w:left="634" w:right="1092"/>
        <w:jc w:val="left"/>
      </w:pPr>
      <w:r>
        <w:rPr/>
        <w:t>无。</w:t>
      </w:r>
    </w:p>
    <w:p>
      <w:pPr>
        <w:spacing w:line="240" w:lineRule="auto" w:before="6"/>
        <w:rPr>
          <w:rFonts w:ascii="宋体" w:hAnsi="宋体" w:cs="宋体" w:eastAsia="宋体" w:hint="default"/>
          <w:sz w:val="30"/>
          <w:szCs w:val="30"/>
        </w:rPr>
      </w:pPr>
    </w:p>
    <w:p>
      <w:pPr>
        <w:spacing w:before="0"/>
        <w:ind w:left="154" w:right="1092" w:firstLine="0"/>
        <w:jc w:val="left"/>
        <w:rPr>
          <w:rFonts w:ascii="宋体" w:hAnsi="宋体" w:cs="宋体" w:eastAsia="宋体" w:hint="default"/>
          <w:sz w:val="21"/>
          <w:szCs w:val="21"/>
        </w:rPr>
      </w:pPr>
      <w:bookmarkStart w:name="4、其他" w:id="501"/>
      <w:bookmarkEnd w:id="501"/>
      <w:r>
        <w:rPr/>
      </w:r>
      <w:r>
        <w:rPr>
          <w:rFonts w:ascii="宋体" w:hAnsi="宋体" w:cs="宋体" w:eastAsia="宋体" w:hint="default"/>
          <w:b/>
          <w:bCs/>
          <w:sz w:val="21"/>
          <w:szCs w:val="21"/>
        </w:rPr>
        <w:t>4</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pStyle w:val="BodyText"/>
        <w:spacing w:line="240" w:lineRule="auto" w:before="133"/>
        <w:ind w:left="634" w:right="1092"/>
        <w:jc w:val="left"/>
      </w:pPr>
      <w:r>
        <w:rPr/>
        <w:t>无。</w:t>
      </w:r>
    </w:p>
    <w:p>
      <w:pPr>
        <w:spacing w:after="0" w:line="240" w:lineRule="auto"/>
        <w:jc w:val="left"/>
        <w:sectPr>
          <w:pgSz w:w="11910" w:h="16840"/>
          <w:pgMar w:header="877"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4"/>
        <w:ind w:left="3286" w:right="1092"/>
        <w:jc w:val="left"/>
        <w:rPr>
          <w:b w:val="0"/>
          <w:bCs w:val="0"/>
        </w:rPr>
      </w:pPr>
      <w:bookmarkStart w:name="第十二节 备查文件目录" w:id="502"/>
      <w:bookmarkEnd w:id="502"/>
      <w:r>
        <w:rPr>
          <w:b w:val="0"/>
          <w:bCs w:val="0"/>
        </w:rPr>
      </w:r>
      <w:bookmarkStart w:name="_bookmark10" w:id="503"/>
      <w:bookmarkEnd w:id="503"/>
      <w:r>
        <w:rPr>
          <w:b w:val="0"/>
          <w:bCs w:val="0"/>
        </w:rPr>
      </w:r>
      <w:r>
        <w:rPr/>
        <w:t>第十二节</w:t>
      </w:r>
      <w:r>
        <w:rPr>
          <w:spacing w:val="-8"/>
        </w:rPr>
        <w:t> </w:t>
      </w:r>
      <w:r>
        <w:rPr/>
        <w:t>备查文件目录</w:t>
      </w:r>
      <w:r>
        <w:rPr>
          <w:b w:val="0"/>
          <w:bCs w:val="0"/>
        </w:rPr>
      </w:r>
    </w:p>
    <w:p>
      <w:pPr>
        <w:spacing w:line="240" w:lineRule="auto" w:before="11"/>
        <w:rPr>
          <w:rFonts w:ascii="宋体" w:hAnsi="宋体" w:cs="宋体" w:eastAsia="宋体" w:hint="default"/>
          <w:b/>
          <w:bCs/>
          <w:sz w:val="44"/>
          <w:szCs w:val="44"/>
        </w:rPr>
      </w:pPr>
    </w:p>
    <w:p>
      <w:pPr>
        <w:pStyle w:val="BodyText"/>
        <w:spacing w:line="434" w:lineRule="auto"/>
        <w:ind w:left="634" w:right="999"/>
        <w:jc w:val="left"/>
      </w:pPr>
      <w:r>
        <w:rPr/>
        <w:t>一、载有法定代表人、主管会计工作负责人、会计机构负责人签名并盖章的财务报表。 二、载有会计师事务所盖章、注册会计师签名并盖章的审计报告原件。 </w:t>
      </w:r>
      <w:r>
        <w:rPr>
          <w:spacing w:val="-3"/>
        </w:rPr>
        <w:t>三、报告期内在中国证监会指定网站上公开披露过的所有公司文件的正本及公告的原稿。</w:t>
      </w:r>
      <w:r>
        <w:rPr>
          <w:spacing w:val="-85"/>
        </w:rPr>
        <w:t> </w:t>
      </w:r>
      <w:r>
        <w:rPr>
          <w:spacing w:val="-85"/>
        </w:rPr>
      </w:r>
      <w:r>
        <w:rPr/>
        <w:t>四、其他相关资料。</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9"/>
          <w:szCs w:val="19"/>
        </w:rPr>
      </w:pPr>
    </w:p>
    <w:p>
      <w:pPr>
        <w:pStyle w:val="BodyText"/>
        <w:spacing w:line="240" w:lineRule="auto"/>
        <w:ind w:left="0" w:right="1131"/>
        <w:jc w:val="right"/>
      </w:pPr>
      <w:r>
        <w:rPr/>
        <w:t>中文在线数字出版集团股份有限公司</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94"/>
        <w:ind w:left="0" w:right="1130"/>
        <w:jc w:val="right"/>
      </w:pPr>
      <w:r>
        <w:rPr/>
        <w:t>法定代表人：童之磊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93"/>
        <w:ind w:left="0" w:right="1130"/>
        <w:jc w:val="right"/>
      </w:pP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25</w:t>
      </w:r>
      <w:r>
        <w:rPr>
          <w:rFonts w:ascii="宋体" w:hAnsi="宋体" w:cs="宋体" w:eastAsia="宋体" w:hint="default"/>
          <w:spacing w:val="-60"/>
        </w:rPr>
        <w:t> </w:t>
      </w:r>
      <w:r>
        <w:rPr/>
        <w:t>日</w:t>
      </w:r>
    </w:p>
    <w:sectPr>
      <w:pgSz w:w="11910" w:h="16840"/>
      <w:pgMar w:header="877" w:footer="979" w:top="110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4800" type="#_x0000_t75" stroked="false">
          <v:imagedata r:id="rId1" o:title=""/>
        </v:shape>
      </w:pict>
    </w:r>
    <w:r>
      <w:rPr/>
      <w:pict>
        <v:shape style="position:absolute;margin-left:533.179993pt;margin-top:795.517944pt;width:6.5pt;height:11pt;mso-position-horizontal-relative:page;mso-position-vertical-relative:page;z-index:-115477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4152" type="#_x0000_t75" stroked="false">
          <v:imagedata r:id="rId1" o:title=""/>
        </v:shape>
      </w:pict>
    </w:r>
    <w:r>
      <w:rPr/>
      <w:pict>
        <v:shape style="position:absolute;margin-left:523.179993pt;margin-top:781.957947pt;width:17.5pt;height:11pt;mso-position-horizontal-relative:page;mso-position-vertical-relative:page;z-index:-11541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34558pt;margin-top:570.43042pt;width:42.067787pt;height:18.946561pt;mso-position-horizontal-relative:page;mso-position-vertical-relative:page;z-index:-1154080" type="#_x0000_t75" stroked="false">
          <v:imagedata r:id="rId1" o:title=""/>
        </v:shape>
      </w:pict>
    </w:r>
    <w:r>
      <w:rPr/>
      <w:pict>
        <v:shape style="position:absolute;margin-left:754.47998pt;margin-top:535.357971pt;width:17.5pt;height:11pt;mso-position-horizontal-relative:page;mso-position-vertical-relative:page;z-index:-11540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133</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3984" type="#_x0000_t75" stroked="false">
          <v:imagedata r:id="rId1" o:title=""/>
        </v:shape>
      </w:pict>
    </w:r>
    <w:r>
      <w:rPr/>
      <w:pict>
        <v:shape style="position:absolute;margin-left:523.179993pt;margin-top:781.957947pt;width:17.5pt;height:11pt;mso-position-horizontal-relative:page;mso-position-vertical-relative:page;z-index:-11539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3936" type="#_x0000_t75" stroked="false">
          <v:imagedata r:id="rId1" o:title=""/>
        </v:shape>
      </w:pict>
    </w:r>
    <w:r>
      <w:rPr/>
      <w:pict>
        <v:shape style="position:absolute;margin-left:524.179993pt;margin-top:781.957947pt;width:15.5pt;height:11pt;mso-position-horizontal-relative:page;mso-position-vertical-relative:page;z-index:-11539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3888" type="#_x0000_t75" stroked="false">
          <v:imagedata r:id="rId1" o:title=""/>
        </v:shape>
      </w:pict>
    </w:r>
    <w:r>
      <w:rPr/>
      <w:pict>
        <v:shape style="position:absolute;margin-left:523.179993pt;margin-top:781.957947pt;width:17.5pt;height:11pt;mso-position-horizontal-relative:page;mso-position-vertical-relative:page;z-index:-11538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4752" type="#_x0000_t75" stroked="false">
          <v:imagedata r:id="rId1" o:title=""/>
        </v:shape>
      </w:pict>
    </w:r>
    <w:r>
      <w:rPr/>
      <w:pict>
        <v:shape style="position:absolute;margin-left:527.679993pt;margin-top:781.957947pt;width:13pt;height:11pt;mso-position-horizontal-relative:page;mso-position-vertical-relative:page;z-index:-11547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34558pt;margin-top:570.43042pt;width:42.067787pt;height:18.946561pt;mso-position-horizontal-relative:page;mso-position-vertical-relative:page;z-index:-1154680" type="#_x0000_t75" stroked="false">
          <v:imagedata r:id="rId1" o:title=""/>
        </v:shape>
      </w:pict>
    </w:r>
    <w:r>
      <w:rPr/>
      <w:pict>
        <v:shape style="position:absolute;margin-left:758.97998pt;margin-top:535.357971pt;width:13pt;height:11pt;mso-position-horizontal-relative:page;mso-position-vertical-relative:page;z-index:-11546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4584" type="#_x0000_t75" stroked="false">
          <v:imagedata r:id="rId1" o:title=""/>
        </v:shape>
      </w:pict>
    </w:r>
    <w:r>
      <w:rPr/>
      <w:pict>
        <v:shape style="position:absolute;margin-left:527.679993pt;margin-top:781.957947pt;width:13pt;height:11pt;mso-position-horizontal-relative:page;mso-position-vertical-relative:page;z-index:-11545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43</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34558pt;margin-top:570.43042pt;width:42.067787pt;height:18.946561pt;mso-position-horizontal-relative:page;mso-position-vertical-relative:page;z-index:-1154512" type="#_x0000_t75" stroked="false">
          <v:imagedata r:id="rId1" o:title=""/>
        </v:shape>
      </w:pict>
    </w:r>
    <w:r>
      <w:rPr/>
      <w:pict>
        <v:shape style="position:absolute;margin-left:758.97998pt;margin-top:535.357971pt;width:13pt;height:11pt;mso-position-horizontal-relative:page;mso-position-vertical-relative:page;z-index:-11544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4416" type="#_x0000_t75" stroked="false">
          <v:imagedata r:id="rId1" o:title=""/>
        </v:shape>
      </w:pict>
    </w:r>
    <w:r>
      <w:rPr/>
      <w:pict>
        <v:shape style="position:absolute;margin-left:527.679993pt;margin-top:781.957947pt;width:13pt;height:11pt;mso-position-horizontal-relative:page;mso-position-vertical-relative:page;z-index:-1154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67</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34558pt;margin-top:570.43042pt;width:42.067787pt;height:18.946561pt;mso-position-horizontal-relative:page;mso-position-vertical-relative:page;z-index:-1154344" type="#_x0000_t75" stroked="false">
          <v:imagedata r:id="rId1" o:title=""/>
        </v:shape>
      </w:pict>
    </w:r>
    <w:r>
      <w:rPr/>
      <w:pict>
        <v:shape style="position:absolute;margin-left:758.97998pt;margin-top:535.357971pt;width:13pt;height:11pt;mso-position-horizontal-relative:page;mso-position-vertical-relative:page;z-index:-11543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83</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4248" type="#_x0000_t75" stroked="false">
          <v:imagedata r:id="rId1" o:title=""/>
        </v:shape>
      </w:pict>
    </w:r>
    <w:r>
      <w:rPr/>
      <w:pict>
        <v:shape style="position:absolute;margin-left:527.679993pt;margin-top:781.957947pt;width:13pt;height:11pt;mso-position-horizontal-relative:page;mso-position-vertical-relative:page;z-index:-11542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154200" type="#_x0000_t75" stroked="false">
          <v:imagedata r:id="rId1" o:title=""/>
        </v:shape>
      </w:pict>
    </w:r>
    <w:r>
      <w:rPr/>
      <w:pict>
        <v:shape style="position:absolute;margin-left:524.179993pt;margin-top:781.957947pt;width:15.5pt;height:11pt;mso-position-horizontal-relative:page;mso-position-vertical-relative:page;z-index:-115417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08.160004pt;margin-top:36.325607pt;width:231.55pt;height:11.5pt;mso-position-horizontal-relative:page;mso-position-vertical-relative:page;z-index:-11548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60022pt;margin-top:42.865631pt;width:231.55pt;height:11.5pt;mso-position-horizontal-relative:page;mso-position-vertical-relative:page;z-index:-11547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5pt;height:.1pt;mso-position-horizontal-relative:page;mso-position-vertical-relative:page;z-index:-1154632"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08.160004pt;margin-top:42.865608pt;width:231.55pt;height:11.5pt;mso-position-horizontal-relative:page;mso-position-vertical-relative:page;z-index:-11546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60022pt;margin-top:42.865631pt;width:231.55pt;height:11.5pt;mso-position-horizontal-relative:page;mso-position-vertical-relative:page;z-index:-11545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5pt;height:.1pt;mso-position-horizontal-relative:page;mso-position-vertical-relative:page;z-index:-1154464"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08.160004pt;margin-top:42.865608pt;width:231.55pt;height:11.5pt;mso-position-horizontal-relative:page;mso-position-vertical-relative:page;z-index:-11544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年年度报告全文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60022pt;margin-top:42.865631pt;width:231.55pt;height:11.5pt;mso-position-horizontal-relative:page;mso-position-vertical-relative:page;z-index:-11543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5pt;height:.1pt;mso-position-horizontal-relative:page;mso-position-vertical-relative:page;z-index:-1154296"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08.160004pt;margin-top:42.865608pt;width:231.55pt;height:11.5pt;mso-position-horizontal-relative:page;mso-position-vertical-relative:page;z-index:-11542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年年度报告全文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60022pt;margin-top:42.865631pt;width:231.55pt;height:11.5pt;mso-position-horizontal-relative:page;mso-position-vertical-relative:page;z-index:-11541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5pt;height:.1pt;mso-position-horizontal-relative:page;mso-position-vertical-relative:page;z-index:-1154032"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08.160004pt;margin-top:42.865608pt;width:231.55pt;height:11.5pt;mso-position-horizontal-relative:page;mso-position-vertical-relative:page;z-index:-11540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78"/>
      <w:ind w:left="154"/>
    </w:pPr>
    <w:rPr>
      <w:rFonts w:ascii="宋体" w:hAnsi="宋体" w:eastAsia="宋体"/>
      <w:b/>
      <w:bCs/>
      <w:sz w:val="24"/>
      <w:szCs w:val="24"/>
    </w:rPr>
  </w:style>
  <w:style w:styleId="BodyText" w:type="paragraph">
    <w:name w:val="Body Text"/>
    <w:basedOn w:val="Normal"/>
    <w:uiPriority w:val="1"/>
    <w:qFormat/>
    <w:pPr>
      <w:ind w:left="154"/>
    </w:pPr>
    <w:rPr>
      <w:rFonts w:ascii="宋体" w:hAnsi="宋体" w:eastAsia="宋体"/>
      <w:sz w:val="24"/>
      <w:szCs w:val="24"/>
    </w:rPr>
  </w:style>
  <w:style w:styleId="Heading1" w:type="paragraph">
    <w:name w:val="Heading 1"/>
    <w:basedOn w:val="Normal"/>
    <w:uiPriority w:val="1"/>
    <w:qFormat/>
    <w:pPr>
      <w:spacing w:before="1"/>
      <w:ind w:left="134"/>
      <w:outlineLvl w:val="1"/>
    </w:pPr>
    <w:rPr>
      <w:rFonts w:ascii="宋体" w:hAnsi="宋体" w:eastAsia="宋体"/>
      <w:b/>
      <w:bCs/>
      <w:sz w:val="32"/>
      <w:szCs w:val="32"/>
    </w:rPr>
  </w:style>
  <w:style w:styleId="Heading2" w:type="paragraph">
    <w:name w:val="Heading 2"/>
    <w:basedOn w:val="Normal"/>
    <w:uiPriority w:val="1"/>
    <w:qFormat/>
    <w:pPr>
      <w:spacing w:before="26"/>
      <w:ind w:left="154"/>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chineseall.com/" TargetMode="External"/><Relationship Id="rId10" Type="http://schemas.openxmlformats.org/officeDocument/2006/relationships/hyperlink" Target="mailto:ir@chineseall.com" TargetMode="External"/><Relationship Id="rId11" Type="http://schemas.openxmlformats.org/officeDocument/2006/relationships/hyperlink" Target="http://www.cninfo.com.cn/"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2.xml"/><Relationship Id="rId20" Type="http://schemas.openxmlformats.org/officeDocument/2006/relationships/footer" Target="footer3.xml"/><Relationship Id="rId21" Type="http://schemas.openxmlformats.org/officeDocument/2006/relationships/header" Target="header3.xml"/><Relationship Id="rId22" Type="http://schemas.openxmlformats.org/officeDocument/2006/relationships/footer" Target="footer4.xml"/><Relationship Id="rId23" Type="http://schemas.openxmlformats.org/officeDocument/2006/relationships/header" Target="header4.xml"/><Relationship Id="rId24" Type="http://schemas.openxmlformats.org/officeDocument/2006/relationships/footer" Target="footer5.xml"/><Relationship Id="rId25" Type="http://schemas.openxmlformats.org/officeDocument/2006/relationships/header" Target="header5.xml"/><Relationship Id="rId26" Type="http://schemas.openxmlformats.org/officeDocument/2006/relationships/footer" Target="footer6.xml"/><Relationship Id="rId27" Type="http://schemas.openxmlformats.org/officeDocument/2006/relationships/header" Target="header6.xml"/><Relationship Id="rId28" Type="http://schemas.openxmlformats.org/officeDocument/2006/relationships/footer" Target="footer7.xml"/><Relationship Id="rId29" Type="http://schemas.openxmlformats.org/officeDocument/2006/relationships/image" Target="media/image10.png"/><Relationship Id="rId30" Type="http://schemas.openxmlformats.org/officeDocument/2006/relationships/header" Target="header7.xml"/><Relationship Id="rId31" Type="http://schemas.openxmlformats.org/officeDocument/2006/relationships/footer" Target="footer8.xml"/><Relationship Id="rId32" Type="http://schemas.openxmlformats.org/officeDocument/2006/relationships/footer" Target="footer9.xml"/><Relationship Id="rId33" Type="http://schemas.openxmlformats.org/officeDocument/2006/relationships/footer" Target="footer10.xml"/><Relationship Id="rId34" Type="http://schemas.openxmlformats.org/officeDocument/2006/relationships/header" Target="header8.xml"/><Relationship Id="rId35" Type="http://schemas.openxmlformats.org/officeDocument/2006/relationships/footer" Target="footer11.xml"/><Relationship Id="rId36" Type="http://schemas.openxmlformats.org/officeDocument/2006/relationships/header" Target="header9.xml"/><Relationship Id="rId37" Type="http://schemas.openxmlformats.org/officeDocument/2006/relationships/footer" Target="footer12.xml"/><Relationship Id="rId38" Type="http://schemas.openxmlformats.org/officeDocument/2006/relationships/footer" Target="footer13.xml"/><Relationship Id="rId39" Type="http://schemas.openxmlformats.org/officeDocument/2006/relationships/footer" Target="footer14.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1.jpeg"/></Relationships>

</file>

<file path=word/_rels/footer11.xml.rels><?xml version="1.0" encoding="UTF-8" standalone="yes"?>
<Relationships xmlns="http://schemas.openxmlformats.org/package/2006/relationships"><Relationship Id="rId1" Type="http://schemas.openxmlformats.org/officeDocument/2006/relationships/image" Target="media/image1.jpeg"/></Relationships>

</file>

<file path=word/_rels/footer12.xml.rels><?xml version="1.0" encoding="UTF-8" standalone="yes"?>
<Relationships xmlns="http://schemas.openxmlformats.org/package/2006/relationships"><Relationship Id="rId1" Type="http://schemas.openxmlformats.org/officeDocument/2006/relationships/image" Target="media/image1.jpeg"/></Relationships>

</file>

<file path=word/_rels/footer13.xml.rels><?xml version="1.0" encoding="UTF-8" standalone="yes"?>
<Relationships xmlns="http://schemas.openxmlformats.org/package/2006/relationships"><Relationship Id="rId1" Type="http://schemas.openxmlformats.org/officeDocument/2006/relationships/image" Target="media/image1.jpeg"/></Relationships>

</file>

<file path=word/_rels/footer14.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中文在线数字出版集团股份有限公司</dc:creator>
  <dc:title>中文在线数字出版集团股份有限公司2018年年度报告全文</dc:title>
  <dcterms:created xsi:type="dcterms:W3CDTF">2020-05-05T03:31:43Z</dcterms:created>
  <dcterms:modified xsi:type="dcterms:W3CDTF">2020-05-05T03:31:43Z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2019-04-26T00:00:00Z</vt:filetime>
  </property>
  <property fmtid="{D5CDD505-2E9C-101B-9397-08002B2CF9AE}" pid="3" name="Creator">
    <vt:lpwstr>Microsoft® Office Word 2007</vt:lpwstr>
  </property>
  <property fmtid="{D5CDD505-2E9C-101B-9397-08002B2CF9AE}" pid="4" name="LastSaved">
    <vt:filetime>2020-05-04T00:00:00Z</vt:filetime>
  </property>
</Properties>
</file>