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786130" cy="8718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86130" cy="871855"/>
                    </a:xfrm>
                    <a:prstGeom prst="rect"/>
                  </pic:spPr>
                </pic:pic>
              </a:graphicData>
            </a:graphic>
          </wp:inline>
        </w:drawing>
      </w:r>
    </w:p>
    <w:p>
      <w:pPr>
        <w:widowControl w:val="0"/>
        <w:spacing w:after="219" w:line="1" w:lineRule="exact"/>
      </w:pPr>
    </w:p>
    <w:p>
      <w:pPr>
        <w:pStyle w:val="Style6"/>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深圳市赢时胜信息技术股份有限公司</w:t>
      </w:r>
      <w:bookmarkEnd w:id="0"/>
      <w:bookmarkEnd w:id="1"/>
      <w:bookmarkEnd w:id="2"/>
    </w:p>
    <w:p>
      <w:pPr>
        <w:pStyle w:val="Style8"/>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2014-018</w:t>
      </w:r>
    </w:p>
    <w:p>
      <w:pPr>
        <w:pStyle w:val="Style8"/>
        <w:keepNext/>
        <w:keepLines/>
        <w:widowControl w:val="0"/>
        <w:shd w:val="clear" w:color="auto" w:fill="auto"/>
        <w:bidi w:val="0"/>
        <w:spacing w:before="0" w:after="40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36" w:right="1107" w:bottom="2636" w:left="1107" w:header="0" w:footer="3" w:gutter="0"/>
          <w:pgNumType w:start="1"/>
          <w:cols w:space="720"/>
          <w:noEndnote/>
          <w:rtlGutter w:val="0"/>
          <w:docGrid w:linePitch="360"/>
        </w:sectP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8"/>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3"/>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line="634" w:lineRule="exact"/>
        <w:ind w:left="0" w:right="0"/>
        <w:jc w:val="both"/>
      </w:pPr>
      <w:r>
        <w:rPr>
          <w:color w:val="000000"/>
          <w:spacing w:val="0"/>
          <w:w w:val="100"/>
          <w:position w:val="0"/>
        </w:rPr>
        <w:t>公司负责人唐球、主管会计工作负责人伍国安及会计机构负责人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邹璇声明：保证年度报告中财务报告的真实、准确、完整。</w:t>
      </w:r>
    </w:p>
    <w:p>
      <w:pPr>
        <w:pStyle w:val="Style13"/>
        <w:keepNext w:val="0"/>
        <w:keepLines w:val="0"/>
        <w:widowControl w:val="0"/>
        <w:shd w:val="clear" w:color="auto" w:fill="auto"/>
        <w:bidi w:val="0"/>
        <w:spacing w:before="0" w:line="622" w:lineRule="exact"/>
        <w:ind w:left="0" w:right="0"/>
        <w:jc w:val="both"/>
        <w:sectPr>
          <w:headerReference w:type="default" r:id="rId9"/>
          <w:footerReference w:type="default" r:id="rId10"/>
          <w:footnotePr>
            <w:pos w:val="pageBottom"/>
            <w:numFmt w:val="decimal"/>
            <w:numRestart w:val="continuous"/>
          </w:footnotePr>
          <w:pgSz w:w="11900" w:h="16840"/>
          <w:pgMar w:top="1974" w:right="1107" w:bottom="1974" w:left="1107" w:header="0" w:footer="3" w:gutter="0"/>
          <w:cols w:space="720"/>
          <w:noEndnote/>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6"/>
        <w:keepNext/>
        <w:keepLines/>
        <w:widowControl w:val="0"/>
        <w:shd w:val="clear" w:color="auto" w:fill="auto"/>
        <w:bidi w:val="0"/>
        <w:spacing w:before="1460" w:after="1600" w:line="240" w:lineRule="auto"/>
        <w:ind w:left="0" w:right="0" w:firstLine="0"/>
        <w:jc w:val="center"/>
      </w:pPr>
      <w:bookmarkStart w:id="12" w:name="bookmark12"/>
      <w:bookmarkStart w:id="13" w:name="bookmark13"/>
      <w:bookmarkStart w:id="14" w:name="bookmark14"/>
      <w:r>
        <w:rPr>
          <w:color w:val="000000"/>
          <w:spacing w:val="0"/>
          <w:w w:val="100"/>
          <w:position w:val="0"/>
        </w:rPr>
        <w:t>目录</w:t>
      </w:r>
      <w:bookmarkEnd w:id="12"/>
      <w:bookmarkEnd w:id="13"/>
      <w:bookmarkEnd w:id="14"/>
    </w:p>
    <w:p>
      <w:pPr>
        <w:pStyle w:val="Style16"/>
        <w:keepNext w:val="0"/>
        <w:keepLines w:val="0"/>
        <w:widowControl w:val="0"/>
        <w:shd w:val="clear" w:color="auto" w:fill="auto"/>
        <w:tabs>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6"/>
        <w:keepNext w:val="0"/>
        <w:keepLines w:val="0"/>
        <w:widowControl w:val="0"/>
        <w:shd w:val="clear" w:color="auto" w:fill="auto"/>
        <w:tabs>
          <w:tab w:leader="dot" w:pos="9612" w:val="right"/>
        </w:tabs>
        <w:bidi w:val="0"/>
        <w:spacing w:before="0" w:line="240" w:lineRule="auto"/>
        <w:ind w:left="0" w:right="0" w:firstLine="0"/>
        <w:jc w:val="left"/>
      </w:pPr>
      <w:hyperlink w:anchor="bookmark19" w:tooltip="Current Document">
        <w:r>
          <w:rPr>
            <w:color w:val="000000"/>
            <w:spacing w:val="0"/>
            <w:w w:val="100"/>
            <w:position w:val="0"/>
          </w:rPr>
          <w:t>第二节公司基本情况简介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6"/>
        <w:keepNext w:val="0"/>
        <w:keepLines w:val="0"/>
        <w:widowControl w:val="0"/>
        <w:shd w:val="clear" w:color="auto" w:fill="auto"/>
        <w:tabs>
          <w:tab w:leader="dot" w:pos="9612" w:val="right"/>
        </w:tabs>
        <w:bidi w:val="0"/>
        <w:spacing w:before="0" w:line="240" w:lineRule="auto"/>
        <w:ind w:left="0" w:right="0" w:firstLine="0"/>
        <w:jc w:val="left"/>
      </w:pPr>
      <w:hyperlink w:anchor="bookmark37"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6"/>
        <w:keepNext w:val="0"/>
        <w:keepLines w:val="0"/>
        <w:widowControl w:val="0"/>
        <w:shd w:val="clear" w:color="auto" w:fill="auto"/>
        <w:tabs>
          <w:tab w:leader="dot" w:pos="9612" w:val="right"/>
        </w:tabs>
        <w:bidi w:val="0"/>
        <w:spacing w:before="0" w:line="240" w:lineRule="auto"/>
        <w:ind w:left="0" w:right="0" w:firstLine="0"/>
        <w:jc w:val="left"/>
      </w:pPr>
      <w:hyperlink w:anchor="bookmark69"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6"/>
        <w:keepNext w:val="0"/>
        <w:keepLines w:val="0"/>
        <w:widowControl w:val="0"/>
        <w:shd w:val="clear" w:color="auto" w:fill="auto"/>
        <w:tabs>
          <w:tab w:leader="dot" w:pos="9612" w:val="right"/>
        </w:tabs>
        <w:bidi w:val="0"/>
        <w:spacing w:before="0" w:line="240" w:lineRule="auto"/>
        <w:ind w:left="0" w:right="0" w:firstLine="0"/>
        <w:jc w:val="left"/>
      </w:pPr>
      <w:hyperlink w:anchor="bookmark141" w:tooltip="Current Document">
        <w:r>
          <w:rPr>
            <w:color w:val="000000"/>
            <w:spacing w:val="0"/>
            <w:w w:val="100"/>
            <w:position w:val="0"/>
          </w:rPr>
          <w:t>第五节 重要事项</w:t>
        </w:r>
        <w:r>
          <w:rPr>
            <w:color w:val="000000"/>
            <w:spacing w:val="0"/>
            <w:w w:val="100"/>
            <w:position w:val="0"/>
          </w:rPr>
          <w:tab/>
        </w:r>
        <w:r>
          <w:rPr>
            <w:rFonts w:ascii="Times New Roman" w:eastAsia="Times New Roman" w:hAnsi="Times New Roman" w:cs="Times New Roman"/>
            <w:color w:val="000000"/>
            <w:spacing w:val="0"/>
            <w:w w:val="100"/>
            <w:position w:val="0"/>
          </w:rPr>
          <w:t>21</w:t>
        </w:r>
      </w:hyperlink>
    </w:p>
    <w:p>
      <w:pPr>
        <w:pStyle w:val="Style16"/>
        <w:keepNext w:val="0"/>
        <w:keepLines w:val="0"/>
        <w:widowControl w:val="0"/>
        <w:shd w:val="clear" w:color="auto" w:fill="auto"/>
        <w:tabs>
          <w:tab w:leader="dot" w:pos="9612" w:val="right"/>
        </w:tabs>
        <w:bidi w:val="0"/>
        <w:spacing w:before="0" w:line="240" w:lineRule="auto"/>
        <w:ind w:left="0" w:right="0" w:firstLine="0"/>
        <w:jc w:val="left"/>
      </w:pPr>
      <w:hyperlink w:anchor="bookmark196"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29</w:t>
        </w:r>
      </w:hyperlink>
    </w:p>
    <w:p>
      <w:pPr>
        <w:pStyle w:val="Style16"/>
        <w:keepNext w:val="0"/>
        <w:keepLines w:val="0"/>
        <w:widowControl w:val="0"/>
        <w:shd w:val="clear" w:color="auto" w:fill="auto"/>
        <w:tabs>
          <w:tab w:leader="dot" w:pos="9612" w:val="right"/>
        </w:tabs>
        <w:bidi w:val="0"/>
        <w:spacing w:before="0" w:line="240" w:lineRule="auto"/>
        <w:ind w:left="0" w:right="0" w:firstLine="0"/>
        <w:jc w:val="left"/>
      </w:pPr>
      <w:hyperlink w:anchor="bookmark247" w:tooltip="Current Document">
        <w:r>
          <w:rPr>
            <w:color w:val="000000"/>
            <w:spacing w:val="0"/>
            <w:w w:val="100"/>
            <w:position w:val="0"/>
          </w:rPr>
          <w:t>第七节 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36</w:t>
        </w:r>
      </w:hyperlink>
    </w:p>
    <w:p>
      <w:pPr>
        <w:pStyle w:val="Style16"/>
        <w:keepNext w:val="0"/>
        <w:keepLines w:val="0"/>
        <w:widowControl w:val="0"/>
        <w:shd w:val="clear" w:color="auto" w:fill="auto"/>
        <w:tabs>
          <w:tab w:leader="dot" w:pos="9612" w:val="right"/>
        </w:tabs>
        <w:bidi w:val="0"/>
        <w:spacing w:before="0" w:line="240" w:lineRule="auto"/>
        <w:ind w:left="0" w:right="0" w:firstLine="0"/>
        <w:jc w:val="left"/>
      </w:pPr>
      <w:hyperlink w:anchor="bookmark315" w:tooltip="Current Document">
        <w:r>
          <w:rPr>
            <w:color w:val="000000"/>
            <w:spacing w:val="0"/>
            <w:w w:val="100"/>
            <w:position w:val="0"/>
          </w:rPr>
          <w:t>第八节 公司治理</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16"/>
        <w:keepNext w:val="0"/>
        <w:keepLines w:val="0"/>
        <w:widowControl w:val="0"/>
        <w:shd w:val="clear" w:color="auto" w:fill="auto"/>
        <w:tabs>
          <w:tab w:leader="dot" w:pos="9612" w:val="right"/>
        </w:tabs>
        <w:bidi w:val="0"/>
        <w:spacing w:before="0" w:line="240" w:lineRule="auto"/>
        <w:ind w:left="0" w:right="0" w:firstLine="0"/>
        <w:jc w:val="left"/>
      </w:pPr>
      <w:hyperlink w:anchor="bookmark350" w:tooltip="Current Document">
        <w:r>
          <w:rPr>
            <w:color w:val="000000"/>
            <w:spacing w:val="0"/>
            <w:w w:val="100"/>
            <w:position w:val="0"/>
          </w:rPr>
          <w:t>第九节 财务报告</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16"/>
        <w:keepNext w:val="0"/>
        <w:keepLines w:val="0"/>
        <w:widowControl w:val="0"/>
        <w:shd w:val="clear" w:color="auto" w:fill="auto"/>
        <w:tabs>
          <w:tab w:leader="dot" w:pos="9612" w:val="right"/>
        </w:tabs>
        <w:bidi w:val="0"/>
        <w:spacing w:before="0" w:line="240" w:lineRule="auto"/>
        <w:ind w:left="0" w:right="0" w:firstLine="0"/>
        <w:jc w:val="left"/>
      </w:pPr>
      <w:hyperlink w:anchor="bookmark1398" w:tooltip="Current Document">
        <w:r>
          <w:rPr>
            <w:color w:val="000000"/>
            <w:spacing w:val="0"/>
            <w:w w:val="100"/>
            <w:position w:val="0"/>
          </w:rPr>
          <w:t>第十节备查文件目录</w:t>
        </w:r>
        <w:r>
          <w:rPr>
            <w:color w:val="000000"/>
            <w:spacing w:val="0"/>
            <w:w w:val="100"/>
            <w:position w:val="0"/>
          </w:rPr>
          <w:tab/>
        </w:r>
        <w:r>
          <w:rPr>
            <w:rFonts w:ascii="Times New Roman" w:eastAsia="Times New Roman" w:hAnsi="Times New Roman" w:cs="Times New Roman"/>
            <w:color w:val="000000"/>
            <w:spacing w:val="0"/>
            <w:w w:val="100"/>
            <w:position w:val="0"/>
          </w:rPr>
          <w:t>112</w:t>
        </w:r>
      </w:hyperlink>
      <w:r>
        <w:br w:type="page"/>
      </w:r>
      <w:r>
        <w:fldChar w:fldCharType="end"/>
      </w:r>
    </w:p>
    <w:p>
      <w:pPr>
        <w:pStyle w:val="Style8"/>
        <w:keepNext/>
        <w:keepLines/>
        <w:widowControl w:val="0"/>
        <w:shd w:val="clear" w:color="auto" w:fill="auto"/>
        <w:bidi w:val="0"/>
        <w:spacing w:before="0" w:after="820" w:line="240" w:lineRule="auto"/>
        <w:ind w:left="0" w:right="0" w:firstLine="0"/>
        <w:jc w:val="center"/>
      </w:pPr>
      <w:bookmarkStart w:id="15" w:name="bookmark15"/>
      <w:bookmarkStart w:id="16" w:name="bookmark16"/>
      <w:bookmarkStart w:id="17" w:name="bookmark17"/>
      <w:r>
        <w:rPr>
          <w:color w:val="000000"/>
          <w:spacing w:val="0"/>
          <w:w w:val="100"/>
          <w:position w:val="0"/>
        </w:rPr>
        <w:t>释义</w:t>
      </w:r>
      <w:bookmarkEnd w:id="15"/>
      <w:bookmarkEnd w:id="16"/>
      <w:bookmarkEnd w:id="17"/>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公司、本公司及赢时胜</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深圳市赢时胜信息技术股份有限公司股东大会、董事会、监事会</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华软合伙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华软创业投资无锡合伙企业（有限合伙）</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国金证券股份有限公司</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律师、广东华商</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广东华商律师事务所</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《深圳市赢时胜信息技术股份有限公司章程》</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年度、</w:t>
            </w:r>
            <w:r>
              <w:rPr>
                <w:rFonts w:ascii="Times New Roman" w:eastAsia="Times New Roman" w:hAnsi="Times New Roman" w:cs="Times New Roman"/>
                <w:color w:val="000000"/>
                <w:spacing w:val="0"/>
                <w:w w:val="100"/>
                <w:position w:val="0"/>
              </w:rPr>
              <w:t>2012</w:t>
            </w:r>
            <w:r>
              <w:rPr>
                <w:color w:val="000000"/>
                <w:spacing w:val="0"/>
                <w:w w:val="100"/>
                <w:position w:val="0"/>
              </w:rPr>
              <w:t>年度、</w:t>
            </w:r>
            <w:r>
              <w:rPr>
                <w:rFonts w:ascii="Times New Roman" w:eastAsia="Times New Roman" w:hAnsi="Times New Roman" w:cs="Times New Roman"/>
                <w:color w:val="000000"/>
                <w:spacing w:val="0"/>
                <w:w w:val="100"/>
                <w:position w:val="0"/>
              </w:rPr>
              <w:t>2013</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18" w:name="bookmark18"/>
      <w:bookmarkStart w:id="19" w:name="bookmark19"/>
      <w:bookmarkStart w:id="20" w:name="bookmark20"/>
      <w:r>
        <w:rPr>
          <w:color w:val="000000"/>
          <w:spacing w:val="0"/>
          <w:w w:val="100"/>
          <w:position w:val="0"/>
        </w:rPr>
        <w:t>第二节公司基本情况简介</w:t>
      </w:r>
      <w:bookmarkEnd w:id="18"/>
      <w:bookmarkEnd w:id="19"/>
      <w:bookmarkEnd w:id="20"/>
    </w:p>
    <w:p>
      <w:pPr>
        <w:pStyle w:val="Style22"/>
        <w:keepNext/>
        <w:keepLines/>
        <w:widowControl w:val="0"/>
        <w:shd w:val="clear" w:color="auto" w:fill="auto"/>
        <w:bidi w:val="0"/>
        <w:spacing w:before="0" w:after="300" w:line="240" w:lineRule="auto"/>
        <w:ind w:left="0" w:right="0" w:firstLine="240"/>
        <w:jc w:val="left"/>
      </w:pPr>
      <w:bookmarkStart w:id="21" w:name="bookmark21"/>
      <w:bookmarkStart w:id="22" w:name="bookmark22"/>
      <w:bookmarkStart w:id="23" w:name="bookmark23"/>
      <w:r>
        <w:rPr>
          <w:color w:val="000000"/>
          <w:spacing w:val="0"/>
          <w:w w:val="100"/>
          <w:position w:val="0"/>
          <w:sz w:val="24"/>
          <w:szCs w:val="24"/>
        </w:rPr>
        <w:t>、公司信息</w:t>
      </w:r>
      <w:bookmarkEnd w:id="21"/>
      <w:bookmarkEnd w:id="22"/>
      <w:bookmarkEnd w:id="23"/>
    </w:p>
    <w:tbl>
      <w:tblPr>
        <w:tblOverlap w:val="never"/>
        <w:jc w:val="center"/>
        <w:tblLayout w:type="fixed"/>
      </w:tblPr>
      <w:tblGrid>
        <w:gridCol w:w="2933"/>
        <w:gridCol w:w="2304"/>
        <w:gridCol w:w="2160"/>
        <w:gridCol w:w="218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赢时胜</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300377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赢时胜</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SHENZHEN YSSTECH INFO-TECH CO.,LTD</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YSS</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深圳市福田区深南路与新洲路交汇处东南侧航天大厦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611A</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深圳市南山区侨香路</w:t>
            </w:r>
            <w:r>
              <w:rPr>
                <w:rFonts w:ascii="Times New Roman" w:eastAsia="Times New Roman" w:hAnsi="Times New Roman" w:cs="Times New Roman"/>
                <w:color w:val="000000"/>
                <w:spacing w:val="0"/>
                <w:w w:val="100"/>
                <w:position w:val="0"/>
              </w:rPr>
              <w:t>4068</w:t>
            </w:r>
            <w:r>
              <w:rPr>
                <w:color w:val="000000"/>
                <w:spacing w:val="0"/>
                <w:w w:val="100"/>
                <w:position w:val="0"/>
              </w:rPr>
              <w:t>号智慧广场</w:t>
            </w:r>
            <w:r>
              <w:rPr>
                <w:rFonts w:ascii="Times New Roman" w:eastAsia="Times New Roman" w:hAnsi="Times New Roman" w:cs="Times New Roman"/>
                <w:color w:val="000000"/>
                <w:spacing w:val="0"/>
                <w:w w:val="100"/>
                <w:position w:val="0"/>
              </w:rPr>
              <w:t>B</w:t>
            </w:r>
            <w:r>
              <w:rPr>
                <w:color w:val="000000"/>
                <w:spacing w:val="0"/>
                <w:w w:val="100"/>
                <w:position w:val="0"/>
              </w:rPr>
              <w:t>栋</w:t>
            </w:r>
            <w:r>
              <w:rPr>
                <w:rFonts w:ascii="Times New Roman" w:eastAsia="Times New Roman" w:hAnsi="Times New Roman" w:cs="Times New Roman"/>
                <w:color w:val="000000"/>
                <w:spacing w:val="0"/>
                <w:w w:val="100"/>
                <w:position w:val="0"/>
              </w:rPr>
              <w:t>1101</w:t>
            </w:r>
            <w:r>
              <w:rPr>
                <w:color w:val="000000"/>
                <w:spacing w:val="0"/>
                <w:w w:val="100"/>
                <w:position w:val="0"/>
              </w:rPr>
              <w:t>室</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www. y </w:t>
            </w:r>
            <w:r>
              <w:rPr>
                <w:rFonts w:ascii="Times New Roman" w:eastAsia="Times New Roman" w:hAnsi="Times New Roman" w:cs="Times New Roman"/>
                <w:color w:val="000000"/>
                <w:spacing w:val="0"/>
                <w:w w:val="100"/>
                <w:position w:val="0"/>
              </w:rPr>
              <w:t>sstech.com</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 sstech@ysstech. com</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rPr>
              <w:t>6009</w:t>
            </w:r>
            <w:r>
              <w:rPr>
                <w:color w:val="000000"/>
                <w:spacing w:val="0"/>
                <w:w w:val="100"/>
                <w:position w:val="0"/>
              </w:rPr>
              <w:t>号绿景广场</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17</w:t>
            </w:r>
            <w:r>
              <w:rPr>
                <w:color w:val="000000"/>
                <w:spacing w:val="0"/>
                <w:w w:val="100"/>
                <w:position w:val="0"/>
              </w:rPr>
              <w:t>楼</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二</w:t>
      </w:r>
      <w:bookmarkEnd w:id="26"/>
      <w:r>
        <w:rPr>
          <w:color w:val="000000"/>
          <w:spacing w:val="0"/>
          <w:w w:val="100"/>
          <w:position w:val="0"/>
          <w:sz w:val="24"/>
          <w:szCs w:val="24"/>
        </w:rPr>
        <w:t>、联系人和联系方式</w:t>
      </w:r>
      <w:bookmarkEnd w:id="24"/>
      <w:bookmarkEnd w:id="25"/>
      <w:bookmarkEnd w:id="27"/>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李杨</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深圳市南山区侨香路</w:t>
            </w:r>
            <w:r>
              <w:rPr>
                <w:rFonts w:ascii="Times New Roman" w:eastAsia="Times New Roman" w:hAnsi="Times New Roman" w:cs="Times New Roman"/>
                <w:color w:val="000000"/>
                <w:spacing w:val="0"/>
                <w:w w:val="100"/>
                <w:position w:val="0"/>
              </w:rPr>
              <w:t>4068</w:t>
            </w:r>
            <w:r>
              <w:rPr>
                <w:color w:val="000000"/>
                <w:spacing w:val="0"/>
                <w:w w:val="100"/>
                <w:position w:val="0"/>
              </w:rPr>
              <w:t>号智慧广场</w:t>
            </w:r>
            <w:r>
              <w:rPr>
                <w:rFonts w:ascii="Times New Roman" w:eastAsia="Times New Roman" w:hAnsi="Times New Roman" w:cs="Times New Roman"/>
                <w:color w:val="000000"/>
                <w:spacing w:val="0"/>
                <w:w w:val="100"/>
                <w:position w:val="0"/>
              </w:rPr>
              <w:t xml:space="preserve">B </w:t>
            </w:r>
            <w:r>
              <w:rPr>
                <w:color w:val="000000"/>
                <w:spacing w:val="0"/>
                <w:w w:val="100"/>
                <w:position w:val="0"/>
              </w:rPr>
              <w:t>栋</w:t>
            </w:r>
            <w:r>
              <w:rPr>
                <w:rFonts w:ascii="Times New Roman" w:eastAsia="Times New Roman" w:hAnsi="Times New Roman" w:cs="Times New Roman"/>
                <w:color w:val="000000"/>
                <w:spacing w:val="0"/>
                <w:w w:val="100"/>
                <w:position w:val="0"/>
              </w:rPr>
              <w:t>1101</w:t>
            </w:r>
            <w:r>
              <w:rPr>
                <w:color w:val="000000"/>
                <w:spacing w:val="0"/>
                <w:w w:val="100"/>
                <w:position w:val="0"/>
              </w:rPr>
              <w:t>室</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深圳市南山区侨香路</w:t>
            </w:r>
            <w:r>
              <w:rPr>
                <w:rFonts w:ascii="Times New Roman" w:eastAsia="Times New Roman" w:hAnsi="Times New Roman" w:cs="Times New Roman"/>
                <w:color w:val="000000"/>
                <w:spacing w:val="0"/>
                <w:w w:val="100"/>
                <w:position w:val="0"/>
              </w:rPr>
              <w:t>4068</w:t>
            </w:r>
            <w:r>
              <w:rPr>
                <w:color w:val="000000"/>
                <w:spacing w:val="0"/>
                <w:w w:val="100"/>
                <w:position w:val="0"/>
              </w:rPr>
              <w:t>号智慧广场</w:t>
            </w:r>
            <w:r>
              <w:rPr>
                <w:rFonts w:ascii="Times New Roman" w:eastAsia="Times New Roman" w:hAnsi="Times New Roman" w:cs="Times New Roman"/>
                <w:color w:val="000000"/>
                <w:spacing w:val="0"/>
                <w:w w:val="100"/>
                <w:position w:val="0"/>
              </w:rPr>
              <w:t xml:space="preserve">B </w:t>
            </w:r>
            <w:r>
              <w:rPr>
                <w:color w:val="000000"/>
                <w:spacing w:val="0"/>
                <w:w w:val="100"/>
                <w:position w:val="0"/>
              </w:rPr>
              <w:t>栋</w:t>
            </w:r>
            <w:r>
              <w:rPr>
                <w:rFonts w:ascii="Times New Roman" w:eastAsia="Times New Roman" w:hAnsi="Times New Roman" w:cs="Times New Roman"/>
                <w:color w:val="000000"/>
                <w:spacing w:val="0"/>
                <w:w w:val="100"/>
                <w:position w:val="0"/>
              </w:rPr>
              <w:t>1101</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0755-23968617</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0755-23968617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0755-88265113</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0755-88265113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 sstech@ysstech. com</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y sstech@y </w:t>
            </w:r>
            <w:r>
              <w:rPr>
                <w:rFonts w:ascii="Times New Roman" w:eastAsia="Times New Roman" w:hAnsi="Times New Roman" w:cs="Times New Roman"/>
                <w:color w:val="000000"/>
                <w:spacing w:val="0"/>
                <w:w w:val="100"/>
                <w:position w:val="0"/>
              </w:rPr>
              <w:t>sstech.com</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三</w:t>
      </w:r>
      <w:bookmarkEnd w:id="30"/>
      <w:r>
        <w:rPr>
          <w:color w:val="000000"/>
          <w:spacing w:val="0"/>
          <w:w w:val="100"/>
          <w:position w:val="0"/>
          <w:sz w:val="24"/>
          <w:szCs w:val="24"/>
        </w:rPr>
        <w:t>、信息披露及备置地点</w:t>
      </w:r>
      <w:bookmarkEnd w:id="28"/>
      <w:bookmarkEnd w:id="29"/>
      <w:bookmarkEnd w:id="31"/>
    </w:p>
    <w:tbl>
      <w:tblPr>
        <w:tblOverlap w:val="never"/>
        <w:jc w:val="center"/>
        <w:tblLayout w:type="fixed"/>
      </w:tblPr>
      <w:tblGrid>
        <w:gridCol w:w="3864"/>
        <w:gridCol w:w="571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《中国证券报》、《证券时报》、《上海证券报》、《证券日报》</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http://www.cninfb.com.cn/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spacing w:lineRule="exact" w:line="1"/>
        <w:rPr>
          <w:sz w:val="2"/>
          <w:szCs w:val="2"/>
        </w:rPr>
      </w:pPr>
      <w:r>
        <w:br w:type="page"/>
      </w:r>
    </w:p>
    <w:p>
      <w:pPr>
        <w:pStyle w:val="Style22"/>
        <w:keepNext/>
        <w:keepLines/>
        <w:widowControl w:val="0"/>
        <w:shd w:val="clear" w:color="auto" w:fill="auto"/>
        <w:bidi w:val="0"/>
        <w:spacing w:before="0" w:after="30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四</w:t>
      </w:r>
      <w:bookmarkEnd w:id="34"/>
      <w:r>
        <w:rPr>
          <w:color w:val="000000"/>
          <w:spacing w:val="0"/>
          <w:w w:val="100"/>
          <w:position w:val="0"/>
          <w:sz w:val="24"/>
          <w:szCs w:val="24"/>
        </w:rPr>
        <w:t>、公司历史沿革</w:t>
      </w:r>
      <w:bookmarkEnd w:id="32"/>
      <w:bookmarkEnd w:id="33"/>
      <w:bookmarkEnd w:id="35"/>
    </w:p>
    <w:tbl>
      <w:tblPr>
        <w:tblOverlap w:val="never"/>
        <w:jc w:val="center"/>
        <w:tblLayout w:type="fixed"/>
      </w:tblPr>
      <w:tblGrid>
        <w:gridCol w:w="1598"/>
        <w:gridCol w:w="1594"/>
        <w:gridCol w:w="1594"/>
        <w:gridCol w:w="1603"/>
        <w:gridCol w:w="1579"/>
        <w:gridCol w:w="161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注册登记地点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组织机构代码</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首次注册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深圳市福田区福中 路紫玉大厦</w:t>
            </w:r>
            <w:r>
              <w:rPr>
                <w:rFonts w:ascii="Times New Roman" w:eastAsia="Times New Roman" w:hAnsi="Times New Roman" w:cs="Times New Roman"/>
                <w:color w:val="000000"/>
                <w:spacing w:val="0"/>
                <w:w w:val="100"/>
                <w:position w:val="0"/>
              </w:rPr>
              <w:t>1</w:t>
            </w:r>
            <w:r>
              <w:rPr>
                <w:color w:val="000000"/>
                <w:spacing w:val="0"/>
                <w:w w:val="100"/>
                <w:position w:val="0"/>
              </w:rPr>
              <w:t>栋</w:t>
            </w:r>
            <w:r>
              <w:rPr>
                <w:rFonts w:ascii="Times New Roman" w:eastAsia="Times New Roman" w:hAnsi="Times New Roman" w:cs="Times New Roman"/>
                <w:color w:val="000000"/>
                <w:spacing w:val="0"/>
                <w:w w:val="100"/>
                <w:position w:val="0"/>
              </w:rPr>
              <w:t xml:space="preserve">25J </w:t>
            </w:r>
            <w:r>
              <w:rPr>
                <w:color w:val="000000"/>
                <w:spacing w:val="0"/>
                <w:w w:val="100"/>
                <w:position w:val="0"/>
              </w:rPr>
              <w:t>室</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4403012073335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440300732044885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73204488-5</w:t>
            </w:r>
          </w:p>
        </w:tc>
      </w:tr>
      <w:tr>
        <w:trPr>
          <w:trHeight w:val="1027"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变更注册地址、变更 实收资本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深圳市福田区深南 中路</w:t>
            </w:r>
            <w:r>
              <w:rPr>
                <w:rFonts w:ascii="Times New Roman" w:eastAsia="Times New Roman" w:hAnsi="Times New Roman" w:cs="Times New Roman"/>
                <w:color w:val="000000"/>
                <w:spacing w:val="0"/>
                <w:w w:val="100"/>
                <w:position w:val="0"/>
              </w:rPr>
              <w:t>3037</w:t>
            </w:r>
            <w:r>
              <w:rPr>
                <w:color w:val="000000"/>
                <w:spacing w:val="0"/>
                <w:w w:val="100"/>
                <w:position w:val="0"/>
              </w:rPr>
              <w:t>号南光捷 佳大厦</w:t>
            </w:r>
            <w:r>
              <w:rPr>
                <w:rFonts w:ascii="Times New Roman" w:eastAsia="Times New Roman" w:hAnsi="Times New Roman" w:cs="Times New Roman"/>
                <w:color w:val="000000"/>
                <w:spacing w:val="0"/>
                <w:w w:val="100"/>
                <w:position w:val="0"/>
              </w:rPr>
              <w:t>1716</w:t>
            </w:r>
            <w:r>
              <w:rPr>
                <w:color w:val="000000"/>
                <w:spacing w:val="0"/>
                <w:w w:val="100"/>
                <w:position w:val="0"/>
              </w:rPr>
              <w:t>室</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4403012073335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440300732044885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73204488-5</w:t>
            </w:r>
          </w:p>
        </w:tc>
      </w:tr>
      <w:tr>
        <w:trPr>
          <w:trHeight w:val="1022"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变更企业名称、变更 注册资本、变更实收 资本、变更股东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深圳市福田区深南 中路</w:t>
            </w:r>
            <w:r>
              <w:rPr>
                <w:rFonts w:ascii="Times New Roman" w:eastAsia="Times New Roman" w:hAnsi="Times New Roman" w:cs="Times New Roman"/>
                <w:color w:val="000000"/>
                <w:spacing w:val="0"/>
                <w:w w:val="100"/>
                <w:position w:val="0"/>
              </w:rPr>
              <w:t>3037</w:t>
            </w:r>
            <w:r>
              <w:rPr>
                <w:color w:val="000000"/>
                <w:spacing w:val="0"/>
                <w:w w:val="100"/>
                <w:position w:val="0"/>
              </w:rPr>
              <w:t>号南光捷 佳大厦</w:t>
            </w:r>
            <w:r>
              <w:rPr>
                <w:rFonts w:ascii="Times New Roman" w:eastAsia="Times New Roman" w:hAnsi="Times New Roman" w:cs="Times New Roman"/>
                <w:color w:val="000000"/>
                <w:spacing w:val="0"/>
                <w:w w:val="100"/>
                <w:position w:val="0"/>
              </w:rPr>
              <w:t>1716</w:t>
            </w:r>
            <w:r>
              <w:rPr>
                <w:color w:val="000000"/>
                <w:spacing w:val="0"/>
                <w:w w:val="100"/>
                <w:position w:val="0"/>
              </w:rPr>
              <w:t>室</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4403012073335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440300732044885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73204488-5</w:t>
            </w:r>
          </w:p>
        </w:tc>
      </w:tr>
      <w:tr>
        <w:trPr>
          <w:trHeight w:val="1027"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变更注册地址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深圳市福田区深南 大道</w:t>
            </w:r>
            <w:r>
              <w:rPr>
                <w:rFonts w:ascii="Times New Roman" w:eastAsia="Times New Roman" w:hAnsi="Times New Roman" w:cs="Times New Roman"/>
                <w:color w:val="000000"/>
                <w:spacing w:val="0"/>
                <w:w w:val="100"/>
                <w:position w:val="0"/>
              </w:rPr>
              <w:t>4019</w:t>
            </w:r>
            <w:r>
              <w:rPr>
                <w:color w:val="000000"/>
                <w:spacing w:val="0"/>
                <w:w w:val="100"/>
                <w:position w:val="0"/>
              </w:rPr>
              <w:t>号航天大 厦</w:t>
            </w:r>
            <w:r>
              <w:rPr>
                <w:rFonts w:ascii="Times New Roman" w:eastAsia="Times New Roman" w:hAnsi="Times New Roman" w:cs="Times New Roman"/>
                <w:color w:val="000000"/>
                <w:spacing w:val="0"/>
                <w:w w:val="100"/>
                <w:position w:val="0"/>
              </w:rPr>
              <w:t>611</w:t>
            </w:r>
            <w:r>
              <w:rPr>
                <w:color w:val="000000"/>
                <w:spacing w:val="0"/>
                <w:w w:val="100"/>
                <w:position w:val="0"/>
              </w:rPr>
              <w:t>室</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4403012073335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440300732044885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73204488-5</w:t>
            </w:r>
          </w:p>
        </w:tc>
      </w:tr>
      <w:tr>
        <w:trPr>
          <w:trHeight w:val="1027"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变更股东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深圳市福田区深南 大道</w:t>
            </w:r>
            <w:r>
              <w:rPr>
                <w:rFonts w:ascii="Times New Roman" w:eastAsia="Times New Roman" w:hAnsi="Times New Roman" w:cs="Times New Roman"/>
                <w:color w:val="000000"/>
                <w:spacing w:val="0"/>
                <w:w w:val="100"/>
                <w:position w:val="0"/>
              </w:rPr>
              <w:t>4019</w:t>
            </w:r>
            <w:r>
              <w:rPr>
                <w:color w:val="000000"/>
                <w:spacing w:val="0"/>
                <w:w w:val="100"/>
                <w:position w:val="0"/>
              </w:rPr>
              <w:t>号航天大 厦</w:t>
            </w:r>
            <w:r>
              <w:rPr>
                <w:rFonts w:ascii="Times New Roman" w:eastAsia="Times New Roman" w:hAnsi="Times New Roman" w:cs="Times New Roman"/>
                <w:color w:val="000000"/>
                <w:spacing w:val="0"/>
                <w:w w:val="100"/>
                <w:position w:val="0"/>
              </w:rPr>
              <w:t>611</w:t>
            </w:r>
            <w:r>
              <w:rPr>
                <w:color w:val="000000"/>
                <w:spacing w:val="0"/>
                <w:w w:val="100"/>
                <w:position w:val="0"/>
              </w:rPr>
              <w:t>室</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4403012073335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440300732044885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73204488-5</w:t>
            </w:r>
          </w:p>
        </w:tc>
      </w:tr>
      <w:tr>
        <w:trPr>
          <w:trHeight w:val="1334"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变更注册地址、变更</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深圳市福田区深南 中路与广深高速公 路交界东南金运世 纪大厦</w:t>
            </w:r>
            <w:r>
              <w:rPr>
                <w:rFonts w:ascii="Times New Roman" w:eastAsia="Times New Roman" w:hAnsi="Times New Roman" w:cs="Times New Roman"/>
                <w:color w:val="000000"/>
                <w:spacing w:val="0"/>
                <w:w w:val="100"/>
                <w:position w:val="0"/>
              </w:rPr>
              <w:t>13</w:t>
            </w:r>
            <w:r>
              <w:rPr>
                <w:color w:val="000000"/>
                <w:spacing w:val="0"/>
                <w:w w:val="100"/>
                <w:position w:val="0"/>
              </w:rPr>
              <w:t>层</w:t>
            </w:r>
            <w:r>
              <w:rPr>
                <w:rFonts w:ascii="Times New Roman" w:eastAsia="Times New Roman" w:hAnsi="Times New Roman" w:cs="Times New Roman"/>
                <w:color w:val="000000"/>
                <w:spacing w:val="0"/>
                <w:w w:val="100"/>
                <w:position w:val="0"/>
              </w:rPr>
              <w:t>13F</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440301103944755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440300732044885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73204488-5</w:t>
            </w:r>
          </w:p>
        </w:tc>
      </w:tr>
      <w:tr>
        <w:trPr>
          <w:trHeight w:val="1339"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变更股东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深圳市福田区深南 中路与广深高速公 路交界东南金运世 纪大厦</w:t>
            </w:r>
            <w:r>
              <w:rPr>
                <w:rFonts w:ascii="Times New Roman" w:eastAsia="Times New Roman" w:hAnsi="Times New Roman" w:cs="Times New Roman"/>
                <w:color w:val="000000"/>
                <w:spacing w:val="0"/>
                <w:w w:val="100"/>
                <w:position w:val="0"/>
              </w:rPr>
              <w:t>13</w:t>
            </w:r>
            <w:r>
              <w:rPr>
                <w:color w:val="000000"/>
                <w:spacing w:val="0"/>
                <w:w w:val="100"/>
                <w:position w:val="0"/>
              </w:rPr>
              <w:t>层</w:t>
            </w:r>
            <w:r>
              <w:rPr>
                <w:rFonts w:ascii="Times New Roman" w:eastAsia="Times New Roman" w:hAnsi="Times New Roman" w:cs="Times New Roman"/>
                <w:color w:val="000000"/>
                <w:spacing w:val="0"/>
                <w:w w:val="100"/>
                <w:position w:val="0"/>
              </w:rPr>
              <w:t>13F</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440301103944755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440300732044885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73204488-5</w:t>
            </w:r>
          </w:p>
        </w:tc>
      </w:tr>
      <w:tr>
        <w:trPr>
          <w:trHeight w:val="1339"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变更注册资本、变更 实收资本、变更股东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深圳市福田区深南 中路与广深高速公 路交界东南金运世 纪大厦</w:t>
            </w:r>
            <w:r>
              <w:rPr>
                <w:rFonts w:ascii="Times New Roman" w:eastAsia="Times New Roman" w:hAnsi="Times New Roman" w:cs="Times New Roman"/>
                <w:color w:val="000000"/>
                <w:spacing w:val="0"/>
                <w:w w:val="100"/>
                <w:position w:val="0"/>
              </w:rPr>
              <w:t>13</w:t>
            </w:r>
            <w:r>
              <w:rPr>
                <w:color w:val="000000"/>
                <w:spacing w:val="0"/>
                <w:w w:val="100"/>
                <w:position w:val="0"/>
              </w:rPr>
              <w:t>层</w:t>
            </w:r>
            <w:r>
              <w:rPr>
                <w:rFonts w:ascii="Times New Roman" w:eastAsia="Times New Roman" w:hAnsi="Times New Roman" w:cs="Times New Roman"/>
                <w:color w:val="000000"/>
                <w:spacing w:val="0"/>
                <w:w w:val="100"/>
                <w:position w:val="0"/>
              </w:rPr>
              <w:t>13F</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440301103944755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440300732044885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73204488-5</w:t>
            </w:r>
          </w:p>
        </w:tc>
      </w:tr>
      <w:tr>
        <w:trPr>
          <w:trHeight w:val="1339"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变更设立股份公司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深圳市福田区深南 中路与广深高速公 路交界东南金运世 纪大厦</w:t>
            </w:r>
            <w:r>
              <w:rPr>
                <w:rFonts w:ascii="Times New Roman" w:eastAsia="Times New Roman" w:hAnsi="Times New Roman" w:cs="Times New Roman"/>
                <w:color w:val="000000"/>
                <w:spacing w:val="0"/>
                <w:w w:val="100"/>
                <w:position w:val="0"/>
              </w:rPr>
              <w:t>13</w:t>
            </w:r>
            <w:r>
              <w:rPr>
                <w:color w:val="000000"/>
                <w:spacing w:val="0"/>
                <w:w w:val="100"/>
                <w:position w:val="0"/>
              </w:rPr>
              <w:t>层</w:t>
            </w:r>
            <w:r>
              <w:rPr>
                <w:rFonts w:ascii="Times New Roman" w:eastAsia="Times New Roman" w:hAnsi="Times New Roman" w:cs="Times New Roman"/>
                <w:color w:val="000000"/>
                <w:spacing w:val="0"/>
                <w:w w:val="100"/>
                <w:position w:val="0"/>
              </w:rPr>
              <w:t>13F</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440301103944755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440300732044885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73204488-5</w:t>
            </w:r>
          </w:p>
        </w:tc>
      </w:tr>
      <w:tr>
        <w:trPr>
          <w:trHeight w:val="1334"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变更注册资本、变更 实收资本、变更股东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深圳市福田区深南 中路与广深高速公 路交界东南金运世 纪大厦</w:t>
            </w:r>
            <w:r>
              <w:rPr>
                <w:rFonts w:ascii="Times New Roman" w:eastAsia="Times New Roman" w:hAnsi="Times New Roman" w:cs="Times New Roman"/>
                <w:color w:val="000000"/>
                <w:spacing w:val="0"/>
                <w:w w:val="100"/>
                <w:position w:val="0"/>
              </w:rPr>
              <w:t>13</w:t>
            </w:r>
            <w:r>
              <w:rPr>
                <w:color w:val="000000"/>
                <w:spacing w:val="0"/>
                <w:w w:val="100"/>
                <w:position w:val="0"/>
              </w:rPr>
              <w:t>层</w:t>
            </w:r>
            <w:r>
              <w:rPr>
                <w:rFonts w:ascii="Times New Roman" w:eastAsia="Times New Roman" w:hAnsi="Times New Roman" w:cs="Times New Roman"/>
                <w:color w:val="000000"/>
                <w:spacing w:val="0"/>
                <w:w w:val="100"/>
                <w:position w:val="0"/>
              </w:rPr>
              <w:t>13F</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440301103944755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440300732044885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73204488-5</w:t>
            </w:r>
          </w:p>
        </w:tc>
      </w:tr>
      <w:tr>
        <w:trPr>
          <w:trHeight w:val="725"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变更注册资本、变更 实收资本、变更股东</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深圳市福田区深南 中路与广深高速公</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440301103944755</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440300732044885</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73204488-5</w:t>
            </w:r>
          </w:p>
        </w:tc>
      </w:tr>
    </w:tbl>
    <w:p>
      <w:pPr>
        <w:spacing w:lineRule="exact" w:line="1"/>
        <w:rPr>
          <w:sz w:val="2"/>
          <w:szCs w:val="2"/>
        </w:rPr>
      </w:pPr>
      <w:r>
        <w:br w:type="page"/>
      </w:r>
    </w:p>
    <w:tbl>
      <w:tblPr>
        <w:tblOverlap w:val="never"/>
        <w:jc w:val="center"/>
        <w:tblLayout w:type="fixed"/>
      </w:tblPr>
      <w:tblGrid>
        <w:gridCol w:w="1598"/>
        <w:gridCol w:w="1594"/>
        <w:gridCol w:w="1594"/>
        <w:gridCol w:w="1598"/>
        <w:gridCol w:w="1584"/>
        <w:gridCol w:w="1613"/>
      </w:tblGrid>
      <w:tr>
        <w:trPr>
          <w:trHeight w:val="682"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路交界东南金运世</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纪大厦</w:t>
            </w:r>
            <w:r>
              <w:rPr>
                <w:rFonts w:ascii="Times New Roman" w:eastAsia="Times New Roman" w:hAnsi="Times New Roman" w:cs="Times New Roman"/>
                <w:color w:val="000000"/>
                <w:spacing w:val="0"/>
                <w:w w:val="100"/>
                <w:position w:val="0"/>
              </w:rPr>
              <w:t>13</w:t>
            </w:r>
            <w:r>
              <w:rPr>
                <w:color w:val="000000"/>
                <w:spacing w:val="0"/>
                <w:w w:val="100"/>
                <w:position w:val="0"/>
              </w:rPr>
              <w:t>层</w:t>
            </w:r>
            <w:r>
              <w:rPr>
                <w:rFonts w:ascii="Times New Roman" w:eastAsia="Times New Roman" w:hAnsi="Times New Roman" w:cs="Times New Roman"/>
                <w:color w:val="000000"/>
                <w:spacing w:val="0"/>
                <w:w w:val="100"/>
                <w:position w:val="0"/>
              </w:rPr>
              <w:t>13F</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339"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变更股东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深圳市福田区深南 中路与广深高速公 路交界东南金运世 纪大厦</w:t>
            </w:r>
            <w:r>
              <w:rPr>
                <w:rFonts w:ascii="Times New Roman" w:eastAsia="Times New Roman" w:hAnsi="Times New Roman" w:cs="Times New Roman"/>
                <w:color w:val="000000"/>
                <w:spacing w:val="0"/>
                <w:w w:val="100"/>
                <w:position w:val="0"/>
              </w:rPr>
              <w:t>13</w:t>
            </w:r>
            <w:r>
              <w:rPr>
                <w:color w:val="000000"/>
                <w:spacing w:val="0"/>
                <w:w w:val="100"/>
                <w:position w:val="0"/>
              </w:rPr>
              <w:t>层</w:t>
            </w:r>
            <w:r>
              <w:rPr>
                <w:rFonts w:ascii="Times New Roman" w:eastAsia="Times New Roman" w:hAnsi="Times New Roman" w:cs="Times New Roman"/>
                <w:color w:val="000000"/>
                <w:spacing w:val="0"/>
                <w:w w:val="100"/>
                <w:position w:val="0"/>
              </w:rPr>
              <w:t>13F</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440301103944755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440300732044885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73204488-5</w:t>
            </w:r>
          </w:p>
        </w:tc>
      </w:tr>
      <w:tr>
        <w:trPr>
          <w:trHeight w:val="1339"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变更出资期限、变更 经营范围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深圳市福田区深南 中路与广深高速公 路交界东南金运世 纪大厦</w:t>
            </w:r>
            <w:r>
              <w:rPr>
                <w:rFonts w:ascii="Times New Roman" w:eastAsia="Times New Roman" w:hAnsi="Times New Roman" w:cs="Times New Roman"/>
                <w:color w:val="000000"/>
                <w:spacing w:val="0"/>
                <w:w w:val="100"/>
                <w:position w:val="0"/>
              </w:rPr>
              <w:t>13</w:t>
            </w:r>
            <w:r>
              <w:rPr>
                <w:color w:val="000000"/>
                <w:spacing w:val="0"/>
                <w:w w:val="100"/>
                <w:position w:val="0"/>
              </w:rPr>
              <w:t>层</w:t>
            </w:r>
            <w:r>
              <w:rPr>
                <w:rFonts w:ascii="Times New Roman" w:eastAsia="Times New Roman" w:hAnsi="Times New Roman" w:cs="Times New Roman"/>
                <w:color w:val="000000"/>
                <w:spacing w:val="0"/>
                <w:w w:val="100"/>
                <w:position w:val="0"/>
              </w:rPr>
              <w:t>13F</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440301103944755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440300732044885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73204488-5</w:t>
            </w:r>
          </w:p>
        </w:tc>
      </w:tr>
      <w:tr>
        <w:trPr>
          <w:trHeight w:val="1334"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变更注册地址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深圳市福田区深南 路与新洲路交汇处 东南侧航天大厦</w:t>
            </w:r>
            <w:r>
              <w:rPr>
                <w:rFonts w:ascii="Times New Roman" w:eastAsia="Times New Roman" w:hAnsi="Times New Roman" w:cs="Times New Roman"/>
                <w:color w:val="000000"/>
                <w:spacing w:val="0"/>
                <w:w w:val="100"/>
                <w:position w:val="0"/>
              </w:rPr>
              <w:t xml:space="preserve">A </w:t>
            </w:r>
            <w:r>
              <w:rPr>
                <w:color w:val="000000"/>
                <w:spacing w:val="0"/>
                <w:w w:val="100"/>
                <w:position w:val="0"/>
              </w:rPr>
              <w:t xml:space="preserve">座 </w:t>
            </w:r>
            <w:r>
              <w:rPr>
                <w:rFonts w:ascii="Times New Roman" w:eastAsia="Times New Roman" w:hAnsi="Times New Roman" w:cs="Times New Roman"/>
                <w:color w:val="000000"/>
                <w:spacing w:val="0"/>
                <w:w w:val="100"/>
                <w:position w:val="0"/>
              </w:rPr>
              <w:t>611A</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440301103944755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440300732044885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73204488-5</w:t>
            </w:r>
          </w:p>
        </w:tc>
      </w:tr>
      <w:tr>
        <w:trPr>
          <w:trHeight w:val="1339"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变更经营范围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深圳市福田区深南 路与新洲路交汇处 东南侧航天大厦</w:t>
            </w:r>
            <w:r>
              <w:rPr>
                <w:rFonts w:ascii="Times New Roman" w:eastAsia="Times New Roman" w:hAnsi="Times New Roman" w:cs="Times New Roman"/>
                <w:color w:val="000000"/>
                <w:spacing w:val="0"/>
                <w:w w:val="100"/>
                <w:position w:val="0"/>
              </w:rPr>
              <w:t xml:space="preserve">A </w:t>
            </w:r>
            <w:r>
              <w:rPr>
                <w:color w:val="000000"/>
                <w:spacing w:val="0"/>
                <w:w w:val="100"/>
                <w:position w:val="0"/>
              </w:rPr>
              <w:t xml:space="preserve">座 </w:t>
            </w:r>
            <w:r>
              <w:rPr>
                <w:rFonts w:ascii="Times New Roman" w:eastAsia="Times New Roman" w:hAnsi="Times New Roman" w:cs="Times New Roman"/>
                <w:color w:val="000000"/>
                <w:spacing w:val="0"/>
                <w:w w:val="100"/>
                <w:position w:val="0"/>
              </w:rPr>
              <w:t>611A</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440301103944755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440300732044885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73204488-5</w:t>
            </w:r>
          </w:p>
        </w:tc>
      </w:tr>
      <w:tr>
        <w:trPr>
          <w:trHeight w:val="1339"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变更董事成员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深圳市福田区深南 路与新洲路交汇处 东南侧航天大厦</w:t>
            </w:r>
            <w:r>
              <w:rPr>
                <w:rFonts w:ascii="Times New Roman" w:eastAsia="Times New Roman" w:hAnsi="Times New Roman" w:cs="Times New Roman"/>
                <w:color w:val="000000"/>
                <w:spacing w:val="0"/>
                <w:w w:val="100"/>
                <w:position w:val="0"/>
              </w:rPr>
              <w:t xml:space="preserve">A </w:t>
            </w:r>
            <w:r>
              <w:rPr>
                <w:color w:val="000000"/>
                <w:spacing w:val="0"/>
                <w:w w:val="100"/>
                <w:position w:val="0"/>
              </w:rPr>
              <w:t xml:space="preserve">座 </w:t>
            </w:r>
            <w:r>
              <w:rPr>
                <w:rFonts w:ascii="Times New Roman" w:eastAsia="Times New Roman" w:hAnsi="Times New Roman" w:cs="Times New Roman"/>
                <w:color w:val="000000"/>
                <w:spacing w:val="0"/>
                <w:w w:val="100"/>
                <w:position w:val="0"/>
              </w:rPr>
              <w:t>611A</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440301103944755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440300732044885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73204488-5</w:t>
            </w:r>
          </w:p>
        </w:tc>
      </w:tr>
      <w:tr>
        <w:trPr>
          <w:trHeight w:val="1344"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首次公开发行股票 后工商登记变更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深圳市福田区深南 路与新洲路交汇处 东南侧航天大厦</w:t>
            </w:r>
            <w:r>
              <w:rPr>
                <w:rFonts w:ascii="Times New Roman" w:eastAsia="Times New Roman" w:hAnsi="Times New Roman" w:cs="Times New Roman"/>
                <w:color w:val="000000"/>
                <w:spacing w:val="0"/>
                <w:w w:val="100"/>
                <w:position w:val="0"/>
              </w:rPr>
              <w:t xml:space="preserve">A </w:t>
            </w:r>
            <w:r>
              <w:rPr>
                <w:color w:val="000000"/>
                <w:spacing w:val="0"/>
                <w:w w:val="100"/>
                <w:position w:val="0"/>
              </w:rPr>
              <w:t xml:space="preserve">座 </w:t>
            </w:r>
            <w:r>
              <w:rPr>
                <w:rFonts w:ascii="Times New Roman" w:eastAsia="Times New Roman" w:hAnsi="Times New Roman" w:cs="Times New Roman"/>
                <w:color w:val="000000"/>
                <w:spacing w:val="0"/>
                <w:w w:val="100"/>
                <w:position w:val="0"/>
              </w:rPr>
              <w:t>611A</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440301103944755</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440300732044885</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73204488-5</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36" w:name="bookmark36"/>
      <w:bookmarkStart w:id="37" w:name="bookmark37"/>
      <w:bookmarkStart w:id="38" w:name="bookmark38"/>
      <w:r>
        <w:rPr>
          <w:color w:val="000000"/>
          <w:spacing w:val="0"/>
          <w:w w:val="100"/>
          <w:position w:val="0"/>
        </w:rPr>
        <w:t>第三节会计数据和财务指标摘要</w:t>
      </w:r>
      <w:bookmarkEnd w:id="36"/>
      <w:bookmarkEnd w:id="37"/>
      <w:bookmarkEnd w:id="38"/>
    </w:p>
    <w:p>
      <w:pPr>
        <w:pStyle w:val="Style22"/>
        <w:keepNext/>
        <w:keepLines/>
        <w:widowControl w:val="0"/>
        <w:shd w:val="clear" w:color="auto" w:fill="auto"/>
        <w:bidi w:val="0"/>
        <w:spacing w:before="0" w:after="220" w:line="240" w:lineRule="auto"/>
        <w:ind w:left="0" w:right="0" w:firstLine="240"/>
        <w:jc w:val="left"/>
      </w:pPr>
      <w:bookmarkStart w:id="39" w:name="bookmark39"/>
      <w:bookmarkStart w:id="40" w:name="bookmark40"/>
      <w:bookmarkStart w:id="41" w:name="bookmark41"/>
      <w:r>
        <w:rPr>
          <w:color w:val="000000"/>
          <w:spacing w:val="0"/>
          <w:w w:val="100"/>
          <w:position w:val="0"/>
          <w:sz w:val="24"/>
          <w:szCs w:val="24"/>
        </w:rPr>
        <w:t>、主要会计数据和财务指标</w:t>
      </w:r>
      <w:bookmarkEnd w:id="39"/>
      <w:bookmarkEnd w:id="40"/>
      <w:bookmarkEnd w:id="41"/>
    </w:p>
    <w:p>
      <w:pPr>
        <w:pStyle w:val="Style24"/>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2621"/>
        <w:gridCol w:w="1738"/>
        <w:gridCol w:w="1738"/>
        <w:gridCol w:w="1742"/>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168,207,619.87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143,916,992.81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126,274,698.47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36,207,303.07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26,156,515.98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19,914,298.35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40,113,591.15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41,856,507.60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37,747,564.51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43,964,007.72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43,645,052.53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40,259,887.73</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40,357,333.67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37,179,969.38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34,038,124.29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38,162,903.02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36,081,840.65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31,902,805.05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22,061,013.15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26,234,993.04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11,543,877.05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0.2565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32.68%</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30.63%</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本年末比上年末增减</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233,261,184.04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198,322,057.35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153,263,617.39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34,560,517.78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39,978,724.76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32,100,254.18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198,700,666.26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158,343,332.59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121,163,363.21</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w:t>
            </w:r>
          </w:p>
        </w:tc>
      </w:tr>
    </w:tbl>
    <w:p>
      <w:pPr>
        <w:spacing w:lineRule="exact" w:line="1"/>
        <w:rPr>
          <w:sz w:val="2"/>
          <w:szCs w:val="2"/>
        </w:rPr>
      </w:pPr>
      <w:r>
        <w:br w:type="page"/>
      </w:r>
    </w:p>
    <w:p>
      <w:pPr>
        <w:pStyle w:val="Style22"/>
        <w:keepNext/>
        <w:keepLines/>
        <w:widowControl w:val="0"/>
        <w:shd w:val="clear" w:color="auto" w:fill="auto"/>
        <w:bidi w:val="0"/>
        <w:spacing w:before="0" w:after="34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二</w:t>
      </w:r>
      <w:bookmarkEnd w:id="44"/>
      <w:r>
        <w:rPr>
          <w:color w:val="000000"/>
          <w:spacing w:val="0"/>
          <w:w w:val="100"/>
          <w:position w:val="0"/>
          <w:sz w:val="24"/>
          <w:szCs w:val="24"/>
        </w:rPr>
        <w:t>、境内外会计准则下会计数据差异</w:t>
      </w:r>
      <w:bookmarkEnd w:id="42"/>
      <w:bookmarkEnd w:id="43"/>
      <w:bookmarkEnd w:id="45"/>
    </w:p>
    <w:p>
      <w:pPr>
        <w:pStyle w:val="Style29"/>
        <w:keepNext/>
        <w:keepLines/>
        <w:widowControl w:val="0"/>
        <w:shd w:val="clear" w:color="auto" w:fill="auto"/>
        <w:bidi w:val="0"/>
        <w:spacing w:before="0" w:after="38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1</w:t>
      </w:r>
      <w:bookmarkEnd w:id="48"/>
      <w:r>
        <w:rPr>
          <w:color w:val="000000"/>
          <w:spacing w:val="0"/>
          <w:w w:val="100"/>
          <w:position w:val="0"/>
        </w:rPr>
        <w:t>、同时按照国际会计准则与按中国会计准则披露的财务报告中净利润和净资产差异情况</w:t>
      </w:r>
      <w:bookmarkEnd w:id="46"/>
      <w:bookmarkEnd w:id="47"/>
      <w:bookmarkEnd w:id="49"/>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40,357,333.67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37,179,969.38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198,700,666.26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158,343,332.59</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2</w:t>
      </w:r>
      <w:bookmarkEnd w:id="52"/>
      <w:r>
        <w:rPr>
          <w:color w:val="000000"/>
          <w:spacing w:val="0"/>
          <w:w w:val="100"/>
          <w:position w:val="0"/>
        </w:rPr>
        <w:t>、同时按照境外会计准则与按中国会计准则披露的财务报告中净利润和净资产差异情况</w:t>
      </w:r>
      <w:bookmarkEnd w:id="50"/>
      <w:bookmarkEnd w:id="51"/>
      <w:bookmarkEnd w:id="53"/>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40,357,333.67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37,179,969.38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198,700,666.26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158,343,332.59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both"/>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3</w:t>
      </w:r>
      <w:bookmarkEnd w:id="56"/>
      <w:r>
        <w:rPr>
          <w:color w:val="000000"/>
          <w:spacing w:val="0"/>
          <w:w w:val="100"/>
          <w:position w:val="0"/>
        </w:rPr>
        <w:t>、境内外会计准则下会计数据差异说明</w:t>
      </w:r>
      <w:bookmarkEnd w:id="54"/>
      <w:bookmarkEnd w:id="55"/>
      <w:bookmarkEnd w:id="57"/>
    </w:p>
    <w:p>
      <w:pPr>
        <w:pStyle w:val="Style22"/>
        <w:keepNext/>
        <w:keepLines/>
        <w:widowControl w:val="0"/>
        <w:shd w:val="clear" w:color="auto" w:fill="auto"/>
        <w:bidi w:val="0"/>
        <w:spacing w:before="0" w:after="340" w:line="240" w:lineRule="auto"/>
        <w:ind w:left="0" w:right="0" w:firstLine="0"/>
        <w:jc w:val="both"/>
      </w:pPr>
      <w:bookmarkStart w:id="58" w:name="bookmark58"/>
      <w:bookmarkStart w:id="59" w:name="bookmark59"/>
      <w:bookmarkStart w:id="60" w:name="bookmark60"/>
      <w:bookmarkStart w:id="61" w:name="bookmark61"/>
      <w:r>
        <w:rPr>
          <w:color w:val="000000"/>
          <w:spacing w:val="0"/>
          <w:w w:val="100"/>
          <w:position w:val="0"/>
          <w:sz w:val="24"/>
          <w:szCs w:val="24"/>
        </w:rPr>
        <w:t>三</w:t>
      </w:r>
      <w:bookmarkEnd w:id="60"/>
      <w:r>
        <w:rPr>
          <w:color w:val="000000"/>
          <w:spacing w:val="0"/>
          <w:w w:val="100"/>
          <w:position w:val="0"/>
          <w:sz w:val="24"/>
          <w:szCs w:val="24"/>
        </w:rPr>
        <w:t>、非经常性损益的项目及金额</w:t>
      </w:r>
      <w:bookmarkEnd w:id="58"/>
      <w:bookmarkEnd w:id="59"/>
      <w:bookmarkEnd w:id="61"/>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-72,206.80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-122,327.22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-124,901.68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2,434,002.22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1,303,000.00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2,557,200.00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76,599.71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111,530.23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80,024.90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243,964.48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194,074.28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377,003.98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2,194,430.65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1,098,128.73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2,135,319.24</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4"/>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sz w:val="24"/>
          <w:szCs w:val="24"/>
        </w:rPr>
        <w:t>四</w:t>
      </w:r>
      <w:bookmarkEnd w:id="64"/>
      <w:r>
        <w:rPr>
          <w:color w:val="000000"/>
          <w:spacing w:val="0"/>
          <w:w w:val="100"/>
          <w:position w:val="0"/>
          <w:sz w:val="24"/>
          <w:szCs w:val="24"/>
        </w:rPr>
        <w:t>、重大风险提示</w:t>
      </w:r>
      <w:bookmarkEnd w:id="62"/>
      <w:bookmarkEnd w:id="63"/>
      <w:bookmarkEnd w:id="65"/>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、公司营业收入和利润水平存在季节性波动风险 </w:t>
      </w:r>
      <w:r>
        <w:rPr>
          <w:color w:val="000000"/>
          <w:spacing w:val="0"/>
          <w:w w:val="100"/>
          <w:position w:val="0"/>
        </w:rPr>
        <w:t>公司历年一季度营业收入较低，而第四季度营业收入占当年收入总额的比例均较高，第四季度营业收入接近全年的一半，营 业收入存在较为明显的季节性特征，这是由于金融机构的软件系统采购主要集中在下半年，且通常在第四季度进行验收。同 时，由于软件企业员工工资性支出、房租物业管理及水电费用及固定资产摊销等成本比较稳定，造成公司净利润的季节性波 动比营业收入的季节性波动更为明显，第一季度出现亏损使发行人第四季度的净利润占比进一步提高。公司一季度亏损的可 能性较高，如果第四季度营业收入达不到预期水平，可能导致发行人全年业绩下降。</w:t>
      </w:r>
      <w:r>
        <w:rPr>
          <w:rFonts w:ascii="Times New Roman" w:eastAsia="Times New Roman" w:hAnsi="Times New Roman" w:cs="Times New Roman"/>
          <w:color w:val="000000"/>
          <w:spacing w:val="0"/>
          <w:w w:val="100"/>
          <w:position w:val="0"/>
        </w:rPr>
        <w:t>2</w:t>
      </w:r>
      <w:r>
        <w:rPr>
          <w:color w:val="000000"/>
          <w:spacing w:val="0"/>
          <w:w w:val="100"/>
          <w:position w:val="0"/>
        </w:rPr>
        <w:t>、应收账款发生坏账的风险</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2010</w:t>
      </w:r>
      <w:r>
        <w:rPr>
          <w:color w:val="000000"/>
          <w:spacing w:val="0"/>
          <w:w w:val="100"/>
          <w:position w:val="0"/>
        </w:rPr>
        <w:t>年末、</w:t>
      </w:r>
      <w:r>
        <w:rPr>
          <w:rFonts w:ascii="Times New Roman" w:eastAsia="Times New Roman" w:hAnsi="Times New Roman" w:cs="Times New Roman"/>
          <w:color w:val="000000"/>
          <w:spacing w:val="0"/>
          <w:w w:val="100"/>
          <w:position w:val="0"/>
        </w:rPr>
        <w:t>2011</w:t>
      </w:r>
      <w:r>
        <w:rPr>
          <w:color w:val="000000"/>
          <w:spacing w:val="0"/>
          <w:w w:val="100"/>
          <w:position w:val="0"/>
        </w:rPr>
        <w:t>年末、</w:t>
      </w:r>
      <w:r>
        <w:rPr>
          <w:rFonts w:ascii="Times New Roman" w:eastAsia="Times New Roman" w:hAnsi="Times New Roman" w:cs="Times New Roman"/>
          <w:color w:val="000000"/>
          <w:spacing w:val="0"/>
          <w:w w:val="100"/>
          <w:position w:val="0"/>
        </w:rPr>
        <w:t>2012</w:t>
      </w:r>
      <w:r>
        <w:rPr>
          <w:color w:val="000000"/>
          <w:spacing w:val="0"/>
          <w:w w:val="100"/>
          <w:position w:val="0"/>
        </w:rPr>
        <w:t>年末和</w:t>
      </w:r>
      <w:r>
        <w:rPr>
          <w:rFonts w:ascii="Times New Roman" w:eastAsia="Times New Roman" w:hAnsi="Times New Roman" w:cs="Times New Roman"/>
          <w:color w:val="000000"/>
          <w:spacing w:val="0"/>
          <w:w w:val="100"/>
          <w:position w:val="0"/>
        </w:rPr>
        <w:t>2013</w:t>
      </w:r>
      <w:r>
        <w:rPr>
          <w:color w:val="000000"/>
          <w:spacing w:val="0"/>
          <w:w w:val="100"/>
          <w:position w:val="0"/>
        </w:rPr>
        <w:t>年末，本公司应收账款账面价值分别为</w:t>
      </w:r>
      <w:r>
        <w:rPr>
          <w:rFonts w:ascii="Times New Roman" w:eastAsia="Times New Roman" w:hAnsi="Times New Roman" w:cs="Times New Roman"/>
          <w:color w:val="000000"/>
          <w:spacing w:val="0"/>
          <w:w w:val="100"/>
          <w:position w:val="0"/>
        </w:rPr>
        <w:t>3,116.25</w:t>
      </w:r>
      <w:r>
        <w:rPr>
          <w:color w:val="000000"/>
          <w:spacing w:val="0"/>
          <w:w w:val="100"/>
          <w:position w:val="0"/>
        </w:rPr>
        <w:t>万元、</w:t>
      </w:r>
      <w:r>
        <w:rPr>
          <w:rFonts w:ascii="Times New Roman" w:eastAsia="Times New Roman" w:hAnsi="Times New Roman" w:cs="Times New Roman"/>
          <w:color w:val="000000"/>
          <w:spacing w:val="0"/>
          <w:w w:val="100"/>
          <w:position w:val="0"/>
        </w:rPr>
        <w:t>5,523.84</w:t>
      </w:r>
      <w:r>
        <w:rPr>
          <w:color w:val="000000"/>
          <w:spacing w:val="0"/>
          <w:w w:val="100"/>
          <w:position w:val="0"/>
        </w:rPr>
        <w:t>万元、</w:t>
      </w:r>
      <w:r>
        <w:rPr>
          <w:rFonts w:ascii="Times New Roman" w:eastAsia="Times New Roman" w:hAnsi="Times New Roman" w:cs="Times New Roman"/>
          <w:color w:val="000000"/>
          <w:spacing w:val="0"/>
          <w:w w:val="100"/>
          <w:position w:val="0"/>
        </w:rPr>
        <w:t>7,233.64</w:t>
      </w:r>
      <w:r>
        <w:rPr>
          <w:color w:val="000000"/>
          <w:spacing w:val="0"/>
          <w:w w:val="100"/>
          <w:position w:val="0"/>
        </w:rPr>
        <w:t>万 元和</w:t>
      </w:r>
      <w:r>
        <w:rPr>
          <w:rFonts w:ascii="Times New Roman" w:eastAsia="Times New Roman" w:hAnsi="Times New Roman" w:cs="Times New Roman"/>
          <w:color w:val="000000"/>
          <w:spacing w:val="0"/>
          <w:w w:val="100"/>
          <w:position w:val="0"/>
        </w:rPr>
        <w:t>9,653.67</w:t>
      </w:r>
      <w:r>
        <w:rPr>
          <w:color w:val="000000"/>
          <w:spacing w:val="0"/>
          <w:w w:val="100"/>
          <w:position w:val="0"/>
        </w:rPr>
        <w:t>万元，占当期末总资产的比例分别为</w:t>
      </w:r>
      <w:r>
        <w:rPr>
          <w:rFonts w:ascii="Times New Roman" w:eastAsia="Times New Roman" w:hAnsi="Times New Roman" w:cs="Times New Roman"/>
          <w:color w:val="000000"/>
          <w:spacing w:val="0"/>
          <w:w w:val="100"/>
          <w:position w:val="0"/>
        </w:rPr>
        <w:t>29.66%</w:t>
      </w:r>
      <w:r>
        <w:rPr>
          <w:color w:val="000000"/>
          <w:spacing w:val="0"/>
          <w:w w:val="100"/>
          <w:position w:val="0"/>
        </w:rPr>
        <w:t>、</w:t>
      </w:r>
      <w:r>
        <w:rPr>
          <w:rFonts w:ascii="Times New Roman" w:eastAsia="Times New Roman" w:hAnsi="Times New Roman" w:cs="Times New Roman"/>
          <w:color w:val="000000"/>
          <w:spacing w:val="0"/>
          <w:w w:val="100"/>
          <w:position w:val="0"/>
        </w:rPr>
        <w:t>36.04%</w:t>
      </w:r>
      <w:r>
        <w:rPr>
          <w:color w:val="000000"/>
          <w:spacing w:val="0"/>
          <w:w w:val="100"/>
          <w:position w:val="0"/>
        </w:rPr>
        <w:t>、</w:t>
      </w:r>
      <w:r>
        <w:rPr>
          <w:rFonts w:ascii="Times New Roman" w:eastAsia="Times New Roman" w:hAnsi="Times New Roman" w:cs="Times New Roman"/>
          <w:color w:val="000000"/>
          <w:spacing w:val="0"/>
          <w:w w:val="100"/>
          <w:position w:val="0"/>
        </w:rPr>
        <w:t>36.47%</w:t>
      </w:r>
      <w:r>
        <w:rPr>
          <w:color w:val="000000"/>
          <w:spacing w:val="0"/>
          <w:w w:val="100"/>
          <w:position w:val="0"/>
        </w:rPr>
        <w:t>和</w:t>
      </w:r>
      <w:r>
        <w:rPr>
          <w:rFonts w:ascii="Times New Roman" w:eastAsia="Times New Roman" w:hAnsi="Times New Roman" w:cs="Times New Roman"/>
          <w:color w:val="000000"/>
          <w:spacing w:val="0"/>
          <w:w w:val="100"/>
          <w:position w:val="0"/>
        </w:rPr>
        <w:t>41.39%</w:t>
      </w:r>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年，公司应收账款周转 率分别为</w:t>
      </w:r>
      <w:r>
        <w:rPr>
          <w:rFonts w:ascii="Times New Roman" w:eastAsia="Times New Roman" w:hAnsi="Times New Roman" w:cs="Times New Roman"/>
          <w:color w:val="000000"/>
          <w:spacing w:val="0"/>
          <w:w w:val="100"/>
          <w:position w:val="0"/>
        </w:rPr>
        <w:t>4.80</w:t>
      </w:r>
      <w:r>
        <w:rPr>
          <w:color w:val="000000"/>
          <w:spacing w:val="0"/>
          <w:w w:val="100"/>
          <w:position w:val="0"/>
        </w:rPr>
        <w:t>次、</w:t>
      </w:r>
      <w:r>
        <w:rPr>
          <w:rFonts w:ascii="Times New Roman" w:eastAsia="Times New Roman" w:hAnsi="Times New Roman" w:cs="Times New Roman"/>
          <w:color w:val="000000"/>
          <w:spacing w:val="0"/>
          <w:w w:val="100"/>
          <w:position w:val="0"/>
        </w:rPr>
        <w:t>2.92</w:t>
      </w:r>
      <w:r>
        <w:rPr>
          <w:color w:val="000000"/>
          <w:spacing w:val="0"/>
          <w:w w:val="100"/>
          <w:position w:val="0"/>
        </w:rPr>
        <w:t>次、</w:t>
      </w:r>
      <w:r>
        <w:rPr>
          <w:rFonts w:ascii="Times New Roman" w:eastAsia="Times New Roman" w:hAnsi="Times New Roman" w:cs="Times New Roman"/>
          <w:color w:val="000000"/>
          <w:spacing w:val="0"/>
          <w:w w:val="100"/>
          <w:position w:val="0"/>
        </w:rPr>
        <w:t>2.26</w:t>
      </w:r>
      <w:r>
        <w:rPr>
          <w:color w:val="000000"/>
          <w:spacing w:val="0"/>
          <w:w w:val="100"/>
          <w:position w:val="0"/>
        </w:rPr>
        <w:t>次和</w:t>
      </w:r>
      <w:r>
        <w:rPr>
          <w:rFonts w:ascii="Times New Roman" w:eastAsia="Times New Roman" w:hAnsi="Times New Roman" w:cs="Times New Roman"/>
          <w:color w:val="000000"/>
          <w:spacing w:val="0"/>
          <w:w w:val="100"/>
          <w:position w:val="0"/>
        </w:rPr>
        <w:t>1.99</w:t>
      </w:r>
      <w:r>
        <w:rPr>
          <w:color w:val="000000"/>
          <w:spacing w:val="0"/>
          <w:w w:val="100"/>
          <w:position w:val="0"/>
        </w:rPr>
        <w:t>次，公司应收账款余额较大，应收账款周转率有所下降。</w:t>
      </w:r>
    </w:p>
    <w:p>
      <w:pPr>
        <w:pStyle w:val="Style24"/>
        <w:keepNext w:val="0"/>
        <w:keepLines w:val="0"/>
        <w:widowControl w:val="0"/>
        <w:shd w:val="clear" w:color="auto" w:fill="auto"/>
        <w:bidi w:val="0"/>
        <w:spacing w:before="0" w:line="311" w:lineRule="exact"/>
        <w:ind w:left="0" w:right="0" w:firstLine="0"/>
        <w:jc w:val="left"/>
      </w:pPr>
      <w:r>
        <w:rPr>
          <w:color w:val="000000"/>
          <w:spacing w:val="0"/>
          <w:w w:val="100"/>
          <w:position w:val="0"/>
        </w:rPr>
        <w:t>公司存在因应收账款周转水平较低而增加营运资金投入的需求，可能导致资产收益率降低的风险。</w:t>
      </w:r>
    </w:p>
    <w:p>
      <w:pPr>
        <w:pStyle w:val="Style24"/>
        <w:keepNext w:val="0"/>
        <w:keepLines w:val="0"/>
        <w:widowControl w:val="0"/>
        <w:shd w:val="clear" w:color="auto" w:fill="auto"/>
        <w:tabs>
          <w:tab w:pos="284" w:val="left"/>
        </w:tabs>
        <w:bidi w:val="0"/>
        <w:spacing w:before="0" w:after="0"/>
        <w:ind w:left="0" w:right="0" w:firstLine="0"/>
        <w:jc w:val="left"/>
      </w:pPr>
      <w:bookmarkStart w:id="66" w:name="bookmark66"/>
      <w:r>
        <w:rPr>
          <w:rFonts w:ascii="Times New Roman" w:eastAsia="Times New Roman" w:hAnsi="Times New Roman" w:cs="Times New Roman"/>
          <w:color w:val="000000"/>
          <w:spacing w:val="0"/>
          <w:w w:val="100"/>
          <w:position w:val="0"/>
        </w:rPr>
        <w:t>3</w:t>
      </w:r>
      <w:bookmarkEnd w:id="66"/>
      <w:r>
        <w:rPr>
          <w:color w:val="000000"/>
          <w:spacing w:val="0"/>
          <w:w w:val="100"/>
          <w:position w:val="0"/>
        </w:rPr>
        <w:t>、</w:t>
        <w:tab/>
        <w:t>人才风险</w:t>
      </w:r>
    </w:p>
    <w:p>
      <w:pPr>
        <w:pStyle w:val="Style24"/>
        <w:keepNext w:val="0"/>
        <w:keepLines w:val="0"/>
        <w:widowControl w:val="0"/>
        <w:shd w:val="clear" w:color="auto" w:fill="auto"/>
        <w:bidi w:val="0"/>
        <w:spacing w:before="0" w:line="311" w:lineRule="exact"/>
        <w:ind w:left="0" w:right="0" w:firstLine="0"/>
        <w:jc w:val="left"/>
      </w:pPr>
      <w:r>
        <w:rPr>
          <w:color w:val="000000"/>
          <w:spacing w:val="0"/>
          <w:w w:val="100"/>
          <w:position w:val="0"/>
        </w:rPr>
        <w:t>人才资源是软件企业的核心资源之一，是软件企业的第一生产力，软件行业的市场竞争越来越表现为高素质人才的竞争。软 件企业的人才流动性较高，本公司不可避免的面临核心技术人员及管理人员流失的风险。为吸引、保留和发展上述核心人员， 公司建立了较为完善的人力资源制度，采取了一些有效的激励或约束措施，例如部分关键人才直接持股，提高了公司核心人 员的稳定性。通过本次发行，公司能够获得更好的品牌效益，投入更多资源改善工作环境和工作条件，增强公司对高素质人 才的吸引力和归属感。但是，上述措施并不能完全保证核心人员的稳定，如果出现核心人员流失、人才结构失衡的情况，公 司的生产经营将受到一定的负面影响。</w:t>
      </w:r>
    </w:p>
    <w:p>
      <w:pPr>
        <w:pStyle w:val="Style24"/>
        <w:keepNext w:val="0"/>
        <w:keepLines w:val="0"/>
        <w:widowControl w:val="0"/>
        <w:shd w:val="clear" w:color="auto" w:fill="auto"/>
        <w:tabs>
          <w:tab w:pos="294" w:val="left"/>
        </w:tabs>
        <w:bidi w:val="0"/>
        <w:spacing w:before="0" w:after="0"/>
        <w:ind w:left="0" w:right="0" w:firstLine="0"/>
        <w:jc w:val="left"/>
      </w:pPr>
      <w:bookmarkStart w:id="67" w:name="bookmark67"/>
      <w:r>
        <w:rPr>
          <w:rFonts w:ascii="Times New Roman" w:eastAsia="Times New Roman" w:hAnsi="Times New Roman" w:cs="Times New Roman"/>
          <w:color w:val="000000"/>
          <w:spacing w:val="0"/>
          <w:w w:val="100"/>
          <w:position w:val="0"/>
        </w:rPr>
        <w:t>4</w:t>
      </w:r>
      <w:bookmarkEnd w:id="67"/>
      <w:r>
        <w:rPr>
          <w:color w:val="000000"/>
          <w:spacing w:val="0"/>
          <w:w w:val="100"/>
          <w:position w:val="0"/>
        </w:rPr>
        <w:t>、</w:t>
        <w:tab/>
        <w:t>管理风险</w:t>
      </w:r>
    </w:p>
    <w:p>
      <w:pPr>
        <w:pStyle w:val="Style24"/>
        <w:keepNext w:val="0"/>
        <w:keepLines w:val="0"/>
        <w:widowControl w:val="0"/>
        <w:shd w:val="clear" w:color="auto" w:fill="auto"/>
        <w:bidi w:val="0"/>
        <w:spacing w:before="0" w:line="311" w:lineRule="exact"/>
        <w:ind w:left="0" w:right="0" w:firstLine="0"/>
        <w:jc w:val="left"/>
        <w:sectPr>
          <w:footnotePr>
            <w:pos w:val="pageBottom"/>
            <w:numFmt w:val="decimal"/>
            <w:numRestart w:val="continuous"/>
          </w:footnotePr>
          <w:pgSz w:w="11900" w:h="16840"/>
          <w:pgMar w:top="1388" w:right="1078" w:bottom="1527" w:left="1044" w:header="0" w:footer="3" w:gutter="0"/>
          <w:cols w:space="720"/>
          <w:noEndnote/>
          <w:rtlGutter w:val="0"/>
          <w:docGrid w:linePitch="360"/>
        </w:sectPr>
      </w:pPr>
      <w:r>
        <w:rPr>
          <w:color w:val="000000"/>
          <w:spacing w:val="0"/>
          <w:w w:val="100"/>
          <w:position w:val="0"/>
        </w:rPr>
        <w:t>本公司核心管理团队稳定，经营稳健，建立了较为规范的法人治理结构和内控制度体系，为公司长期保持持续协调发展提供 了重要保证。公司营业收入从</w:t>
      </w:r>
      <w:r>
        <w:rPr>
          <w:rFonts w:ascii="Times New Roman" w:eastAsia="Times New Roman" w:hAnsi="Times New Roman" w:cs="Times New Roman"/>
          <w:color w:val="000000"/>
          <w:spacing w:val="0"/>
          <w:w w:val="100"/>
          <w:position w:val="0"/>
        </w:rPr>
        <w:t>2010</w:t>
      </w:r>
      <w:r>
        <w:rPr>
          <w:color w:val="000000"/>
          <w:spacing w:val="0"/>
          <w:w w:val="100"/>
          <w:position w:val="0"/>
        </w:rPr>
        <w:t>年的</w:t>
      </w:r>
      <w:r>
        <w:rPr>
          <w:rFonts w:ascii="Times New Roman" w:eastAsia="Times New Roman" w:hAnsi="Times New Roman" w:cs="Times New Roman"/>
          <w:color w:val="000000"/>
          <w:spacing w:val="0"/>
          <w:w w:val="100"/>
          <w:position w:val="0"/>
        </w:rPr>
        <w:t>10,160.95</w:t>
      </w:r>
      <w:r>
        <w:rPr>
          <w:color w:val="000000"/>
          <w:spacing w:val="0"/>
          <w:w w:val="100"/>
          <w:position w:val="0"/>
        </w:rPr>
        <w:t>万元增长到</w:t>
      </w:r>
      <w:r>
        <w:rPr>
          <w:rFonts w:ascii="Times New Roman" w:eastAsia="Times New Roman" w:hAnsi="Times New Roman" w:cs="Times New Roman"/>
          <w:color w:val="000000"/>
          <w:spacing w:val="0"/>
          <w:w w:val="100"/>
          <w:position w:val="0"/>
        </w:rPr>
        <w:t>2013</w:t>
      </w:r>
      <w:r>
        <w:rPr>
          <w:color w:val="000000"/>
          <w:spacing w:val="0"/>
          <w:w w:val="100"/>
          <w:position w:val="0"/>
        </w:rPr>
        <w:t>年的</w:t>
      </w:r>
      <w:r>
        <w:rPr>
          <w:rFonts w:ascii="Times New Roman" w:eastAsia="Times New Roman" w:hAnsi="Times New Roman" w:cs="Times New Roman"/>
          <w:color w:val="000000"/>
          <w:spacing w:val="0"/>
          <w:w w:val="100"/>
          <w:position w:val="0"/>
        </w:rPr>
        <w:t>16,820.76</w:t>
      </w:r>
      <w:r>
        <w:rPr>
          <w:color w:val="000000"/>
          <w:spacing w:val="0"/>
          <w:w w:val="100"/>
          <w:position w:val="0"/>
        </w:rPr>
        <w:t>万元；资产总额从</w:t>
      </w:r>
      <w:r>
        <w:rPr>
          <w:rFonts w:ascii="Times New Roman" w:eastAsia="Times New Roman" w:hAnsi="Times New Roman" w:cs="Times New Roman"/>
          <w:color w:val="000000"/>
          <w:spacing w:val="0"/>
          <w:w w:val="100"/>
          <w:position w:val="0"/>
        </w:rPr>
        <w:t>2010</w:t>
      </w:r>
      <w:r>
        <w:rPr>
          <w:color w:val="000000"/>
          <w:spacing w:val="0"/>
          <w:w w:val="100"/>
          <w:position w:val="0"/>
        </w:rPr>
        <w:t>年末的</w:t>
      </w:r>
      <w:r>
        <w:rPr>
          <w:rFonts w:ascii="Times New Roman" w:eastAsia="Times New Roman" w:hAnsi="Times New Roman" w:cs="Times New Roman"/>
          <w:color w:val="000000"/>
          <w:spacing w:val="0"/>
          <w:w w:val="100"/>
          <w:position w:val="0"/>
        </w:rPr>
        <w:t>10,508.02</w:t>
      </w:r>
      <w:r>
        <w:rPr>
          <w:color w:val="000000"/>
          <w:spacing w:val="0"/>
          <w:w w:val="100"/>
          <w:position w:val="0"/>
        </w:rPr>
        <w:t>万元增 长到</w:t>
      </w:r>
      <w:r>
        <w:rPr>
          <w:rFonts w:ascii="Times New Roman" w:eastAsia="Times New Roman" w:hAnsi="Times New Roman" w:cs="Times New Roman"/>
          <w:color w:val="000000"/>
          <w:spacing w:val="0"/>
          <w:w w:val="100"/>
          <w:position w:val="0"/>
        </w:rPr>
        <w:t>2013</w:t>
      </w:r>
      <w:r>
        <w:rPr>
          <w:color w:val="000000"/>
          <w:spacing w:val="0"/>
          <w:w w:val="100"/>
          <w:position w:val="0"/>
        </w:rPr>
        <w:t>年末的</w:t>
      </w:r>
      <w:r>
        <w:rPr>
          <w:rFonts w:ascii="Times New Roman" w:eastAsia="Times New Roman" w:hAnsi="Times New Roman" w:cs="Times New Roman"/>
          <w:color w:val="000000"/>
          <w:spacing w:val="0"/>
          <w:w w:val="100"/>
          <w:position w:val="0"/>
        </w:rPr>
        <w:t>23,326.12</w:t>
      </w:r>
      <w:r>
        <w:rPr>
          <w:color w:val="000000"/>
          <w:spacing w:val="0"/>
          <w:w w:val="100"/>
          <w:position w:val="0"/>
        </w:rPr>
        <w:t>万元；员工人数从</w:t>
      </w:r>
      <w:r>
        <w:rPr>
          <w:rFonts w:ascii="Times New Roman" w:eastAsia="Times New Roman" w:hAnsi="Times New Roman" w:cs="Times New Roman"/>
          <w:color w:val="000000"/>
          <w:spacing w:val="0"/>
          <w:w w:val="100"/>
          <w:position w:val="0"/>
        </w:rPr>
        <w:t>2010</w:t>
      </w:r>
      <w:r>
        <w:rPr>
          <w:color w:val="000000"/>
          <w:spacing w:val="0"/>
          <w:w w:val="100"/>
          <w:position w:val="0"/>
        </w:rPr>
        <w:t>年末的</w:t>
      </w:r>
      <w:r>
        <w:rPr>
          <w:rFonts w:ascii="Times New Roman" w:eastAsia="Times New Roman" w:hAnsi="Times New Roman" w:cs="Times New Roman"/>
          <w:color w:val="000000"/>
          <w:spacing w:val="0"/>
          <w:w w:val="100"/>
          <w:position w:val="0"/>
        </w:rPr>
        <w:t>546</w:t>
      </w:r>
      <w:r>
        <w:rPr>
          <w:color w:val="000000"/>
          <w:spacing w:val="0"/>
          <w:w w:val="100"/>
          <w:position w:val="0"/>
        </w:rPr>
        <w:t>人增长到</w:t>
      </w:r>
      <w:r>
        <w:rPr>
          <w:rFonts w:ascii="Times New Roman" w:eastAsia="Times New Roman" w:hAnsi="Times New Roman" w:cs="Times New Roman"/>
          <w:color w:val="000000"/>
          <w:spacing w:val="0"/>
          <w:w w:val="100"/>
          <w:position w:val="0"/>
        </w:rPr>
        <w:t>2013</w:t>
      </w:r>
      <w:r>
        <w:rPr>
          <w:color w:val="000000"/>
          <w:spacing w:val="0"/>
          <w:w w:val="100"/>
          <w:position w:val="0"/>
        </w:rPr>
        <w:t>年末的</w:t>
      </w:r>
      <w:r>
        <w:rPr>
          <w:rFonts w:ascii="Times New Roman" w:eastAsia="Times New Roman" w:hAnsi="Times New Roman" w:cs="Times New Roman"/>
          <w:color w:val="000000"/>
          <w:spacing w:val="0"/>
          <w:w w:val="100"/>
          <w:position w:val="0"/>
        </w:rPr>
        <w:t>828</w:t>
      </w:r>
      <w:r>
        <w:rPr>
          <w:color w:val="000000"/>
          <w:spacing w:val="0"/>
          <w:w w:val="100"/>
          <w:position w:val="0"/>
        </w:rPr>
        <w:t>人。随着公司经营规模的扩大，建立更加 有效的管理决策体系，进一步完善内部控制体系，引进和培养技术及管理人才都将成为公司面临的重要问题。如果公司在高 速发展过程中，不能妥善、有效地解决高速成长带来的管理风险，就会对公司生产经营造成不利影响。</w:t>
      </w:r>
    </w:p>
    <w:p>
      <w:pPr>
        <w:pStyle w:val="Style8"/>
        <w:keepNext/>
        <w:keepLines/>
        <w:widowControl w:val="0"/>
        <w:shd w:val="clear" w:color="auto" w:fill="auto"/>
        <w:bidi w:val="0"/>
        <w:spacing w:before="620" w:after="520" w:line="240" w:lineRule="auto"/>
        <w:ind w:left="0" w:right="0" w:firstLine="0"/>
        <w:jc w:val="center"/>
      </w:pPr>
      <w:bookmarkStart w:id="68" w:name="bookmark68"/>
      <w:bookmarkStart w:id="69" w:name="bookmark69"/>
      <w:bookmarkStart w:id="70" w:name="bookmark70"/>
      <w:r>
        <w:rPr>
          <w:color w:val="000000"/>
          <w:spacing w:val="0"/>
          <w:w w:val="100"/>
          <w:position w:val="0"/>
        </w:rPr>
        <w:t>第四节董事会报告</w:t>
      </w:r>
      <w:bookmarkEnd w:id="68"/>
      <w:bookmarkEnd w:id="69"/>
      <w:bookmarkEnd w:id="70"/>
    </w:p>
    <w:p>
      <w:pPr>
        <w:pStyle w:val="Style22"/>
        <w:keepNext/>
        <w:keepLines/>
        <w:widowControl w:val="0"/>
        <w:shd w:val="clear" w:color="auto" w:fill="auto"/>
        <w:bidi w:val="0"/>
        <w:spacing w:before="0" w:after="34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sz w:val="24"/>
          <w:szCs w:val="24"/>
        </w:rPr>
        <w:t>一</w:t>
      </w:r>
      <w:bookmarkEnd w:id="73"/>
      <w:r>
        <w:rPr>
          <w:color w:val="000000"/>
          <w:spacing w:val="0"/>
          <w:w w:val="100"/>
          <w:position w:val="0"/>
          <w:sz w:val="24"/>
          <w:szCs w:val="24"/>
        </w:rPr>
        <w:t>、管理层讨论与分析</w:t>
      </w:r>
      <w:bookmarkEnd w:id="71"/>
      <w:bookmarkEnd w:id="72"/>
      <w:bookmarkEnd w:id="74"/>
    </w:p>
    <w:p>
      <w:pPr>
        <w:pStyle w:val="Style29"/>
        <w:keepNext/>
        <w:keepLines/>
        <w:widowControl w:val="0"/>
        <w:shd w:val="clear" w:color="auto" w:fill="auto"/>
        <w:tabs>
          <w:tab w:pos="373" w:val="left"/>
        </w:tabs>
        <w:bidi w:val="0"/>
        <w:spacing w:before="0" w:after="26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1</w:t>
      </w:r>
      <w:bookmarkEnd w:id="77"/>
      <w:r>
        <w:rPr>
          <w:color w:val="000000"/>
          <w:spacing w:val="0"/>
          <w:w w:val="100"/>
          <w:position w:val="0"/>
        </w:rPr>
        <w:t>、</w:t>
        <w:tab/>
        <w:t>报告期内主要业务回顾</w:t>
      </w:r>
      <w:bookmarkEnd w:id="75"/>
      <w:bookmarkEnd w:id="76"/>
      <w:bookmarkEnd w:id="78"/>
    </w:p>
    <w:p>
      <w:pPr>
        <w:pStyle w:val="Style24"/>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公司的主营业务是为金融机构及其高端客户的资产管理和资产托管业务提供整体信息化建设解决方案的应用软件及 增值服务。</w:t>
      </w:r>
      <w:r>
        <w:rPr>
          <w:rFonts w:ascii="Times New Roman" w:eastAsia="Times New Roman" w:hAnsi="Times New Roman" w:cs="Times New Roman"/>
          <w:color w:val="000000"/>
          <w:spacing w:val="0"/>
          <w:w w:val="100"/>
          <w:position w:val="0"/>
        </w:rPr>
        <w:t>2013</w:t>
      </w:r>
      <w:r>
        <w:rPr>
          <w:color w:val="000000"/>
          <w:spacing w:val="0"/>
          <w:w w:val="100"/>
          <w:position w:val="0"/>
        </w:rPr>
        <w:t>年，随着我国大力推进市场化改革，国家对金融业逐步放开，对金融牌照管控如托管牌照审批、混业经营限 制放宽，财富管理业务管制放松，资管机构、托管机构呈多元化趋势并快速成长，金融产品包括各类衍生金融产品创新层出 不穷，互联网企业也对传统金融企业形成一定的挑战，金融机构面临的竞争态势加剧，信息化建设成为金融机构拓展业务的 核心竞争力，同时，国家对金融监管的要求也发生了深刻变化，金融机构对信息化产品与服务的需求快速增加，这将为公司 业务的发展带来了很好的市场机遇。同时，由于人力成本的上升也给公司经营带来一定的压力，对公司净利润的增长产生一 定程度的影响。</w:t>
      </w:r>
    </w:p>
    <w:p>
      <w:pPr>
        <w:pStyle w:val="Style24"/>
        <w:keepNext w:val="0"/>
        <w:keepLines w:val="0"/>
        <w:widowControl w:val="0"/>
        <w:shd w:val="clear" w:color="auto" w:fill="auto"/>
        <w:bidi w:val="0"/>
        <w:spacing w:before="0" w:after="340" w:line="313" w:lineRule="exact"/>
        <w:ind w:left="0" w:right="0" w:firstLine="5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16,820.76</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16.88%</w:t>
      </w:r>
      <w:r>
        <w:rPr>
          <w:color w:val="000000"/>
          <w:spacing w:val="0"/>
          <w:w w:val="100"/>
          <w:position w:val="0"/>
        </w:rPr>
        <w:t>；营业总成本费用</w:t>
      </w:r>
      <w:r>
        <w:rPr>
          <w:rFonts w:ascii="Times New Roman" w:eastAsia="Times New Roman" w:hAnsi="Times New Roman" w:cs="Times New Roman"/>
          <w:color w:val="000000"/>
          <w:spacing w:val="0"/>
          <w:w w:val="100"/>
          <w:position w:val="0"/>
        </w:rPr>
        <w:t>12,809.40</w:t>
      </w:r>
      <w:r>
        <w:rPr>
          <w:color w:val="000000"/>
          <w:spacing w:val="0"/>
          <w:w w:val="100"/>
          <w:position w:val="0"/>
        </w:rPr>
        <w:t>万元，比上年同期增 长</w:t>
      </w:r>
      <w:r>
        <w:rPr>
          <w:rFonts w:ascii="Times New Roman" w:eastAsia="Times New Roman" w:hAnsi="Times New Roman" w:cs="Times New Roman"/>
          <w:color w:val="000000"/>
          <w:spacing w:val="0"/>
          <w:w w:val="100"/>
          <w:position w:val="0"/>
        </w:rPr>
        <w:t>25.51%</w:t>
      </w:r>
      <w:r>
        <w:rPr>
          <w:color w:val="000000"/>
          <w:spacing w:val="0"/>
          <w:w w:val="100"/>
          <w:position w:val="0"/>
        </w:rPr>
        <w:t>；实现净利润</w:t>
      </w:r>
      <w:r>
        <w:rPr>
          <w:rFonts w:ascii="Times New Roman" w:eastAsia="Times New Roman" w:hAnsi="Times New Roman" w:cs="Times New Roman"/>
          <w:color w:val="000000"/>
          <w:spacing w:val="0"/>
          <w:w w:val="100"/>
          <w:position w:val="0"/>
        </w:rPr>
        <w:t>4,035.73</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8.55%</w:t>
      </w:r>
      <w:r>
        <w:rPr>
          <w:color w:val="000000"/>
          <w:spacing w:val="0"/>
          <w:w w:val="100"/>
          <w:position w:val="0"/>
        </w:rPr>
        <w:t>；经营活动现金流量净额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,206.10</w:t>
      </w:r>
      <w:r>
        <w:rPr>
          <w:color w:val="000000"/>
          <w:spacing w:val="0"/>
          <w:w w:val="100"/>
          <w:position w:val="0"/>
        </w:rPr>
        <w:t>万元，比上年同期下降</w:t>
      </w:r>
      <w:r>
        <w:rPr>
          <w:rFonts w:ascii="Times New Roman" w:eastAsia="Times New Roman" w:hAnsi="Times New Roman" w:cs="Times New Roman"/>
          <w:color w:val="000000"/>
          <w:spacing w:val="0"/>
          <w:w w:val="100"/>
          <w:position w:val="0"/>
        </w:rPr>
        <w:t xml:space="preserve">15.91 </w:t>
      </w:r>
      <w:r>
        <w:rPr>
          <w:rFonts w:ascii="Times New Roman" w:eastAsia="Times New Roman" w:hAnsi="Times New Roman" w:cs="Times New Roman"/>
          <w:color w:val="000000"/>
          <w:spacing w:val="0"/>
          <w:w w:val="100"/>
          <w:position w:val="0"/>
        </w:rPr>
        <w:t>%</w:t>
      </w:r>
      <w:r>
        <w:rPr>
          <w:color w:val="000000"/>
          <w:spacing w:val="0"/>
          <w:w w:val="100"/>
          <w:position w:val="0"/>
        </w:rPr>
        <w:t xml:space="preserve">， 其中：销售商品接受劳务收到的现金比上年同期增加了 </w:t>
      </w:r>
      <w:r>
        <w:rPr>
          <w:rFonts w:ascii="Times New Roman" w:eastAsia="Times New Roman" w:hAnsi="Times New Roman" w:cs="Times New Roman"/>
          <w:color w:val="000000"/>
          <w:spacing w:val="0"/>
          <w:w w:val="100"/>
          <w:position w:val="0"/>
        </w:rPr>
        <w:t>17.36%</w:t>
      </w:r>
      <w:r>
        <w:rPr>
          <w:color w:val="000000"/>
          <w:spacing w:val="0"/>
          <w:w w:val="100"/>
          <w:position w:val="0"/>
        </w:rPr>
        <w:t xml:space="preserve">，但支付给职工以及为职工支付的现金增加了 </w:t>
      </w:r>
      <w:r>
        <w:rPr>
          <w:rFonts w:ascii="Times New Roman" w:eastAsia="Times New Roman" w:hAnsi="Times New Roman" w:cs="Times New Roman"/>
          <w:color w:val="000000"/>
          <w:spacing w:val="0"/>
          <w:w w:val="100"/>
          <w:position w:val="0"/>
        </w:rPr>
        <w:t>37.65%</w:t>
      </w:r>
      <w:r>
        <w:rPr>
          <w:color w:val="000000"/>
          <w:spacing w:val="0"/>
          <w:w w:val="100"/>
          <w:position w:val="0"/>
        </w:rPr>
        <w:t>，引起 变动的主要因素是研发投入需要导致人员的增加及薪酬的调整致使人力成本较大幅增加。收入的增长小于成本费用的增长是 导致净利润增幅小于营业收入增幅的主要原因。</w:t>
      </w:r>
    </w:p>
    <w:p>
      <w:pPr>
        <w:pStyle w:val="Style29"/>
        <w:keepNext/>
        <w:keepLines/>
        <w:widowControl w:val="0"/>
        <w:shd w:val="clear" w:color="auto" w:fill="auto"/>
        <w:tabs>
          <w:tab w:pos="382" w:val="left"/>
        </w:tabs>
        <w:bidi w:val="0"/>
        <w:spacing w:before="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2</w:t>
      </w:r>
      <w:bookmarkEnd w:id="81"/>
      <w:r>
        <w:rPr>
          <w:color w:val="000000"/>
          <w:spacing w:val="0"/>
          <w:w w:val="100"/>
          <w:position w:val="0"/>
        </w:rPr>
        <w:t>、</w:t>
        <w:tab/>
        <w:t>报告期内主要经营情况</w:t>
      </w:r>
      <w:bookmarkEnd w:id="79"/>
      <w:bookmarkEnd w:id="80"/>
      <w:bookmarkEnd w:id="82"/>
    </w:p>
    <w:p>
      <w:pPr>
        <w:pStyle w:val="Style29"/>
        <w:keepNext/>
        <w:keepLines/>
        <w:widowControl w:val="0"/>
        <w:shd w:val="clear" w:color="auto" w:fill="auto"/>
        <w:bidi w:val="0"/>
        <w:spacing w:before="0" w:line="240" w:lineRule="auto"/>
        <w:ind w:left="0" w:right="0" w:firstLine="0"/>
        <w:jc w:val="left"/>
      </w:pPr>
      <w:bookmarkStart w:id="79" w:name="bookmark79"/>
      <w:bookmarkStart w:id="80" w:name="bookmark80"/>
      <w:bookmarkStart w:id="83" w:name="bookmark83"/>
      <w:bookmarkStart w:id="84" w:name="bookmark84"/>
      <w:r>
        <w:rPr>
          <w:color w:val="000000"/>
          <w:spacing w:val="0"/>
          <w:w w:val="100"/>
          <w:position w:val="0"/>
        </w:rPr>
        <w:t>（</w:t>
      </w:r>
      <w:bookmarkEnd w:id="83"/>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79"/>
      <w:bookmarkEnd w:id="80"/>
      <w:bookmarkEnd w:id="84"/>
    </w:p>
    <w:p>
      <w:pPr>
        <w:pStyle w:val="Style24"/>
        <w:keepNext w:val="0"/>
        <w:keepLines w:val="0"/>
        <w:widowControl w:val="0"/>
        <w:shd w:val="clear" w:color="auto" w:fill="auto"/>
        <w:tabs>
          <w:tab w:pos="330" w:val="left"/>
        </w:tabs>
        <w:bidi w:val="0"/>
        <w:spacing w:before="0" w:after="0"/>
        <w:ind w:left="0" w:right="0" w:firstLine="0"/>
        <w:jc w:val="left"/>
      </w:pPr>
      <w:bookmarkStart w:id="85" w:name="bookmark85"/>
      <w:r>
        <w:rPr>
          <w:rFonts w:ascii="Times New Roman" w:eastAsia="Times New Roman" w:hAnsi="Times New Roman" w:cs="Times New Roman"/>
          <w:color w:val="000000"/>
          <w:spacing w:val="0"/>
          <w:w w:val="100"/>
          <w:position w:val="0"/>
        </w:rPr>
        <w:t>1</w:t>
      </w:r>
      <w:bookmarkEnd w:id="85"/>
      <w:r>
        <w:rPr>
          <w:rFonts w:ascii="Times New Roman" w:eastAsia="Times New Roman" w:hAnsi="Times New Roman" w:cs="Times New Roman"/>
          <w:color w:val="000000"/>
          <w:spacing w:val="0"/>
          <w:w w:val="100"/>
          <w:position w:val="0"/>
        </w:rPr>
        <w:t>）</w:t>
        <w:tab/>
      </w:r>
      <w:r>
        <w:rPr>
          <w:color w:val="000000"/>
          <w:spacing w:val="0"/>
          <w:w w:val="100"/>
          <w:position w:val="0"/>
        </w:rPr>
        <w:t>概述</w:t>
      </w:r>
    </w:p>
    <w:p>
      <w:pPr>
        <w:pStyle w:val="Style24"/>
        <w:keepNext w:val="0"/>
        <w:keepLines w:val="0"/>
        <w:widowControl w:val="0"/>
        <w:shd w:val="clear" w:color="auto" w:fill="auto"/>
        <w:bidi w:val="0"/>
        <w:spacing w:before="0" w:after="40" w:line="310" w:lineRule="exact"/>
        <w:ind w:left="0" w:right="0" w:firstLine="600"/>
        <w:jc w:val="left"/>
      </w:pPr>
      <w:r>
        <w:rPr>
          <w:color w:val="000000"/>
          <w:spacing w:val="0"/>
          <w:w w:val="100"/>
          <w:position w:val="0"/>
        </w:rPr>
        <w:t>报告期内，公司营业收入</w:t>
      </w:r>
      <w:r>
        <w:rPr>
          <w:rFonts w:ascii="Times New Roman" w:eastAsia="Times New Roman" w:hAnsi="Times New Roman" w:cs="Times New Roman"/>
          <w:color w:val="000000"/>
          <w:spacing w:val="0"/>
          <w:w w:val="100"/>
          <w:position w:val="0"/>
        </w:rPr>
        <w:t>99%</w:t>
      </w:r>
      <w:r>
        <w:rPr>
          <w:color w:val="000000"/>
          <w:spacing w:val="0"/>
          <w:w w:val="100"/>
          <w:position w:val="0"/>
        </w:rPr>
        <w:t>以上为主营业务收入，同比增长</w:t>
      </w:r>
      <w:r>
        <w:rPr>
          <w:rFonts w:ascii="Times New Roman" w:eastAsia="Times New Roman" w:hAnsi="Times New Roman" w:cs="Times New Roman"/>
          <w:color w:val="000000"/>
          <w:spacing w:val="0"/>
          <w:w w:val="100"/>
          <w:position w:val="0"/>
        </w:rPr>
        <w:t xml:space="preserve">16.88% </w:t>
      </w:r>
      <w:r>
        <w:rPr>
          <w:color w:val="000000"/>
          <w:spacing w:val="0"/>
          <w:w w:val="100"/>
          <w:position w:val="0"/>
        </w:rPr>
        <w:t>；营业成本较去年同期增长</w:t>
      </w:r>
      <w:r>
        <w:rPr>
          <w:rFonts w:ascii="Times New Roman" w:eastAsia="Times New Roman" w:hAnsi="Times New Roman" w:cs="Times New Roman"/>
          <w:color w:val="000000"/>
          <w:spacing w:val="0"/>
          <w:w w:val="100"/>
          <w:position w:val="0"/>
        </w:rPr>
        <w:t>38.43%</w:t>
      </w:r>
      <w:r>
        <w:rPr>
          <w:color w:val="000000"/>
          <w:spacing w:val="0"/>
          <w:w w:val="100"/>
          <w:position w:val="0"/>
        </w:rPr>
        <w:t>，销售费用 较去年同期增长</w:t>
      </w:r>
      <w:r>
        <w:rPr>
          <w:rFonts w:ascii="Times New Roman" w:eastAsia="Times New Roman" w:hAnsi="Times New Roman" w:cs="Times New Roman"/>
          <w:color w:val="000000"/>
          <w:spacing w:val="0"/>
          <w:w w:val="100"/>
          <w:position w:val="0"/>
        </w:rPr>
        <w:t>58.52%</w:t>
      </w:r>
      <w:r>
        <w:rPr>
          <w:color w:val="000000"/>
          <w:spacing w:val="0"/>
          <w:w w:val="100"/>
          <w:position w:val="0"/>
        </w:rPr>
        <w:t>,管理费用增长</w:t>
      </w:r>
      <w:r>
        <w:rPr>
          <w:rFonts w:ascii="Times New Roman" w:eastAsia="Times New Roman" w:hAnsi="Times New Roman" w:cs="Times New Roman"/>
          <w:color w:val="000000"/>
          <w:spacing w:val="0"/>
          <w:w w:val="100"/>
          <w:position w:val="0"/>
        </w:rPr>
        <w:t>26.96%</w:t>
      </w:r>
      <w:r>
        <w:rPr>
          <w:color w:val="000000"/>
          <w:spacing w:val="0"/>
          <w:w w:val="100"/>
          <w:position w:val="0"/>
        </w:rPr>
        <w:t>,主要为人力成本的增长所致。经营现金流量净额较去年同期减少</w:t>
      </w:r>
      <w:r>
        <w:rPr>
          <w:rFonts w:ascii="Times New Roman" w:eastAsia="Times New Roman" w:hAnsi="Times New Roman" w:cs="Times New Roman"/>
          <w:color w:val="000000"/>
          <w:spacing w:val="0"/>
          <w:w w:val="100"/>
          <w:position w:val="0"/>
        </w:rPr>
        <w:t>417.4</w:t>
      </w:r>
      <w:r>
        <w:rPr>
          <w:rFonts w:ascii="Times New Roman" w:eastAsia="Times New Roman" w:hAnsi="Times New Roman" w:cs="Times New Roman"/>
          <w:color w:val="000000"/>
          <w:spacing w:val="0"/>
          <w:w w:val="100"/>
          <w:position w:val="0"/>
        </w:rPr>
        <w:t>0</w:t>
      </w:r>
      <w:r>
        <w:rPr>
          <w:color w:val="000000"/>
          <w:spacing w:val="0"/>
          <w:w w:val="100"/>
          <w:position w:val="0"/>
        </w:rPr>
        <w:t>万元, 下降</w:t>
      </w:r>
      <w:r>
        <w:rPr>
          <w:rFonts w:ascii="Times New Roman" w:eastAsia="Times New Roman" w:hAnsi="Times New Roman" w:cs="Times New Roman"/>
          <w:color w:val="000000"/>
          <w:spacing w:val="0"/>
          <w:w w:val="100"/>
          <w:position w:val="0"/>
        </w:rPr>
        <w:t>15.91%</w:t>
      </w:r>
      <w:r>
        <w:rPr>
          <w:color w:val="000000"/>
          <w:spacing w:val="0"/>
          <w:w w:val="100"/>
          <w:position w:val="0"/>
        </w:rPr>
        <w:t>,主要为人员增加引起的人力成本及相关费用的增加所致。</w:t>
      </w:r>
    </w:p>
    <w:p>
      <w:pPr>
        <w:pStyle w:val="Style24"/>
        <w:keepNext w:val="0"/>
        <w:keepLines w:val="0"/>
        <w:widowControl w:val="0"/>
        <w:shd w:val="clear" w:color="auto" w:fill="auto"/>
        <w:tabs>
          <w:tab w:pos="349" w:val="left"/>
        </w:tabs>
        <w:bidi w:val="0"/>
        <w:spacing w:before="0" w:after="120" w:line="313" w:lineRule="exact"/>
        <w:ind w:left="0" w:right="0" w:firstLine="0"/>
        <w:jc w:val="left"/>
      </w:pPr>
      <w:bookmarkStart w:id="86" w:name="bookmark86"/>
      <w:r>
        <w:rPr>
          <w:rFonts w:ascii="Times New Roman" w:eastAsia="Times New Roman" w:hAnsi="Times New Roman" w:cs="Times New Roman"/>
          <w:color w:val="000000"/>
          <w:spacing w:val="0"/>
          <w:w w:val="100"/>
          <w:position w:val="0"/>
        </w:rPr>
        <w:t>2</w:t>
      </w:r>
      <w:bookmarkEnd w:id="86"/>
      <w:r>
        <w:rPr>
          <w:rFonts w:ascii="Times New Roman" w:eastAsia="Times New Roman" w:hAnsi="Times New Roman" w:cs="Times New Roman"/>
          <w:color w:val="000000"/>
          <w:spacing w:val="0"/>
          <w:w w:val="100"/>
          <w:position w:val="0"/>
        </w:rPr>
        <w:t>）</w:t>
        <w:tab/>
      </w:r>
      <w:r>
        <w:rPr>
          <w:color w:val="000000"/>
          <w:spacing w:val="0"/>
          <w:w w:val="100"/>
          <w:position w:val="0"/>
        </w:rPr>
        <w:t>报告期利润构成或利润来源发生重大变动的说明</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w:t>
      </w:r>
    </w:p>
    <w:tbl>
      <w:tblPr>
        <w:tblOverlap w:val="never"/>
        <w:jc w:val="center"/>
        <w:tblLayout w:type="fixed"/>
      </w:tblPr>
      <w:tblGrid>
        <w:gridCol w:w="1651"/>
        <w:gridCol w:w="1219"/>
        <w:gridCol w:w="1286"/>
        <w:gridCol w:w="1277"/>
        <w:gridCol w:w="3974"/>
      </w:tblGrid>
      <w:tr>
        <w:trPr>
          <w:trHeight w:val="370"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报表项目</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2013 </w:t>
            </w:r>
            <w:r>
              <w:rPr>
                <w:b/>
                <w:bCs/>
                <w:color w:val="000000"/>
                <w:spacing w:val="0"/>
                <w:w w:val="100"/>
                <w:position w:val="0"/>
              </w:rPr>
              <w:t>年</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2012 </w:t>
            </w:r>
            <w:r>
              <w:rPr>
                <w:b/>
                <w:bCs/>
                <w:color w:val="000000"/>
                <w:spacing w:val="0"/>
                <w:w w:val="100"/>
                <w:position w:val="0"/>
              </w:rPr>
              <w:t>年</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增减变动幅度</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w:t>
            </w:r>
          </w:p>
        </w:tc>
      </w:tr>
      <w:tr>
        <w:trPr>
          <w:trHeight w:val="64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16,820.76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14,391.70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客户信息化建设需求增加，特别是银行客户数量显 著增加</w:t>
            </w:r>
          </w:p>
        </w:tc>
      </w:tr>
      <w:tr>
        <w:trPr>
          <w:trHeight w:val="653"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3,620.73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2,615.65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随着业务和客户数量增加，实施人员、技术支持和 技术服务人员相应增加，</w:t>
            </w:r>
          </w:p>
        </w:tc>
      </w:tr>
      <w:tr>
        <w:trPr>
          <w:trHeight w:val="64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53.18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179.25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研发和技术服务收入自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日由营业税改 征增值税所致</w:t>
            </w:r>
          </w:p>
        </w:tc>
      </w:tr>
      <w:tr>
        <w:trPr>
          <w:trHeight w:val="33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563.85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355.70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销售业务量增加及薪酬增加所致</w:t>
            </w:r>
          </w:p>
        </w:tc>
      </w:tr>
      <w:tr>
        <w:trPr>
          <w:trHeight w:val="64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8,487.86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6,685.41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研发投入增加导致研发费用增加以及人员增加导 致薪酬增加共同影响所致</w:t>
            </w:r>
          </w:p>
        </w:tc>
      </w:tr>
      <w:tr>
        <w:trPr>
          <w:trHeight w:val="33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60.01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归还银行借款、银行借款利息支出减少所致</w:t>
            </w:r>
          </w:p>
        </w:tc>
      </w:tr>
      <w:tr>
        <w:trPr>
          <w:trHeight w:val="35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269.98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加大应收账款催收力度，应收款项账龄结构改变，</w:t>
            </w:r>
          </w:p>
        </w:tc>
      </w:tr>
    </w:tbl>
    <w:p>
      <w:pPr>
        <w:spacing w:lineRule="exact" w:line="1"/>
        <w:rPr>
          <w:sz w:val="2"/>
          <w:szCs w:val="2"/>
        </w:rPr>
      </w:pPr>
      <w:r>
        <w:br w:type="page"/>
      </w:r>
    </w:p>
    <w:tbl>
      <w:tblPr>
        <w:tblOverlap w:val="never"/>
        <w:jc w:val="center"/>
        <w:tblLayout w:type="fixed"/>
      </w:tblPr>
      <w:tblGrid>
        <w:gridCol w:w="1666"/>
        <w:gridCol w:w="1219"/>
        <w:gridCol w:w="1286"/>
        <w:gridCol w:w="1277"/>
        <w:gridCol w:w="3974"/>
      </w:tblGrid>
      <w:tr>
        <w:trPr>
          <w:trHeight w:val="37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计提坏账冲回等共同影响所致</w:t>
            </w:r>
          </w:p>
        </w:tc>
      </w:tr>
      <w:tr>
        <w:trPr>
          <w:trHeight w:val="64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4,011.36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4,185.65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因人员增加、薪酬调整导致人力成本增加从而使营 业总成本上升所致</w:t>
            </w:r>
          </w:p>
        </w:tc>
      </w:tr>
      <w:tr>
        <w:trPr>
          <w:trHeight w:val="64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加：营业外收入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392.39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因享受政府补助增加及即征即退返还税款增加所 致</w:t>
            </w:r>
          </w:p>
        </w:tc>
      </w:tr>
      <w:tr>
        <w:trPr>
          <w:trHeight w:val="33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减：营业外支出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电脑等办公设备日常报废损失</w:t>
            </w:r>
          </w:p>
        </w:tc>
      </w:tr>
      <w:tr>
        <w:trPr>
          <w:trHeight w:val="33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4,396.40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4,364.51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营业收入增加所致</w:t>
            </w:r>
          </w:p>
        </w:tc>
      </w:tr>
      <w:tr>
        <w:trPr>
          <w:trHeight w:val="9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减：所得税费用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392.39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646.51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年度取得国家规划布局内重点软件企业 认定导致实际税率下降及研发费用加计扣除金额 增加所致</w:t>
            </w:r>
          </w:p>
        </w:tc>
      </w:tr>
      <w:tr>
        <w:trPr>
          <w:trHeight w:val="3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4,035.73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3,718.00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营业收入增加所致</w:t>
            </w:r>
          </w:p>
        </w:tc>
      </w:tr>
    </w:tbl>
    <w:p>
      <w:pPr>
        <w:widowControl w:val="0"/>
        <w:spacing w:after="379" w:line="1" w:lineRule="exact"/>
      </w:pPr>
    </w:p>
    <w:p>
      <w:pPr>
        <w:pStyle w:val="Style24"/>
        <w:keepNext w:val="0"/>
        <w:keepLines w:val="0"/>
        <w:widowControl w:val="0"/>
        <w:shd w:val="clear" w:color="auto" w:fill="auto"/>
        <w:bidi w:val="0"/>
        <w:spacing w:before="0" w:after="100" w:line="240" w:lineRule="auto"/>
        <w:ind w:left="0" w:right="0" w:firstLine="0"/>
        <w:jc w:val="left"/>
      </w:pPr>
      <w:bookmarkStart w:id="87" w:name="bookmark87"/>
      <w:r>
        <w:rPr>
          <w:rFonts w:ascii="Times New Roman" w:eastAsia="Times New Roman" w:hAnsi="Times New Roman" w:cs="Times New Roman"/>
          <w:color w:val="000000"/>
          <w:spacing w:val="0"/>
          <w:w w:val="100"/>
          <w:position w:val="0"/>
        </w:rPr>
        <w:t>3</w:t>
      </w:r>
      <w:bookmarkEnd w:id="87"/>
      <w:r>
        <w:rPr>
          <w:rFonts w:ascii="Times New Roman" w:eastAsia="Times New Roman" w:hAnsi="Times New Roman" w:cs="Times New Roman"/>
          <w:color w:val="000000"/>
          <w:spacing w:val="0"/>
          <w:w w:val="100"/>
          <w:position w:val="0"/>
        </w:rPr>
        <w:t>）</w:t>
      </w:r>
      <w:r>
        <w:rPr>
          <w:color w:val="000000"/>
          <w:spacing w:val="0"/>
          <w:w w:val="100"/>
          <w:position w:val="0"/>
        </w:rPr>
        <w:t>收入</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168,207,619.87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143,916,992.81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w:t>
            </w:r>
          </w:p>
        </w:tc>
      </w:tr>
    </w:tbl>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驱动收入变化的因素</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由于国家对资产托管牌照的放开，取得资产托管资格的城市商业银行增多，</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年公司新增银行客户较多，银行客户合同订 单增加了 </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混业经营限制的放宽及金融业务创新，客户对支撑其新业务开展的信息系统及服务需求旺盛。</w:t>
      </w:r>
    </w:p>
    <w:p>
      <w:pPr>
        <w:pStyle w:val="Style24"/>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公司实物销售收入是否大于劳务收入</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公司重大的在手订单情况</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数量分散的订单情况</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公司报告期内产品或服务发生重大变化或调整有关情况</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0"/>
        <w:ind w:left="0" w:right="0" w:firstLine="0"/>
        <w:jc w:val="left"/>
      </w:pPr>
      <w:bookmarkStart w:id="88" w:name="bookmark88"/>
      <w:r>
        <w:rPr>
          <w:rFonts w:ascii="Times New Roman" w:eastAsia="Times New Roman" w:hAnsi="Times New Roman" w:cs="Times New Roman"/>
          <w:color w:val="000000"/>
          <w:spacing w:val="0"/>
          <w:w w:val="100"/>
          <w:position w:val="0"/>
        </w:rPr>
        <w:t>4</w:t>
      </w:r>
      <w:bookmarkEnd w:id="88"/>
      <w:r>
        <w:rPr>
          <w:rFonts w:ascii="Times New Roman" w:eastAsia="Times New Roman" w:hAnsi="Times New Roman" w:cs="Times New Roman"/>
          <w:color w:val="000000"/>
          <w:spacing w:val="0"/>
          <w:w w:val="100"/>
          <w:position w:val="0"/>
        </w:rPr>
        <w:t>）</w:t>
      </w:r>
      <w:r>
        <w:rPr>
          <w:color w:val="000000"/>
          <w:spacing w:val="0"/>
          <w:w w:val="100"/>
          <w:position w:val="0"/>
        </w:rPr>
        <w:t>成本</w:t>
      </w:r>
    </w:p>
    <w:p>
      <w:pPr>
        <w:pStyle w:val="Style24"/>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603"/>
        <w:gridCol w:w="1579"/>
        <w:gridCol w:w="161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占营业成本比重</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占营业成本比重</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人员工资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33,635,259.24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22,389,904.08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50.23%</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138,663.96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153,524.23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2,433,379.87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3,613,087.67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32.65%</w:t>
            </w:r>
          </w:p>
        </w:tc>
      </w:tr>
      <w:tr>
        <w:trPr>
          <w:trHeight w:val="408"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36,207,303.07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26,156,515.98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费用</w:t>
      </w:r>
    </w:p>
    <w:p>
      <w:pPr>
        <w:widowControl w:val="0"/>
        <w:spacing w:after="99" w:line="1" w:lineRule="exact"/>
      </w:pPr>
    </w:p>
    <w:p>
      <w:pPr>
        <w:pStyle w:val="Style24"/>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5,638,546.96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3,557,031.12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本期销售费用较上期增加</w:t>
            </w:r>
          </w:p>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2,081,515.84 </w:t>
            </w:r>
            <w:r>
              <w:rPr>
                <w:color w:val="000000"/>
                <w:spacing w:val="0"/>
                <w:w w:val="100"/>
                <w:position w:val="0"/>
              </w:rPr>
              <w:t xml:space="preserve">元，增长了 </w:t>
            </w:r>
            <w:r>
              <w:rPr>
                <w:rFonts w:ascii="Times New Roman" w:eastAsia="Times New Roman" w:hAnsi="Times New Roman" w:cs="Times New Roman"/>
                <w:color w:val="000000"/>
                <w:spacing w:val="0"/>
                <w:w w:val="100"/>
                <w:position w:val="0"/>
              </w:rPr>
              <w:t>58.52%</w:t>
            </w:r>
            <w:r>
              <w:rPr>
                <w:color w:val="000000"/>
                <w:spacing w:val="0"/>
                <w:w w:val="100"/>
                <w:position w:val="0"/>
              </w:rPr>
              <w:t>，主 要原因为本期销售人员人均工资上 涨、人员数量增加导致人工成本和差 旅费及业务招待费相应增加。</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84,878,647.69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66,854,080.17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26.96%</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研发投入增加导致研发费用增加以 及人员增加导致薪酬增加共同影响 所致。</w:t>
            </w:r>
          </w:p>
        </w:tc>
      </w:tr>
      <w:tr>
        <w:trPr>
          <w:trHeight w:val="16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600,149.13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1,000,564.84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-40.02%</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本期财务费用较上期减少</w:t>
            </w:r>
            <w:r>
              <w:rPr>
                <w:rFonts w:ascii="Times New Roman" w:eastAsia="Times New Roman" w:hAnsi="Times New Roman" w:cs="Times New Roman"/>
                <w:color w:val="000000"/>
                <w:spacing w:val="0"/>
                <w:w w:val="100"/>
                <w:position w:val="0"/>
              </w:rPr>
              <w:t xml:space="preserve">400,415.71 </w:t>
            </w:r>
            <w:r>
              <w:rPr>
                <w:color w:val="000000"/>
                <w:spacing w:val="0"/>
                <w:w w:val="100"/>
                <w:position w:val="0"/>
              </w:rPr>
              <w:t>元，减少幅度为</w:t>
            </w:r>
            <w:r>
              <w:rPr>
                <w:rFonts w:ascii="Times New Roman" w:eastAsia="Times New Roman" w:hAnsi="Times New Roman" w:cs="Times New Roman"/>
                <w:color w:val="000000"/>
                <w:spacing w:val="0"/>
                <w:w w:val="100"/>
                <w:position w:val="0"/>
              </w:rPr>
              <w:t>40.02%</w:t>
            </w:r>
            <w:r>
              <w:rPr>
                <w:color w:val="000000"/>
                <w:spacing w:val="0"/>
                <w:w w:val="100"/>
                <w:position w:val="0"/>
              </w:rPr>
              <w:t>，主要系本期 已归还上期短期借款</w:t>
            </w:r>
            <w:r>
              <w:rPr>
                <w:rFonts w:ascii="Times New Roman" w:eastAsia="Times New Roman" w:hAnsi="Times New Roman" w:cs="Times New Roman"/>
                <w:color w:val="000000"/>
                <w:spacing w:val="0"/>
                <w:w w:val="100"/>
                <w:position w:val="0"/>
              </w:rPr>
              <w:t>500</w:t>
            </w:r>
            <w:r>
              <w:rPr>
                <w:color w:val="000000"/>
                <w:spacing w:val="0"/>
                <w:w w:val="100"/>
                <w:position w:val="0"/>
              </w:rPr>
              <w:t>万元导致利 息支出减少，同时本期货币资金日均 余额增加，利息收入增加。</w:t>
            </w:r>
          </w:p>
        </w:tc>
      </w:tr>
      <w:tr>
        <w:trPr>
          <w:trHeight w:val="166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3,606,674.05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6,465,083.15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-44.21%</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本期所得税费用较上期所得税费用 减少 </w:t>
            </w:r>
            <w:r>
              <w:rPr>
                <w:rFonts w:ascii="Times New Roman" w:eastAsia="Times New Roman" w:hAnsi="Times New Roman" w:cs="Times New Roman"/>
                <w:color w:val="000000"/>
                <w:spacing w:val="0"/>
                <w:w w:val="100"/>
                <w:position w:val="0"/>
              </w:rPr>
              <w:t xml:space="preserve">2,858,409.10 </w:t>
            </w:r>
            <w:r>
              <w:rPr>
                <w:color w:val="000000"/>
                <w:spacing w:val="0"/>
                <w:w w:val="100"/>
                <w:position w:val="0"/>
              </w:rPr>
              <w:t xml:space="preserve">元，下降 </w:t>
            </w:r>
            <w:r>
              <w:rPr>
                <w:rFonts w:ascii="Times New Roman" w:eastAsia="Times New Roman" w:hAnsi="Times New Roman" w:cs="Times New Roman"/>
                <w:color w:val="000000"/>
                <w:spacing w:val="0"/>
                <w:w w:val="100"/>
                <w:position w:val="0"/>
              </w:rPr>
              <w:t>44.21%</w:t>
            </w:r>
            <w:r>
              <w:rPr>
                <w:color w:val="000000"/>
                <w:spacing w:val="0"/>
                <w:w w:val="100"/>
                <w:position w:val="0"/>
              </w:rPr>
              <w:t>， 主要系公司本期获得</w:t>
            </w:r>
            <w:r>
              <w:rPr>
                <w:rFonts w:ascii="Times New Roman" w:eastAsia="Times New Roman" w:hAnsi="Times New Roman" w:cs="Times New Roman"/>
                <w:color w:val="000000"/>
                <w:spacing w:val="0"/>
                <w:w w:val="100"/>
                <w:position w:val="0"/>
              </w:rPr>
              <w:t>“</w:t>
            </w:r>
            <w:r>
              <w:rPr>
                <w:color w:val="000000"/>
                <w:spacing w:val="0"/>
                <w:w w:val="100"/>
                <w:position w:val="0"/>
              </w:rPr>
              <w:t>国家规划布局 内重点软件企业</w:t>
            </w:r>
            <w:r>
              <w:rPr>
                <w:rFonts w:ascii="Times New Roman" w:eastAsia="Times New Roman" w:hAnsi="Times New Roman" w:cs="Times New Roman"/>
                <w:color w:val="000000"/>
                <w:spacing w:val="0"/>
                <w:w w:val="100"/>
                <w:position w:val="0"/>
              </w:rPr>
              <w:t>”</w:t>
            </w:r>
            <w:r>
              <w:rPr>
                <w:color w:val="000000"/>
                <w:spacing w:val="0"/>
                <w:w w:val="100"/>
                <w:position w:val="0"/>
              </w:rPr>
              <w:t>资格，适用</w:t>
            </w:r>
            <w:r>
              <w:rPr>
                <w:rFonts w:ascii="Times New Roman" w:eastAsia="Times New Roman" w:hAnsi="Times New Roman" w:cs="Times New Roman"/>
                <w:color w:val="000000"/>
                <w:spacing w:val="0"/>
                <w:w w:val="100"/>
                <w:position w:val="0"/>
              </w:rPr>
              <w:t>10%</w:t>
            </w:r>
            <w:r>
              <w:rPr>
                <w:color w:val="000000"/>
                <w:spacing w:val="0"/>
                <w:w w:val="100"/>
                <w:position w:val="0"/>
              </w:rPr>
              <w:t>企 业所得税税率。</w:t>
            </w:r>
          </w:p>
        </w:tc>
      </w:tr>
    </w:tbl>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研发投入</w:t>
      </w:r>
    </w:p>
    <w:p>
      <w:pPr>
        <w:pStyle w:val="Style24"/>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公司的主营业务为定制软件开发，对于金融行业业务研究及其创新软件产品研发是公司的核心竞争优势。针对金融行 业</w:t>
      </w:r>
      <w:r>
        <w:rPr>
          <w:rFonts w:ascii="Times New Roman" w:eastAsia="Times New Roman" w:hAnsi="Times New Roman" w:cs="Times New Roman"/>
          <w:color w:val="000000"/>
          <w:spacing w:val="0"/>
          <w:w w:val="100"/>
          <w:position w:val="0"/>
        </w:rPr>
        <w:t>2013</w:t>
      </w:r>
      <w:r>
        <w:rPr>
          <w:color w:val="000000"/>
          <w:spacing w:val="0"/>
          <w:w w:val="100"/>
          <w:position w:val="0"/>
        </w:rPr>
        <w:t>年所出现的新变化，公司在</w:t>
      </w:r>
      <w:r>
        <w:rPr>
          <w:rFonts w:ascii="Times New Roman" w:eastAsia="Times New Roman" w:hAnsi="Times New Roman" w:cs="Times New Roman"/>
          <w:color w:val="000000"/>
          <w:spacing w:val="0"/>
          <w:w w:val="100"/>
          <w:position w:val="0"/>
        </w:rPr>
        <w:t>2013</w:t>
      </w:r>
      <w:r>
        <w:rPr>
          <w:color w:val="000000"/>
          <w:spacing w:val="0"/>
          <w:w w:val="100"/>
          <w:position w:val="0"/>
        </w:rPr>
        <w:t>年所实施的研发战略是</w:t>
      </w:r>
      <w:r>
        <w:rPr>
          <w:rFonts w:ascii="Times New Roman" w:eastAsia="Times New Roman" w:hAnsi="Times New Roman" w:cs="Times New Roman"/>
          <w:color w:val="000000"/>
          <w:spacing w:val="0"/>
          <w:w w:val="100"/>
          <w:position w:val="0"/>
        </w:rPr>
        <w:t>“</w:t>
      </w:r>
      <w:r>
        <w:rPr>
          <w:color w:val="000000"/>
          <w:spacing w:val="0"/>
          <w:w w:val="100"/>
          <w:position w:val="0"/>
        </w:rPr>
        <w:t>多元化、统一化建设</w:t>
      </w:r>
      <w:r>
        <w:rPr>
          <w:rFonts w:ascii="Times New Roman" w:eastAsia="Times New Roman" w:hAnsi="Times New Roman" w:cs="Times New Roman"/>
          <w:color w:val="000000"/>
          <w:spacing w:val="0"/>
          <w:w w:val="100"/>
          <w:position w:val="0"/>
        </w:rPr>
        <w:t>”</w:t>
      </w:r>
      <w:r>
        <w:rPr>
          <w:color w:val="000000"/>
          <w:spacing w:val="0"/>
          <w:w w:val="100"/>
          <w:position w:val="0"/>
        </w:rPr>
        <w:t>，改变以往金融企业当中，不同的行业 业务相互独立的模式，将涉及到多个行业的各类业务模式融合起来进行统一建设，同时针对新兴的业务快速扩充自身的产品 边界，推出新的信息系统解决方案，满足金融行业多元化创新的需求。具体表现在：</w:t>
      </w:r>
    </w:p>
    <w:p>
      <w:pPr>
        <w:pStyle w:val="Style24"/>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针对资产管理行业的混业经营，公司整合了以往针对不同行业所采用的不同信息建设方案，将面向基金、保险、证券、 信托等多个行业的系统方案整合在一起，推出了全新的资产管理信息解决方案，在新的方案下，完全可以满足不同的金融企 业进行跨界发展、混业经营的需要。新的信息解决方案推出后即在银行理财、券商和基金公司等不同的行业进行了检验，取 得了较好的效果。</w:t>
      </w:r>
    </w:p>
    <w:p>
      <w:pPr>
        <w:pStyle w:val="Style2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针对新兴的资产管理服务业务，公司也采用了一系列的策略来予以应对。例如针对第三方基金销售企业，公司推出了 面向销售端的第三方基金销售清算系统，同时推出了面向银行端的第三方销售支付监管系统；面对离岸外包服务，公司不但 提供了相关的系统解决方案，同时也培养和建立了一只业务过硬的专家团队，专门为有需要的客户提供在离岸外包方面的业 务处理服务。</w:t>
      </w:r>
    </w:p>
    <w:p>
      <w:pPr>
        <w:pStyle w:val="Style24"/>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针对创新业务的发展，公司也紧随行业的发展，快速推出了一系列的新兴产品模块，包括国债期货业务支撑模块、个 股期权业务支撑模块、股权债权计划业务模块、特定资产管理计划模块、商品期货</w:t>
      </w:r>
      <w:r>
        <w:rPr>
          <w:rFonts w:ascii="Times New Roman" w:eastAsia="Times New Roman" w:hAnsi="Times New Roman" w:cs="Times New Roman"/>
          <w:color w:val="000000"/>
          <w:spacing w:val="0"/>
          <w:w w:val="100"/>
          <w:position w:val="0"/>
        </w:rPr>
        <w:t>etf</w:t>
      </w:r>
      <w:r>
        <w:rPr>
          <w:color w:val="000000"/>
          <w:spacing w:val="0"/>
          <w:w w:val="100"/>
          <w:position w:val="0"/>
        </w:rPr>
        <w:t>业务模块等等，满足业务发展的需求。</w:t>
      </w:r>
    </w:p>
    <w:p>
      <w:pPr>
        <w:pStyle w:val="Style24"/>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针对托管业务的快速发展，公司也充分发挥了自身在托管领域的优势地位，快速扩充了面向托管行业的服务团队，并 且推出了以新一代清算系统为首的整体托管解决方案，内容涵盖了涉及托管业务的清算、核算、估值、监控、绩效评价、信 息披露、经管理服务等各个环节。因此，公司在</w:t>
      </w:r>
      <w:r>
        <w:rPr>
          <w:rFonts w:ascii="Times New Roman" w:eastAsia="Times New Roman" w:hAnsi="Times New Roman" w:cs="Times New Roman"/>
          <w:color w:val="000000"/>
          <w:spacing w:val="0"/>
          <w:w w:val="100"/>
          <w:position w:val="0"/>
        </w:rPr>
        <w:t>2013</w:t>
      </w:r>
      <w:r>
        <w:rPr>
          <w:color w:val="000000"/>
          <w:spacing w:val="0"/>
          <w:w w:val="100"/>
          <w:position w:val="0"/>
        </w:rPr>
        <w:t>年也成功与包括城市商业银行、券商在内的一批新兴托管机构达成了合 作。而随着新兴托管企业的加入，传统的大型托管银行开始了新一代托管系统的规划和建设工作，公司也根据这些托管银行 产品全面、业务涉及范围广泛、服务内容丰富等特点，为客户的新一代托管系统建设提供包括业务咨询、需求分析、系统设 计、开放与测试等全方位的服务。</w:t>
      </w:r>
    </w:p>
    <w:p>
      <w:pPr>
        <w:pStyle w:val="Style24"/>
        <w:keepNext w:val="0"/>
        <w:keepLines w:val="0"/>
        <w:widowControl w:val="0"/>
        <w:shd w:val="clear" w:color="auto" w:fill="auto"/>
        <w:bidi w:val="0"/>
        <w:spacing w:before="0" w:after="440" w:line="312" w:lineRule="exact"/>
        <w:ind w:left="0" w:right="0" w:firstLine="520"/>
        <w:jc w:val="both"/>
      </w:pPr>
      <w:r>
        <w:rPr>
          <w:color w:val="000000"/>
          <w:spacing w:val="0"/>
          <w:w w:val="100"/>
          <w:position w:val="0"/>
        </w:rPr>
        <w:t>针对互联网金融理财的兴起，金融企业的需求发生显著变化，产品从设计到发行募集到成立的周期大幅缩短，同时发 行的数量急剧增加，出现大量的规模小、存续期短的创新组合产品，同时这些产品的投资范围除了传统的二级市场投资之外， 还大量投资于场外的固定收益类产品和非标资产，投资范围更加灵活和宽泛，在产品的销售上要求实现快速清算、实时支付</w:t>
        <w:br w:type="page"/>
      </w:r>
      <w:r>
        <w:rPr>
          <w:color w:val="000000"/>
          <w:spacing w:val="0"/>
          <w:w w:val="100"/>
          <w:position w:val="0"/>
        </w:rPr>
        <w:t>等功能，并且要求与自己或者第三方的电商平台、支付平台进行对接。针对这些创新的行业需求，公司在实时交互、多数据 通道、大数据处理与挖掘等等方面，对自身产品方案进行了优化和创新，来为互联网金融业务的发展提供强有力的后台业务 支撑。</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63,723,542.02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49,005,212.84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37,807,048.77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5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both"/>
      </w:pPr>
      <w:bookmarkStart w:id="89" w:name="bookmark89"/>
      <w:r>
        <w:rPr>
          <w:rFonts w:ascii="Times New Roman" w:eastAsia="Times New Roman" w:hAnsi="Times New Roman" w:cs="Times New Roman"/>
          <w:color w:val="000000"/>
          <w:spacing w:val="0"/>
          <w:w w:val="100"/>
          <w:position w:val="0"/>
        </w:rPr>
        <w:t>7</w:t>
      </w:r>
      <w:bookmarkEnd w:id="89"/>
      <w:r>
        <w:rPr>
          <w:rFonts w:ascii="Times New Roman" w:eastAsia="Times New Roman" w:hAnsi="Times New Roman" w:cs="Times New Roman"/>
          <w:color w:val="000000"/>
          <w:spacing w:val="0"/>
          <w:w w:val="100"/>
          <w:position w:val="0"/>
        </w:rPr>
        <w:t>）</w:t>
      </w:r>
      <w:r>
        <w:rPr>
          <w:color w:val="000000"/>
          <w:spacing w:val="0"/>
          <w:w w:val="100"/>
          <w:position w:val="0"/>
        </w:rPr>
        <w:t>现金流</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153,620,113.65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131,343,813.65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131,559,100.50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105,108,820.61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25.16%</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22,061,013.15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26,234,993.04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26,227.25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5,586,097.06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5,645,972.25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-5,576,797.06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-5,619,745.00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7,485,476.50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2,651,295.69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-7,485,476.50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2,348,704.31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8,993,057.15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22,963,757.46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-60.84%</w:t>
            </w:r>
          </w:p>
        </w:tc>
      </w:tr>
    </w:tbl>
    <w:p>
      <w:pPr>
        <w:widowControl w:val="0"/>
        <w:spacing w:after="5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4"/>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60" w:line="307" w:lineRule="exact"/>
        <w:ind w:left="0" w:right="0" w:firstLine="460"/>
        <w:jc w:val="both"/>
      </w:pPr>
      <w:r>
        <w:rPr>
          <w:color w:val="000000"/>
          <w:spacing w:val="0"/>
          <w:w w:val="100"/>
          <w:position w:val="0"/>
        </w:rPr>
        <w:t>报告期，投资活动现金流入小计同比减少</w:t>
      </w:r>
      <w:r>
        <w:rPr>
          <w:rFonts w:ascii="Times New Roman" w:eastAsia="Times New Roman" w:hAnsi="Times New Roman" w:cs="Times New Roman"/>
          <w:color w:val="000000"/>
          <w:spacing w:val="0"/>
          <w:w w:val="100"/>
          <w:position w:val="0"/>
        </w:rPr>
        <w:t>64.54%</w:t>
      </w:r>
      <w:r>
        <w:rPr>
          <w:color w:val="000000"/>
          <w:spacing w:val="0"/>
          <w:w w:val="100"/>
          <w:position w:val="0"/>
        </w:rPr>
        <w:t>，是由于报告期非流动资产报废收入减少所致。筹资活动现金流出小 计同比增加</w:t>
      </w:r>
      <w:r>
        <w:rPr>
          <w:rFonts w:ascii="Times New Roman" w:eastAsia="Times New Roman" w:hAnsi="Times New Roman" w:cs="Times New Roman"/>
          <w:color w:val="000000"/>
          <w:spacing w:val="0"/>
          <w:w w:val="100"/>
          <w:position w:val="0"/>
        </w:rPr>
        <w:t>182.33%</w:t>
      </w:r>
      <w:r>
        <w:rPr>
          <w:color w:val="000000"/>
          <w:spacing w:val="0"/>
          <w:w w:val="100"/>
          <w:position w:val="0"/>
        </w:rPr>
        <w:t>，是由于报告期归还部分银行借款所致。</w:t>
      </w:r>
    </w:p>
    <w:p>
      <w:pPr>
        <w:pStyle w:val="Style24"/>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报告期内公司经营活动的现金流量与本年度净利润存在重大差异的原因说明</w:t>
      </w:r>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报告期内公司经营活动的现金流量与本年度净利润差异</w:t>
      </w:r>
      <w:r>
        <w:rPr>
          <w:rFonts w:ascii="Times New Roman" w:eastAsia="Times New Roman" w:hAnsi="Times New Roman" w:cs="Times New Roman"/>
          <w:color w:val="000000"/>
          <w:spacing w:val="0"/>
          <w:w w:val="100"/>
          <w:position w:val="0"/>
        </w:rPr>
        <w:t>1829.63</w:t>
      </w:r>
      <w:r>
        <w:rPr>
          <w:color w:val="000000"/>
          <w:spacing w:val="0"/>
          <w:w w:val="100"/>
          <w:position w:val="0"/>
        </w:rPr>
        <w:t xml:space="preserve">万元，主要是由于报告期内支付职工和为职工支付的现 </w:t>
      </w:r>
      <w:r>
        <w:rPr>
          <w:color w:val="000000"/>
          <w:spacing w:val="0"/>
          <w:w w:val="100"/>
          <w:position w:val="0"/>
        </w:rPr>
        <w:t>金增加所致。</w:t>
      </w:r>
    </w:p>
    <w:p>
      <w:pPr>
        <w:pStyle w:val="Style24"/>
        <w:keepNext w:val="0"/>
        <w:keepLines w:val="0"/>
        <w:widowControl w:val="0"/>
        <w:shd w:val="clear" w:color="auto" w:fill="auto"/>
        <w:bidi w:val="0"/>
        <w:spacing w:before="0" w:after="100" w:line="355" w:lineRule="exact"/>
        <w:ind w:left="0" w:right="0" w:firstLine="0"/>
        <w:jc w:val="left"/>
      </w:pPr>
      <w:bookmarkStart w:id="90" w:name="bookmark90"/>
      <w:r>
        <w:rPr>
          <w:rFonts w:ascii="Times New Roman" w:eastAsia="Times New Roman" w:hAnsi="Times New Roman" w:cs="Times New Roman"/>
          <w:color w:val="000000"/>
          <w:spacing w:val="0"/>
          <w:w w:val="100"/>
          <w:position w:val="0"/>
        </w:rPr>
        <w:t>8</w:t>
      </w:r>
      <w:bookmarkEnd w:id="90"/>
      <w:r>
        <w:rPr>
          <w:rFonts w:ascii="Times New Roman" w:eastAsia="Times New Roman" w:hAnsi="Times New Roman" w:cs="Times New Roman"/>
          <w:color w:val="000000"/>
          <w:spacing w:val="0"/>
          <w:w w:val="100"/>
          <w:position w:val="0"/>
        </w:rPr>
        <w:t>）</w:t>
      </w:r>
      <w:r>
        <w:rPr>
          <w:color w:val="000000"/>
          <w:spacing w:val="0"/>
          <w:w w:val="100"/>
          <w:position w:val="0"/>
        </w:rPr>
        <w:t>公司主要供应商、客户情况 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48,286,650.51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28.72%</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2,801,086.67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93.05%</w:t>
            </w:r>
          </w:p>
        </w:tc>
      </w:tr>
    </w:tbl>
    <w:p>
      <w:pPr>
        <w:pStyle w:val="Style24"/>
        <w:keepNext w:val="0"/>
        <w:keepLines w:val="0"/>
        <w:widowControl w:val="0"/>
        <w:shd w:val="clear" w:color="auto" w:fill="auto"/>
        <w:bidi w:val="0"/>
        <w:spacing w:before="0" w:after="100" w:line="353" w:lineRule="exact"/>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4"/>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0" w:line="353" w:lineRule="exact"/>
        <w:ind w:left="0" w:right="0" w:firstLine="0"/>
        <w:jc w:val="left"/>
      </w:pPr>
      <w:bookmarkStart w:id="91" w:name="bookmark91"/>
      <w:r>
        <w:rPr>
          <w:rFonts w:ascii="Times New Roman" w:eastAsia="Times New Roman" w:hAnsi="Times New Roman" w:cs="Times New Roman"/>
          <w:color w:val="000000"/>
          <w:spacing w:val="0"/>
          <w:w w:val="100"/>
          <w:position w:val="0"/>
        </w:rPr>
        <w:t>9</w:t>
      </w:r>
      <w:bookmarkEnd w:id="91"/>
      <w:r>
        <w:rPr>
          <w:rFonts w:ascii="Times New Roman" w:eastAsia="Times New Roman" w:hAnsi="Times New Roman" w:cs="Times New Roman"/>
          <w:color w:val="000000"/>
          <w:spacing w:val="0"/>
          <w:w w:val="100"/>
          <w:position w:val="0"/>
        </w:rPr>
        <w:t>）</w:t>
      </w:r>
      <w:r>
        <w:rPr>
          <w:color w:val="000000"/>
          <w:spacing w:val="0"/>
          <w:w w:val="100"/>
          <w:position w:val="0"/>
        </w:rPr>
        <w:t xml:space="preserve">公司未来发展与规划延续至报告期的说明 首次公开发行招股说明书中披露的未来发展与规划在本报告期的实施情况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326" w:lineRule="exact"/>
        <w:ind w:left="0" w:right="0" w:firstLine="520"/>
        <w:jc w:val="left"/>
      </w:pPr>
      <w:r>
        <w:rPr>
          <w:color w:val="000000"/>
          <w:spacing w:val="0"/>
          <w:w w:val="100"/>
          <w:position w:val="0"/>
        </w:rPr>
        <w:t>报告期内，公司严格按照既定的公司未来发展规划运行，巩固公司在金融机构及高端客户的资产管理业务软件和托管 业务软件领域的行业优势地位，并根据市场需求和竞争环境的变化情况及时调整自身的经营，适时推出适合金融机构及高端 客户的应用软件，并为金融机构及高端客户提供及时、高效、全方位的技术服务，提高发行人的盈利能力和核心竞争力。 前期披露的发展战略和经营计划在报告期内的进展情况</w:t>
      </w:r>
    </w:p>
    <w:p>
      <w:pPr>
        <w:pStyle w:val="Style2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公司紧紧围绕发展战略，紧随金融行业的发展，专注于金融行业信息系统的研究、开发、销售和服务。随着金融行业 的多元化发展和用户需求的不断变化，在此期间公司不断进行产品创新、服务创新和营销创新，继续向全国基金管理公司、 证券公司、保险公司、银行、信托公司、财务公司、资产管理公司等</w:t>
      </w:r>
      <w:r>
        <w:rPr>
          <w:rFonts w:ascii="Times New Roman" w:eastAsia="Times New Roman" w:hAnsi="Times New Roman" w:cs="Times New Roman"/>
          <w:color w:val="000000"/>
          <w:spacing w:val="0"/>
          <w:w w:val="100"/>
          <w:position w:val="0"/>
        </w:rPr>
        <w:t>200</w:t>
      </w:r>
      <w:r>
        <w:rPr>
          <w:color w:val="000000"/>
          <w:spacing w:val="0"/>
          <w:w w:val="100"/>
          <w:position w:val="0"/>
        </w:rPr>
        <w:t>多家金融机构提供了专业的信息化系统建设综合解 决方案。</w:t>
      </w:r>
    </w:p>
    <w:p>
      <w:pPr>
        <w:pStyle w:val="Style2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 xml:space="preserve">以上的差异原因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w:t>
      </w:r>
      <w:bookmarkEnd w:id="94"/>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92"/>
      <w:bookmarkEnd w:id="93"/>
      <w:bookmarkEnd w:id="95"/>
    </w:p>
    <w:p>
      <w:pPr>
        <w:pStyle w:val="Style24"/>
        <w:keepNext w:val="0"/>
        <w:keepLines w:val="0"/>
        <w:widowControl w:val="0"/>
        <w:shd w:val="clear" w:color="auto" w:fill="auto"/>
        <w:bidi w:val="0"/>
        <w:spacing w:before="0" w:after="100" w:line="33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报告期主营业务收入及主营业务利润的构成</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定制软件开发和销售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116,330,157.73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27,563,824.07</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51,358,054.14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12,169,023.04</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167,688,211.87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39,732,847.11</w:t>
            </w:r>
          </w:p>
        </w:tc>
      </w:tr>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定制软件开发和销售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116,330,157.73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27,563,824.07</w:t>
            </w:r>
          </w:p>
        </w:tc>
      </w:tr>
      <w:tr>
        <w:trPr>
          <w:trHeight w:val="413"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51,358,054.14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12,169,023.04</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167,688,211.87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39,732,847.11</w:t>
            </w:r>
          </w:p>
        </w:tc>
      </w:tr>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华北大区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71,271,245.72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16,887,349.91</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华东大区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49,223,303.84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11,663,205.09</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华南大区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47,193,662.31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11,182,292.11</w:t>
            </w:r>
          </w:p>
        </w:tc>
      </w:tr>
      <w:tr>
        <w:trPr>
          <w:trHeight w:val="413"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167,688,211.87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39,732,847.11</w:t>
            </w:r>
          </w:p>
        </w:tc>
      </w:tr>
    </w:tbl>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占比</w:t>
      </w:r>
      <w:r>
        <w:rPr>
          <w:rFonts w:ascii="Times New Roman" w:eastAsia="Times New Roman" w:hAnsi="Times New Roman" w:cs="Times New Roman"/>
          <w:color w:val="000000"/>
          <w:spacing w:val="0"/>
          <w:w w:val="100"/>
          <w:position w:val="0"/>
        </w:rPr>
        <w:t>10%</w:t>
      </w:r>
      <w:r>
        <w:rPr>
          <w:color w:val="000000"/>
          <w:spacing w:val="0"/>
          <w:w w:val="100"/>
          <w:position w:val="0"/>
        </w:rPr>
        <w:t>以上的产品、行业或地区情况</w:t>
      </w:r>
    </w:p>
    <w:p>
      <w:pPr>
        <w:widowControl w:val="0"/>
        <w:spacing w:after="7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39,963,719.56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8,704,140.97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77,956,988.45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17,489,411.82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24,662,298.03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5,485,042.42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19,243,269.56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3,417,728.81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定制软件开发和 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116,330,157.73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24,602,689.95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51,358,054.14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11,465,949.16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39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华北大区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71,271,245.72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15,318,601.46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华东大区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49,223,303.84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12,543,256.82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r>
      <w:tr>
        <w:trPr>
          <w:trHeight w:val="413"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华南大区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47,193,662.31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8,206,780.83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r>
    </w:tbl>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3</w:t>
      </w:r>
      <w:r>
        <w:rPr>
          <w:color w:val="000000"/>
          <w:spacing w:val="0"/>
          <w:w w:val="100"/>
          <w:position w:val="0"/>
        </w:rPr>
        <w:t>年按报告期末口径调整后的主营业务数据</w:t>
      </w:r>
    </w:p>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55"/>
        <w:gridCol w:w="955"/>
        <w:gridCol w:w="955"/>
        <w:gridCol w:w="960"/>
        <w:gridCol w:w="955"/>
        <w:gridCol w:w="955"/>
        <w:gridCol w:w="960"/>
        <w:gridCol w:w="955"/>
        <w:gridCol w:w="96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r>
      <w:tr>
        <w:trPr>
          <w:trHeight w:val="403" w:hRule="exact"/>
        </w:trPr>
        <w:tc>
          <w:tcPr>
            <w:gridSpan w:val="10"/>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gridSpan w:val="10"/>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gridSpan w:val="10"/>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华北大区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华东大区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华南大区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rPr>
        <w:t>（</w:t>
      </w:r>
      <w:bookmarkEnd w:id="98"/>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96"/>
      <w:bookmarkEnd w:id="97"/>
      <w:bookmarkEnd w:id="99"/>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资产项目重大变动情况</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413"/>
        <w:gridCol w:w="653"/>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例</w:t>
            </w:r>
          </w:p>
        </w:tc>
        <w:tc>
          <w:tcPr>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72,067,463.22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63,378,406.07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-1.06%</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96,536,709.03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72,336,449.58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54,080,225.34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54,192,442.99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-4.15%</w:t>
            </w: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负债项目重大变动情况</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413"/>
        <w:gridCol w:w="653"/>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例</w:t>
            </w:r>
          </w:p>
        </w:tc>
        <w:tc>
          <w:tcPr>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-2.52%</w:t>
            </w: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12,453,072.86</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14,037,594.62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-1.74%</w:t>
            </w: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tabs>
          <w:tab w:pos="493" w:val="left"/>
        </w:tabs>
        <w:bidi w:val="0"/>
        <w:spacing w:before="0" w:after="36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rPr>
        <w:t>（</w:t>
      </w:r>
      <w:bookmarkEnd w:id="102"/>
      <w:r>
        <w:rPr>
          <w:rFonts w:ascii="Times New Roman" w:eastAsia="Times New Roman" w:hAnsi="Times New Roman" w:cs="Times New Roman"/>
          <w:color w:val="000000"/>
          <w:spacing w:val="0"/>
          <w:w w:val="100"/>
          <w:position w:val="0"/>
        </w:rPr>
        <w:t>4</w:t>
      </w:r>
      <w:r>
        <w:rPr>
          <w:color w:val="000000"/>
          <w:spacing w:val="0"/>
          <w:w w:val="100"/>
          <w:position w:val="0"/>
        </w:rPr>
        <w:t>）</w:t>
        <w:tab/>
        <w:t>公司竞争能力重大变化分析</w:t>
      </w:r>
      <w:bookmarkEnd w:id="100"/>
      <w:bookmarkEnd w:id="101"/>
      <w:bookmarkEnd w:id="103"/>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6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5</w:t>
      </w:r>
      <w:r>
        <w:rPr>
          <w:color w:val="000000"/>
          <w:spacing w:val="0"/>
          <w:w w:val="100"/>
          <w:position w:val="0"/>
        </w:rPr>
        <w:t>）</w:t>
        <w:tab/>
        <w:t>主要控股参股公司分析</w:t>
      </w:r>
      <w:bookmarkEnd w:id="104"/>
      <w:bookmarkEnd w:id="105"/>
      <w:bookmarkEnd w:id="107"/>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0"/>
        <w:gridCol w:w="1080"/>
        <w:gridCol w:w="941"/>
        <w:gridCol w:w="941"/>
        <w:gridCol w:w="946"/>
        <w:gridCol w:w="941"/>
        <w:gridCol w:w="941"/>
        <w:gridCol w:w="946"/>
        <w:gridCol w:w="806"/>
        <w:gridCol w:w="1085"/>
      </w:tblGrid>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总资产</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净资产</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营业收入</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营业利润</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6</w:t>
      </w:r>
      <w:r>
        <w:rPr>
          <w:color w:val="000000"/>
          <w:spacing w:val="0"/>
          <w:w w:val="100"/>
          <w:position w:val="0"/>
        </w:rPr>
        <w:t>）公司控制的特殊目的主体情况</w:t>
      </w:r>
      <w:bookmarkEnd w:id="108"/>
      <w:bookmarkEnd w:id="109"/>
      <w:bookmarkEnd w:id="111"/>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报告期内，公司不存在公司控制下的特殊目的主体。</w:t>
      </w:r>
    </w:p>
    <w:p>
      <w:pPr>
        <w:pStyle w:val="Style22"/>
        <w:keepNext/>
        <w:keepLines/>
        <w:widowControl w:val="0"/>
        <w:shd w:val="clear" w:color="auto" w:fill="auto"/>
        <w:tabs>
          <w:tab w:pos="522" w:val="left"/>
        </w:tabs>
        <w:bidi w:val="0"/>
        <w:spacing w:before="0" w:after="28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sz w:val="24"/>
          <w:szCs w:val="24"/>
        </w:rPr>
        <w:t>二</w:t>
      </w:r>
      <w:bookmarkEnd w:id="114"/>
      <w:r>
        <w:rPr>
          <w:color w:val="000000"/>
          <w:spacing w:val="0"/>
          <w:w w:val="100"/>
          <w:position w:val="0"/>
          <w:sz w:val="24"/>
          <w:szCs w:val="24"/>
        </w:rPr>
        <w:t>、</w:t>
        <w:tab/>
        <w:t>公司未来发展的展望</w:t>
      </w:r>
      <w:bookmarkEnd w:id="112"/>
      <w:bookmarkEnd w:id="113"/>
      <w:bookmarkEnd w:id="115"/>
    </w:p>
    <w:p>
      <w:pPr>
        <w:pStyle w:val="Style24"/>
        <w:keepNext w:val="0"/>
        <w:keepLines w:val="0"/>
        <w:widowControl w:val="0"/>
        <w:shd w:val="clear" w:color="auto" w:fill="auto"/>
        <w:tabs>
          <w:tab w:pos="344" w:val="left"/>
        </w:tabs>
        <w:bidi w:val="0"/>
        <w:spacing w:before="0" w:after="0" w:line="312" w:lineRule="exact"/>
        <w:ind w:left="0" w:right="0" w:firstLine="0"/>
        <w:jc w:val="left"/>
      </w:pPr>
      <w:bookmarkStart w:id="116" w:name="bookmark116"/>
      <w:r>
        <w:rPr>
          <w:rFonts w:ascii="Times New Roman" w:eastAsia="Times New Roman" w:hAnsi="Times New Roman" w:cs="Times New Roman"/>
          <w:color w:val="000000"/>
          <w:spacing w:val="0"/>
          <w:w w:val="100"/>
          <w:position w:val="0"/>
        </w:rPr>
        <w:t>1</w:t>
      </w:r>
      <w:bookmarkEnd w:id="116"/>
      <w:r>
        <w:rPr>
          <w:color w:val="000000"/>
          <w:spacing w:val="0"/>
          <w:w w:val="100"/>
          <w:position w:val="0"/>
        </w:rPr>
        <w:t>、</w:t>
        <w:tab/>
        <w:t>聚焦资产托管和资产管理业务，以资产托管和资产管理两条产品线为主线，进行产品整合，持续加大研发投入，推出全 新的资产托管和资产管理信息系统解决方案，以满足不同金融企业跨界经营和混业经营及创新业务开展的需要，持续保持在 行业中的领先地位和竞争优势，巩固在行业中的品牌地位。</w:t>
      </w:r>
    </w:p>
    <w:p>
      <w:pPr>
        <w:pStyle w:val="Style24"/>
        <w:keepNext w:val="0"/>
        <w:keepLines w:val="0"/>
        <w:widowControl w:val="0"/>
        <w:shd w:val="clear" w:color="auto" w:fill="auto"/>
        <w:tabs>
          <w:tab w:pos="354" w:val="left"/>
        </w:tabs>
        <w:bidi w:val="0"/>
        <w:spacing w:before="0" w:after="0" w:line="326" w:lineRule="exact"/>
        <w:ind w:left="0" w:right="0" w:firstLine="0"/>
        <w:jc w:val="left"/>
      </w:pPr>
      <w:bookmarkStart w:id="117" w:name="bookmark117"/>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建设基于</w:t>
      </w:r>
      <w:r>
        <w:rPr>
          <w:rFonts w:ascii="Times New Roman" w:eastAsia="Times New Roman" w:hAnsi="Times New Roman" w:cs="Times New Roman"/>
          <w:color w:val="000000"/>
          <w:spacing w:val="0"/>
          <w:w w:val="100"/>
          <w:position w:val="0"/>
        </w:rPr>
        <w:t>SOA</w:t>
      </w:r>
      <w:r>
        <w:rPr>
          <w:color w:val="000000"/>
          <w:spacing w:val="0"/>
          <w:w w:val="100"/>
          <w:position w:val="0"/>
        </w:rPr>
        <w:t>思想、以服务为基础、实现快速开发与集成的</w:t>
      </w:r>
      <w:r>
        <w:rPr>
          <w:rFonts w:ascii="Times New Roman" w:eastAsia="Times New Roman" w:hAnsi="Times New Roman" w:cs="Times New Roman"/>
          <w:color w:val="000000"/>
          <w:spacing w:val="0"/>
          <w:w w:val="100"/>
          <w:position w:val="0"/>
        </w:rPr>
        <w:t>SOFA</w:t>
      </w:r>
      <w:r>
        <w:rPr>
          <w:color w:val="000000"/>
          <w:spacing w:val="0"/>
          <w:w w:val="100"/>
          <w:position w:val="0"/>
        </w:rPr>
        <w:t>技术开发平台，为公司资产托管业务系统和资产管理 业务系统提供核心技术支撑平台。</w:t>
      </w:r>
    </w:p>
    <w:p>
      <w:pPr>
        <w:pStyle w:val="Style24"/>
        <w:keepNext w:val="0"/>
        <w:keepLines w:val="0"/>
        <w:widowControl w:val="0"/>
        <w:shd w:val="clear" w:color="auto" w:fill="auto"/>
        <w:tabs>
          <w:tab w:pos="354" w:val="left"/>
        </w:tabs>
        <w:bidi w:val="0"/>
        <w:spacing w:before="0" w:after="0" w:line="326" w:lineRule="exact"/>
        <w:ind w:left="0" w:right="0" w:firstLine="0"/>
        <w:jc w:val="left"/>
      </w:pPr>
      <w:bookmarkStart w:id="118" w:name="bookmark118"/>
      <w:r>
        <w:rPr>
          <w:rFonts w:ascii="Times New Roman" w:eastAsia="Times New Roman" w:hAnsi="Times New Roman" w:cs="Times New Roman"/>
          <w:color w:val="000000"/>
          <w:spacing w:val="0"/>
          <w:w w:val="100"/>
          <w:position w:val="0"/>
        </w:rPr>
        <w:t>3</w:t>
      </w:r>
      <w:bookmarkEnd w:id="118"/>
      <w:r>
        <w:rPr>
          <w:color w:val="000000"/>
          <w:spacing w:val="0"/>
          <w:w w:val="100"/>
          <w:position w:val="0"/>
        </w:rPr>
        <w:t>、</w:t>
        <w:tab/>
        <w:t>在立足传统软件行业持续稳定发展的基础上，公司将根据行业及市场发展的需要，将适时进行兼并收购，进一步提升公 司的产品创新能力，以此快速介入目标市场，获得有价值的客户群，扩大业务规模，增强经营实力，提升公司的行业竞争力。</w:t>
      </w:r>
    </w:p>
    <w:p>
      <w:pPr>
        <w:pStyle w:val="Style24"/>
        <w:keepNext w:val="0"/>
        <w:keepLines w:val="0"/>
        <w:widowControl w:val="0"/>
        <w:shd w:val="clear" w:color="auto" w:fill="auto"/>
        <w:tabs>
          <w:tab w:pos="354" w:val="left"/>
        </w:tabs>
        <w:bidi w:val="0"/>
        <w:spacing w:before="0" w:after="0" w:line="326" w:lineRule="exact"/>
        <w:ind w:left="0" w:right="0" w:firstLine="0"/>
        <w:jc w:val="left"/>
      </w:pPr>
      <w:bookmarkStart w:id="119" w:name="bookmark119"/>
      <w:r>
        <w:rPr>
          <w:rFonts w:ascii="Times New Roman" w:eastAsia="Times New Roman" w:hAnsi="Times New Roman" w:cs="Times New Roman"/>
          <w:color w:val="000000"/>
          <w:spacing w:val="0"/>
          <w:w w:val="100"/>
          <w:position w:val="0"/>
        </w:rPr>
        <w:t>4</w:t>
      </w:r>
      <w:bookmarkEnd w:id="119"/>
      <w:r>
        <w:rPr>
          <w:color w:val="000000"/>
          <w:spacing w:val="0"/>
          <w:w w:val="100"/>
          <w:position w:val="0"/>
        </w:rPr>
        <w:t>、</w:t>
        <w:tab/>
        <w:t>秉承成长与分享的理念，逐步构建创业平台管理体系，优化公司的绩效考核激励体系，打造职业化的管理团队和运营团 队，建立公司自主发展和自主创新的动力机制。</w:t>
      </w:r>
    </w:p>
    <w:p>
      <w:pPr>
        <w:pStyle w:val="Style24"/>
        <w:keepNext w:val="0"/>
        <w:keepLines w:val="0"/>
        <w:widowControl w:val="0"/>
        <w:shd w:val="clear" w:color="auto" w:fill="auto"/>
        <w:tabs>
          <w:tab w:pos="354" w:val="left"/>
        </w:tabs>
        <w:bidi w:val="0"/>
        <w:spacing w:before="0" w:after="360" w:line="326" w:lineRule="exact"/>
        <w:ind w:left="0" w:right="0" w:firstLine="0"/>
        <w:jc w:val="left"/>
      </w:pPr>
      <w:bookmarkStart w:id="120" w:name="bookmark120"/>
      <w:r>
        <w:rPr>
          <w:rFonts w:ascii="Times New Roman" w:eastAsia="Times New Roman" w:hAnsi="Times New Roman" w:cs="Times New Roman"/>
          <w:color w:val="000000"/>
          <w:spacing w:val="0"/>
          <w:w w:val="100"/>
          <w:position w:val="0"/>
        </w:rPr>
        <w:t>5</w:t>
      </w:r>
      <w:bookmarkEnd w:id="120"/>
      <w:r>
        <w:rPr>
          <w:color w:val="000000"/>
          <w:spacing w:val="0"/>
          <w:w w:val="100"/>
          <w:position w:val="0"/>
        </w:rPr>
        <w:t>、</w:t>
        <w:tab/>
        <w:t>逐步推行全面预算管理体系，完善公司的制度文化建设。</w:t>
      </w:r>
    </w:p>
    <w:p>
      <w:pPr>
        <w:pStyle w:val="Style22"/>
        <w:keepNext/>
        <w:keepLines/>
        <w:widowControl w:val="0"/>
        <w:shd w:val="clear" w:color="auto" w:fill="auto"/>
        <w:tabs>
          <w:tab w:pos="526" w:val="left"/>
        </w:tabs>
        <w:bidi w:val="0"/>
        <w:spacing w:before="0" w:after="24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sz w:val="24"/>
          <w:szCs w:val="24"/>
        </w:rPr>
        <w:t>三</w:t>
      </w:r>
      <w:bookmarkEnd w:id="123"/>
      <w:r>
        <w:rPr>
          <w:color w:val="000000"/>
          <w:spacing w:val="0"/>
          <w:w w:val="100"/>
          <w:position w:val="0"/>
          <w:sz w:val="24"/>
          <w:szCs w:val="24"/>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121"/>
      <w:bookmarkEnd w:id="122"/>
      <w:bookmarkEnd w:id="124"/>
    </w:p>
    <w:p>
      <w:pPr>
        <w:pStyle w:val="Style24"/>
        <w:keepNext w:val="0"/>
        <w:keepLines w:val="0"/>
        <w:widowControl w:val="0"/>
        <w:shd w:val="clear" w:color="auto" w:fill="auto"/>
        <w:bidi w:val="0"/>
        <w:spacing w:before="0" w:after="360" w:line="326" w:lineRule="exact"/>
        <w:ind w:left="0" w:right="0" w:firstLine="0"/>
        <w:jc w:val="left"/>
      </w:pPr>
      <w:r>
        <w:rPr>
          <w:color w:val="000000"/>
          <w:spacing w:val="0"/>
          <w:w w:val="100"/>
          <w:position w:val="0"/>
        </w:rPr>
        <w:t>不适用</w:t>
      </w:r>
    </w:p>
    <w:p>
      <w:pPr>
        <w:pStyle w:val="Style22"/>
        <w:keepNext/>
        <w:keepLines/>
        <w:widowControl w:val="0"/>
        <w:shd w:val="clear" w:color="auto" w:fill="auto"/>
        <w:tabs>
          <w:tab w:pos="526" w:val="left"/>
        </w:tabs>
        <w:bidi w:val="0"/>
        <w:spacing w:before="0" w:after="24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sz w:val="24"/>
          <w:szCs w:val="24"/>
        </w:rPr>
        <w:t>四</w:t>
      </w:r>
      <w:bookmarkEnd w:id="127"/>
      <w:r>
        <w:rPr>
          <w:color w:val="000000"/>
          <w:spacing w:val="0"/>
          <w:w w:val="100"/>
          <w:position w:val="0"/>
          <w:sz w:val="24"/>
          <w:szCs w:val="24"/>
        </w:rPr>
        <w:t>、</w:t>
        <w:tab/>
        <w:t>董事会关于报告期会计政策、会计估计变更或重要前期差错更正的说明</w:t>
      </w:r>
      <w:bookmarkEnd w:id="125"/>
      <w:bookmarkEnd w:id="126"/>
      <w:bookmarkEnd w:id="128"/>
    </w:p>
    <w:p>
      <w:pPr>
        <w:pStyle w:val="Style24"/>
        <w:keepNext w:val="0"/>
        <w:keepLines w:val="0"/>
        <w:widowControl w:val="0"/>
        <w:shd w:val="clear" w:color="auto" w:fill="auto"/>
        <w:bidi w:val="0"/>
        <w:spacing w:before="0" w:after="360" w:line="326" w:lineRule="exact"/>
        <w:ind w:left="0" w:right="0" w:firstLine="0"/>
        <w:jc w:val="left"/>
      </w:pPr>
      <w:r>
        <w:rPr>
          <w:color w:val="000000"/>
          <w:spacing w:val="0"/>
          <w:w w:val="100"/>
          <w:position w:val="0"/>
        </w:rPr>
        <w:t>不适用</w:t>
      </w:r>
    </w:p>
    <w:p>
      <w:pPr>
        <w:pStyle w:val="Style22"/>
        <w:keepNext/>
        <w:keepLines/>
        <w:widowControl w:val="0"/>
        <w:shd w:val="clear" w:color="auto" w:fill="auto"/>
        <w:tabs>
          <w:tab w:pos="526" w:val="left"/>
        </w:tabs>
        <w:bidi w:val="0"/>
        <w:spacing w:before="0" w:after="24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sz w:val="24"/>
          <w:szCs w:val="24"/>
        </w:rPr>
        <w:t>五</w:t>
      </w:r>
      <w:bookmarkEnd w:id="131"/>
      <w:r>
        <w:rPr>
          <w:color w:val="000000"/>
          <w:spacing w:val="0"/>
          <w:w w:val="100"/>
          <w:position w:val="0"/>
          <w:sz w:val="24"/>
          <w:szCs w:val="24"/>
        </w:rPr>
        <w:t>、</w:t>
        <w:tab/>
        <w:t>公司利润分配及分红派息情况</w:t>
      </w:r>
      <w:bookmarkEnd w:id="129"/>
      <w:bookmarkEnd w:id="130"/>
      <w:bookmarkEnd w:id="132"/>
    </w:p>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报告期内利润分配政策特别是现金分红政策的制定、执行或调整情况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line="317" w:lineRule="exact"/>
        <w:ind w:left="0" w:right="0" w:firstLine="560"/>
        <w:jc w:val="both"/>
      </w:pPr>
      <w:r>
        <w:rPr>
          <w:color w:val="000000"/>
          <w:spacing w:val="0"/>
          <w:w w:val="100"/>
          <w:position w:val="0"/>
        </w:rPr>
        <w:t>经公司董事长提议，经董事会讨论决定，公司</w:t>
      </w:r>
      <w:r>
        <w:rPr>
          <w:rFonts w:ascii="Times New Roman" w:eastAsia="Times New Roman" w:hAnsi="Times New Roman" w:cs="Times New Roman"/>
          <w:color w:val="000000"/>
          <w:spacing w:val="0"/>
          <w:w w:val="100"/>
          <w:position w:val="0"/>
        </w:rPr>
        <w:t>2013</w:t>
      </w:r>
      <w:r>
        <w:rPr>
          <w:color w:val="000000"/>
          <w:spacing w:val="0"/>
          <w:w w:val="100"/>
          <w:position w:val="0"/>
        </w:rPr>
        <w:t>年利润分配预案为以公司目前总股本</w:t>
      </w:r>
      <w:r>
        <w:rPr>
          <w:rFonts w:ascii="Times New Roman" w:eastAsia="Times New Roman" w:hAnsi="Times New Roman" w:cs="Times New Roman"/>
          <w:color w:val="000000"/>
          <w:spacing w:val="0"/>
          <w:w w:val="100"/>
          <w:position w:val="0"/>
        </w:rPr>
        <w:t>5535</w:t>
      </w:r>
      <w:r>
        <w:rPr>
          <w:color w:val="000000"/>
          <w:spacing w:val="0"/>
          <w:w w:val="100"/>
          <w:position w:val="0"/>
        </w:rPr>
        <w:t>万股为基数，每</w:t>
      </w:r>
      <w:r>
        <w:rPr>
          <w:rFonts w:ascii="Times New Roman" w:eastAsia="Times New Roman" w:hAnsi="Times New Roman" w:cs="Times New Roman"/>
          <w:color w:val="000000"/>
          <w:spacing w:val="0"/>
          <w:w w:val="100"/>
          <w:position w:val="0"/>
        </w:rPr>
        <w:t>10</w:t>
      </w:r>
      <w:r>
        <w:rPr>
          <w:color w:val="000000"/>
          <w:spacing w:val="0"/>
          <w:w w:val="100"/>
          <w:position w:val="0"/>
        </w:rPr>
        <w:t>股 派发现金红利</w:t>
      </w:r>
      <w:r>
        <w:rPr>
          <w:rFonts w:ascii="Times New Roman" w:eastAsia="Times New Roman" w:hAnsi="Times New Roman" w:cs="Times New Roman"/>
          <w:color w:val="000000"/>
          <w:spacing w:val="0"/>
          <w:w w:val="100"/>
          <w:position w:val="0"/>
        </w:rPr>
        <w:t>2.00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1107</w:t>
      </w:r>
      <w:r>
        <w:rPr>
          <w:color w:val="000000"/>
          <w:spacing w:val="0"/>
          <w:w w:val="100"/>
          <w:position w:val="0"/>
        </w:rPr>
        <w:t>万元。该分配预案经股东大会表决通过后将予以执行。</w:t>
      </w:r>
    </w:p>
    <w:tbl>
      <w:tblPr>
        <w:tblOverlap w:val="never"/>
        <w:jc w:val="center"/>
        <w:tblLayout w:type="fixed"/>
      </w:tblPr>
      <w:tblGrid>
        <w:gridCol w:w="4229"/>
        <w:gridCol w:w="5352"/>
      </w:tblGrid>
      <w:tr>
        <w:trPr>
          <w:trHeight w:val="40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报告期内公司的利润分配政策符合公司章程的规定。</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明确。</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公司利润分配的决策程序和机制完备。</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独立董事发表了独立意见。</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公司的利润分配方案反映了中小股东的诉求，以充分保护广大投资 者的合法权益。</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报告期内，现金分红政策未进行调整或者变更。</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line="341"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0"/>
        <w:gridCol w:w="5861"/>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55,350,000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128,801,881.14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592" w:hRule="exact"/>
        </w:trPr>
        <w:tc>
          <w:tcPr>
            <w:gridSpan w:val="2"/>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根据天职国际会计师事务所（特殊普通合伙）出具的审计报告确认，</w:t>
            </w:r>
            <w:r>
              <w:rPr>
                <w:rFonts w:ascii="Times New Roman" w:eastAsia="Times New Roman" w:hAnsi="Times New Roman" w:cs="Times New Roman"/>
                <w:color w:val="000000"/>
                <w:spacing w:val="0"/>
                <w:w w:val="100"/>
                <w:position w:val="0"/>
              </w:rPr>
              <w:t>2013</w:t>
            </w:r>
            <w:r>
              <w:rPr>
                <w:color w:val="000000"/>
                <w:spacing w:val="0"/>
                <w:w w:val="100"/>
                <w:position w:val="0"/>
              </w:rPr>
              <w:t>年度公司实现销售收入</w:t>
            </w:r>
            <w:r>
              <w:rPr>
                <w:rFonts w:ascii="Times New Roman" w:eastAsia="Times New Roman" w:hAnsi="Times New Roman" w:cs="Times New Roman"/>
                <w:color w:val="000000"/>
                <w:spacing w:val="0"/>
                <w:w w:val="100"/>
                <w:position w:val="0"/>
              </w:rPr>
              <w:t>16,820.76</w:t>
            </w:r>
            <w:r>
              <w:rPr>
                <w:color w:val="000000"/>
                <w:spacing w:val="0"/>
                <w:w w:val="100"/>
                <w:position w:val="0"/>
              </w:rPr>
              <w:t>万元、 净利润</w:t>
            </w:r>
            <w:r>
              <w:rPr>
                <w:rFonts w:ascii="Times New Roman" w:eastAsia="Times New Roman" w:hAnsi="Times New Roman" w:cs="Times New Roman"/>
                <w:color w:val="000000"/>
                <w:spacing w:val="0"/>
                <w:w w:val="100"/>
                <w:position w:val="0"/>
              </w:rPr>
              <w:t>4,035.73</w:t>
            </w:r>
            <w:r>
              <w:rPr>
                <w:color w:val="000000"/>
                <w:spacing w:val="0"/>
                <w:w w:val="100"/>
                <w:position w:val="0"/>
              </w:rPr>
              <w:t>万元，根据《公司章程规定》，以</w:t>
            </w:r>
            <w:r>
              <w:rPr>
                <w:rFonts w:ascii="Times New Roman" w:eastAsia="Times New Roman" w:hAnsi="Times New Roman" w:cs="Times New Roman"/>
                <w:color w:val="000000"/>
                <w:spacing w:val="0"/>
                <w:w w:val="100"/>
                <w:position w:val="0"/>
              </w:rPr>
              <w:t>2013</w:t>
            </w:r>
            <w:r>
              <w:rPr>
                <w:color w:val="000000"/>
                <w:spacing w:val="0"/>
                <w:w w:val="100"/>
                <w:position w:val="0"/>
              </w:rPr>
              <w:t>年度实现的净利润</w:t>
            </w:r>
            <w:r>
              <w:rPr>
                <w:rFonts w:ascii="Times New Roman" w:eastAsia="Times New Roman" w:hAnsi="Times New Roman" w:cs="Times New Roman"/>
                <w:color w:val="000000"/>
                <w:spacing w:val="0"/>
                <w:w w:val="100"/>
                <w:position w:val="0"/>
              </w:rPr>
              <w:t>4,035.73</w:t>
            </w:r>
            <w:r>
              <w:rPr>
                <w:color w:val="000000"/>
                <w:spacing w:val="0"/>
                <w:w w:val="100"/>
                <w:position w:val="0"/>
              </w:rPr>
              <w:t>万元为基数，提取</w:t>
            </w:r>
            <w:r>
              <w:rPr>
                <w:rFonts w:ascii="Times New Roman" w:eastAsia="Times New Roman" w:hAnsi="Times New Roman" w:cs="Times New Roman"/>
                <w:color w:val="000000"/>
                <w:spacing w:val="0"/>
                <w:w w:val="100"/>
                <w:position w:val="0"/>
              </w:rPr>
              <w:t>10%</w:t>
            </w:r>
            <w:r>
              <w:rPr>
                <w:color w:val="000000"/>
                <w:spacing w:val="0"/>
                <w:w w:val="100"/>
                <w:position w:val="0"/>
              </w:rPr>
              <w:t>的法定盈余公 积金计</w:t>
            </w:r>
            <w:r>
              <w:rPr>
                <w:rFonts w:ascii="Times New Roman" w:eastAsia="Times New Roman" w:hAnsi="Times New Roman" w:cs="Times New Roman"/>
                <w:color w:val="000000"/>
                <w:spacing w:val="0"/>
                <w:w w:val="100"/>
                <w:position w:val="0"/>
              </w:rPr>
              <w:t>403.57</w:t>
            </w:r>
            <w:r>
              <w:rPr>
                <w:color w:val="000000"/>
                <w:spacing w:val="0"/>
                <w:w w:val="100"/>
                <w:position w:val="0"/>
              </w:rPr>
              <w:t>万元，余下可供分配的净利润为</w:t>
            </w:r>
            <w:r>
              <w:rPr>
                <w:rFonts w:ascii="Times New Roman" w:eastAsia="Times New Roman" w:hAnsi="Times New Roman" w:cs="Times New Roman"/>
                <w:color w:val="000000"/>
                <w:spacing w:val="0"/>
                <w:w w:val="100"/>
                <w:position w:val="0"/>
              </w:rPr>
              <w:t>3,632.16</w:t>
            </w:r>
            <w:r>
              <w:rPr>
                <w:color w:val="000000"/>
                <w:spacing w:val="0"/>
                <w:w w:val="100"/>
                <w:position w:val="0"/>
              </w:rPr>
              <w:t>万元，加上上年度未分配</w:t>
            </w:r>
            <w:r>
              <w:rPr>
                <w:rFonts w:ascii="Times New Roman" w:eastAsia="Times New Roman" w:hAnsi="Times New Roman" w:cs="Times New Roman"/>
                <w:color w:val="000000"/>
                <w:spacing w:val="0"/>
                <w:w w:val="100"/>
                <w:position w:val="0"/>
              </w:rPr>
              <w:t>9,248.03</w:t>
            </w:r>
            <w:r>
              <w:rPr>
                <w:color w:val="000000"/>
                <w:spacing w:val="0"/>
                <w:w w:val="100"/>
                <w:position w:val="0"/>
              </w:rPr>
              <w:t xml:space="preserve">万元，本年度可供分配利润 </w:t>
            </w:r>
            <w:r>
              <w:rPr>
                <w:rFonts w:ascii="Times New Roman" w:eastAsia="Times New Roman" w:hAnsi="Times New Roman" w:cs="Times New Roman"/>
                <w:color w:val="000000"/>
                <w:spacing w:val="0"/>
                <w:w w:val="100"/>
                <w:position w:val="0"/>
              </w:rPr>
              <w:t>12,880.19</w:t>
            </w:r>
            <w:r>
              <w:rPr>
                <w:color w:val="000000"/>
                <w:spacing w:val="0"/>
                <w:w w:val="100"/>
                <w:position w:val="0"/>
              </w:rPr>
              <w:t>万元。公司拟定</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年度利润分配预案如下：基于公司经营业绩及公司业务的发展情况等因素，并充分考虑到 广大投资者的合理诉求以及让全体股东共同分享公司发展的经营成果，回报公司股东，在考虑公司利润水平及未来发展潜 力等情况，公司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年度利润分配预案为：以公司截止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5,535</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1,107.00</w:t>
            </w:r>
            <w:r>
              <w:rPr>
                <w:color w:val="000000"/>
                <w:spacing w:val="0"/>
                <w:w w:val="100"/>
                <w:position w:val="0"/>
              </w:rPr>
              <w:t>万元（含税），剩余未分配利润</w:t>
            </w:r>
            <w:r>
              <w:rPr>
                <w:rFonts w:ascii="Times New Roman" w:eastAsia="Times New Roman" w:hAnsi="Times New Roman" w:cs="Times New Roman"/>
                <w:color w:val="000000"/>
                <w:spacing w:val="0"/>
                <w:w w:val="100"/>
                <w:position w:val="0"/>
              </w:rPr>
              <w:t>11,773.19</w:t>
            </w:r>
            <w:r>
              <w:rPr>
                <w:color w:val="000000"/>
                <w:spacing w:val="0"/>
                <w:w w:val="100"/>
                <w:position w:val="0"/>
              </w:rPr>
              <w:t>万元继续留存公司用于 支持公司经营需要。</w:t>
            </w:r>
          </w:p>
        </w:tc>
      </w:tr>
    </w:tbl>
    <w:p>
      <w:pPr>
        <w:pStyle w:val="Style24"/>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年（含报告期）的利润分配方案及资本公积金转增股本方案情况</w:t>
      </w:r>
    </w:p>
    <w:p>
      <w:pPr>
        <w:pStyle w:val="Style24"/>
        <w:keepNext w:val="0"/>
        <w:keepLines w:val="0"/>
        <w:widowControl w:val="0"/>
        <w:shd w:val="clear" w:color="auto" w:fill="auto"/>
        <w:tabs>
          <w:tab w:pos="334" w:val="left"/>
        </w:tabs>
        <w:bidi w:val="0"/>
        <w:spacing w:before="0" w:after="0" w:line="379" w:lineRule="auto"/>
        <w:ind w:left="0" w:right="0" w:firstLine="0"/>
        <w:jc w:val="left"/>
      </w:pPr>
      <w:bookmarkStart w:id="133" w:name="bookmark133"/>
      <w:r>
        <w:rPr>
          <w:rFonts w:ascii="Times New Roman" w:eastAsia="Times New Roman" w:hAnsi="Times New Roman" w:cs="Times New Roman"/>
          <w:color w:val="000000"/>
          <w:spacing w:val="0"/>
          <w:w w:val="100"/>
          <w:position w:val="0"/>
        </w:rPr>
        <w:t>1</w:t>
      </w:r>
      <w:bookmarkEnd w:id="133"/>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年利润分配方案情况</w:t>
      </w:r>
    </w:p>
    <w:p>
      <w:pPr>
        <w:pStyle w:val="Style24"/>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年度股东大会审议批准，根据公司实际情况，公司决定</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日期间公司形成的可供 分配利润暂不予分配。</w:t>
      </w:r>
    </w:p>
    <w:p>
      <w:pPr>
        <w:pStyle w:val="Style24"/>
        <w:keepNext w:val="0"/>
        <w:keepLines w:val="0"/>
        <w:widowControl w:val="0"/>
        <w:shd w:val="clear" w:color="auto" w:fill="auto"/>
        <w:tabs>
          <w:tab w:pos="354" w:val="left"/>
        </w:tabs>
        <w:bidi w:val="0"/>
        <w:spacing w:before="0" w:after="0" w:line="379" w:lineRule="auto"/>
        <w:ind w:left="0" w:right="0" w:firstLine="0"/>
        <w:jc w:val="left"/>
      </w:pPr>
      <w:bookmarkStart w:id="134" w:name="bookmark134"/>
      <w:r>
        <w:rPr>
          <w:rFonts w:ascii="Times New Roman" w:eastAsia="Times New Roman" w:hAnsi="Times New Roman" w:cs="Times New Roman"/>
          <w:color w:val="000000"/>
          <w:spacing w:val="0"/>
          <w:w w:val="100"/>
          <w:position w:val="0"/>
        </w:rPr>
        <w:t>2</w:t>
      </w:r>
      <w:bookmarkEnd w:id="134"/>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年利润分配方案情况</w:t>
      </w:r>
    </w:p>
    <w:p>
      <w:pPr>
        <w:pStyle w:val="Style24"/>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年度股东大会审议批准，根据公司实际情况，公司决定</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日期间公司形成的可供 分配利润暂不予分配。</w:t>
      </w:r>
    </w:p>
    <w:p>
      <w:pPr>
        <w:pStyle w:val="Style24"/>
        <w:keepNext w:val="0"/>
        <w:keepLines w:val="0"/>
        <w:widowControl w:val="0"/>
        <w:shd w:val="clear" w:color="auto" w:fill="auto"/>
        <w:tabs>
          <w:tab w:pos="354" w:val="left"/>
        </w:tabs>
        <w:bidi w:val="0"/>
        <w:spacing w:before="0" w:after="0" w:line="374" w:lineRule="auto"/>
        <w:ind w:left="0" w:right="0" w:firstLine="0"/>
        <w:jc w:val="left"/>
      </w:pPr>
      <w:bookmarkStart w:id="135" w:name="bookmark135"/>
      <w:r>
        <w:rPr>
          <w:rFonts w:ascii="Times New Roman" w:eastAsia="Times New Roman" w:hAnsi="Times New Roman" w:cs="Times New Roman"/>
          <w:color w:val="000000"/>
          <w:spacing w:val="0"/>
          <w:w w:val="100"/>
          <w:position w:val="0"/>
        </w:rPr>
        <w:t>3</w:t>
      </w:r>
      <w:bookmarkEnd w:id="135"/>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年利润分配方案情况</w:t>
      </w:r>
    </w:p>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以公司现有总股本</w:t>
      </w:r>
      <w:r>
        <w:rPr>
          <w:rFonts w:ascii="Times New Roman" w:eastAsia="Times New Roman" w:hAnsi="Times New Roman" w:cs="Times New Roman"/>
          <w:color w:val="000000"/>
          <w:spacing w:val="0"/>
          <w:w w:val="100"/>
          <w:position w:val="0"/>
        </w:rPr>
        <w:t>5535</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1107</w:t>
      </w:r>
      <w:r>
        <w:rPr>
          <w:color w:val="000000"/>
          <w:spacing w:val="0"/>
          <w:w w:val="100"/>
          <w:position w:val="0"/>
        </w:rPr>
        <w:t>万元。本利 润分配和资本公积金转增股本预案尚需提交公司</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年度股东大会审议。</w:t>
      </w:r>
    </w:p>
    <w:p>
      <w:pPr>
        <w:pStyle w:val="Style24"/>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公司近三年现金分红情况表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40,357,333.67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37,179,969.38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34,038,124.29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sz w:val="24"/>
          <w:szCs w:val="24"/>
        </w:rPr>
        <w:t>六</w:t>
      </w:r>
      <w:bookmarkEnd w:id="138"/>
      <w:r>
        <w:rPr>
          <w:color w:val="000000"/>
          <w:spacing w:val="0"/>
          <w:w w:val="100"/>
          <w:position w:val="0"/>
          <w:sz w:val="24"/>
          <w:szCs w:val="24"/>
        </w:rPr>
        <w:t>、内幕信息知情人管理制度的建立和执行情况</w:t>
      </w:r>
      <w:bookmarkEnd w:id="136"/>
      <w:bookmarkEnd w:id="137"/>
      <w:bookmarkEnd w:id="139"/>
    </w:p>
    <w:p>
      <w:pPr>
        <w:pStyle w:val="Style24"/>
        <w:keepNext w:val="0"/>
        <w:keepLines w:val="0"/>
        <w:widowControl w:val="0"/>
        <w:shd w:val="clear" w:color="auto" w:fill="auto"/>
        <w:bidi w:val="0"/>
        <w:spacing w:before="0" w:after="0" w:line="240" w:lineRule="auto"/>
        <w:ind w:left="0" w:right="0" w:firstLine="460"/>
        <w:jc w:val="both"/>
        <w:sectPr>
          <w:footnotePr>
            <w:pos w:val="pageBottom"/>
            <w:numFmt w:val="decimal"/>
            <w:numRestart w:val="continuous"/>
          </w:footnotePr>
          <w:pgSz w:w="11900" w:h="16840"/>
          <w:pgMar w:top="1340" w:right="1047" w:bottom="1470" w:left="1075" w:header="0" w:footer="3" w:gutter="0"/>
          <w:cols w:space="720"/>
          <w:noEndnote/>
          <w:rtlGutter w:val="0"/>
          <w:docGrid w:linePitch="360"/>
        </w:sectPr>
      </w:pPr>
      <w:r>
        <w:rPr>
          <w:color w:val="000000"/>
          <w:spacing w:val="0"/>
          <w:w w:val="100"/>
          <w:position w:val="0"/>
        </w:rPr>
        <w:t xml:space="preserve">公司在上市辅导过程中，保荐机构国金证券股份有限公司保荐人代表根据《公司法》、《证券法》、《上市公司治理 </w:t>
      </w:r>
      <w:r>
        <w:rPr>
          <w:color w:val="000000"/>
          <w:spacing w:val="0"/>
          <w:w w:val="100"/>
          <w:position w:val="0"/>
        </w:rPr>
        <w:t>规则》、《深圳证券交易所创业板股票上市规则》等法律法规对公司董事、监事、高级管理人员及相关人员进行多次培训， 要求相关人员在公司经营过程中严格履行内幕信息知情人义务。公司于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日第一届董事会第八次会议审议《内幕 信息知情人登记制度》，公司在日常工作中严格按照内幕信息知情人登记制度的有关规定对内幕信息知情人进行登记备案, 防止泄露信息，保证信息披露的公平。报告期内公司未出现内部信息知情人涉嫌内幕交易情况。</w:t>
      </w:r>
    </w:p>
    <w:p>
      <w:pPr>
        <w:pStyle w:val="Style8"/>
        <w:keepNext/>
        <w:keepLines/>
        <w:widowControl w:val="0"/>
        <w:shd w:val="clear" w:color="auto" w:fill="auto"/>
        <w:bidi w:val="0"/>
        <w:spacing w:before="540" w:line="240" w:lineRule="auto"/>
        <w:ind w:left="0" w:right="0" w:firstLine="0"/>
        <w:jc w:val="center"/>
      </w:pPr>
      <w:bookmarkStart w:id="140" w:name="bookmark140"/>
      <w:bookmarkStart w:id="141" w:name="bookmark141"/>
      <w:bookmarkStart w:id="142" w:name="bookmark142"/>
      <w:r>
        <w:rPr>
          <w:color w:val="000000"/>
          <w:spacing w:val="0"/>
          <w:w w:val="100"/>
          <w:position w:val="0"/>
        </w:rPr>
        <w:t>第五节重要事项</w:t>
      </w:r>
      <w:bookmarkEnd w:id="140"/>
      <w:bookmarkEnd w:id="141"/>
      <w:bookmarkEnd w:id="142"/>
    </w:p>
    <w:p>
      <w:pPr>
        <w:pStyle w:val="Style22"/>
        <w:keepNext/>
        <w:keepLines/>
        <w:widowControl w:val="0"/>
        <w:shd w:val="clear" w:color="auto" w:fill="auto"/>
        <w:bidi w:val="0"/>
        <w:spacing w:before="0" w:after="34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sz w:val="24"/>
          <w:szCs w:val="24"/>
        </w:rPr>
        <w:t>一</w:t>
      </w:r>
      <w:bookmarkEnd w:id="145"/>
      <w:r>
        <w:rPr>
          <w:color w:val="000000"/>
          <w:spacing w:val="0"/>
          <w:w w:val="100"/>
          <w:position w:val="0"/>
          <w:sz w:val="24"/>
          <w:szCs w:val="24"/>
        </w:rPr>
        <w:t>、重大诉讼仲裁事项</w:t>
      </w:r>
      <w:bookmarkEnd w:id="143"/>
      <w:bookmarkEnd w:id="144"/>
      <w:bookmarkEnd w:id="146"/>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本年度公司无重大诉讼、仲裁事项。</w:t>
      </w:r>
    </w:p>
    <w:p>
      <w:pPr>
        <w:pStyle w:val="Style22"/>
        <w:keepNext/>
        <w:keepLines/>
        <w:widowControl w:val="0"/>
        <w:shd w:val="clear" w:color="auto" w:fill="auto"/>
        <w:bidi w:val="0"/>
        <w:spacing w:before="0" w:after="34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sz w:val="24"/>
          <w:szCs w:val="24"/>
        </w:rPr>
        <w:t>二</w:t>
      </w:r>
      <w:bookmarkEnd w:id="149"/>
      <w:r>
        <w:rPr>
          <w:color w:val="000000"/>
          <w:spacing w:val="0"/>
          <w:w w:val="100"/>
          <w:position w:val="0"/>
          <w:sz w:val="24"/>
          <w:szCs w:val="24"/>
        </w:rPr>
        <w:t>、重大关联交易</w:t>
      </w:r>
      <w:bookmarkEnd w:id="147"/>
      <w:bookmarkEnd w:id="148"/>
      <w:bookmarkEnd w:id="150"/>
    </w:p>
    <w:p>
      <w:pPr>
        <w:pStyle w:val="Style29"/>
        <w:keepNext/>
        <w:keepLines/>
        <w:widowControl w:val="0"/>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1</w:t>
      </w:r>
      <w:bookmarkEnd w:id="153"/>
      <w:r>
        <w:rPr>
          <w:color w:val="000000"/>
          <w:spacing w:val="0"/>
          <w:w w:val="100"/>
          <w:position w:val="0"/>
        </w:rPr>
        <w:t>、与日常经营相关的关联交易</w:t>
      </w:r>
      <w:bookmarkEnd w:id="151"/>
      <w:bookmarkEnd w:id="152"/>
      <w:bookmarkEnd w:id="154"/>
    </w:p>
    <w:tbl>
      <w:tblPr>
        <w:tblOverlap w:val="never"/>
        <w:jc w:val="center"/>
        <w:tblLayout w:type="fixed"/>
      </w:tblPr>
      <w:tblGrid>
        <w:gridCol w:w="802"/>
        <w:gridCol w:w="797"/>
        <w:gridCol w:w="797"/>
        <w:gridCol w:w="797"/>
        <w:gridCol w:w="802"/>
        <w:gridCol w:w="797"/>
        <w:gridCol w:w="797"/>
        <w:gridCol w:w="802"/>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关联交易 金额（万</w:t>
            </w:r>
          </w:p>
          <w:p>
            <w:pPr>
              <w:pStyle w:val="Style19"/>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98"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8"/>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按类别对本期将发生的日常关联交易进 行总金额预计的，在报告期内的实际履 行情况（如有）</w:t>
            </w:r>
          </w:p>
        </w:tc>
        <w:tc>
          <w:tcPr>
            <w:gridSpan w:val="8"/>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交易价格与市场参考价格差异较大的原 因（如适用）</w:t>
            </w:r>
          </w:p>
        </w:tc>
        <w:tc>
          <w:tcPr>
            <w:gridSpan w:val="8"/>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关联交易事项对公司利润的影响</w:t>
            </w:r>
          </w:p>
        </w:tc>
        <w:tc>
          <w:tcPr>
            <w:gridSpan w:val="8"/>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报告期内公司向关联方销售（采购）产品和提供（接受）劳务的情况</w:t>
      </w:r>
    </w:p>
    <w:p>
      <w:pPr>
        <w:widowControl w:val="0"/>
        <w:spacing w:after="79" w:line="1" w:lineRule="exact"/>
      </w:pPr>
    </w:p>
    <w:tbl>
      <w:tblPr>
        <w:tblOverlap w:val="never"/>
        <w:jc w:val="center"/>
        <w:tblLayout w:type="fixed"/>
      </w:tblPr>
      <w:tblGrid>
        <w:gridCol w:w="2203"/>
        <w:gridCol w:w="1858"/>
        <w:gridCol w:w="1858"/>
        <w:gridCol w:w="1819"/>
        <w:gridCol w:w="184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向关联方销售产品和提供劳务</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向关联方采购产品和接受劳务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占同类交易金额的比例</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占同类交易金额的比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其中：报告期内公司向控股股东及其子公司销售产品或提供劳务的关联交易金额万元。</w:t>
      </w:r>
    </w:p>
    <w:p>
      <w:pPr>
        <w:pStyle w:val="Style29"/>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2</w:t>
      </w:r>
      <w:bookmarkEnd w:id="157"/>
      <w:r>
        <w:rPr>
          <w:color w:val="000000"/>
          <w:spacing w:val="0"/>
          <w:w w:val="100"/>
          <w:position w:val="0"/>
        </w:rPr>
        <w:t>、资产收购、出售发生的关联交易</w:t>
      </w:r>
      <w:bookmarkEnd w:id="155"/>
      <w:bookmarkEnd w:id="156"/>
      <w:bookmarkEnd w:id="158"/>
    </w:p>
    <w:tbl>
      <w:tblPr>
        <w:tblOverlap w:val="never"/>
        <w:jc w:val="center"/>
        <w:tblLayout w:type="fixed"/>
      </w:tblPr>
      <w:tblGrid>
        <w:gridCol w:w="739"/>
        <w:gridCol w:w="758"/>
        <w:gridCol w:w="734"/>
        <w:gridCol w:w="739"/>
        <w:gridCol w:w="739"/>
        <w:gridCol w:w="730"/>
        <w:gridCol w:w="734"/>
        <w:gridCol w:w="734"/>
        <w:gridCol w:w="734"/>
        <w:gridCol w:w="734"/>
        <w:gridCol w:w="739"/>
        <w:gridCol w:w="739"/>
        <w:gridCol w:w="720"/>
      </w:tblGrid>
      <w:tr>
        <w:trPr>
          <w:trHeight w:val="13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 易类型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产的账 面价值 （万元）</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产的评 估价值 （万元）</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市场公 允价值 （万元）</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转让价 格（万</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交易损 益（万</w:t>
            </w:r>
          </w:p>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bl>
    <w:p>
      <w:pPr>
        <w:spacing w:lineRule="exact" w:line="1"/>
        <w:rPr>
          <w:sz w:val="2"/>
          <w:szCs w:val="2"/>
        </w:rPr>
      </w:pPr>
      <w:r>
        <w:br w:type="page"/>
      </w:r>
    </w:p>
    <w:p>
      <w:pPr>
        <w:pStyle w:val="Style29"/>
        <w:keepNext/>
        <w:keepLines/>
        <w:widowControl w:val="0"/>
        <w:shd w:val="clear" w:color="auto" w:fill="auto"/>
        <w:bidi w:val="0"/>
        <w:spacing w:before="0" w:after="32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3</w:t>
      </w:r>
      <w:bookmarkEnd w:id="161"/>
      <w:r>
        <w:rPr>
          <w:color w:val="000000"/>
          <w:spacing w:val="0"/>
          <w:w w:val="100"/>
          <w:position w:val="0"/>
        </w:rPr>
        <w:t>、共同对外投资的重大关联交易</w:t>
      </w:r>
      <w:bookmarkEnd w:id="159"/>
      <w:bookmarkEnd w:id="160"/>
      <w:bookmarkEnd w:id="162"/>
    </w:p>
    <w:tbl>
      <w:tblPr>
        <w:tblOverlap w:val="never"/>
        <w:jc w:val="center"/>
        <w:tblLayout w:type="fixed"/>
      </w:tblPr>
      <w:tblGrid>
        <w:gridCol w:w="1070"/>
        <w:gridCol w:w="1066"/>
        <w:gridCol w:w="1061"/>
        <w:gridCol w:w="1070"/>
        <w:gridCol w:w="1061"/>
        <w:gridCol w:w="1061"/>
        <w:gridCol w:w="1066"/>
        <w:gridCol w:w="1061"/>
        <w:gridCol w:w="1066"/>
      </w:tblGrid>
      <w:tr>
        <w:trPr>
          <w:trHeight w:val="13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的主营业务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的注册资本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的总资产（万</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的净资产（万</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的净利润（万</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被投资企业 的重大在建 项目的进展</w:t>
            </w:r>
          </w:p>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情况</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共同对外投资的重大关联交易情况说明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报告期内，公司无共同对外投资的重大关联交易。</w:t>
      </w:r>
    </w:p>
    <w:p>
      <w:pPr>
        <w:pStyle w:val="Style29"/>
        <w:keepNext/>
        <w:keepLines/>
        <w:widowControl w:val="0"/>
        <w:shd w:val="clear" w:color="auto" w:fill="auto"/>
        <w:bidi w:val="0"/>
        <w:spacing w:before="0" w:after="36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4</w:t>
      </w:r>
      <w:bookmarkEnd w:id="165"/>
      <w:r>
        <w:rPr>
          <w:color w:val="000000"/>
          <w:spacing w:val="0"/>
          <w:w w:val="100"/>
          <w:position w:val="0"/>
        </w:rPr>
        <w:t>、关联债权债务往来</w:t>
      </w:r>
      <w:bookmarkEnd w:id="163"/>
      <w:bookmarkEnd w:id="164"/>
      <w:bookmarkEnd w:id="16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1738"/>
        <w:gridCol w:w="1118"/>
        <w:gridCol w:w="1118"/>
        <w:gridCol w:w="1118"/>
        <w:gridCol w:w="1123"/>
        <w:gridCol w:w="1118"/>
        <w:gridCol w:w="1118"/>
        <w:gridCol w:w="1128"/>
      </w:tblGrid>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债权债务类 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期初余额（万 元）</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本期发生额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期末余额（万 元）</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5</w:t>
      </w:r>
      <w:bookmarkEnd w:id="169"/>
      <w:r>
        <w:rPr>
          <w:color w:val="000000"/>
          <w:spacing w:val="0"/>
          <w:w w:val="100"/>
          <w:position w:val="0"/>
        </w:rPr>
        <w:t>、其他重大关联交易</w:t>
      </w:r>
      <w:bookmarkEnd w:id="167"/>
      <w:bookmarkEnd w:id="168"/>
      <w:bookmarkEnd w:id="17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1"/>
        <w:gridCol w:w="2650"/>
        <w:gridCol w:w="347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三</w:t>
      </w:r>
      <w:bookmarkEnd w:id="173"/>
      <w:r>
        <w:rPr>
          <w:color w:val="000000"/>
          <w:spacing w:val="0"/>
          <w:w w:val="100"/>
          <w:position w:val="0"/>
          <w:sz w:val="24"/>
          <w:szCs w:val="24"/>
        </w:rPr>
        <w:t>、承诺事项履行情况</w:t>
      </w:r>
      <w:bookmarkEnd w:id="171"/>
      <w:bookmarkEnd w:id="172"/>
      <w:bookmarkEnd w:id="174"/>
    </w:p>
    <w:p>
      <w:pPr>
        <w:pStyle w:val="Style29"/>
        <w:keepNext/>
        <w:keepLines/>
        <w:widowControl w:val="0"/>
        <w:shd w:val="clear" w:color="auto" w:fill="auto"/>
        <w:bidi w:val="0"/>
        <w:spacing w:before="0" w:after="32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175"/>
      <w:bookmarkEnd w:id="176"/>
      <w:bookmarkEnd w:id="178"/>
    </w:p>
    <w:tbl>
      <w:tblPr>
        <w:tblOverlap w:val="never"/>
        <w:jc w:val="center"/>
        <w:tblLayout w:type="fixed"/>
      </w:tblPr>
      <w:tblGrid>
        <w:gridCol w:w="1421"/>
        <w:gridCol w:w="850"/>
        <w:gridCol w:w="4253"/>
        <w:gridCol w:w="994"/>
        <w:gridCol w:w="994"/>
        <w:gridCol w:w="107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 益变动报告书中 所作承诺</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资产重组时所作 承诺</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28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再融资时所作承</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 东、实际 控制人唐 球、鄢建 红及自然 人股东鄢 建兵</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自公司股票在证券交易所上市之日起三十六个月内， 不转让或者委托他人管理其直接或者间接持有的公司 公开发行股票前已发行的股份，也不由公司回购其直 接或者间接持有的公司公开发行股票前已发行的股 份。在公司首次公开发行股票并在创业板成功上市后</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 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个月期末的收盘价低于发行价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27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--2017</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承诺各方无 违反该承诺 的情况</w:t>
            </w:r>
          </w:p>
        </w:tc>
      </w:tr>
    </w:tbl>
    <w:p>
      <w:pPr>
        <w:spacing w:lineRule="exact" w:line="1"/>
        <w:rPr>
          <w:sz w:val="2"/>
          <w:szCs w:val="2"/>
        </w:rPr>
      </w:pPr>
      <w:r>
        <w:br w:type="page"/>
      </w:r>
    </w:p>
    <w:tbl>
      <w:tblPr>
        <w:tblOverlap w:val="never"/>
        <w:jc w:val="center"/>
        <w:tblLayout w:type="fixed"/>
      </w:tblPr>
      <w:tblGrid>
        <w:gridCol w:w="1421"/>
        <w:gridCol w:w="850"/>
        <w:gridCol w:w="4253"/>
        <w:gridCol w:w="994"/>
        <w:gridCol w:w="994"/>
        <w:gridCol w:w="1070"/>
      </w:tblGrid>
      <w:tr>
        <w:trPr>
          <w:trHeight w:val="37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的，本人所持有的股票的锁定期限将自动延长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 事、监事、 高级管理 人员鄢建 兵、张列、 周云杉、 李媛媛、 贺向荣、 庞军</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法定或自愿锁定期满后，在任职期内每年转让的股份 不超过其直接或间接持有的公司股份总数的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；自 公司股票上市之日起六个月内申报离职时，申报离职 之日起十八个月内不得转让其直接或间接持有的本公 司股份；自公司股票上市之日起第七个月至第十二个 月之间申报离职时，申报离职之日起十二个月内不得 转让其直接或间接持有的本公司股份。在公司首次公 开发行股票并在创业板成功上市后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个月内，如公司 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个交易日的收盘价均低于发行价，或者上 市后</w:t>
            </w:r>
            <w:r>
              <w:rPr>
                <w:rFonts w:ascii="Times New Roman" w:eastAsia="Times New Roman" w:hAnsi="Times New Roman" w:cs="Times New Roman"/>
                <w:color w:val="000000"/>
                <w:spacing w:val="0"/>
                <w:w w:val="100"/>
                <w:position w:val="0"/>
              </w:rPr>
              <w:t>6</w:t>
            </w:r>
            <w:r>
              <w:rPr>
                <w:color w:val="000000"/>
                <w:spacing w:val="0"/>
                <w:w w:val="100"/>
                <w:position w:val="0"/>
              </w:rPr>
              <w:t>个月期末的收盘价低于发行价的，本人所持有 的股票的锁定期限将自动延长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任职期间以 及离职后的 特定时间</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承诺各方无 违反该承诺 的情况</w:t>
            </w:r>
          </w:p>
        </w:tc>
      </w:tr>
      <w:tr>
        <w:trPr>
          <w:trHeight w:val="7262"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如果公司在其</w:t>
            </w:r>
            <w:r>
              <w:rPr>
                <w:rFonts w:ascii="Times New Roman" w:eastAsia="Times New Roman" w:hAnsi="Times New Roman" w:cs="Times New Roman"/>
                <w:color w:val="000000"/>
                <w:spacing w:val="0"/>
                <w:w w:val="100"/>
                <w:position w:val="0"/>
              </w:rPr>
              <w:t>A</w:t>
            </w:r>
            <w:r>
              <w:rPr>
                <w:color w:val="000000"/>
                <w:spacing w:val="0"/>
                <w:w w:val="100"/>
                <w:position w:val="0"/>
              </w:rPr>
              <w:t>股股票正式挂牌上市之日后三年内公 司股价连续</w:t>
            </w:r>
            <w:r>
              <w:rPr>
                <w:rFonts w:ascii="Times New Roman" w:eastAsia="Times New Roman" w:hAnsi="Times New Roman" w:cs="Times New Roman"/>
                <w:color w:val="000000"/>
                <w:spacing w:val="0"/>
                <w:w w:val="100"/>
                <w:position w:val="0"/>
              </w:rPr>
              <w:t>10</w:t>
            </w:r>
            <w:r>
              <w:rPr>
                <w:color w:val="000000"/>
                <w:spacing w:val="0"/>
                <w:w w:val="100"/>
                <w:position w:val="0"/>
              </w:rPr>
              <w:t>个交易日的收盘价均低于公司最近一期 经审计的每股净资产，本公司将依据法律法规、公司 章程规定及本承诺内容依照以下法律程序实施以下具 体的股价稳定措施：在前述事项发生之日起</w:t>
            </w:r>
            <w:r>
              <w:rPr>
                <w:rFonts w:ascii="Times New Roman" w:eastAsia="Times New Roman" w:hAnsi="Times New Roman" w:cs="Times New Roman"/>
                <w:color w:val="000000"/>
                <w:spacing w:val="0"/>
                <w:w w:val="100"/>
                <w:position w:val="0"/>
              </w:rPr>
              <w:t>5</w:t>
            </w:r>
            <w:r>
              <w:rPr>
                <w:color w:val="000000"/>
                <w:spacing w:val="0"/>
                <w:w w:val="100"/>
                <w:position w:val="0"/>
              </w:rPr>
              <w:t>个交易 日内，公司应当根据当时有效的法律法规和本承诺， 与控股股东、董事、高级管理人员协商一致，提出稳 定公司股价的具体方案，履行相应的审批程序和信息 披露义务。股价稳定措施实施后，公司的股权分布应 当符合上市条件。当公司需要采取股价稳定措施时， 可以视公司实际情况、股票市场情况，与其他股价稳 定措施同时或分步骤实施以下股价稳定措施</w:t>
            </w:r>
            <w:r>
              <w:rPr>
                <w:rFonts w:ascii="Times New Roman" w:eastAsia="Times New Roman" w:hAnsi="Times New Roman" w:cs="Times New Roman"/>
                <w:color w:val="000000"/>
                <w:spacing w:val="0"/>
                <w:w w:val="100"/>
                <w:position w:val="0"/>
              </w:rPr>
              <w:t>:</w:t>
            </w:r>
            <w:r>
              <w:rPr>
                <w:color w:val="000000"/>
                <w:spacing w:val="0"/>
                <w:w w:val="100"/>
                <w:position w:val="0"/>
              </w:rPr>
              <w:t>如公司满 足股票上市已满一年且具备《上市公司回购社会公众 股份管理办法（试行）》（证监发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2005]51</w:t>
            </w:r>
            <w:r>
              <w:rPr>
                <w:color w:val="000000"/>
                <w:spacing w:val="0"/>
                <w:w w:val="100"/>
                <w:position w:val="0"/>
              </w:rPr>
              <w:t>号）、《关于 上市公司以集中竞价交易方式回购股份的补充规定》 （中国证监会公告</w:t>
            </w:r>
            <w:r>
              <w:rPr>
                <w:rFonts w:ascii="Times New Roman" w:eastAsia="Times New Roman" w:hAnsi="Times New Roman" w:cs="Times New Roman"/>
                <w:color w:val="000000"/>
                <w:spacing w:val="0"/>
                <w:w w:val="100"/>
                <w:position w:val="0"/>
              </w:rPr>
              <w:t>[2008]39</w:t>
            </w:r>
            <w:r>
              <w:rPr>
                <w:color w:val="000000"/>
                <w:spacing w:val="0"/>
                <w:w w:val="100"/>
                <w:position w:val="0"/>
              </w:rPr>
              <w:t>号）等证券法律法规规定 的其他回购主体资格条件时，发行人将于</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日内召开 股东大会审议股票回购方案并于股东大会审议通过的 </w:t>
            </w:r>
            <w:r>
              <w:rPr>
                <w:rFonts w:ascii="Times New Roman" w:eastAsia="Times New Roman" w:hAnsi="Times New Roman" w:cs="Times New Roman"/>
                <w:color w:val="000000"/>
                <w:spacing w:val="0"/>
                <w:w w:val="100"/>
                <w:position w:val="0"/>
              </w:rPr>
              <w:t>6</w:t>
            </w:r>
            <w:r>
              <w:rPr>
                <w:color w:val="000000"/>
                <w:spacing w:val="0"/>
                <w:w w:val="100"/>
                <w:position w:val="0"/>
              </w:rPr>
              <w:t>个月内完成回购方案实施工作。上述方案中的回购价 格不低于回购报告书公告前</w:t>
            </w:r>
            <w:r>
              <w:rPr>
                <w:rFonts w:ascii="Times New Roman" w:eastAsia="Times New Roman" w:hAnsi="Times New Roman" w:cs="Times New Roman"/>
                <w:color w:val="000000"/>
                <w:spacing w:val="0"/>
                <w:w w:val="100"/>
                <w:position w:val="0"/>
              </w:rPr>
              <w:t>20</w:t>
            </w:r>
            <w:r>
              <w:rPr>
                <w:color w:val="000000"/>
                <w:spacing w:val="0"/>
                <w:w w:val="100"/>
                <w:position w:val="0"/>
              </w:rPr>
              <w:t>个交易日公司股票每日 加权平均价的算术平均值，回购股份数不低于公司总 股本的</w:t>
            </w:r>
            <w:r>
              <w:rPr>
                <w:rFonts w:ascii="Times New Roman" w:eastAsia="Times New Roman" w:hAnsi="Times New Roman" w:cs="Times New Roman"/>
                <w:color w:val="000000"/>
                <w:spacing w:val="0"/>
                <w:w w:val="100"/>
                <w:position w:val="0"/>
              </w:rPr>
              <w:t>1%</w:t>
            </w:r>
            <w:r>
              <w:rPr>
                <w:color w:val="000000"/>
                <w:spacing w:val="0"/>
                <w:w w:val="100"/>
                <w:position w:val="0"/>
              </w:rPr>
              <w:t>。该回购行为完成后，公司的股权分布应当 符合上市条件。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27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--2017</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承诺各方无 违反该承诺 的情况</w:t>
            </w: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 股东、实 际控制人 唐球、鄢 建红</w:t>
            </w:r>
          </w:p>
        </w:tc>
        <w:tc>
          <w:tcPr>
            <w:tcBorders>
              <w:top w:val="single" w:sz="4"/>
              <w:left w:val="single" w:sz="4"/>
              <w:bottom w:val="single" w:sz="4"/>
            </w:tcBorders>
            <w:shd w:val="clear" w:color="auto" w:fill="C8EDCC"/>
            <w:vAlign w:val="bottom"/>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为维护广大股东利益，增强投资者信心，维护公司股 价稳定，特此作出关于稳定公司股价的承诺：如公司 不满足相关证券法律法规规定的回购主体资格条件时 或公司股东大会未能审议通过相关回购方案时，公司 控股股东、实际控制人唐球、鄢建红将自公司股票首 次触及连续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个交易日的收盘价均低于公司每股净资 产值情形时，以不低于该收购行为启动前连续</w:t>
            </w:r>
            <w:r>
              <w:rPr>
                <w:rFonts w:ascii="Times New Roman" w:eastAsia="Times New Roman" w:hAnsi="Times New Roman" w:cs="Times New Roman"/>
                <w:color w:val="000000"/>
                <w:spacing w:val="0"/>
                <w:w w:val="100"/>
                <w:position w:val="0"/>
              </w:rPr>
              <w:t>20</w:t>
            </w:r>
            <w:r>
              <w:rPr>
                <w:color w:val="000000"/>
                <w:spacing w:val="0"/>
                <w:w w:val="100"/>
                <w:position w:val="0"/>
              </w:rPr>
              <w:t>个交 易日的收盘价的算术平均值的价格收购不低于公司总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承诺各方无 违反该承诺 的情况</w:t>
            </w:r>
          </w:p>
        </w:tc>
      </w:tr>
    </w:tbl>
    <w:p>
      <w:pPr>
        <w:spacing w:lineRule="exact" w:line="1"/>
        <w:rPr>
          <w:sz w:val="2"/>
          <w:szCs w:val="2"/>
        </w:rPr>
      </w:pPr>
      <w:r>
        <w:br w:type="page"/>
      </w:r>
    </w:p>
    <w:tbl>
      <w:tblPr>
        <w:tblOverlap w:val="never"/>
        <w:jc w:val="center"/>
        <w:tblLayout w:type="fixed"/>
      </w:tblPr>
      <w:tblGrid>
        <w:gridCol w:w="1421"/>
        <w:gridCol w:w="850"/>
        <w:gridCol w:w="4253"/>
        <w:gridCol w:w="994"/>
        <w:gridCol w:w="994"/>
        <w:gridCol w:w="1070"/>
      </w:tblGrid>
      <w:tr>
        <w:trPr>
          <w:trHeight w:val="68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股本</w:t>
            </w:r>
            <w:r>
              <w:rPr>
                <w:rFonts w:ascii="Times New Roman" w:eastAsia="Times New Roman" w:hAnsi="Times New Roman" w:cs="Times New Roman"/>
                <w:color w:val="000000"/>
                <w:spacing w:val="0"/>
                <w:w w:val="100"/>
                <w:position w:val="0"/>
              </w:rPr>
              <w:t>1%</w:t>
            </w:r>
            <w:r>
              <w:rPr>
                <w:color w:val="000000"/>
                <w:spacing w:val="0"/>
                <w:w w:val="100"/>
                <w:position w:val="0"/>
              </w:rPr>
              <w:t>的股份，该收购将于收购行为启动后的</w:t>
            </w:r>
            <w:r>
              <w:rPr>
                <w:rFonts w:ascii="Times New Roman" w:eastAsia="Times New Roman" w:hAnsi="Times New Roman" w:cs="Times New Roman"/>
                <w:color w:val="000000"/>
                <w:spacing w:val="0"/>
                <w:w w:val="100"/>
                <w:position w:val="0"/>
              </w:rPr>
              <w:t>6</w:t>
            </w:r>
            <w:r>
              <w:rPr>
                <w:color w:val="000000"/>
                <w:spacing w:val="0"/>
                <w:w w:val="100"/>
                <w:position w:val="0"/>
              </w:rPr>
              <w:t>个月 内完成。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 事、监事、 高级管理 人员鄢建 兵、张列、 周云杉、 唐敏、李 晓明、霍 佳震、黄 速建、李 媛媛、贺 向荣、宾 鸽、庞军、 程霞、伍 国安</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为维护广大股东利益，增强投资者信心，维护公司股 价稳定，特此作出关于稳定公司股价的承诺：如公司 不满足相关证券法律法规规定的回购主体资格条件时 或公司股东大会未能审议通过相关回购方案且公司控 股股东、实际控制人唐球、鄢建红亦未能履行其收购 承诺时，鄢建兵、张列、周云杉、唐敏、李晓明、霍 佳震、黄速建、李媛媛、贺向荣、宾鸽、庞军、程霞、 伍国安将自公司股票首次触及连续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 价均低于公司每股净资产值情形时，以不低于该收购 行为启动前连续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个交易日的收盘价的算术平均值的 价格收购不低于公司总股本</w:t>
            </w:r>
            <w:r>
              <w:rPr>
                <w:rFonts w:ascii="Times New Roman" w:eastAsia="Times New Roman" w:hAnsi="Times New Roman" w:cs="Times New Roman"/>
                <w:color w:val="000000"/>
                <w:spacing w:val="0"/>
                <w:w w:val="100"/>
                <w:position w:val="0"/>
              </w:rPr>
              <w:t>1%</w:t>
            </w:r>
            <w:r>
              <w:rPr>
                <w:color w:val="000000"/>
                <w:spacing w:val="0"/>
                <w:w w:val="100"/>
                <w:position w:val="0"/>
              </w:rPr>
              <w:t>的股份，该收购将于收 购行为启动后的</w:t>
            </w:r>
            <w:r>
              <w:rPr>
                <w:rFonts w:ascii="Times New Roman" w:eastAsia="Times New Roman" w:hAnsi="Times New Roman" w:cs="Times New Roman"/>
                <w:color w:val="000000"/>
                <w:spacing w:val="0"/>
                <w:w w:val="100"/>
                <w:position w:val="0"/>
              </w:rPr>
              <w:t>6</w:t>
            </w:r>
            <w:r>
              <w:rPr>
                <w:color w:val="000000"/>
                <w:spacing w:val="0"/>
                <w:w w:val="100"/>
                <w:position w:val="0"/>
              </w:rPr>
              <w:t>个月内完成。每人的收购股份数将 协商决定，且合计不低于公司总股本的</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承诺各方无 违反该承诺 的情况</w:t>
            </w:r>
          </w:p>
        </w:tc>
      </w:tr>
      <w:tr>
        <w:trPr>
          <w:trHeight w:val="3830"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为保障赢时胜及其股东的利益，确保赢时胜业务持续 发展，避免公司在首次公开发行股票并在创业板挂牌 成功后，公司股权的市场价格低于发行价格而损害公 司及其股东利益，公司承诺如下：公司招股说明书有 虚假记载、误导性陈述或者重大遗漏，对判断发行人 是否符合法律规定的发行条件构成重大、实质影响的， 公司将依法以二级市场价格回购首次公开发行的全部 新股。公司招股说明书有虚假记载、误导性陈述或者 重大遗漏，致使投资者在证券交易中遭受损失的，发 行人将依法赔偿投资者损失。上述承诺为不可撤销之 承诺，公司严格履行上述承诺内容，如有违反，公司 将承担由此产生的一切法律责任。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承诺各方无 违反该承诺 的情况</w:t>
            </w: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 股东、实 际控制人 唐球、鄢 建红</w:t>
            </w:r>
          </w:p>
        </w:tc>
        <w:tc>
          <w:tcPr>
            <w:tcBorders>
              <w:top w:val="single" w:sz="4"/>
              <w:left w:val="single" w:sz="4"/>
              <w:bottom w:val="single" w:sz="4"/>
            </w:tcBorders>
            <w:shd w:val="clear" w:color="auto" w:fill="C8EDCC"/>
            <w:vAlign w:val="bottom"/>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承诺公司招股说明书有虚假记载、误导性陈述或者重 大遗漏，对判断公司是否符合法律规定的发行条件构 成重大、实质影响的，将以二级市场价格回购回已转 让的原限售股份。公司招股说明书有虚假记载、误导 性陈述或者重大遗漏，致使投资者在证券交易中遭受 损失的，将依法赔偿投资者损失。如本人或其他董事、 监事、高级管理人员未履行相关承诺事项，致使投资 者遭受损失的，本人将依法赔偿投资者损失。如本人 或其他董事、监事、高级管理人员未履行相关承诺事 项，致使投资者遭受损失的，本人将暂不领取该未履 行承诺事项起当年及以后年度的现金分红，直至其继 续履行相关承诺及投资者遭受的损失得到合理的赔偿 为止。上述承诺为不可撤销之承诺，本人严格履行上 述承诺内容，如有违反，本人将承担由此产生的一切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承诺各方无 违反该承诺 的情况</w:t>
            </w:r>
          </w:p>
        </w:tc>
      </w:tr>
    </w:tbl>
    <w:p>
      <w:pPr>
        <w:spacing w:lineRule="exact" w:line="1"/>
        <w:rPr>
          <w:sz w:val="2"/>
          <w:szCs w:val="2"/>
        </w:rPr>
      </w:pPr>
      <w:r>
        <w:br w:type="page"/>
      </w:r>
    </w:p>
    <w:tbl>
      <w:tblPr>
        <w:tblOverlap w:val="never"/>
        <w:jc w:val="center"/>
        <w:tblLayout w:type="fixed"/>
      </w:tblPr>
      <w:tblGrid>
        <w:gridCol w:w="1421"/>
        <w:gridCol w:w="850"/>
        <w:gridCol w:w="4253"/>
        <w:gridCol w:w="994"/>
        <w:gridCol w:w="994"/>
        <w:gridCol w:w="1070"/>
      </w:tblGrid>
      <w:tr>
        <w:trPr>
          <w:trHeight w:val="68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pStyle w:val="Style19"/>
              <w:keepNext w:val="0"/>
              <w:keepLines w:val="0"/>
              <w:widowControl w:val="0"/>
              <w:shd w:val="clear" w:color="auto" w:fill="auto"/>
              <w:bidi w:val="0"/>
              <w:spacing w:before="0" w:after="0" w:line="346" w:lineRule="exact"/>
              <w:ind w:left="0" w:right="0" w:firstLine="0"/>
              <w:jc w:val="both"/>
            </w:pPr>
            <w:r>
              <w:rPr>
                <w:color w:val="000000"/>
                <w:spacing w:val="0"/>
                <w:w w:val="100"/>
                <w:position w:val="0"/>
              </w:rPr>
              <w:t>法律责任。本人因公司上市所做之所有承诺不会因为 本人职务变更或离职而改变。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 事、监事、 高级管理 人员</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承诺公司招股说明书有虚假记载、误导性陈述或者重 大遗漏，致使投资者在证券交易中遭受损失的，将依 法赔偿投资者损失。如本人或其他董事、监事、高级 管理人员未履行相关承诺事项，致使投资者遭受损失 的，本人将依法赔偿投资者损失。如本人或其他董事、 监事、高级管理人员未履行相关承诺事项，致使投资 者遭受损失的，本人将暂不领取该未履行承诺事项起 当年及以后年度的现金分红，直至其继续履行相关承 诺及投资者遭受的损失得到合理的赔偿为止。上述承 诺为不可撤销之承诺，本人严格履行上述承诺内容， 如有违反，本人将承担由此产生的一切法律责任。本 人因公司上市所做之所有承诺不会因为本人职务变更 或离职而改变。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承诺各方无 违反该承诺 的情况</w:t>
            </w:r>
          </w:p>
        </w:tc>
      </w:tr>
      <w:tr>
        <w:trPr>
          <w:trHeight w:val="7262"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以上股东 关于减持 的承诺</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唐球拟于限售期满后第一年内出售公司的股份为不超 过</w:t>
            </w:r>
            <w:r>
              <w:rPr>
                <w:rFonts w:ascii="Times New Roman" w:eastAsia="Times New Roman" w:hAnsi="Times New Roman" w:cs="Times New Roman"/>
                <w:color w:val="000000"/>
                <w:spacing w:val="0"/>
                <w:w w:val="100"/>
                <w:position w:val="0"/>
              </w:rPr>
              <w:t>1,200,000</w:t>
            </w:r>
            <w:r>
              <w:rPr>
                <w:color w:val="000000"/>
                <w:spacing w:val="0"/>
                <w:w w:val="100"/>
                <w:position w:val="0"/>
              </w:rPr>
              <w:t>股，限售期满后第二年内出售公司的不超 过股份为</w:t>
            </w:r>
            <w:r>
              <w:rPr>
                <w:rFonts w:ascii="Times New Roman" w:eastAsia="Times New Roman" w:hAnsi="Times New Roman" w:cs="Times New Roman"/>
                <w:color w:val="000000"/>
                <w:spacing w:val="0"/>
                <w:w w:val="100"/>
                <w:position w:val="0"/>
              </w:rPr>
              <w:t>1,600,000</w:t>
            </w:r>
            <w:r>
              <w:rPr>
                <w:color w:val="000000"/>
                <w:spacing w:val="0"/>
                <w:w w:val="100"/>
                <w:position w:val="0"/>
              </w:rPr>
              <w:t>股，两年合计不超过</w:t>
            </w:r>
            <w:r>
              <w:rPr>
                <w:rFonts w:ascii="Times New Roman" w:eastAsia="Times New Roman" w:hAnsi="Times New Roman" w:cs="Times New Roman"/>
                <w:color w:val="000000"/>
                <w:spacing w:val="0"/>
                <w:w w:val="100"/>
                <w:position w:val="0"/>
              </w:rPr>
              <w:t>2,800,000</w:t>
            </w:r>
            <w:r>
              <w:rPr>
                <w:color w:val="000000"/>
                <w:spacing w:val="0"/>
                <w:w w:val="100"/>
                <w:position w:val="0"/>
              </w:rPr>
              <w:t>股。 且出售价格均不低于公司首次公开发行股票的发行 价。鄢建红拟于限售期满后第一年内出售公司的股份 为不超过</w:t>
            </w:r>
            <w:r>
              <w:rPr>
                <w:rFonts w:ascii="Times New Roman" w:eastAsia="Times New Roman" w:hAnsi="Times New Roman" w:cs="Times New Roman"/>
                <w:color w:val="000000"/>
                <w:spacing w:val="0"/>
                <w:w w:val="100"/>
                <w:position w:val="0"/>
              </w:rPr>
              <w:t>1,000,000</w:t>
            </w:r>
            <w:r>
              <w:rPr>
                <w:color w:val="000000"/>
                <w:spacing w:val="0"/>
                <w:w w:val="100"/>
                <w:position w:val="0"/>
              </w:rPr>
              <w:t>股，限售期满后第二年内出售公司 的不超过股份为</w:t>
            </w:r>
            <w:r>
              <w:rPr>
                <w:rFonts w:ascii="Times New Roman" w:eastAsia="Times New Roman" w:hAnsi="Times New Roman" w:cs="Times New Roman"/>
                <w:color w:val="000000"/>
                <w:spacing w:val="0"/>
                <w:w w:val="100"/>
                <w:position w:val="0"/>
              </w:rPr>
              <w:t>700,000</w:t>
            </w:r>
            <w:r>
              <w:rPr>
                <w:color w:val="000000"/>
                <w:spacing w:val="0"/>
                <w:w w:val="100"/>
                <w:position w:val="0"/>
              </w:rPr>
              <w:t>股。且出售价格均不低于公司 首次公开发行股票的发行价。鄢建兵拟于限售期满后 第一年内出售公司的股份为不超过</w:t>
            </w:r>
            <w:r>
              <w:rPr>
                <w:rFonts w:ascii="Times New Roman" w:eastAsia="Times New Roman" w:hAnsi="Times New Roman" w:cs="Times New Roman"/>
                <w:color w:val="000000"/>
                <w:spacing w:val="0"/>
                <w:w w:val="100"/>
                <w:position w:val="0"/>
              </w:rPr>
              <w:t>1,200,000</w:t>
            </w:r>
            <w:r>
              <w:rPr>
                <w:color w:val="000000"/>
                <w:spacing w:val="0"/>
                <w:w w:val="100"/>
                <w:position w:val="0"/>
              </w:rPr>
              <w:t>股，限售 期满后第二年内出售公司的不超过股份为</w:t>
            </w:r>
            <w:r>
              <w:rPr>
                <w:rFonts w:ascii="Times New Roman" w:eastAsia="Times New Roman" w:hAnsi="Times New Roman" w:cs="Times New Roman"/>
                <w:color w:val="000000"/>
                <w:spacing w:val="0"/>
                <w:w w:val="100"/>
                <w:position w:val="0"/>
              </w:rPr>
              <w:t xml:space="preserve">1,000,000 </w:t>
            </w:r>
            <w:r>
              <w:rPr>
                <w:color w:val="000000"/>
                <w:spacing w:val="0"/>
                <w:w w:val="100"/>
                <w:position w:val="0"/>
              </w:rPr>
              <w:t>股，两年合计不超过</w:t>
            </w:r>
            <w:r>
              <w:rPr>
                <w:rFonts w:ascii="Times New Roman" w:eastAsia="Times New Roman" w:hAnsi="Times New Roman" w:cs="Times New Roman"/>
                <w:color w:val="000000"/>
                <w:spacing w:val="0"/>
                <w:w w:val="100"/>
                <w:position w:val="0"/>
              </w:rPr>
              <w:t>2,200,000</w:t>
            </w:r>
            <w:r>
              <w:rPr>
                <w:color w:val="000000"/>
                <w:spacing w:val="0"/>
                <w:w w:val="100"/>
                <w:position w:val="0"/>
              </w:rPr>
              <w:t>股。且出售价格均不低 于公司首次公开发行股票的发行价。张列拟于限售期 满后第一年内出售公司的股份为不超过</w:t>
            </w:r>
            <w:r>
              <w:rPr>
                <w:rFonts w:ascii="Times New Roman" w:eastAsia="Times New Roman" w:hAnsi="Times New Roman" w:cs="Times New Roman"/>
                <w:color w:val="000000"/>
                <w:spacing w:val="0"/>
                <w:w w:val="100"/>
                <w:position w:val="0"/>
              </w:rPr>
              <w:t>1,500,000</w:t>
            </w:r>
            <w:r>
              <w:rPr>
                <w:color w:val="000000"/>
                <w:spacing w:val="0"/>
                <w:w w:val="100"/>
                <w:position w:val="0"/>
              </w:rPr>
              <w:t xml:space="preserve">股， 限售期满后第二年内出售公司的不超过股份为 </w:t>
            </w:r>
            <w:r>
              <w:rPr>
                <w:rFonts w:ascii="Times New Roman" w:eastAsia="Times New Roman" w:hAnsi="Times New Roman" w:cs="Times New Roman"/>
                <w:color w:val="000000"/>
                <w:spacing w:val="0"/>
                <w:w w:val="100"/>
                <w:position w:val="0"/>
              </w:rPr>
              <w:t>1,100,000</w:t>
            </w:r>
            <w:r>
              <w:rPr>
                <w:color w:val="000000"/>
                <w:spacing w:val="0"/>
                <w:w w:val="100"/>
                <w:position w:val="0"/>
              </w:rPr>
              <w:t>股，两年合计不超过</w:t>
            </w:r>
            <w:r>
              <w:rPr>
                <w:rFonts w:ascii="Times New Roman" w:eastAsia="Times New Roman" w:hAnsi="Times New Roman" w:cs="Times New Roman"/>
                <w:color w:val="000000"/>
                <w:spacing w:val="0"/>
                <w:w w:val="100"/>
                <w:position w:val="0"/>
              </w:rPr>
              <w:t>2,600,000</w:t>
            </w:r>
            <w:r>
              <w:rPr>
                <w:color w:val="000000"/>
                <w:spacing w:val="0"/>
                <w:w w:val="100"/>
                <w:position w:val="0"/>
              </w:rPr>
              <w:t xml:space="preserve">股。且出售价 格均不低于公司首次公开发行股票的发行价。周云杉 拟于限售期满后第一年内出售公司的股份为不超过 </w:t>
            </w:r>
            <w:r>
              <w:rPr>
                <w:rFonts w:ascii="Times New Roman" w:eastAsia="Times New Roman" w:hAnsi="Times New Roman" w:cs="Times New Roman"/>
                <w:color w:val="000000"/>
                <w:spacing w:val="0"/>
                <w:w w:val="100"/>
                <w:position w:val="0"/>
              </w:rPr>
              <w:t>500,000</w:t>
            </w:r>
            <w:r>
              <w:rPr>
                <w:color w:val="000000"/>
                <w:spacing w:val="0"/>
                <w:w w:val="100"/>
                <w:position w:val="0"/>
              </w:rPr>
              <w:t>股，限售期满后第二年内出售公司的不超过股 份为</w:t>
            </w:r>
            <w:r>
              <w:rPr>
                <w:rFonts w:ascii="Times New Roman" w:eastAsia="Times New Roman" w:hAnsi="Times New Roman" w:cs="Times New Roman"/>
                <w:color w:val="000000"/>
                <w:spacing w:val="0"/>
                <w:w w:val="100"/>
                <w:position w:val="0"/>
              </w:rPr>
              <w:t>400,000</w:t>
            </w:r>
            <w:r>
              <w:rPr>
                <w:color w:val="000000"/>
                <w:spacing w:val="0"/>
                <w:w w:val="100"/>
                <w:position w:val="0"/>
              </w:rPr>
              <w:t>股，两年合计不超过</w:t>
            </w:r>
            <w:r>
              <w:rPr>
                <w:rFonts w:ascii="Times New Roman" w:eastAsia="Times New Roman" w:hAnsi="Times New Roman" w:cs="Times New Roman"/>
                <w:color w:val="000000"/>
                <w:spacing w:val="0"/>
                <w:w w:val="100"/>
                <w:position w:val="0"/>
              </w:rPr>
              <w:t>900,000</w:t>
            </w:r>
            <w:r>
              <w:rPr>
                <w:color w:val="000000"/>
                <w:spacing w:val="0"/>
                <w:w w:val="100"/>
                <w:position w:val="0"/>
              </w:rPr>
              <w:t>股。且出售 价格均不低于公司首次公开发行股票的发行价。华软 合伙拟于限售期满后两年内将其持有的公司的股份合 计为</w:t>
            </w:r>
            <w:r>
              <w:rPr>
                <w:rFonts w:ascii="Times New Roman" w:eastAsia="Times New Roman" w:hAnsi="Times New Roman" w:cs="Times New Roman"/>
                <w:color w:val="000000"/>
                <w:spacing w:val="0"/>
                <w:w w:val="100"/>
                <w:position w:val="0"/>
              </w:rPr>
              <w:t>2,691,855</w:t>
            </w:r>
            <w:r>
              <w:rPr>
                <w:color w:val="000000"/>
                <w:spacing w:val="0"/>
                <w:w w:val="100"/>
                <w:position w:val="0"/>
              </w:rPr>
              <w:t>股全部出售。且出售价格均不低于公司 首次公开发行股票的发行价。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唐球、鄢建 红、鄢建兵 对于此承诺 的承诺期限 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26-2019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日；张列、 周云杉对于 此承诺的承 诺期限为：</w:t>
            </w:r>
          </w:p>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日；华软合 伙对于此承 诺的承诺期 限为</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 </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承诺各方无 违反该承诺 的情况</w:t>
            </w: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8EDCC"/>
            <w:vAlign w:val="bottom"/>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 事、监事、 高级管理 人员庞 军、李媛</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承诺在公司首次公开发行股票并在创业板成功上市 后，本人所持股票在锁定期满后两年内减持的，减持 价格不低于发行价。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26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--2017</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承诺各方无 违反该承诺 的情况</w:t>
            </w:r>
          </w:p>
        </w:tc>
      </w:tr>
    </w:tbl>
    <w:p>
      <w:pPr>
        <w:spacing w:lineRule="exact" w:line="1"/>
        <w:rPr>
          <w:sz w:val="2"/>
          <w:szCs w:val="2"/>
        </w:rPr>
      </w:pPr>
      <w:r>
        <w:br w:type="page"/>
      </w:r>
    </w:p>
    <w:tbl>
      <w:tblPr>
        <w:tblOverlap w:val="never"/>
        <w:jc w:val="center"/>
        <w:tblLayout w:type="fixed"/>
      </w:tblPr>
      <w:tblGrid>
        <w:gridCol w:w="1421"/>
        <w:gridCol w:w="850"/>
        <w:gridCol w:w="4253"/>
        <w:gridCol w:w="994"/>
        <w:gridCol w:w="994"/>
        <w:gridCol w:w="1070"/>
      </w:tblGrid>
      <w:tr>
        <w:trPr>
          <w:trHeight w:val="68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媛、贺向</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荣</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公司股东</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承诺将严格履行股东义务，不直接或间接借用、占用 公司的资金款项；不会利用关联交易转移、输送公司 的资金，不通过公司的经营决策权损害股份公司及其 他股东的合法权益。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承诺各方无 违反该承诺 的情况</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公司及公</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司股东</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将尽量避免与公司之间产生关联交易事项，对于不可 避免发生的关联业务往来或交易，将在平等、自愿的 基础上，按照公平、公允和等价有偿的原则进行，交 易价格将按照市场公认的合理价格确定。公司及公司 股东将严格遵守公司章程等规范性文件中关于关联交 易事项的回避规定，所涉及的关联交易均将按照规定 的决策程序进行，并将履行合法程序，及时对关联交 易事项进行信息披露，公司及公司股东承诺不会利用 关联交易转移、输送利润，不会通过公司的经营决策 权损害股份公司及其他股东的合法权益。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承诺各方无 违反该承诺 的情况</w:t>
            </w:r>
          </w:p>
        </w:tc>
      </w:tr>
      <w:tr>
        <w:trPr>
          <w:trHeight w:val="2894"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 股东、实 际控制 人、董事、 高级管理 人员</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为规范与公司发生关联交易情形承诺：本人及本人所 控制的其他企业将尽量避免、减少与赢时胜发生关联 交易。如关联交易无法避免，本人及本人所控制的其 他企业将严格遵守中国证监会和公司章程的规定，按 照通常的商业准则确定交易价格及其他交易条件，公 允进行。在本人及本人控制的其他公司与公司存在关 联关系期间，本承诺函为有效之承诺。如上述承诺被 证明是不真实或未被遵守，本人将向公司赔偿一切直 接和间接损失，并承担相应的法律责任。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承诺各方无 违反该承诺 的情况</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 事、监事、 高级管理 人员</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承诺除公司外，本人并未与任何其他企业或单位签署 任何形式的竞业禁止协议，也未签署任何包含竞业禁 止内容的法律文件。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承诺各方无 违反该承诺 的情况</w:t>
            </w:r>
          </w:p>
        </w:tc>
      </w:tr>
      <w:tr>
        <w:trPr>
          <w:trHeight w:val="446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 股东、实 际控制 人、董事、 高级管理 人员</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为避免与赢时胜发生同业竞争的情形的承诺：自承诺 函签署之日起，本人目前没有在中国境内任何地方或 中国境外，直接或间接发展、经营或协助经营或参与 与公司业务存在竞争的任何活动，亦没有在任何与公 司业务有直接或间接竞争关系的公司或企业拥有任何 直接或间接权益。本人将不直接或间接经营任何与公 司经营的业务构成竞争或可能构成竞争的业务，也不 参与投资任何与公司生产的产品或经营的业务构成竞 争或可能构成竞争的其他企业。本人将不会利用公司 股东的身份进行损害公司及其它股东利益的经营活 动。在本人及本人控制的其他公司与赢时胜存在关联 关系期间，本承诺函为有效之承诺。如上述承诺被证 明是不真实或未被遵守，本人将向赢时胜赔偿一切直 接和间接损失，并承担相应的法律责任。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承诺各方无 违反该承诺 的情况</w:t>
            </w:r>
          </w:p>
        </w:tc>
      </w:tr>
    </w:tbl>
    <w:p>
      <w:pPr>
        <w:spacing w:lineRule="exact" w:line="1"/>
        <w:rPr>
          <w:sz w:val="2"/>
          <w:szCs w:val="2"/>
        </w:rPr>
      </w:pPr>
      <w:r>
        <w:br w:type="page"/>
      </w:r>
    </w:p>
    <w:tbl>
      <w:tblPr>
        <w:tblOverlap w:val="never"/>
        <w:jc w:val="center"/>
        <w:tblLayout w:type="fixed"/>
      </w:tblPr>
      <w:tblGrid>
        <w:gridCol w:w="1421"/>
        <w:gridCol w:w="850"/>
        <w:gridCol w:w="4253"/>
        <w:gridCol w:w="994"/>
        <w:gridCol w:w="994"/>
        <w:gridCol w:w="1070"/>
      </w:tblGrid>
      <w:tr>
        <w:trPr>
          <w:trHeight w:val="165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公司实际 控制人、</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 唐球、鄢 建红</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承诺如有任何股东因任何原因导致其没有及时缴纳或 支付公司因整体变更应承担的个人所得税及相关费用 和损失，本人承担连带责任。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承诺各方无 违反该承诺 的情况</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公司全体 股东</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承诺如因有关税务部门要求或决定，公司需要补缴或 被追缴整体变更时全体自然人股东以净资产折股所涉 及的个人所得税，或因公司当时为履行代扣代缴义务 而承担罚款或损失，我们将按照整体变更时持有的股 权比例承担公司补缴（被追缴）的上述个人所得税税 款及其相关费用和损失。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承诺各方无 违反该承诺 的情况</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 股东所作承诺</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承诺是否及时履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未完成履行的具 体原因及下一步 计划（如有）</w:t>
            </w:r>
          </w:p>
        </w:tc>
        <w:tc>
          <w:tcPr>
            <w:gridSpan w:val="5"/>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2"/>
        <w:keepNext/>
        <w:keepLines/>
        <w:widowControl w:val="0"/>
        <w:shd w:val="clear" w:color="auto" w:fill="auto"/>
        <w:bidi w:val="0"/>
        <w:spacing w:before="0" w:after="34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sz w:val="24"/>
          <w:szCs w:val="24"/>
        </w:rPr>
        <w:t>四</w:t>
      </w:r>
      <w:bookmarkEnd w:id="181"/>
      <w:r>
        <w:rPr>
          <w:color w:val="000000"/>
          <w:spacing w:val="0"/>
          <w:w w:val="100"/>
          <w:position w:val="0"/>
          <w:sz w:val="24"/>
          <w:szCs w:val="24"/>
        </w:rPr>
        <w:t>、聘任、解聘会计师事务所情况</w:t>
      </w:r>
      <w:bookmarkEnd w:id="179"/>
      <w:bookmarkEnd w:id="180"/>
      <w:bookmarkEnd w:id="182"/>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黎明、曹璋</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2"/>
        <w:keepNext/>
        <w:keepLines/>
        <w:widowControl w:val="0"/>
        <w:shd w:val="clear" w:color="auto" w:fill="auto"/>
        <w:bidi w:val="0"/>
        <w:spacing w:before="0" w:after="340" w:line="336" w:lineRule="exact"/>
        <w:ind w:left="0" w:right="0" w:firstLine="0"/>
        <w:jc w:val="left"/>
      </w:pPr>
      <w:bookmarkStart w:id="183" w:name="bookmark183"/>
      <w:bookmarkStart w:id="184" w:name="bookmark184"/>
      <w:bookmarkStart w:id="185" w:name="bookmark185"/>
      <w:bookmarkStart w:id="186" w:name="bookmark186"/>
      <w:r>
        <w:rPr>
          <w:color w:val="000000"/>
          <w:spacing w:val="0"/>
          <w:w w:val="100"/>
          <w:position w:val="0"/>
          <w:sz w:val="24"/>
          <w:szCs w:val="24"/>
        </w:rPr>
        <w:t>五</w:t>
      </w:r>
      <w:bookmarkEnd w:id="185"/>
      <w:r>
        <w:rPr>
          <w:color w:val="000000"/>
          <w:spacing w:val="0"/>
          <w:w w:val="100"/>
          <w:position w:val="0"/>
          <w:sz w:val="24"/>
          <w:szCs w:val="24"/>
        </w:rPr>
        <w:t>、上市公司及其董事、监事、高级管理人员、公司股东、实际控制人和收购人处罚及整改 情况</w:t>
      </w:r>
      <w:bookmarkEnd w:id="183"/>
      <w:bookmarkEnd w:id="184"/>
      <w:bookmarkEnd w:id="186"/>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上市公司及其子公司是否被列入环保部门公布的污染严重企业名单</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上市公司及其子公司是否存在其他重大社会安全问题</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报告期内是否被行政处罚</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526" w:val="left"/>
        </w:tabs>
        <w:bidi w:val="0"/>
        <w:spacing w:before="0" w:after="26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sz w:val="24"/>
          <w:szCs w:val="24"/>
        </w:rPr>
        <w:t>六</w:t>
      </w:r>
      <w:bookmarkEnd w:id="189"/>
      <w:r>
        <w:rPr>
          <w:color w:val="000000"/>
          <w:spacing w:val="0"/>
          <w:w w:val="100"/>
          <w:position w:val="0"/>
          <w:sz w:val="24"/>
          <w:szCs w:val="24"/>
        </w:rPr>
        <w:t>、</w:t>
        <w:tab/>
        <w:t>年度报告披露后面临暂停上市和终止上市情况</w:t>
      </w:r>
      <w:bookmarkEnd w:id="187"/>
      <w:bookmarkEnd w:id="188"/>
      <w:bookmarkEnd w:id="190"/>
    </w:p>
    <w:p>
      <w:pPr>
        <w:pStyle w:val="Style2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不适用</w:t>
      </w:r>
    </w:p>
    <w:p>
      <w:pPr>
        <w:pStyle w:val="Style22"/>
        <w:keepNext/>
        <w:keepLines/>
        <w:widowControl w:val="0"/>
        <w:shd w:val="clear" w:color="auto" w:fill="auto"/>
        <w:tabs>
          <w:tab w:pos="526" w:val="left"/>
        </w:tabs>
        <w:bidi w:val="0"/>
        <w:spacing w:before="0" w:after="26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sz w:val="24"/>
          <w:szCs w:val="24"/>
        </w:rPr>
        <w:t>七</w:t>
      </w:r>
      <w:bookmarkEnd w:id="193"/>
      <w:r>
        <w:rPr>
          <w:color w:val="000000"/>
          <w:spacing w:val="0"/>
          <w:w w:val="100"/>
          <w:position w:val="0"/>
          <w:sz w:val="24"/>
          <w:szCs w:val="24"/>
        </w:rPr>
        <w:t>、</w:t>
        <w:tab/>
        <w:t>其他重大事项的说明</w:t>
      </w:r>
      <w:bookmarkEnd w:id="191"/>
      <w:bookmarkEnd w:id="192"/>
      <w:bookmarkEnd w:id="194"/>
    </w:p>
    <w:p>
      <w:pPr>
        <w:pStyle w:val="Style24"/>
        <w:keepNext w:val="0"/>
        <w:keepLines w:val="0"/>
        <w:widowControl w:val="0"/>
        <w:shd w:val="clear" w:color="auto" w:fill="auto"/>
        <w:bidi w:val="0"/>
        <w:spacing w:before="0" w:after="320" w:line="313" w:lineRule="exact"/>
        <w:ind w:left="0" w:right="0" w:firstLine="520"/>
        <w:jc w:val="both"/>
        <w:sectPr>
          <w:footnotePr>
            <w:pos w:val="pageBottom"/>
            <w:numFmt w:val="decimal"/>
            <w:numRestart w:val="continuous"/>
          </w:footnotePr>
          <w:pgSz w:w="11900" w:h="16840"/>
          <w:pgMar w:top="1436" w:right="1134" w:bottom="1470" w:left="108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日，公司第一届董事会第二十一次会议审议通过了《关于董事会换届选举的议案》、第一届监事会第十一 次会议审议通过了《关于监事会换届选举的议案》，并经公司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年年度股东大会审议批准，第二届董事会成员由第一届董 事会成员续任三年，成员为唐球、鄢建红、鄢建兵、张列、周云杉、唐敏、霍佳震、黄速建、李晓明，共计</w:t>
      </w:r>
      <w:r>
        <w:rPr>
          <w:rFonts w:ascii="Times New Roman" w:eastAsia="Times New Roman" w:hAnsi="Times New Roman" w:cs="Times New Roman"/>
          <w:color w:val="000000"/>
          <w:spacing w:val="0"/>
          <w:w w:val="100"/>
          <w:position w:val="0"/>
        </w:rPr>
        <w:t>9</w:t>
      </w:r>
      <w:r>
        <w:rPr>
          <w:color w:val="000000"/>
          <w:spacing w:val="0"/>
          <w:w w:val="100"/>
          <w:position w:val="0"/>
        </w:rPr>
        <w:t>人，其中霍佳 震、黄速建、李晓明为公司独立董事；第二届监事会成员由第一届监事会成员续任三年，成员为监事会主席李媛媛、贺向荣 和职工代表监事宾鸽。</w:t>
      </w:r>
    </w:p>
    <w:p>
      <w:pPr>
        <w:pStyle w:val="Style8"/>
        <w:keepNext/>
        <w:keepLines/>
        <w:widowControl w:val="0"/>
        <w:shd w:val="clear" w:color="auto" w:fill="auto"/>
        <w:bidi w:val="0"/>
        <w:spacing w:before="580" w:line="240" w:lineRule="auto"/>
        <w:ind w:left="0" w:right="0" w:firstLine="0"/>
        <w:jc w:val="center"/>
      </w:pPr>
      <w:bookmarkStart w:id="195" w:name="bookmark195"/>
      <w:bookmarkStart w:id="196" w:name="bookmark196"/>
      <w:bookmarkStart w:id="197" w:name="bookmark197"/>
      <w:r>
        <w:rPr>
          <w:color w:val="000000"/>
          <w:spacing w:val="0"/>
          <w:w w:val="100"/>
          <w:position w:val="0"/>
        </w:rPr>
        <w:t>第六节股份变动及股东情况</w:t>
      </w:r>
      <w:bookmarkEnd w:id="195"/>
      <w:bookmarkEnd w:id="196"/>
      <w:bookmarkEnd w:id="197"/>
    </w:p>
    <w:p>
      <w:pPr>
        <w:pStyle w:val="Style22"/>
        <w:keepNext/>
        <w:keepLines/>
        <w:widowControl w:val="0"/>
        <w:shd w:val="clear" w:color="auto" w:fill="auto"/>
        <w:bidi w:val="0"/>
        <w:spacing w:before="0" w:after="34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sz w:val="24"/>
          <w:szCs w:val="24"/>
        </w:rPr>
        <w:t>一</w:t>
      </w:r>
      <w:bookmarkEnd w:id="200"/>
      <w:r>
        <w:rPr>
          <w:color w:val="000000"/>
          <w:spacing w:val="0"/>
          <w:w w:val="100"/>
          <w:position w:val="0"/>
          <w:sz w:val="24"/>
          <w:szCs w:val="24"/>
        </w:rPr>
        <w:t>、股份变动情况</w:t>
      </w:r>
      <w:bookmarkEnd w:id="198"/>
      <w:bookmarkEnd w:id="199"/>
      <w:bookmarkEnd w:id="201"/>
    </w:p>
    <w:p>
      <w:pPr>
        <w:pStyle w:val="Style29"/>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、股份变动情况</w:t>
      </w:r>
      <w:bookmarkEnd w:id="202"/>
      <w:bookmarkEnd w:id="203"/>
      <w:bookmarkEnd w:id="205"/>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2035"/>
        <w:gridCol w:w="845"/>
        <w:gridCol w:w="845"/>
        <w:gridCol w:w="845"/>
        <w:gridCol w:w="840"/>
        <w:gridCol w:w="845"/>
        <w:gridCol w:w="840"/>
        <w:gridCol w:w="845"/>
        <w:gridCol w:w="816"/>
        <w:gridCol w:w="82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45,000,00</w:t>
            </w:r>
          </w:p>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45,000,00</w:t>
            </w:r>
          </w:p>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45,000,00</w:t>
            </w:r>
          </w:p>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45,000,00</w:t>
            </w:r>
          </w:p>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2,691,855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2,691,855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42,308,14</w:t>
            </w:r>
          </w:p>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42,308,14</w:t>
            </w:r>
          </w:p>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94.02%</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45,000,00</w:t>
            </w:r>
          </w:p>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45,000,00</w:t>
            </w:r>
          </w:p>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、限售股份变动情况</w:t>
      </w:r>
      <w:bookmarkEnd w:id="206"/>
      <w:bookmarkEnd w:id="207"/>
      <w:bookmarkEnd w:id="20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720"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15,590,385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15,590,385</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7,514,730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7,514,730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7,514,730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7,514,730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4,374,225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4,374,225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1022"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华软创业投资无 锡合伙企业（有 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2,691,855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2,691,855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2,691,855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2,691,855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1,794,555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1,794,555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阙尚钦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271,890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271,890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管文源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271,890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271,890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张木明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271,890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271,890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陈震飞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135,945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135,945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王安锋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135,945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135,945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李媛媛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吴荣鑫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廖睿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宋铮铮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刘昌超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熊诗勇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81,585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25"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邵宏伟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67,995</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左炉喜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67,995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邹雪峰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67,995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贺向荣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67,995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陈伟严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67,995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67,995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67,995</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孙海涛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何美军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王轶伦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彭彪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蒋振兴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陆振虎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李明华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吕宪锐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徐志刚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25"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彭军红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27,180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27,180</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发行前承诺</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余锦祥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阙耀庭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王潼龙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赵晓锋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王能国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sz w:val="24"/>
          <w:szCs w:val="24"/>
        </w:rPr>
        <w:t>二</w:t>
      </w:r>
      <w:bookmarkEnd w:id="212"/>
      <w:r>
        <w:rPr>
          <w:color w:val="000000"/>
          <w:spacing w:val="0"/>
          <w:w w:val="100"/>
          <w:position w:val="0"/>
          <w:sz w:val="24"/>
          <w:szCs w:val="24"/>
        </w:rPr>
        <w:t>、证券发行与上市情况</w:t>
      </w:r>
      <w:bookmarkEnd w:id="210"/>
      <w:bookmarkEnd w:id="211"/>
      <w:bookmarkEnd w:id="213"/>
    </w:p>
    <w:p>
      <w:pPr>
        <w:pStyle w:val="Style29"/>
        <w:keepNext/>
        <w:keepLines/>
        <w:widowControl w:val="0"/>
        <w:shd w:val="clear" w:color="auto" w:fill="auto"/>
        <w:bidi w:val="0"/>
        <w:spacing w:before="0" w:after="32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1</w:t>
      </w:r>
      <w:bookmarkEnd w:id="216"/>
      <w:r>
        <w:rPr>
          <w:color w:val="000000"/>
          <w:spacing w:val="0"/>
          <w:w w:val="100"/>
          <w:position w:val="0"/>
        </w:rPr>
        <w:t>、报告期内证券发行情况</w:t>
      </w:r>
      <w:bookmarkEnd w:id="214"/>
      <w:bookmarkEnd w:id="215"/>
      <w:bookmarkEnd w:id="217"/>
    </w:p>
    <w:tbl>
      <w:tblPr>
        <w:tblOverlap w:val="never"/>
        <w:jc w:val="center"/>
        <w:tblLayout w:type="fixed"/>
      </w:tblPr>
      <w:tblGrid>
        <w:gridCol w:w="1373"/>
        <w:gridCol w:w="1363"/>
        <w:gridCol w:w="1368"/>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上市日期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获准上市交易数</w:t>
            </w:r>
          </w:p>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r>
        <w:trPr>
          <w:trHeight w:val="413"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证券发行情况的说明</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年度，公司不存在证券发行情况。</w:t>
      </w:r>
    </w:p>
    <w:p>
      <w:pPr>
        <w:pStyle w:val="Style29"/>
        <w:keepNext/>
        <w:keepLines/>
        <w:widowControl w:val="0"/>
        <w:shd w:val="clear" w:color="auto" w:fill="auto"/>
        <w:bidi w:val="0"/>
        <w:spacing w:before="0" w:after="36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2</w:t>
      </w:r>
      <w:bookmarkEnd w:id="220"/>
      <w:r>
        <w:rPr>
          <w:color w:val="000000"/>
          <w:spacing w:val="0"/>
          <w:w w:val="100"/>
          <w:position w:val="0"/>
        </w:rPr>
        <w:t>、公司股份总数及股东结构的变动、公司资产和负债结构的变动情况说明</w:t>
      </w:r>
      <w:bookmarkEnd w:id="218"/>
      <w:bookmarkEnd w:id="219"/>
      <w:bookmarkEnd w:id="221"/>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报告期内，公司股份总数及股东结构无变动、公司资产和负债结构无变动。</w:t>
      </w:r>
    </w:p>
    <w:p>
      <w:pPr>
        <w:pStyle w:val="Style22"/>
        <w:keepNext/>
        <w:keepLines/>
        <w:widowControl w:val="0"/>
        <w:shd w:val="clear" w:color="auto" w:fill="auto"/>
        <w:bidi w:val="0"/>
        <w:spacing w:before="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三</w:t>
      </w:r>
      <w:bookmarkEnd w:id="224"/>
      <w:r>
        <w:rPr>
          <w:color w:val="000000"/>
          <w:spacing w:val="0"/>
          <w:w w:val="100"/>
          <w:position w:val="0"/>
          <w:sz w:val="24"/>
          <w:szCs w:val="24"/>
        </w:rPr>
        <w:t>、股东和实际控制人情况</w:t>
      </w:r>
      <w:bookmarkEnd w:id="222"/>
      <w:bookmarkEnd w:id="223"/>
      <w:bookmarkEnd w:id="225"/>
    </w:p>
    <w:p>
      <w:pPr>
        <w:pStyle w:val="Style29"/>
        <w:keepNext/>
        <w:keepLines/>
        <w:widowControl w:val="0"/>
        <w:shd w:val="clear" w:color="auto" w:fill="auto"/>
        <w:bidi w:val="0"/>
        <w:spacing w:before="0" w:after="36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1</w:t>
      </w:r>
      <w:bookmarkEnd w:id="228"/>
      <w:r>
        <w:rPr>
          <w:color w:val="000000"/>
          <w:spacing w:val="0"/>
          <w:w w:val="100"/>
          <w:position w:val="0"/>
        </w:rPr>
        <w:t>、公司股东数量及持股情况</w:t>
      </w:r>
      <w:bookmarkEnd w:id="226"/>
      <w:bookmarkEnd w:id="227"/>
      <w:bookmarkEnd w:id="229"/>
    </w:p>
    <w:p>
      <w:pPr>
        <w:pStyle w:val="Style24"/>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363"/>
        <w:gridCol w:w="1368"/>
        <w:gridCol w:w="864"/>
        <w:gridCol w:w="797"/>
        <w:gridCol w:w="797"/>
        <w:gridCol w:w="797"/>
        <w:gridCol w:w="854"/>
        <w:gridCol w:w="1368"/>
        <w:gridCol w:w="1373"/>
      </w:tblGrid>
      <w:tr>
        <w:trPr>
          <w:trHeight w:val="408"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tabs>
                <w:tab w:pos="4685" w:val="left"/>
              </w:tabs>
              <w:bidi w:val="0"/>
              <w:spacing w:before="0" w:after="0" w:line="240" w:lineRule="auto"/>
              <w:ind w:left="0" w:right="0" w:firstLine="0"/>
              <w:jc w:val="righ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6,730</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持股比例</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15,590,38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15,590,38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7,514,730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7,514,730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7,514,730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7,514,730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4,374,225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4,374,225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2,691,855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2,691,855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华软创业投资无 锡合伙企业（有 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2,691,855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2,691,855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1,794,555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1,794,555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阙尚钦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271,890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271,890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管文源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271,890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271,890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张木明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271,890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271,890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唐球与鄢建红为夫妻关系，鄢建红与鄢建兵为姐弟关系。</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gridSpan w:val="5"/>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7"/>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参与融资融券业务股东情况说明</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公司股东在报告期内是否进行约定购回交易</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r>
        <w:br w:type="page"/>
      </w:r>
    </w:p>
    <w:p>
      <w:pPr>
        <w:pStyle w:val="Style29"/>
        <w:keepNext/>
        <w:keepLines/>
        <w:widowControl w:val="0"/>
        <w:shd w:val="clear" w:color="auto" w:fill="auto"/>
        <w:bidi w:val="0"/>
        <w:spacing w:before="0" w:after="38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2</w:t>
      </w:r>
      <w:bookmarkEnd w:id="232"/>
      <w:r>
        <w:rPr>
          <w:color w:val="000000"/>
          <w:spacing w:val="0"/>
          <w:w w:val="100"/>
          <w:position w:val="0"/>
        </w:rPr>
        <w:t>、公司控股股东情况</w:t>
      </w:r>
      <w:bookmarkEnd w:id="230"/>
      <w:bookmarkEnd w:id="231"/>
      <w:bookmarkEnd w:id="233"/>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自然人</w:t>
      </w:r>
    </w:p>
    <w:tbl>
      <w:tblPr>
        <w:tblOverlap w:val="never"/>
        <w:jc w:val="center"/>
        <w:tblLayout w:type="fixed"/>
      </w:tblPr>
      <w:tblGrid>
        <w:gridCol w:w="3336"/>
        <w:gridCol w:w="2059"/>
        <w:gridCol w:w="418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唐球先生，</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月任深圳市赢时胜信息技术有限公司执行董 事、总经理；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月起任深圳市赢时胜信息技术股份有限公司董事长、总 经理。鄢建红女士，</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月任深圳市赢时胜信息技术有限 公司财务负责人；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月起任深圳市赢时胜信息技术股份有限公司董事。</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3</w:t>
      </w:r>
      <w:bookmarkEnd w:id="236"/>
      <w:r>
        <w:rPr>
          <w:color w:val="000000"/>
          <w:spacing w:val="0"/>
          <w:w w:val="100"/>
          <w:position w:val="0"/>
        </w:rPr>
        <w:t>、公司实际控制人情况</w:t>
      </w:r>
      <w:bookmarkEnd w:id="234"/>
      <w:bookmarkEnd w:id="235"/>
      <w:bookmarkEnd w:id="237"/>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自然人</w:t>
      </w:r>
    </w:p>
    <w:tbl>
      <w:tblPr>
        <w:tblOverlap w:val="never"/>
        <w:jc w:val="center"/>
        <w:tblLayout w:type="fixed"/>
      </w:tblPr>
      <w:tblGrid>
        <w:gridCol w:w="3226"/>
        <w:gridCol w:w="2227"/>
        <w:gridCol w:w="412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唐球先生，</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月任深圳市赢时胜信息技术有限公司执行董 事、总经理；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月起任深圳市赢时胜信息技术股份有限公司董事长、总经 理。鄢建红女士，</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月任深圳市赢时胜信息技术有限公司 财务负责人；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月起任深圳市赢时胜信息技术股份有限公司董事。</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200400" cy="128016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3200400" cy="1280160"/>
                    </a:xfrm>
                    <a:prstGeom prst="rect"/>
                  </pic:spPr>
                </pic:pic>
              </a:graphicData>
            </a:graphic>
          </wp:inline>
        </w:drawing>
      </w:r>
    </w:p>
    <w:p>
      <w:pPr>
        <w:widowControl w:val="0"/>
        <w:spacing w:after="319" w:line="1" w:lineRule="exact"/>
      </w:pP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9"/>
        <w:keepNext/>
        <w:keepLines/>
        <w:widowControl w:val="0"/>
        <w:shd w:val="clear" w:color="auto" w:fill="auto"/>
        <w:bidi w:val="0"/>
        <w:spacing w:before="0" w:after="320" w:line="240" w:lineRule="auto"/>
        <w:ind w:left="0" w:right="0" w:firstLine="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4</w:t>
      </w:r>
      <w:bookmarkEnd w:id="240"/>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238"/>
      <w:bookmarkEnd w:id="239"/>
      <w:bookmarkEnd w:id="241"/>
    </w:p>
    <w:tbl>
      <w:tblPr>
        <w:tblOverlap w:val="never"/>
        <w:jc w:val="center"/>
        <w:tblLayout w:type="fixed"/>
      </w:tblPr>
      <w:tblGrid>
        <w:gridCol w:w="2184"/>
        <w:gridCol w:w="1094"/>
        <w:gridCol w:w="888"/>
        <w:gridCol w:w="1800"/>
        <w:gridCol w:w="1805"/>
        <w:gridCol w:w="1810"/>
      </w:tblGrid>
      <w:tr>
        <w:trPr>
          <w:trHeight w:val="44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5</w:t>
      </w:r>
      <w:bookmarkEnd w:id="244"/>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242"/>
      <w:bookmarkEnd w:id="243"/>
      <w:bookmarkEnd w:id="245"/>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持有的限售条件股份数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新增可上市交易股份数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15,590,385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7,514,730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7,514,730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4,374,225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华软创业投资无锡合伙 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2,691,855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2,691,855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1,794,555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阙尚钦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271,890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管文源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271,890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张木明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271,890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发行前承诺</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246" w:name="bookmark246"/>
      <w:bookmarkStart w:id="247" w:name="bookmark247"/>
      <w:bookmarkStart w:id="248" w:name="bookmark248"/>
      <w:r>
        <w:rPr>
          <w:color w:val="000000"/>
          <w:spacing w:val="0"/>
          <w:w w:val="100"/>
          <w:position w:val="0"/>
        </w:rPr>
        <w:t>第七节董事、监事、高级管理人员和员工情况</w:t>
      </w:r>
      <w:bookmarkEnd w:id="246"/>
      <w:bookmarkEnd w:id="247"/>
      <w:bookmarkEnd w:id="248"/>
    </w:p>
    <w:p>
      <w:pPr>
        <w:pStyle w:val="Style22"/>
        <w:keepNext/>
        <w:keepLines/>
        <w:widowControl w:val="0"/>
        <w:shd w:val="clear" w:color="auto" w:fill="auto"/>
        <w:bidi w:val="0"/>
        <w:spacing w:before="0" w:line="240" w:lineRule="auto"/>
        <w:ind w:left="0" w:right="0" w:firstLine="240"/>
        <w:jc w:val="left"/>
      </w:pPr>
      <w:bookmarkStart w:id="249" w:name="bookmark249"/>
      <w:bookmarkStart w:id="250" w:name="bookmark250"/>
      <w:bookmarkStart w:id="251" w:name="bookmark251"/>
      <w:r>
        <w:rPr>
          <w:color w:val="000000"/>
          <w:spacing w:val="0"/>
          <w:w w:val="100"/>
          <w:position w:val="0"/>
          <w:sz w:val="24"/>
          <w:szCs w:val="24"/>
        </w:rPr>
        <w:t>、董事、监事和高级管理人员持股变动</w:t>
      </w:r>
      <w:bookmarkEnd w:id="249"/>
      <w:bookmarkEnd w:id="250"/>
      <w:bookmarkEnd w:id="251"/>
    </w:p>
    <w:p>
      <w:pPr>
        <w:pStyle w:val="Style29"/>
        <w:keepNext/>
        <w:keepLines/>
        <w:widowControl w:val="0"/>
        <w:shd w:val="clear" w:color="auto" w:fill="auto"/>
        <w:bidi w:val="0"/>
        <w:spacing w:before="0" w:after="320" w:line="240" w:lineRule="auto"/>
        <w:ind w:left="0" w:right="0" w:firstLine="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1</w:t>
      </w:r>
      <w:bookmarkEnd w:id="254"/>
      <w:r>
        <w:rPr>
          <w:color w:val="000000"/>
          <w:spacing w:val="0"/>
          <w:w w:val="100"/>
          <w:position w:val="0"/>
        </w:rPr>
        <w:t>、持股情况</w:t>
      </w:r>
      <w:bookmarkEnd w:id="252"/>
      <w:bookmarkEnd w:id="253"/>
      <w:bookmarkEnd w:id="255"/>
    </w:p>
    <w:tbl>
      <w:tblPr>
        <w:tblOverlap w:val="never"/>
        <w:jc w:val="center"/>
        <w:tblLayout w:type="fixed"/>
      </w:tblPr>
      <w:tblGrid>
        <w:gridCol w:w="686"/>
        <w:gridCol w:w="677"/>
        <w:gridCol w:w="682"/>
        <w:gridCol w:w="686"/>
        <w:gridCol w:w="682"/>
        <w:gridCol w:w="682"/>
        <w:gridCol w:w="686"/>
        <w:gridCol w:w="682"/>
        <w:gridCol w:w="686"/>
        <w:gridCol w:w="682"/>
        <w:gridCol w:w="686"/>
        <w:gridCol w:w="682"/>
        <w:gridCol w:w="686"/>
        <w:gridCol w:w="691"/>
      </w:tblGrid>
      <w:tr>
        <w:trPr>
          <w:trHeight w:val="227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本期被 注销的 股权激 励限制 性股票 数量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 动原因</w:t>
            </w:r>
          </w:p>
        </w:tc>
      </w:tr>
      <w:tr>
        <w:trPr>
          <w:trHeight w:val="1027"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长、总</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15,590,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15,590,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4,374,2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4,374,2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副总经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7,514,7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7,514,7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022"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张列</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副总经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7,514,7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7,514,7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副总经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2,691,8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2,691,8</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霍佳震</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黄速建</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李晓明</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349"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董事会 秘书、 副总经 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bl>
    <w:tbl>
      <w:tblPr>
        <w:tblOverlap w:val="never"/>
        <w:jc w:val="center"/>
        <w:tblLayout w:type="fixed"/>
      </w:tblPr>
      <w:tblGrid>
        <w:gridCol w:w="686"/>
        <w:gridCol w:w="677"/>
        <w:gridCol w:w="682"/>
        <w:gridCol w:w="686"/>
        <w:gridCol w:w="682"/>
        <w:gridCol w:w="682"/>
        <w:gridCol w:w="686"/>
        <w:gridCol w:w="682"/>
        <w:gridCol w:w="686"/>
        <w:gridCol w:w="682"/>
        <w:gridCol w:w="686"/>
        <w:gridCol w:w="682"/>
        <w:gridCol w:w="686"/>
        <w:gridCol w:w="691"/>
      </w:tblGrid>
      <w:tr>
        <w:trPr>
          <w:trHeight w:val="72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庞军</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1,794,5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1,794,5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伍国安</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李媛媛</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贺向荣</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宾鸽</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职工监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39,643,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39,643,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2"/>
        <w:keepNext/>
        <w:keepLines/>
        <w:widowControl w:val="0"/>
        <w:shd w:val="clear" w:color="auto" w:fill="auto"/>
        <w:bidi w:val="0"/>
        <w:spacing w:before="0" w:after="260" w:line="240" w:lineRule="auto"/>
        <w:ind w:left="0" w:right="0" w:firstLine="0"/>
        <w:jc w:val="both"/>
      </w:pPr>
      <w:bookmarkStart w:id="256" w:name="bookmark256"/>
      <w:bookmarkStart w:id="257" w:name="bookmark257"/>
      <w:bookmarkStart w:id="258" w:name="bookmark258"/>
      <w:bookmarkStart w:id="259" w:name="bookmark259"/>
      <w:r>
        <w:rPr>
          <w:color w:val="000000"/>
          <w:spacing w:val="0"/>
          <w:w w:val="100"/>
          <w:position w:val="0"/>
          <w:sz w:val="24"/>
          <w:szCs w:val="24"/>
        </w:rPr>
        <w:t>二</w:t>
      </w:r>
      <w:bookmarkEnd w:id="258"/>
      <w:r>
        <w:rPr>
          <w:color w:val="000000"/>
          <w:spacing w:val="0"/>
          <w:w w:val="100"/>
          <w:position w:val="0"/>
          <w:sz w:val="24"/>
          <w:szCs w:val="24"/>
        </w:rPr>
        <w:t>、任职情况</w:t>
      </w:r>
      <w:bookmarkEnd w:id="256"/>
      <w:bookmarkEnd w:id="257"/>
      <w:bookmarkEnd w:id="259"/>
    </w:p>
    <w:p>
      <w:pPr>
        <w:pStyle w:val="Style24"/>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24"/>
        <w:keepNext w:val="0"/>
        <w:keepLines w:val="0"/>
        <w:widowControl w:val="0"/>
        <w:shd w:val="clear" w:color="auto" w:fill="auto"/>
        <w:bidi w:val="0"/>
        <w:spacing w:before="0" w:after="0"/>
        <w:ind w:left="0" w:right="0" w:firstLine="0"/>
        <w:jc w:val="both"/>
      </w:pPr>
      <w:bookmarkStart w:id="260" w:name="bookmark260"/>
      <w:r>
        <w:rPr>
          <w:rFonts w:ascii="Times New Roman" w:eastAsia="Times New Roman" w:hAnsi="Times New Roman" w:cs="Times New Roman"/>
          <w:color w:val="000000"/>
          <w:spacing w:val="0"/>
          <w:w w:val="100"/>
          <w:position w:val="0"/>
        </w:rPr>
        <w:t>1</w:t>
      </w:r>
      <w:bookmarkEnd w:id="260"/>
      <w:r>
        <w:rPr>
          <w:color w:val="000000"/>
          <w:spacing w:val="0"/>
          <w:w w:val="100"/>
          <w:position w:val="0"/>
        </w:rPr>
        <w:t>、董事会成员</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本公司董事会由</w:t>
      </w:r>
      <w:r>
        <w:rPr>
          <w:rFonts w:ascii="Times New Roman" w:eastAsia="Times New Roman" w:hAnsi="Times New Roman" w:cs="Times New Roman"/>
          <w:color w:val="000000"/>
          <w:spacing w:val="0"/>
          <w:w w:val="100"/>
          <w:position w:val="0"/>
        </w:rPr>
        <w:t>9</w:t>
      </w:r>
      <w:r>
        <w:rPr>
          <w:color w:val="000000"/>
          <w:spacing w:val="0"/>
          <w:w w:val="100"/>
          <w:position w:val="0"/>
        </w:rPr>
        <w:t>人组成，其中包括</w:t>
      </w:r>
      <w:r>
        <w:rPr>
          <w:rFonts w:ascii="Times New Roman" w:eastAsia="Times New Roman" w:hAnsi="Times New Roman" w:cs="Times New Roman"/>
          <w:color w:val="000000"/>
          <w:spacing w:val="0"/>
          <w:w w:val="100"/>
          <w:position w:val="0"/>
        </w:rPr>
        <w:t>3</w:t>
      </w:r>
      <w:r>
        <w:rPr>
          <w:color w:val="000000"/>
          <w:spacing w:val="0"/>
          <w:w w:val="100"/>
          <w:position w:val="0"/>
        </w:rPr>
        <w:t>名独立董事。</w:t>
      </w:r>
    </w:p>
    <w:p>
      <w:pPr>
        <w:pStyle w:val="Style24"/>
        <w:keepNext w:val="0"/>
        <w:keepLines w:val="0"/>
        <w:widowControl w:val="0"/>
        <w:shd w:val="clear" w:color="auto" w:fill="auto"/>
        <w:tabs>
          <w:tab w:pos="298" w:val="left"/>
        </w:tabs>
        <w:bidi w:val="0"/>
        <w:spacing w:before="0" w:after="0" w:line="313" w:lineRule="exact"/>
        <w:ind w:left="0" w:right="0" w:firstLine="0"/>
        <w:jc w:val="both"/>
      </w:pPr>
      <w:bookmarkStart w:id="261" w:name="bookmark261"/>
      <w:r>
        <w:rPr>
          <w:rFonts w:ascii="Times New Roman" w:eastAsia="Times New Roman" w:hAnsi="Times New Roman" w:cs="Times New Roman"/>
          <w:color w:val="000000"/>
          <w:spacing w:val="0"/>
          <w:w w:val="100"/>
          <w:position w:val="0"/>
        </w:rPr>
        <w:t>1</w:t>
      </w:r>
      <w:bookmarkEnd w:id="261"/>
      <w:r>
        <w:rPr>
          <w:color w:val="000000"/>
          <w:spacing w:val="0"/>
          <w:w w:val="100"/>
          <w:position w:val="0"/>
        </w:rPr>
        <w:t>）</w:t>
        <w:tab/>
        <w:t>唐球先生，董事长，</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年出生，中国国籍，无境外居留权，大学本科学历；</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1994</w:t>
      </w:r>
      <w:r>
        <w:rPr>
          <w:color w:val="000000"/>
          <w:spacing w:val="0"/>
          <w:w w:val="100"/>
          <w:position w:val="0"/>
        </w:rPr>
        <w:t>年任长沙电表厂技术员；</w:t>
      </w:r>
      <w:r>
        <w:rPr>
          <w:rFonts w:ascii="Times New Roman" w:eastAsia="Times New Roman" w:hAnsi="Times New Roman" w:cs="Times New Roman"/>
          <w:color w:val="000000"/>
          <w:spacing w:val="0"/>
          <w:w w:val="100"/>
          <w:position w:val="0"/>
        </w:rPr>
        <w:t xml:space="preserve">1994 </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年任深圳市深软电子技术有限公司开发工程师；</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年任深圳市亚美联电子技术有限公司职员；</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月任深圳市赢时胜电子技术有限公司执行董事、总经理；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月任深圳市赢时胜信息技术有限 公司执行董事、总经理；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月起任深圳市赢时胜信息技术股份有限公司董事长、总经理。</w:t>
      </w:r>
    </w:p>
    <w:p>
      <w:pPr>
        <w:pStyle w:val="Style24"/>
        <w:keepNext w:val="0"/>
        <w:keepLines w:val="0"/>
        <w:widowControl w:val="0"/>
        <w:shd w:val="clear" w:color="auto" w:fill="auto"/>
        <w:tabs>
          <w:tab w:pos="308" w:val="left"/>
        </w:tabs>
        <w:bidi w:val="0"/>
        <w:spacing w:before="0" w:after="0" w:line="313" w:lineRule="exact"/>
        <w:ind w:left="0" w:right="0" w:firstLine="0"/>
        <w:jc w:val="both"/>
      </w:pPr>
      <w:bookmarkStart w:id="262" w:name="bookmark262"/>
      <w:r>
        <w:rPr>
          <w:rFonts w:ascii="Times New Roman" w:eastAsia="Times New Roman" w:hAnsi="Times New Roman" w:cs="Times New Roman"/>
          <w:color w:val="000000"/>
          <w:spacing w:val="0"/>
          <w:w w:val="100"/>
          <w:position w:val="0"/>
        </w:rPr>
        <w:t>2</w:t>
      </w:r>
      <w:bookmarkEnd w:id="262"/>
      <w:r>
        <w:rPr>
          <w:color w:val="000000"/>
          <w:spacing w:val="0"/>
          <w:w w:val="100"/>
          <w:position w:val="0"/>
        </w:rPr>
        <w:t>）</w:t>
        <w:tab/>
        <w:t>鄢建红女士，</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年出生，中国国籍，无境外居留权，大学专科学历；</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月任深圳市中达信会计师事 务所职员；</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年任中国水电八局贵阳分局普定电站项目部财务科职员；</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年任深圳市亚美联电子技术 有限公司财务经理；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月任深圳市赢时胜电子技术有限公司财务负责人；</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月任深圳市 赢时胜信息技术有限公司财务负责人；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月起任深圳市赢时胜信息技术股份有限公司董事。</w:t>
      </w:r>
    </w:p>
    <w:p>
      <w:pPr>
        <w:pStyle w:val="Style24"/>
        <w:keepNext w:val="0"/>
        <w:keepLines w:val="0"/>
        <w:widowControl w:val="0"/>
        <w:shd w:val="clear" w:color="auto" w:fill="auto"/>
        <w:tabs>
          <w:tab w:pos="318" w:val="left"/>
        </w:tabs>
        <w:bidi w:val="0"/>
        <w:spacing w:before="0" w:after="0" w:line="313" w:lineRule="exact"/>
        <w:ind w:left="0" w:right="0" w:firstLine="0"/>
        <w:jc w:val="both"/>
      </w:pPr>
      <w:bookmarkStart w:id="263" w:name="bookmark263"/>
      <w:r>
        <w:rPr>
          <w:rFonts w:ascii="Times New Roman" w:eastAsia="Times New Roman" w:hAnsi="Times New Roman" w:cs="Times New Roman"/>
          <w:color w:val="000000"/>
          <w:spacing w:val="0"/>
          <w:w w:val="100"/>
          <w:position w:val="0"/>
        </w:rPr>
        <w:t>3</w:t>
      </w:r>
      <w:bookmarkEnd w:id="263"/>
      <w:r>
        <w:rPr>
          <w:color w:val="000000"/>
          <w:spacing w:val="0"/>
          <w:w w:val="100"/>
          <w:position w:val="0"/>
        </w:rPr>
        <w:t>）</w:t>
        <w:tab/>
        <w:t>鄢建兵先生，</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年出生，中国国籍，无境外居留权，大学本科学历；</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 xml:space="preserve">年任中国水电八局贵阳分局技术员； </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月任深圳市赢时胜电子技术有限公司监事；</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月任深圳市赢时胜信息技术有限公司监 事; </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月起任深圳市赢时胜信息技术股份有限公司董事、副总经理。</w:t>
      </w:r>
    </w:p>
    <w:p>
      <w:pPr>
        <w:pStyle w:val="Style24"/>
        <w:keepNext w:val="0"/>
        <w:keepLines w:val="0"/>
        <w:widowControl w:val="0"/>
        <w:shd w:val="clear" w:color="auto" w:fill="auto"/>
        <w:tabs>
          <w:tab w:pos="308" w:val="left"/>
        </w:tabs>
        <w:bidi w:val="0"/>
        <w:spacing w:before="0" w:after="0" w:line="313" w:lineRule="exact"/>
        <w:ind w:left="0" w:right="0" w:firstLine="0"/>
        <w:jc w:val="both"/>
      </w:pPr>
      <w:bookmarkStart w:id="264" w:name="bookmark264"/>
      <w:r>
        <w:rPr>
          <w:rFonts w:ascii="Times New Roman" w:eastAsia="Times New Roman" w:hAnsi="Times New Roman" w:cs="Times New Roman"/>
          <w:color w:val="000000"/>
          <w:spacing w:val="0"/>
          <w:w w:val="100"/>
          <w:position w:val="0"/>
        </w:rPr>
        <w:t>4</w:t>
      </w:r>
      <w:bookmarkEnd w:id="264"/>
      <w:r>
        <w:rPr>
          <w:color w:val="000000"/>
          <w:spacing w:val="0"/>
          <w:w w:val="100"/>
          <w:position w:val="0"/>
        </w:rPr>
        <w:t>）</w:t>
        <w:tab/>
        <w:t>张列先生，</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年出生，中国国籍，无境外居留权，大学本科学历；</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年任深圳市美誉华控制工程有限公司 工程师；</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年历任深圳市深软电子技术有限公司开发部高级工程师、主管；</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月任深圳市赢时 胜电子技术有限公司副总经理兼技术总监；</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月任深圳市赢时胜信息技术有限公司副总经理兼技术总监； </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月起任深圳市赢时胜信息技术股份有限公司董事、副总经理兼技术总监。</w:t>
      </w:r>
    </w:p>
    <w:p>
      <w:pPr>
        <w:pStyle w:val="Style24"/>
        <w:keepNext w:val="0"/>
        <w:keepLines w:val="0"/>
        <w:widowControl w:val="0"/>
        <w:shd w:val="clear" w:color="auto" w:fill="auto"/>
        <w:tabs>
          <w:tab w:pos="308" w:val="left"/>
        </w:tabs>
        <w:bidi w:val="0"/>
        <w:spacing w:before="0" w:after="0" w:line="313" w:lineRule="exact"/>
        <w:ind w:left="0" w:right="0" w:firstLine="0"/>
        <w:jc w:val="both"/>
      </w:pPr>
      <w:bookmarkStart w:id="265" w:name="bookmark265"/>
      <w:r>
        <w:rPr>
          <w:rFonts w:ascii="Times New Roman" w:eastAsia="Times New Roman" w:hAnsi="Times New Roman" w:cs="Times New Roman"/>
          <w:color w:val="000000"/>
          <w:spacing w:val="0"/>
          <w:w w:val="100"/>
          <w:position w:val="0"/>
        </w:rPr>
        <w:t>5</w:t>
      </w:r>
      <w:bookmarkEnd w:id="265"/>
      <w:r>
        <w:rPr>
          <w:color w:val="000000"/>
          <w:spacing w:val="0"/>
          <w:w w:val="100"/>
          <w:position w:val="0"/>
        </w:rPr>
        <w:t>）</w:t>
        <w:tab/>
        <w:t>周云杉先生，</w:t>
      </w:r>
      <w:r>
        <w:rPr>
          <w:rFonts w:ascii="Times New Roman" w:eastAsia="Times New Roman" w:hAnsi="Times New Roman" w:cs="Times New Roman"/>
          <w:color w:val="000000"/>
          <w:spacing w:val="0"/>
          <w:w w:val="100"/>
          <w:position w:val="0"/>
        </w:rPr>
        <w:t>1978</w:t>
      </w:r>
      <w:r>
        <w:rPr>
          <w:color w:val="000000"/>
          <w:spacing w:val="0"/>
          <w:w w:val="100"/>
          <w:position w:val="0"/>
        </w:rPr>
        <w:t>年出生，中国国籍，无境外居留权，大学专科学历；</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年任三一重工物质部职员；</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月任深圳市赢时胜电子技术有限公司助理总经理；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月任深圳市赢时胜信息技术有限公司助 理总经理；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月起任深圳市赢时胜信息技术股份有限公司董事、副总经理。</w:t>
      </w:r>
    </w:p>
    <w:p>
      <w:pPr>
        <w:pStyle w:val="Style24"/>
        <w:keepNext w:val="0"/>
        <w:keepLines w:val="0"/>
        <w:widowControl w:val="0"/>
        <w:shd w:val="clear" w:color="auto" w:fill="auto"/>
        <w:tabs>
          <w:tab w:pos="308" w:val="left"/>
        </w:tabs>
        <w:bidi w:val="0"/>
        <w:spacing w:before="0" w:after="0" w:line="313" w:lineRule="exact"/>
        <w:ind w:left="0" w:right="0" w:firstLine="0"/>
        <w:jc w:val="both"/>
      </w:pPr>
      <w:bookmarkStart w:id="266" w:name="bookmark266"/>
      <w:r>
        <w:rPr>
          <w:rFonts w:ascii="Times New Roman" w:eastAsia="Times New Roman" w:hAnsi="Times New Roman" w:cs="Times New Roman"/>
          <w:color w:val="000000"/>
          <w:spacing w:val="0"/>
          <w:w w:val="100"/>
          <w:position w:val="0"/>
        </w:rPr>
        <w:t>6</w:t>
      </w:r>
      <w:bookmarkEnd w:id="266"/>
      <w:r>
        <w:rPr>
          <w:color w:val="000000"/>
          <w:spacing w:val="0"/>
          <w:w w:val="100"/>
          <w:position w:val="0"/>
        </w:rPr>
        <w:t>）</w:t>
        <w:tab/>
        <w:t>唐敏女士，</w:t>
      </w:r>
      <w:r>
        <w:rPr>
          <w:rFonts w:ascii="Times New Roman" w:eastAsia="Times New Roman" w:hAnsi="Times New Roman" w:cs="Times New Roman"/>
          <w:color w:val="000000"/>
          <w:spacing w:val="0"/>
          <w:w w:val="100"/>
          <w:position w:val="0"/>
        </w:rPr>
        <w:t>1944</w:t>
      </w:r>
      <w:r>
        <w:rPr>
          <w:color w:val="000000"/>
          <w:spacing w:val="0"/>
          <w:w w:val="100"/>
          <w:position w:val="0"/>
        </w:rPr>
        <w:t>年出生，中国国籍，无境外居留权，大学本科学历，高级工程师；</w:t>
      </w:r>
      <w:r>
        <w:rPr>
          <w:rFonts w:ascii="Times New Roman" w:eastAsia="Times New Roman" w:hAnsi="Times New Roman" w:cs="Times New Roman"/>
          <w:color w:val="000000"/>
          <w:spacing w:val="0"/>
          <w:w w:val="100"/>
          <w:position w:val="0"/>
        </w:rPr>
        <w:t>1975</w:t>
      </w:r>
      <w:r>
        <w:rPr>
          <w:color w:val="000000"/>
          <w:spacing w:val="0"/>
          <w:w w:val="100"/>
          <w:position w:val="0"/>
        </w:rPr>
        <w:t>年至</w:t>
      </w:r>
      <w:r>
        <w:rPr>
          <w:rFonts w:ascii="Times New Roman" w:eastAsia="Times New Roman" w:hAnsi="Times New Roman" w:cs="Times New Roman"/>
          <w:color w:val="000000"/>
          <w:spacing w:val="0"/>
          <w:w w:val="100"/>
          <w:position w:val="0"/>
        </w:rPr>
        <w:t>1990</w:t>
      </w:r>
      <w:r>
        <w:rPr>
          <w:color w:val="000000"/>
          <w:spacing w:val="0"/>
          <w:w w:val="100"/>
          <w:position w:val="0"/>
        </w:rPr>
        <w:t>年任工业和信息化部六 所室主任；</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年历任中国计算机软件与技术服务总公司副总裁、总裁；</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年任中国软件与技术服务股 份有限公司董事长；</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年任中软国际股份有限公司董事长；</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月任华软投资（北京）有限公司 董事长；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月至今任北京华软投资管理有限公司执行董事、经理。</w:t>
      </w:r>
    </w:p>
    <w:p>
      <w:pPr>
        <w:pStyle w:val="Style24"/>
        <w:keepNext w:val="0"/>
        <w:keepLines w:val="0"/>
        <w:widowControl w:val="0"/>
        <w:shd w:val="clear" w:color="auto" w:fill="auto"/>
        <w:bidi w:val="0"/>
        <w:spacing w:before="0" w:after="0" w:line="313" w:lineRule="exact"/>
        <w:ind w:left="0" w:right="0" w:firstLine="0"/>
        <w:jc w:val="both"/>
      </w:pPr>
      <w:bookmarkStart w:id="267" w:name="bookmark267"/>
      <w:r>
        <w:rPr>
          <w:rFonts w:ascii="Times New Roman" w:eastAsia="Times New Roman" w:hAnsi="Times New Roman" w:cs="Times New Roman"/>
          <w:color w:val="000000"/>
          <w:spacing w:val="0"/>
          <w:w w:val="100"/>
          <w:position w:val="0"/>
        </w:rPr>
        <w:t>7</w:t>
      </w:r>
      <w:bookmarkEnd w:id="267"/>
      <w:r>
        <w:rPr>
          <w:color w:val="000000"/>
          <w:spacing w:val="0"/>
          <w:w w:val="100"/>
          <w:position w:val="0"/>
        </w:rPr>
        <w:t>） 霍佳震先生，独立董事，</w:t>
      </w:r>
      <w:r>
        <w:rPr>
          <w:rFonts w:ascii="Times New Roman" w:eastAsia="Times New Roman" w:hAnsi="Times New Roman" w:cs="Times New Roman"/>
          <w:color w:val="000000"/>
          <w:spacing w:val="0"/>
          <w:w w:val="100"/>
          <w:position w:val="0"/>
        </w:rPr>
        <w:t>1962</w:t>
      </w:r>
      <w:r>
        <w:rPr>
          <w:color w:val="000000"/>
          <w:spacing w:val="0"/>
          <w:w w:val="100"/>
          <w:position w:val="0"/>
        </w:rPr>
        <w:t>年出生，中国国籍，无境外居留权，博士研究生学历，教授；</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月历任 同济大学经济与管理学院讲师、副教授；</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月起任同济大学教授；</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月至今任同济大学经济与管理学院院长；目 前担任的其他职务包括德国</w:t>
      </w:r>
      <w:r>
        <w:rPr>
          <w:rFonts w:ascii="Times New Roman" w:eastAsia="Times New Roman" w:hAnsi="Times New Roman" w:cs="Times New Roman"/>
          <w:color w:val="000000"/>
          <w:spacing w:val="0"/>
          <w:w w:val="100"/>
          <w:position w:val="0"/>
        </w:rPr>
        <w:t>DHL</w:t>
      </w:r>
      <w:r>
        <w:rPr>
          <w:color w:val="000000"/>
          <w:spacing w:val="0"/>
          <w:w w:val="100"/>
          <w:position w:val="0"/>
        </w:rPr>
        <w:t xml:space="preserve">公司教席教授，上海市优秀学科带头人、享受国务院特殊津贴专家；国家自然科学基金管 理学部评审专家组成员，上海市管理学会副理事长兼秘书长、中国管理科学与工程学会常务理事、上海金桥出口加工区开发 </w:t>
      </w:r>
      <w:r>
        <w:rPr>
          <w:color w:val="000000"/>
          <w:spacing w:val="0"/>
          <w:w w:val="100"/>
          <w:position w:val="0"/>
        </w:rPr>
        <w:t>股份有限公司独立董事等。</w:t>
      </w:r>
    </w:p>
    <w:p>
      <w:pPr>
        <w:pStyle w:val="Style24"/>
        <w:keepNext w:val="0"/>
        <w:keepLines w:val="0"/>
        <w:widowControl w:val="0"/>
        <w:shd w:val="clear" w:color="auto" w:fill="auto"/>
        <w:tabs>
          <w:tab w:pos="330" w:val="left"/>
        </w:tabs>
        <w:bidi w:val="0"/>
        <w:spacing w:before="0" w:after="0" w:line="314" w:lineRule="exact"/>
        <w:ind w:left="0" w:right="0" w:firstLine="0"/>
        <w:jc w:val="both"/>
      </w:pPr>
      <w:bookmarkStart w:id="268" w:name="bookmark268"/>
      <w:r>
        <w:rPr>
          <w:rFonts w:ascii="Times New Roman" w:eastAsia="Times New Roman" w:hAnsi="Times New Roman" w:cs="Times New Roman"/>
          <w:color w:val="000000"/>
          <w:spacing w:val="0"/>
          <w:w w:val="100"/>
          <w:position w:val="0"/>
        </w:rPr>
        <w:t>8</w:t>
      </w:r>
      <w:bookmarkEnd w:id="268"/>
      <w:r>
        <w:rPr>
          <w:color w:val="000000"/>
          <w:spacing w:val="0"/>
          <w:w w:val="100"/>
          <w:position w:val="0"/>
        </w:rPr>
        <w:t>）</w:t>
        <w:tab/>
        <w:t>黄速建先生，独立董事，</w:t>
      </w:r>
      <w:r>
        <w:rPr>
          <w:rFonts w:ascii="Times New Roman" w:eastAsia="Times New Roman" w:hAnsi="Times New Roman" w:cs="Times New Roman"/>
          <w:color w:val="000000"/>
          <w:spacing w:val="0"/>
          <w:w w:val="100"/>
          <w:position w:val="0"/>
        </w:rPr>
        <w:t>1955</w:t>
      </w:r>
      <w:r>
        <w:rPr>
          <w:color w:val="000000"/>
          <w:spacing w:val="0"/>
          <w:w w:val="100"/>
          <w:position w:val="0"/>
        </w:rPr>
        <w:t>年出生，中国国籍，无境外居留权，博士研究生学历，</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月至今历任中国社会科学院 工业经济研究所研究员、副所长；现任中国企业管理研究会副会长、理事长、中国社会科学院研究生院教授、《经济管理》 杂志社副主编、中国社会科学院管理科学与创新发展研究中心主任。</w:t>
      </w:r>
    </w:p>
    <w:p>
      <w:pPr>
        <w:pStyle w:val="Style24"/>
        <w:keepNext w:val="0"/>
        <w:keepLines w:val="0"/>
        <w:widowControl w:val="0"/>
        <w:shd w:val="clear" w:color="auto" w:fill="auto"/>
        <w:tabs>
          <w:tab w:pos="335" w:val="left"/>
        </w:tabs>
        <w:bidi w:val="0"/>
        <w:spacing w:before="0" w:line="314" w:lineRule="exact"/>
        <w:ind w:left="0" w:right="0" w:firstLine="0"/>
        <w:jc w:val="both"/>
      </w:pPr>
      <w:bookmarkStart w:id="269" w:name="bookmark269"/>
      <w:r>
        <w:rPr>
          <w:rFonts w:ascii="Times New Roman" w:eastAsia="Times New Roman" w:hAnsi="Times New Roman" w:cs="Times New Roman"/>
          <w:color w:val="000000"/>
          <w:spacing w:val="0"/>
          <w:w w:val="100"/>
          <w:position w:val="0"/>
        </w:rPr>
        <w:t>9</w:t>
      </w:r>
      <w:bookmarkEnd w:id="269"/>
      <w:r>
        <w:rPr>
          <w:color w:val="000000"/>
          <w:spacing w:val="0"/>
          <w:w w:val="100"/>
          <w:position w:val="0"/>
        </w:rPr>
        <w:t>）</w:t>
        <w:tab/>
        <w:t>李晓明先生，独立董事，</w:t>
      </w:r>
      <w:r>
        <w:rPr>
          <w:rFonts w:ascii="Times New Roman" w:eastAsia="Times New Roman" w:hAnsi="Times New Roman" w:cs="Times New Roman"/>
          <w:color w:val="000000"/>
          <w:spacing w:val="0"/>
          <w:w w:val="100"/>
          <w:position w:val="0"/>
        </w:rPr>
        <w:t>1966</w:t>
      </w:r>
      <w:r>
        <w:rPr>
          <w:color w:val="000000"/>
          <w:spacing w:val="0"/>
          <w:w w:val="100"/>
          <w:position w:val="0"/>
        </w:rPr>
        <w:t>年出生，中国国籍，无境外居留权，硕士研究生学历，高级会计师；</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年历任 康佳集团财务部主管会计、康佳集团模具注塑有限公司财务经理、康佳集团财务部副总经理，陕西康佳电子有限公司财务总 监、董事会秘书兼法律顾问；东莞康佳电子有限公司财务总监、董事会秘书兼法律顾问；康佳集团多媒体事业部重要客户部 总经理；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月任深圳市宇顺电子股份有限公司财务总监，</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月兼任深圳宇顺电子股份 有限公司董事会秘书。</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月起任深圳市久安富赢投资有限公司执行董事、总经理。</w:t>
      </w:r>
    </w:p>
    <w:p>
      <w:pPr>
        <w:pStyle w:val="Style24"/>
        <w:keepNext w:val="0"/>
        <w:keepLines w:val="0"/>
        <w:widowControl w:val="0"/>
        <w:shd w:val="clear" w:color="auto" w:fill="auto"/>
        <w:tabs>
          <w:tab w:pos="325" w:val="left"/>
        </w:tabs>
        <w:bidi w:val="0"/>
        <w:spacing w:before="0" w:after="0"/>
        <w:ind w:left="0" w:right="0" w:firstLine="0"/>
        <w:jc w:val="both"/>
      </w:pPr>
      <w:bookmarkStart w:id="270" w:name="bookmark270"/>
      <w:r>
        <w:rPr>
          <w:rFonts w:ascii="Times New Roman" w:eastAsia="Times New Roman" w:hAnsi="Times New Roman" w:cs="Times New Roman"/>
          <w:color w:val="000000"/>
          <w:spacing w:val="0"/>
          <w:w w:val="100"/>
          <w:position w:val="0"/>
        </w:rPr>
        <w:t>2</w:t>
      </w:r>
      <w:bookmarkEnd w:id="270"/>
      <w:r>
        <w:rPr>
          <w:color w:val="000000"/>
          <w:spacing w:val="0"/>
          <w:w w:val="100"/>
          <w:position w:val="0"/>
        </w:rPr>
        <w:t>、</w:t>
        <w:tab/>
        <w:t>监事会成员</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w:t>
      </w:r>
    </w:p>
    <w:p>
      <w:pPr>
        <w:pStyle w:val="Style24"/>
        <w:keepNext w:val="0"/>
        <w:keepLines w:val="0"/>
        <w:widowControl w:val="0"/>
        <w:shd w:val="clear" w:color="auto" w:fill="auto"/>
        <w:tabs>
          <w:tab w:pos="330" w:val="left"/>
        </w:tabs>
        <w:bidi w:val="0"/>
        <w:spacing w:before="0" w:after="0" w:line="314" w:lineRule="exact"/>
        <w:ind w:left="0" w:right="0" w:firstLine="0"/>
        <w:jc w:val="both"/>
      </w:pPr>
      <w:bookmarkStart w:id="271" w:name="bookmark271"/>
      <w:r>
        <w:rPr>
          <w:rFonts w:ascii="Times New Roman" w:eastAsia="Times New Roman" w:hAnsi="Times New Roman" w:cs="Times New Roman"/>
          <w:color w:val="000000"/>
          <w:spacing w:val="0"/>
          <w:w w:val="100"/>
          <w:position w:val="0"/>
        </w:rPr>
        <w:t>1</w:t>
      </w:r>
      <w:bookmarkEnd w:id="271"/>
      <w:r>
        <w:rPr>
          <w:color w:val="000000"/>
          <w:spacing w:val="0"/>
          <w:w w:val="100"/>
          <w:position w:val="0"/>
        </w:rPr>
        <w:t>）</w:t>
        <w:tab/>
        <w:t>李媛媛女士，监事会主席，</w:t>
      </w:r>
      <w:r>
        <w:rPr>
          <w:rFonts w:ascii="Times New Roman" w:eastAsia="Times New Roman" w:hAnsi="Times New Roman" w:cs="Times New Roman"/>
          <w:color w:val="000000"/>
          <w:spacing w:val="0"/>
          <w:w w:val="100"/>
          <w:position w:val="0"/>
        </w:rPr>
        <w:t>1979</w:t>
      </w:r>
      <w:r>
        <w:rPr>
          <w:color w:val="000000"/>
          <w:spacing w:val="0"/>
          <w:w w:val="100"/>
          <w:position w:val="0"/>
        </w:rPr>
        <w:t>年出生，中国国籍，无境外居留权，大学本科学历；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年任河北华北柴油机 厂技术处技术员；</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月任深圳市赢时胜电子技术有限公司技术支持部工程师；</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 圳市赢时胜信息技术有限公司技术支持部部门总监；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月至今任深圳市赢时胜信息技术股份有限公司客服中心部门总 监。</w:t>
      </w:r>
    </w:p>
    <w:p>
      <w:pPr>
        <w:pStyle w:val="Style24"/>
        <w:keepNext w:val="0"/>
        <w:keepLines w:val="0"/>
        <w:widowControl w:val="0"/>
        <w:shd w:val="clear" w:color="auto" w:fill="auto"/>
        <w:tabs>
          <w:tab w:pos="340" w:val="left"/>
        </w:tabs>
        <w:bidi w:val="0"/>
        <w:spacing w:before="0" w:after="0" w:line="314" w:lineRule="exact"/>
        <w:ind w:left="0" w:right="0" w:firstLine="0"/>
        <w:jc w:val="both"/>
      </w:pPr>
      <w:bookmarkStart w:id="272" w:name="bookmark272"/>
      <w:r>
        <w:rPr>
          <w:rFonts w:ascii="Times New Roman" w:eastAsia="Times New Roman" w:hAnsi="Times New Roman" w:cs="Times New Roman"/>
          <w:color w:val="000000"/>
          <w:spacing w:val="0"/>
          <w:w w:val="100"/>
          <w:position w:val="0"/>
        </w:rPr>
        <w:t>2</w:t>
      </w:r>
      <w:bookmarkEnd w:id="272"/>
      <w:r>
        <w:rPr>
          <w:color w:val="000000"/>
          <w:spacing w:val="0"/>
          <w:w w:val="100"/>
          <w:position w:val="0"/>
        </w:rPr>
        <w:t>）</w:t>
        <w:tab/>
        <w:t>贺向荣先生，</w:t>
      </w:r>
      <w:r>
        <w:rPr>
          <w:rFonts w:ascii="Times New Roman" w:eastAsia="Times New Roman" w:hAnsi="Times New Roman" w:cs="Times New Roman"/>
          <w:color w:val="000000"/>
          <w:spacing w:val="0"/>
          <w:w w:val="100"/>
          <w:position w:val="0"/>
        </w:rPr>
        <w:t>1979</w:t>
      </w:r>
      <w:r>
        <w:rPr>
          <w:color w:val="000000"/>
          <w:spacing w:val="0"/>
          <w:w w:val="100"/>
          <w:position w:val="0"/>
        </w:rPr>
        <w:t>年出生，中国国籍，无境外居留权，大学本科学历；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年任贵阳</w:t>
      </w:r>
      <w:r>
        <w:rPr>
          <w:rFonts w:ascii="Times New Roman" w:eastAsia="Times New Roman" w:hAnsi="Times New Roman" w:cs="Times New Roman"/>
          <w:color w:val="000000"/>
          <w:spacing w:val="0"/>
          <w:w w:val="100"/>
          <w:position w:val="0"/>
        </w:rPr>
        <w:t>E</w:t>
      </w:r>
      <w:r>
        <w:rPr>
          <w:color w:val="000000"/>
          <w:spacing w:val="0"/>
          <w:w w:val="100"/>
          <w:position w:val="0"/>
        </w:rPr>
        <w:t>舞九天有限公司技术支 持部软件维护工程师；</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月任深圳市赢时胜信息技术有限公司研究开发部部门副总监；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月起任深 圳市赢时胜信息技术股份有限公司产品中心部门副总监。</w:t>
      </w:r>
    </w:p>
    <w:p>
      <w:pPr>
        <w:pStyle w:val="Style24"/>
        <w:keepNext w:val="0"/>
        <w:keepLines w:val="0"/>
        <w:widowControl w:val="0"/>
        <w:shd w:val="clear" w:color="auto" w:fill="auto"/>
        <w:tabs>
          <w:tab w:pos="340" w:val="left"/>
        </w:tabs>
        <w:bidi w:val="0"/>
        <w:spacing w:before="0" w:line="314" w:lineRule="exact"/>
        <w:ind w:left="0" w:right="0" w:firstLine="0"/>
        <w:jc w:val="both"/>
      </w:pPr>
      <w:bookmarkStart w:id="273" w:name="bookmark273"/>
      <w:r>
        <w:rPr>
          <w:rFonts w:ascii="Times New Roman" w:eastAsia="Times New Roman" w:hAnsi="Times New Roman" w:cs="Times New Roman"/>
          <w:color w:val="000000"/>
          <w:spacing w:val="0"/>
          <w:w w:val="100"/>
          <w:position w:val="0"/>
        </w:rPr>
        <w:t>3</w:t>
      </w:r>
      <w:bookmarkEnd w:id="273"/>
      <w:r>
        <w:rPr>
          <w:color w:val="000000"/>
          <w:spacing w:val="0"/>
          <w:w w:val="100"/>
          <w:position w:val="0"/>
        </w:rPr>
        <w:t>）</w:t>
        <w:tab/>
        <w:t>宾鸽女士，</w:t>
      </w:r>
      <w:r>
        <w:rPr>
          <w:rFonts w:ascii="Times New Roman" w:eastAsia="Times New Roman" w:hAnsi="Times New Roman" w:cs="Times New Roman"/>
          <w:color w:val="000000"/>
          <w:spacing w:val="0"/>
          <w:w w:val="100"/>
          <w:position w:val="0"/>
        </w:rPr>
        <w:t>1986</w:t>
      </w:r>
      <w:r>
        <w:rPr>
          <w:color w:val="000000"/>
          <w:spacing w:val="0"/>
          <w:w w:val="100"/>
          <w:position w:val="0"/>
        </w:rPr>
        <w:t>年出生，中国国籍，无境外居留权，大学专科学历；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11</w:t>
      </w:r>
      <w:r>
        <w:rPr>
          <w:color w:val="000000"/>
          <w:spacing w:val="0"/>
          <w:w w:val="100"/>
          <w:position w:val="0"/>
        </w:rPr>
        <w:t>月任湖南喜乐地动漫股份有限公司项 目专员；</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月任深圳市赢时胜信息技术有限公司人力专员；</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月至今任深圳市赢时胜信息技术股份 有限公司人力专员。</w:t>
      </w:r>
    </w:p>
    <w:p>
      <w:pPr>
        <w:pStyle w:val="Style24"/>
        <w:keepNext w:val="0"/>
        <w:keepLines w:val="0"/>
        <w:widowControl w:val="0"/>
        <w:shd w:val="clear" w:color="auto" w:fill="auto"/>
        <w:tabs>
          <w:tab w:pos="325" w:val="left"/>
        </w:tabs>
        <w:bidi w:val="0"/>
        <w:spacing w:before="0" w:after="0"/>
        <w:ind w:left="0" w:right="0" w:firstLine="0"/>
        <w:jc w:val="both"/>
      </w:pPr>
      <w:bookmarkStart w:id="274" w:name="bookmark274"/>
      <w:r>
        <w:rPr>
          <w:rFonts w:ascii="Times New Roman" w:eastAsia="Times New Roman" w:hAnsi="Times New Roman" w:cs="Times New Roman"/>
          <w:color w:val="000000"/>
          <w:spacing w:val="0"/>
          <w:w w:val="100"/>
          <w:position w:val="0"/>
        </w:rPr>
        <w:t>3</w:t>
      </w:r>
      <w:bookmarkEnd w:id="274"/>
      <w:r>
        <w:rPr>
          <w:color w:val="000000"/>
          <w:spacing w:val="0"/>
          <w:w w:val="100"/>
          <w:position w:val="0"/>
        </w:rPr>
        <w:t>、</w:t>
        <w:tab/>
        <w:t>高级管理人员</w:t>
      </w:r>
    </w:p>
    <w:p>
      <w:pPr>
        <w:pStyle w:val="Style24"/>
        <w:keepNext w:val="0"/>
        <w:keepLines w:val="0"/>
        <w:widowControl w:val="0"/>
        <w:shd w:val="clear" w:color="auto" w:fill="auto"/>
        <w:tabs>
          <w:tab w:pos="320" w:val="left"/>
        </w:tabs>
        <w:bidi w:val="0"/>
        <w:spacing w:before="0" w:after="0" w:line="314" w:lineRule="exact"/>
        <w:ind w:left="0" w:right="0" w:firstLine="0"/>
        <w:jc w:val="both"/>
      </w:pPr>
      <w:bookmarkStart w:id="275" w:name="bookmark275"/>
      <w:r>
        <w:rPr>
          <w:rFonts w:ascii="Times New Roman" w:eastAsia="Times New Roman" w:hAnsi="Times New Roman" w:cs="Times New Roman"/>
          <w:color w:val="000000"/>
          <w:spacing w:val="0"/>
          <w:w w:val="100"/>
          <w:position w:val="0"/>
        </w:rPr>
        <w:t>1</w:t>
      </w:r>
      <w:bookmarkEnd w:id="275"/>
      <w:r>
        <w:rPr>
          <w:color w:val="000000"/>
          <w:spacing w:val="0"/>
          <w:w w:val="100"/>
          <w:position w:val="0"/>
        </w:rPr>
        <w:t>）</w:t>
        <w:tab/>
        <w:t>唐球先生，总经理，简历详见本节</w:t>
      </w:r>
      <w:r>
        <w:rPr>
          <w:rFonts w:ascii="Times New Roman" w:eastAsia="Times New Roman" w:hAnsi="Times New Roman" w:cs="Times New Roman"/>
          <w:color w:val="000000"/>
          <w:spacing w:val="0"/>
          <w:w w:val="100"/>
          <w:position w:val="0"/>
        </w:rPr>
        <w:t>“1</w:t>
      </w:r>
      <w:r>
        <w:rPr>
          <w:color w:val="000000"/>
          <w:spacing w:val="0"/>
          <w:w w:val="100"/>
          <w:position w:val="0"/>
        </w:rPr>
        <w:t>、董事会成员匚</w:t>
      </w:r>
    </w:p>
    <w:p>
      <w:pPr>
        <w:pStyle w:val="Style24"/>
        <w:keepNext w:val="0"/>
        <w:keepLines w:val="0"/>
        <w:widowControl w:val="0"/>
        <w:shd w:val="clear" w:color="auto" w:fill="auto"/>
        <w:tabs>
          <w:tab w:pos="340" w:val="left"/>
        </w:tabs>
        <w:bidi w:val="0"/>
        <w:spacing w:before="0" w:after="0" w:line="314" w:lineRule="exact"/>
        <w:ind w:left="0" w:right="0" w:firstLine="0"/>
        <w:jc w:val="both"/>
      </w:pPr>
      <w:bookmarkStart w:id="276" w:name="bookmark276"/>
      <w:r>
        <w:rPr>
          <w:rFonts w:ascii="Times New Roman" w:eastAsia="Times New Roman" w:hAnsi="Times New Roman" w:cs="Times New Roman"/>
          <w:color w:val="000000"/>
          <w:spacing w:val="0"/>
          <w:w w:val="100"/>
          <w:position w:val="0"/>
        </w:rPr>
        <w:t>2</w:t>
      </w:r>
      <w:bookmarkEnd w:id="276"/>
      <w:r>
        <w:rPr>
          <w:color w:val="000000"/>
          <w:spacing w:val="0"/>
          <w:w w:val="100"/>
          <w:position w:val="0"/>
        </w:rPr>
        <w:t>）</w:t>
        <w:tab/>
        <w:t>鄢建兵先生，副总经理，简历详见本节</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shd w:val="clear" w:color="auto" w:fill="auto"/>
        <w:tabs>
          <w:tab w:pos="340" w:val="left"/>
        </w:tabs>
        <w:bidi w:val="0"/>
        <w:spacing w:before="0" w:after="0" w:line="314" w:lineRule="exact"/>
        <w:ind w:left="0" w:right="0" w:firstLine="0"/>
        <w:jc w:val="both"/>
      </w:pPr>
      <w:bookmarkStart w:id="277" w:name="bookmark277"/>
      <w:r>
        <w:rPr>
          <w:rFonts w:ascii="Times New Roman" w:eastAsia="Times New Roman" w:hAnsi="Times New Roman" w:cs="Times New Roman"/>
          <w:color w:val="000000"/>
          <w:spacing w:val="0"/>
          <w:w w:val="100"/>
          <w:position w:val="0"/>
        </w:rPr>
        <w:t>3</w:t>
      </w:r>
      <w:bookmarkEnd w:id="277"/>
      <w:r>
        <w:rPr>
          <w:color w:val="000000"/>
          <w:spacing w:val="0"/>
          <w:w w:val="100"/>
          <w:position w:val="0"/>
        </w:rPr>
        <w:t>）</w:t>
        <w:tab/>
        <w:t>张列先生，副总经理，简历详见本节</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shd w:val="clear" w:color="auto" w:fill="auto"/>
        <w:tabs>
          <w:tab w:pos="340" w:val="left"/>
        </w:tabs>
        <w:bidi w:val="0"/>
        <w:spacing w:before="0" w:after="0" w:line="314" w:lineRule="exact"/>
        <w:ind w:left="0" w:right="0" w:firstLine="0"/>
        <w:jc w:val="both"/>
      </w:pPr>
      <w:bookmarkStart w:id="278" w:name="bookmark278"/>
      <w:r>
        <w:rPr>
          <w:rFonts w:ascii="Times New Roman" w:eastAsia="Times New Roman" w:hAnsi="Times New Roman" w:cs="Times New Roman"/>
          <w:color w:val="000000"/>
          <w:spacing w:val="0"/>
          <w:w w:val="100"/>
          <w:position w:val="0"/>
        </w:rPr>
        <w:t>4</w:t>
      </w:r>
      <w:bookmarkEnd w:id="278"/>
      <w:r>
        <w:rPr>
          <w:color w:val="000000"/>
          <w:spacing w:val="0"/>
          <w:w w:val="100"/>
          <w:position w:val="0"/>
        </w:rPr>
        <w:t>）</w:t>
        <w:tab/>
        <w:t>周云杉先生，副总经理，简历详见本节</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shd w:val="clear" w:color="auto" w:fill="auto"/>
        <w:tabs>
          <w:tab w:pos="340" w:val="left"/>
        </w:tabs>
        <w:bidi w:val="0"/>
        <w:spacing w:before="0" w:after="0" w:line="314" w:lineRule="exact"/>
        <w:ind w:left="0" w:right="0" w:firstLine="0"/>
        <w:jc w:val="both"/>
      </w:pPr>
      <w:bookmarkStart w:id="279" w:name="bookmark279"/>
      <w:r>
        <w:rPr>
          <w:rFonts w:ascii="Times New Roman" w:eastAsia="Times New Roman" w:hAnsi="Times New Roman" w:cs="Times New Roman"/>
          <w:color w:val="000000"/>
          <w:spacing w:val="0"/>
          <w:w w:val="100"/>
          <w:position w:val="0"/>
        </w:rPr>
        <w:t>5</w:t>
      </w:r>
      <w:bookmarkEnd w:id="279"/>
      <w:r>
        <w:rPr>
          <w:color w:val="000000"/>
          <w:spacing w:val="0"/>
          <w:w w:val="100"/>
          <w:position w:val="0"/>
        </w:rPr>
        <w:t>）</w:t>
        <w:tab/>
        <w:t>庞军先生，副总经理，</w:t>
      </w:r>
      <w:r>
        <w:rPr>
          <w:rFonts w:ascii="Times New Roman" w:eastAsia="Times New Roman" w:hAnsi="Times New Roman" w:cs="Times New Roman"/>
          <w:color w:val="000000"/>
          <w:spacing w:val="0"/>
          <w:w w:val="100"/>
          <w:position w:val="0"/>
        </w:rPr>
        <w:t>1978</w:t>
      </w:r>
      <w:r>
        <w:rPr>
          <w:color w:val="000000"/>
          <w:spacing w:val="0"/>
          <w:w w:val="100"/>
          <w:position w:val="0"/>
        </w:rPr>
        <w:t>年生，中国国籍，无境外居留权，大学专科学历；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月任湖南新浪潮电脑 有限公司技术工程师；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月任深圳市赢时胜电子技术有限公司助理总经理；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 市赢时胜信息技术有限公司助理总经理；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月起任深圳市赢时胜信息技术股份有限公司副总经理。</w:t>
      </w:r>
    </w:p>
    <w:p>
      <w:pPr>
        <w:pStyle w:val="Style24"/>
        <w:keepNext w:val="0"/>
        <w:keepLines w:val="0"/>
        <w:widowControl w:val="0"/>
        <w:shd w:val="clear" w:color="auto" w:fill="auto"/>
        <w:tabs>
          <w:tab w:pos="344" w:val="left"/>
        </w:tabs>
        <w:bidi w:val="0"/>
        <w:spacing w:before="0" w:after="0" w:line="314" w:lineRule="exact"/>
        <w:ind w:left="0" w:right="0" w:firstLine="0"/>
        <w:jc w:val="both"/>
      </w:pPr>
      <w:bookmarkStart w:id="280" w:name="bookmark280"/>
      <w:r>
        <w:rPr>
          <w:rFonts w:ascii="Times New Roman" w:eastAsia="Times New Roman" w:hAnsi="Times New Roman" w:cs="Times New Roman"/>
          <w:color w:val="000000"/>
          <w:spacing w:val="0"/>
          <w:w w:val="100"/>
          <w:position w:val="0"/>
        </w:rPr>
        <w:t>6</w:t>
      </w:r>
      <w:bookmarkEnd w:id="280"/>
      <w:r>
        <w:rPr>
          <w:color w:val="000000"/>
          <w:spacing w:val="0"/>
          <w:w w:val="100"/>
          <w:position w:val="0"/>
        </w:rPr>
        <w:t>）</w:t>
        <w:tab/>
        <w:t>程霞女士，副总经理、董事会秘书，</w:t>
      </w:r>
      <w:r>
        <w:rPr>
          <w:rFonts w:ascii="Times New Roman" w:eastAsia="Times New Roman" w:hAnsi="Times New Roman" w:cs="Times New Roman"/>
          <w:color w:val="000000"/>
          <w:spacing w:val="0"/>
          <w:w w:val="100"/>
          <w:position w:val="0"/>
        </w:rPr>
        <w:t>1975</w:t>
      </w:r>
      <w:r>
        <w:rPr>
          <w:color w:val="000000"/>
          <w:spacing w:val="0"/>
          <w:w w:val="100"/>
          <w:position w:val="0"/>
        </w:rPr>
        <w:t xml:space="preserve">年生，中国国籍，无境外居留权，工商管理硕士； </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月任深 圳市文正明信息技术有限公司董事会秘书、证券事业部副总经理；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月任深圳市脉山龙信息技术股份有 限公司营销总监；</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月任深圳市今日投资财经资讯有限公司市场策划总监兼金融渠道营销中心总经理；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月任深圳市国泰安信息技术有限公司助理总裁；</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月起任深圳市赢时胜信息技术股份有限公司董 事会秘书兼营销中心负责人，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月起任深圳市赢时胜信息技术股份有限公司副总经理。</w:t>
      </w:r>
    </w:p>
    <w:p>
      <w:pPr>
        <w:pStyle w:val="Style24"/>
        <w:keepNext w:val="0"/>
        <w:keepLines w:val="0"/>
        <w:widowControl w:val="0"/>
        <w:shd w:val="clear" w:color="auto" w:fill="auto"/>
        <w:tabs>
          <w:tab w:pos="344" w:val="left"/>
        </w:tabs>
        <w:bidi w:val="0"/>
        <w:spacing w:before="0" w:after="340" w:line="314" w:lineRule="exact"/>
        <w:ind w:left="0" w:right="0" w:firstLine="0"/>
        <w:jc w:val="both"/>
      </w:pPr>
      <w:bookmarkStart w:id="281" w:name="bookmark281"/>
      <w:r>
        <w:rPr>
          <w:rFonts w:ascii="Times New Roman" w:eastAsia="Times New Roman" w:hAnsi="Times New Roman" w:cs="Times New Roman"/>
          <w:color w:val="000000"/>
          <w:spacing w:val="0"/>
          <w:w w:val="100"/>
          <w:position w:val="0"/>
        </w:rPr>
        <w:t>7</w:t>
      </w:r>
      <w:bookmarkEnd w:id="281"/>
      <w:r>
        <w:rPr>
          <w:color w:val="000000"/>
          <w:spacing w:val="0"/>
          <w:w w:val="100"/>
          <w:position w:val="0"/>
        </w:rPr>
        <w:t>）</w:t>
        <w:tab/>
        <w:t>伍国安先生，财务总监，</w:t>
      </w:r>
      <w:r>
        <w:rPr>
          <w:rFonts w:ascii="Times New Roman" w:eastAsia="Times New Roman" w:hAnsi="Times New Roman" w:cs="Times New Roman"/>
          <w:color w:val="000000"/>
          <w:spacing w:val="0"/>
          <w:w w:val="100"/>
          <w:position w:val="0"/>
        </w:rPr>
        <w:t>1966</w:t>
      </w:r>
      <w:r>
        <w:rPr>
          <w:color w:val="000000"/>
          <w:spacing w:val="0"/>
          <w:w w:val="100"/>
          <w:position w:val="0"/>
        </w:rPr>
        <w:t>年生，中国国籍，无境外居留权；</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月任湘潭烟草中专学校教务科财务 会计专业讲师；</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月任湘潭烟草中专学校（湖南省烟草职工培训中心）财务部主管会计；</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月湘潭烟草中专学校（湖南省烟草职工培训中心）财务部科长；</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月起任深圳市赢时胜信息技术股份有限公 司财务总监。</w:t>
      </w:r>
    </w:p>
    <w:p>
      <w:pPr>
        <w:pStyle w:val="Style2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在股东单位任职情况</w:t>
      </w:r>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在其他单位任职情况</w:t>
      </w:r>
    </w:p>
    <w:p>
      <w:pPr>
        <w:pStyle w:val="Style24"/>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205"/>
        <w:gridCol w:w="3187"/>
        <w:gridCol w:w="1066"/>
        <w:gridCol w:w="1195"/>
        <w:gridCol w:w="1325"/>
        <w:gridCol w:w="1603"/>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深圳市领方科技有限公司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无锡华软投资管理有限公司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北京华软投资管理有限公司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宜兴华软投资管理有限公司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京华信息科技股份有限公司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无锡永中软件有限公司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霍佳震</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同济大学经济与管理学院</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霍佳震</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上海金桥出口加工区开发股份有限公司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黄速建</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中国社会科学院工业经济研究所</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研究员、副所 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黄速建</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浙江尖峰集团股份有限公司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黄速建</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浙江中国小商品城集团股份有限公司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黄速建</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卧龙地产集团股份有限公司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李晓明</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深圳市久安富赢投资有限公司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李晓明</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深圳久安富赢投资企业（有限合伙）</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李晓明</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深圳久安富赢股权投资企业（有限合伙）</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伙人委派代 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三</w:t>
      </w:r>
      <w:bookmarkEnd w:id="284"/>
      <w:r>
        <w:rPr>
          <w:color w:val="000000"/>
          <w:spacing w:val="0"/>
          <w:w w:val="100"/>
          <w:position w:val="0"/>
          <w:sz w:val="24"/>
          <w:szCs w:val="24"/>
        </w:rPr>
        <w:t>、董事、监事、高级管理人员报酬情况</w:t>
      </w:r>
      <w:bookmarkEnd w:id="282"/>
      <w:bookmarkEnd w:id="283"/>
      <w:bookmarkEnd w:id="285"/>
    </w:p>
    <w:tbl>
      <w:tblPr>
        <w:tblOverlap w:val="never"/>
        <w:jc w:val="center"/>
        <w:tblLayout w:type="fixed"/>
      </w:tblPr>
      <w:tblGrid>
        <w:gridCol w:w="3600"/>
        <w:gridCol w:w="5981"/>
      </w:tblGrid>
      <w:tr>
        <w:trPr>
          <w:trHeight w:val="68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bottom w:val="single" w:sz="4"/>
              <w:right w:val="single" w:sz="4"/>
            </w:tcBorders>
            <w:shd w:val="clear" w:color="auto" w:fill="C8EDCC"/>
            <w:vAlign w:val="bottom"/>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公司董事、监事报酬由股东大会决定，高级管理人员报酬由董事会决定；在 公司担任工作职务的董事、监事、高级管理人员报酬由公司支付，董事、监</w:t>
            </w:r>
          </w:p>
        </w:tc>
      </w:tr>
    </w:tbl>
    <w:p>
      <w:pPr>
        <w:spacing w:lineRule="exact" w:line="1"/>
        <w:rPr>
          <w:sz w:val="2"/>
          <w:szCs w:val="2"/>
        </w:rPr>
      </w:pPr>
      <w:r>
        <w:br w:type="page"/>
      </w:r>
    </w:p>
    <w:tbl>
      <w:tblPr>
        <w:tblOverlap w:val="never"/>
        <w:jc w:val="center"/>
        <w:tblLayout w:type="fixed"/>
      </w:tblPr>
      <w:tblGrid>
        <w:gridCol w:w="3600"/>
        <w:gridCol w:w="5981"/>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C8EDCC"/>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事不另外支付津贴。独立董事津贴根据股东大会所通过的决议来进行支付。</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根据公司盈利水平及各董事、监事、高级管理人员的分工及履职情况确定。</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公司董事、监事、高级管理人员共</w:t>
            </w:r>
            <w:r>
              <w:rPr>
                <w:rFonts w:ascii="Times New Roman" w:eastAsia="Times New Roman" w:hAnsi="Times New Roman" w:cs="Times New Roman"/>
                <w:color w:val="000000"/>
                <w:spacing w:val="0"/>
                <w:w w:val="100"/>
                <w:position w:val="0"/>
              </w:rPr>
              <w:t>15</w:t>
            </w:r>
            <w:r>
              <w:rPr>
                <w:color w:val="000000"/>
                <w:spacing w:val="0"/>
                <w:w w:val="100"/>
                <w:position w:val="0"/>
              </w:rPr>
              <w:t>人，各项报酬均已按时支付。</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0"/>
        <w:gridCol w:w="1195"/>
        <w:gridCol w:w="1195"/>
        <w:gridCol w:w="1195"/>
        <w:gridCol w:w="1195"/>
        <w:gridCol w:w="1200"/>
        <w:gridCol w:w="1195"/>
        <w:gridCol w:w="120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从股东单位获</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报告期末实际 所得报酬</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r>
      <w:tr>
        <w:trPr>
          <w:trHeight w:val="71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张列</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37.69</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霍佳震</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黄速建</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李晓明</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董事会秘书、</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庞军</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伍国安</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李媛媛</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贺向荣</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31.76</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宾鸽</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326.62</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公司董事、监事、高级管理人员报告期内被授予的股权激励情况</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0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四</w:t>
      </w:r>
      <w:bookmarkEnd w:id="288"/>
      <w:r>
        <w:rPr>
          <w:color w:val="000000"/>
          <w:spacing w:val="0"/>
          <w:w w:val="100"/>
          <w:position w:val="0"/>
          <w:sz w:val="24"/>
          <w:szCs w:val="24"/>
        </w:rPr>
        <w:t>、公司董事、监事、高级管理人员变动情况</w:t>
      </w:r>
      <w:bookmarkEnd w:id="286"/>
      <w:bookmarkEnd w:id="287"/>
      <w:bookmarkEnd w:id="289"/>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日，公司第一届董事会第二十一次会议 审议通过了《关于董事会换届选举的议案》并经公司</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1306"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pStyle w:val="Style1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年年度股东大会审议批准，第二届董事会成员由 第一届董事会成员续任三年，成员仍为唐球、鄢建红、 鄢建兵、张列、周云杉、唐敏、霍佳震、黄速建、李 晓明，其中霍佳震、黄速建、李晓明为公司独立董事。</w:t>
            </w:r>
          </w:p>
        </w:tc>
      </w:tr>
      <w:tr>
        <w:trPr>
          <w:trHeight w:val="196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日，公司第一届董事会第二十一次会议 审议通过了《关于董事会换届选举的议案》并经公司 </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年年度股东大会审议批准，第二届董事会成员由 第一届董事会成员续任三年，成员仍为唐球、鄢建红、 鄢建兵、张列、周云杉、唐敏、霍佳震、黄速建、李 晓明，其中霍佳震、黄速建、李晓明为公司独立董事。</w:t>
            </w:r>
          </w:p>
        </w:tc>
      </w:tr>
      <w:tr>
        <w:trPr>
          <w:trHeight w:val="196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日，公司第一届董事会第二十一次会议 审议通过了《关于董事会换届选举的议案》并经公司 </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年年度股东大会审议批准，第二届董事会成员由 第一届董事会成员续任三年，成员仍为唐球、鄢建红、 鄢建兵、张列、周云杉、唐敏、霍佳震、黄速建、李 晓明，其中霍佳震、黄速建、李晓明为公司独立董事。</w:t>
            </w:r>
          </w:p>
        </w:tc>
      </w:tr>
      <w:tr>
        <w:trPr>
          <w:trHeight w:val="195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张列</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日，公司第一届董事会第二十一次会议 审议通过了《关于董事会换届选举的议案》并经公司 </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年年度股东大会审议批准，第二届董事会成员由 第一届董事会成员续任三年，成员仍为唐球、鄢建红、 鄢建兵、张列、周云杉、唐敏、霍佳震、黄速建、李 晓明，其中霍佳震、黄速建、李晓明为公司独立董事。</w:t>
            </w:r>
          </w:p>
        </w:tc>
      </w:tr>
      <w:tr>
        <w:trPr>
          <w:trHeight w:val="196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日，公司第一届董事会第二十一次会议 审议通过了《关于董事会换届选举的议案》并经公司 </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年年度股东大会审议批准，第二届董事会成员由 第一届董事会成员续任三年，成员仍为唐球、鄢建红、 鄢建兵、张列、周云杉、唐敏、霍佳震、黄速建、李 晓明，其中霍佳震、黄速建、李晓明为公司独立董事。</w:t>
            </w:r>
          </w:p>
        </w:tc>
      </w:tr>
      <w:tr>
        <w:trPr>
          <w:trHeight w:val="196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日，公司第一届董事会第二十一次会议 审议通过了《关于董事会换届选举的议案》并经公司 </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年年度股东大会审议批准，第二届董事会成员由 第一届董事会成员续任三年，成员仍为唐球、鄢建红、 鄢建兵、张列、周云杉、唐敏、霍佳震、黄速建、李 晓明，其中霍佳震、黄速建、李晓明为公司独立董事。</w:t>
            </w:r>
          </w:p>
        </w:tc>
      </w:tr>
      <w:tr>
        <w:trPr>
          <w:trHeight w:val="195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霍佳震</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日，公司第一届董事会第二十一次会议 审议通过了《关于董事会换届选举的议案》并经公司 </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年年度股东大会审议批准，第二届董事会成员由 第一届董事会成员续任三年，成员仍为唐球、鄢建红、 鄢建兵、张列、周云杉、唐敏、霍佳震、黄速建、李 晓明，其中霍佳震、黄速建、李晓明为公司独立董事。</w:t>
            </w:r>
          </w:p>
        </w:tc>
      </w:tr>
      <w:tr>
        <w:trPr>
          <w:trHeight w:val="725"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黄速建</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日，公司第一届董事会第二十一次会议 审议通过了《关于董事会换届选举的议案》并经公司</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1306"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pStyle w:val="Style1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年年度股东大会审议批准，第二届董事会成员由 第一届董事会成员续任三年，成员仍为唐球、鄢建红、 鄢建兵、张列、周云杉、唐敏、霍佳震、黄速建、李 晓明，其中霍佳震、黄速建、李晓明为公司独立董事。</w:t>
            </w:r>
          </w:p>
        </w:tc>
      </w:tr>
      <w:tr>
        <w:trPr>
          <w:trHeight w:val="196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李晓明</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日，公司第一届董事会第二十一次会议 审议通过了《关于董事会换届选举的议案》并经公司 </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年年度股东大会审议批准，第二届董事会成员由 第一届董事会成员续任三年，成员仍为唐球、鄢建红、 鄢建兵、张列、周云杉、唐敏、霍佳震、黄速建、李 晓明，其中霍佳震、黄速建、李晓明为公司独立董事。</w:t>
            </w:r>
          </w:p>
        </w:tc>
      </w:tr>
      <w:tr>
        <w:trPr>
          <w:trHeight w:val="1646"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李媛媛</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日，第一届监事会第十一次会议审议通 过了《关于监事会换届选举的议案》，并经公司</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年年度股东大会审议批准，第二届监事会成员由第一 届监事会成员续任三年，成员仍为监事会主席李媛媛、 贺向荣和职工代表监事宾鸽。</w:t>
            </w:r>
          </w:p>
        </w:tc>
      </w:tr>
      <w:tr>
        <w:trPr>
          <w:trHeight w:val="1651"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贺向荣</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日，第一届监事会第十一次会议审议通 过了《关于监事会换届选举的议案》，并经公司</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年年度股东大会审议批准，第二届监事会成员由第一 届监事会成员续任三年，成员仍为监事会主席李媛媛、 贺向荣和职工代表监事宾鸽。</w:t>
            </w:r>
          </w:p>
        </w:tc>
      </w:tr>
      <w:tr>
        <w:trPr>
          <w:trHeight w:val="1661"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宾鸽</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日，第一届监事会第十一次会议审议通 过了《关于监事会换届选举的议案》，并经公司</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年年度股东大会审议批准，第二届监事会成员由第一 届监事会成员续任三年，成员仍为监事会主席李媛媛、 贺向荣和职工代表监事宾鸽。</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五</w:t>
      </w:r>
      <w:bookmarkEnd w:id="292"/>
      <w:r>
        <w:rPr>
          <w:color w:val="000000"/>
          <w:spacing w:val="0"/>
          <w:w w:val="100"/>
          <w:position w:val="0"/>
          <w:sz w:val="24"/>
          <w:szCs w:val="24"/>
        </w:rPr>
        <w:t>、报告期核心技术团队或关键技术人员变动情况（非董事、监事、高级管理人员）</w:t>
      </w:r>
      <w:bookmarkEnd w:id="290"/>
      <w:bookmarkEnd w:id="291"/>
      <w:bookmarkEnd w:id="293"/>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报告期内，公司核心技术团队和关键技术人员未发生变化。</w:t>
      </w:r>
    </w:p>
    <w:p>
      <w:pPr>
        <w:pStyle w:val="Style22"/>
        <w:keepNext/>
        <w:keepLines/>
        <w:widowControl w:val="0"/>
        <w:shd w:val="clear" w:color="auto" w:fill="auto"/>
        <w:bidi w:val="0"/>
        <w:spacing w:before="0" w:after="34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六</w:t>
      </w:r>
      <w:bookmarkEnd w:id="296"/>
      <w:r>
        <w:rPr>
          <w:color w:val="000000"/>
          <w:spacing w:val="0"/>
          <w:w w:val="100"/>
          <w:position w:val="0"/>
          <w:sz w:val="24"/>
          <w:szCs w:val="24"/>
        </w:rPr>
        <w:t>、公司员工情况</w:t>
      </w:r>
      <w:bookmarkEnd w:id="294"/>
      <w:bookmarkEnd w:id="295"/>
      <w:bookmarkEnd w:id="297"/>
    </w:p>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，公司在职员工总数为</w:t>
      </w:r>
      <w:r>
        <w:rPr>
          <w:rFonts w:ascii="Times New Roman" w:eastAsia="Times New Roman" w:hAnsi="Times New Roman" w:cs="Times New Roman"/>
          <w:color w:val="000000"/>
          <w:spacing w:val="0"/>
          <w:w w:val="100"/>
          <w:position w:val="0"/>
        </w:rPr>
        <w:t>828</w:t>
      </w:r>
      <w:r>
        <w:rPr>
          <w:color w:val="000000"/>
          <w:spacing w:val="0"/>
          <w:w w:val="100"/>
          <w:position w:val="0"/>
        </w:rPr>
        <w:t>人，具体构成情况如下:</w:t>
      </w:r>
    </w:p>
    <w:p>
      <w:pPr>
        <w:pStyle w:val="Style29"/>
        <w:keepNext/>
        <w:keepLines/>
        <w:widowControl w:val="0"/>
        <w:shd w:val="clear" w:color="auto" w:fill="auto"/>
        <w:bidi w:val="0"/>
        <w:spacing w:before="0" w:after="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1</w:t>
      </w:r>
      <w:bookmarkEnd w:id="300"/>
      <w:r>
        <w:rPr>
          <w:color w:val="000000"/>
          <w:spacing w:val="0"/>
          <w:w w:val="100"/>
          <w:position w:val="0"/>
        </w:rPr>
        <w:t>、公司员工专业结构</w:t>
      </w:r>
      <w:bookmarkEnd w:id="298"/>
      <w:bookmarkEnd w:id="299"/>
      <w:bookmarkEnd w:id="301"/>
    </w:p>
    <w:tbl>
      <w:tblPr>
        <w:tblOverlap w:val="never"/>
        <w:jc w:val="left"/>
        <w:tblLayout w:type="fixed"/>
      </w:tblPr>
      <w:tblGrid>
        <w:gridCol w:w="3667"/>
        <w:gridCol w:w="2438"/>
        <w:gridCol w:w="2443"/>
      </w:tblGrid>
      <w:tr>
        <w:trPr>
          <w:trHeight w:val="36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所占比例</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5.44%</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营销人员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68.72%</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技术支持人员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21.98%</w:t>
            </w:r>
          </w:p>
        </w:tc>
      </w:tr>
      <w:tr>
        <w:trPr>
          <w:trHeight w:val="37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828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100.00%</w:t>
            </w:r>
          </w:p>
        </w:tc>
      </w:tr>
    </w:tbl>
    <w:p>
      <w:pPr>
        <w:pStyle w:val="Style29"/>
        <w:keepNext/>
        <w:keepLines/>
        <w:widowControl w:val="0"/>
        <w:shd w:val="clear" w:color="auto" w:fill="auto"/>
        <w:bidi w:val="0"/>
        <w:spacing w:before="0" w:after="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w:t>
      </w:r>
      <w:bookmarkEnd w:id="304"/>
      <w:r>
        <w:rPr>
          <w:color w:val="000000"/>
          <w:spacing w:val="0"/>
          <w:w w:val="100"/>
          <w:position w:val="0"/>
        </w:rPr>
        <w:t>、公司员工受教育程度</w:t>
      </w:r>
      <w:bookmarkEnd w:id="302"/>
      <w:bookmarkEnd w:id="303"/>
      <w:bookmarkEnd w:id="305"/>
    </w:p>
    <w:tbl>
      <w:tblPr>
        <w:tblOverlap w:val="never"/>
        <w:jc w:val="left"/>
        <w:tblLayout w:type="fixed"/>
      </w:tblPr>
      <w:tblGrid>
        <w:gridCol w:w="3667"/>
        <w:gridCol w:w="2438"/>
        <w:gridCol w:w="2443"/>
      </w:tblGrid>
      <w:tr>
        <w:trPr>
          <w:trHeight w:val="37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类别</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人数</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所占比例</w:t>
            </w:r>
          </w:p>
        </w:tc>
      </w:tr>
    </w:tbl>
    <w:p>
      <w:pPr>
        <w:spacing w:lineRule="exact" w:line="1"/>
        <w:rPr>
          <w:sz w:val="2"/>
          <w:szCs w:val="2"/>
        </w:rPr>
      </w:pPr>
      <w:r>
        <w:br w:type="page"/>
      </w:r>
    </w:p>
    <w:tbl>
      <w:tblPr>
        <w:tblOverlap w:val="never"/>
        <w:jc w:val="left"/>
        <w:tblLayout w:type="fixed"/>
      </w:tblPr>
      <w:tblGrid>
        <w:gridCol w:w="3667"/>
        <w:gridCol w:w="2438"/>
        <w:gridCol w:w="2443"/>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65.46%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27.41%</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4.59%</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828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100.00%</w:t>
            </w:r>
          </w:p>
        </w:tc>
      </w:tr>
    </w:tbl>
    <w:p>
      <w:pPr>
        <w:pStyle w:val="Style29"/>
        <w:keepNext/>
        <w:keepLines/>
        <w:widowControl w:val="0"/>
        <w:shd w:val="clear" w:color="auto" w:fill="auto"/>
        <w:bidi w:val="0"/>
        <w:spacing w:before="0" w:after="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3</w:t>
      </w:r>
      <w:bookmarkEnd w:id="308"/>
      <w:r>
        <w:rPr>
          <w:color w:val="000000"/>
          <w:spacing w:val="0"/>
          <w:w w:val="100"/>
          <w:position w:val="0"/>
        </w:rPr>
        <w:t>、公司员工年龄分布</w:t>
      </w:r>
      <w:bookmarkEnd w:id="306"/>
      <w:bookmarkEnd w:id="307"/>
      <w:bookmarkEnd w:id="309"/>
    </w:p>
    <w:tbl>
      <w:tblPr>
        <w:tblOverlap w:val="never"/>
        <w:jc w:val="left"/>
        <w:tblLayout w:type="fixed"/>
      </w:tblPr>
      <w:tblGrid>
        <w:gridCol w:w="3667"/>
        <w:gridCol w:w="2438"/>
        <w:gridCol w:w="2443"/>
      </w:tblGrid>
      <w:tr>
        <w:trPr>
          <w:trHeight w:val="36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所占比例</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r>
              <w:rPr>
                <w:color w:val="000000"/>
                <w:spacing w:val="0"/>
                <w:w w:val="100"/>
                <w:position w:val="0"/>
              </w:rPr>
              <w:t>以下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32.85%</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r>
              <w:rPr>
                <w:color w:val="000000"/>
                <w:spacing w:val="0"/>
                <w:w w:val="100"/>
                <w:position w:val="0"/>
              </w:rPr>
              <w:t>—</w:t>
            </w: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61.96%</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r>
              <w:rPr>
                <w:color w:val="000000"/>
                <w:spacing w:val="0"/>
                <w:w w:val="100"/>
                <w:position w:val="0"/>
              </w:rPr>
              <w:t>-</w:t>
            </w: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r>
              <w:rPr>
                <w:color w:val="000000"/>
                <w:spacing w:val="0"/>
                <w:w w:val="100"/>
                <w:position w:val="0"/>
              </w:rPr>
              <w:t>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0.12%</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828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100.00%</w:t>
            </w:r>
          </w:p>
        </w:tc>
      </w:tr>
    </w:tbl>
    <w:p>
      <w:pPr>
        <w:pStyle w:val="Style29"/>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8" w:right="1080" w:bottom="1455" w:left="1042" w:header="0" w:footer="3" w:gutter="0"/>
          <w:cols w:space="720"/>
          <w:noEndnote/>
          <w:rtlGutter w:val="0"/>
          <w:docGrid w:linePitch="360"/>
        </w:sectPr>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4</w:t>
      </w:r>
      <w:bookmarkEnd w:id="312"/>
      <w:r>
        <w:rPr>
          <w:color w:val="000000"/>
          <w:spacing w:val="0"/>
          <w:w w:val="100"/>
          <w:position w:val="0"/>
        </w:rPr>
        <w:t>、截止报告期末，公司不存在需承担费用的离退休职工。</w:t>
      </w:r>
      <w:bookmarkEnd w:id="310"/>
      <w:bookmarkEnd w:id="311"/>
      <w:bookmarkEnd w:id="313"/>
    </w:p>
    <w:p>
      <w:pPr>
        <w:pStyle w:val="Style8"/>
        <w:keepNext/>
        <w:keepLines/>
        <w:widowControl w:val="0"/>
        <w:shd w:val="clear" w:color="auto" w:fill="auto"/>
        <w:bidi w:val="0"/>
        <w:spacing w:before="500" w:line="240" w:lineRule="auto"/>
        <w:ind w:left="0" w:right="0" w:firstLine="0"/>
        <w:jc w:val="center"/>
      </w:pPr>
      <w:bookmarkStart w:id="314" w:name="bookmark314"/>
      <w:bookmarkStart w:id="315" w:name="bookmark315"/>
      <w:bookmarkStart w:id="316" w:name="bookmark316"/>
      <w:r>
        <w:rPr>
          <w:color w:val="000000"/>
          <w:spacing w:val="0"/>
          <w:w w:val="100"/>
          <w:position w:val="0"/>
        </w:rPr>
        <w:t>第八节公司治理</w:t>
      </w:r>
      <w:bookmarkEnd w:id="314"/>
      <w:bookmarkEnd w:id="315"/>
      <w:bookmarkEnd w:id="316"/>
    </w:p>
    <w:p>
      <w:pPr>
        <w:pStyle w:val="Style22"/>
        <w:keepNext/>
        <w:keepLines/>
        <w:widowControl w:val="0"/>
        <w:shd w:val="clear" w:color="auto" w:fill="auto"/>
        <w:tabs>
          <w:tab w:pos="513" w:val="left"/>
        </w:tabs>
        <w:bidi w:val="0"/>
        <w:spacing w:before="0" w:after="26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一</w:t>
      </w:r>
      <w:bookmarkEnd w:id="319"/>
      <w:r>
        <w:rPr>
          <w:color w:val="000000"/>
          <w:spacing w:val="0"/>
          <w:w w:val="100"/>
          <w:position w:val="0"/>
          <w:sz w:val="24"/>
          <w:szCs w:val="24"/>
        </w:rPr>
        <w:t>、</w:t>
        <w:tab/>
        <w:t>公司治理的基本状况</w:t>
      </w:r>
      <w:bookmarkEnd w:id="317"/>
      <w:bookmarkEnd w:id="318"/>
      <w:bookmarkEnd w:id="320"/>
    </w:p>
    <w:p>
      <w:pPr>
        <w:pStyle w:val="Style24"/>
        <w:keepNext w:val="0"/>
        <w:keepLines w:val="0"/>
        <w:widowControl w:val="0"/>
        <w:shd w:val="clear" w:color="auto" w:fill="auto"/>
        <w:bidi w:val="0"/>
        <w:spacing w:before="0" w:after="0" w:line="313" w:lineRule="exact"/>
        <w:ind w:left="0" w:right="0" w:firstLine="600"/>
        <w:jc w:val="left"/>
      </w:pPr>
      <w:r>
        <w:rPr>
          <w:color w:val="000000"/>
          <w:spacing w:val="0"/>
          <w:w w:val="100"/>
          <w:position w:val="0"/>
        </w:rPr>
        <w:t>报告期内，公司严格按照《公司法》、《证券法》、《上市公司治理准则》、《深圳证券交易所创业板股票上市规 则》、《深圳证券交易所创业板上市公司规范运作指引》和其它有关法律法规、规范性文件的要求，确立了股东大会、董事 会、监事会及经营管理层的分层治理结构，不断完善公司法人治理结构，建立健全公司内部控制制度，进一步规范公司运作, 提高公司治理水平。截至本报告期末，公司股东大会、董事会及各专门委员会、监事会、独立董事、董事会秘书和管理层均 依法运作，切实履行应尽的职责和义务，未出现违法、违规现象，公司治理的实际状况符合《上市公司治理准则》和《深圳 证券交易所创业板上市公司规范运作指引》的要求。</w:t>
      </w:r>
    </w:p>
    <w:p>
      <w:pPr>
        <w:pStyle w:val="Style24"/>
        <w:keepNext w:val="0"/>
        <w:keepLines w:val="0"/>
        <w:widowControl w:val="0"/>
        <w:shd w:val="clear" w:color="auto" w:fill="auto"/>
        <w:tabs>
          <w:tab w:pos="326" w:val="left"/>
        </w:tabs>
        <w:bidi w:val="0"/>
        <w:spacing w:before="0" w:after="0" w:line="313" w:lineRule="exact"/>
        <w:ind w:left="0" w:right="0" w:firstLine="0"/>
        <w:jc w:val="left"/>
      </w:pPr>
      <w:bookmarkStart w:id="321" w:name="bookmark321"/>
      <w:r>
        <w:rPr>
          <w:rFonts w:ascii="Times New Roman" w:eastAsia="Times New Roman" w:hAnsi="Times New Roman" w:cs="Times New Roman"/>
          <w:color w:val="000000"/>
          <w:spacing w:val="0"/>
          <w:w w:val="100"/>
          <w:position w:val="0"/>
        </w:rPr>
        <w:t>1</w:t>
      </w:r>
      <w:bookmarkEnd w:id="321"/>
      <w:r>
        <w:rPr>
          <w:color w:val="000000"/>
          <w:spacing w:val="0"/>
          <w:w w:val="100"/>
          <w:position w:val="0"/>
        </w:rPr>
        <w:t>、</w:t>
        <w:tab/>
        <w:t>关于股东和股东大会</w:t>
      </w:r>
    </w:p>
    <w:p>
      <w:pPr>
        <w:pStyle w:val="Style24"/>
        <w:keepNext w:val="0"/>
        <w:keepLines w:val="0"/>
        <w:widowControl w:val="0"/>
        <w:shd w:val="clear" w:color="auto" w:fill="auto"/>
        <w:bidi w:val="0"/>
        <w:spacing w:before="0" w:after="0" w:line="313" w:lineRule="exact"/>
        <w:ind w:left="0" w:right="0" w:firstLine="520"/>
        <w:jc w:val="left"/>
      </w:pPr>
      <w:r>
        <w:rPr>
          <w:color w:val="000000"/>
          <w:spacing w:val="0"/>
          <w:w w:val="100"/>
          <w:position w:val="0"/>
        </w:rPr>
        <w:t xml:space="preserve">公司严格按照《公司法》、《公司章程》和《股东大会议事规则》等法律、法规要求，规范股东大会召集、召开、表 决程序，确保所有股东享有平等地位、平等权利，充分行使自己的权利，并承担相应的义务。报告期内，公司共召开了 </w:t>
      </w:r>
      <w:r>
        <w:rPr>
          <w:rFonts w:ascii="Times New Roman" w:eastAsia="Times New Roman" w:hAnsi="Times New Roman" w:cs="Times New Roman"/>
          <w:color w:val="000000"/>
          <w:spacing w:val="0"/>
          <w:w w:val="100"/>
          <w:position w:val="0"/>
        </w:rPr>
        <w:t xml:space="preserve">1 </w:t>
      </w:r>
      <w:r>
        <w:rPr>
          <w:color w:val="000000"/>
          <w:spacing w:val="0"/>
          <w:w w:val="100"/>
          <w:position w:val="0"/>
        </w:rPr>
        <w:t>次年度股东大会，</w:t>
      </w:r>
      <w:r>
        <w:rPr>
          <w:rFonts w:ascii="Times New Roman" w:eastAsia="Times New Roman" w:hAnsi="Times New Roman" w:cs="Times New Roman"/>
          <w:color w:val="000000"/>
          <w:spacing w:val="0"/>
          <w:w w:val="100"/>
          <w:position w:val="0"/>
        </w:rPr>
        <w:t>4</w:t>
      </w:r>
      <w:r>
        <w:rPr>
          <w:color w:val="000000"/>
          <w:spacing w:val="0"/>
          <w:w w:val="100"/>
          <w:position w:val="0"/>
        </w:rPr>
        <w:t>次临时股东大会，会议均由董事会召集、召开。</w:t>
      </w:r>
    </w:p>
    <w:p>
      <w:pPr>
        <w:pStyle w:val="Style24"/>
        <w:keepNext w:val="0"/>
        <w:keepLines w:val="0"/>
        <w:widowControl w:val="0"/>
        <w:numPr>
          <w:ilvl w:val="0"/>
          <w:numId w:val="1"/>
        </w:numPr>
        <w:shd w:val="clear" w:color="auto" w:fill="auto"/>
        <w:tabs>
          <w:tab w:pos="330" w:val="left"/>
        </w:tabs>
        <w:bidi w:val="0"/>
        <w:spacing w:before="0" w:after="0" w:line="313" w:lineRule="exact"/>
        <w:ind w:left="0" w:right="0" w:firstLine="0"/>
        <w:jc w:val="left"/>
      </w:pPr>
      <w:bookmarkStart w:id="322" w:name="bookmark322"/>
      <w:bookmarkEnd w:id="322"/>
      <w:r>
        <w:rPr>
          <w:color w:val="000000"/>
          <w:spacing w:val="0"/>
          <w:w w:val="100"/>
          <w:position w:val="0"/>
        </w:rPr>
        <w:t>关于公司与控股股东</w:t>
      </w:r>
    </w:p>
    <w:p>
      <w:pPr>
        <w:pStyle w:val="Style24"/>
        <w:keepNext w:val="0"/>
        <w:keepLines w:val="0"/>
        <w:widowControl w:val="0"/>
        <w:shd w:val="clear" w:color="auto" w:fill="auto"/>
        <w:bidi w:val="0"/>
        <w:spacing w:before="0" w:after="0" w:line="313" w:lineRule="exact"/>
        <w:ind w:left="0" w:right="0" w:firstLine="600"/>
        <w:jc w:val="left"/>
      </w:pPr>
      <w:r>
        <w:rPr>
          <w:color w:val="000000"/>
          <w:spacing w:val="0"/>
          <w:w w:val="100"/>
          <w:position w:val="0"/>
        </w:rPr>
        <w:t>公司控股股东严格规范自己的行为，没有超越股东大会直接或间接干预公司的决策和经营活动。公司拥有独立完整 的业务和自主经营能力，在业务、人员、资产、机构、财务上独立于控股股东，公司董事会、监事会和内部机构独立运作。</w:t>
      </w:r>
    </w:p>
    <w:p>
      <w:pPr>
        <w:pStyle w:val="Style24"/>
        <w:keepNext w:val="0"/>
        <w:keepLines w:val="0"/>
        <w:widowControl w:val="0"/>
        <w:shd w:val="clear" w:color="auto" w:fill="auto"/>
        <w:tabs>
          <w:tab w:pos="335" w:val="left"/>
        </w:tabs>
        <w:bidi w:val="0"/>
        <w:spacing w:before="0" w:after="0" w:line="313" w:lineRule="exact"/>
        <w:ind w:left="0" w:right="0" w:firstLine="0"/>
        <w:jc w:val="left"/>
      </w:pPr>
      <w:bookmarkStart w:id="323" w:name="bookmark323"/>
      <w:r>
        <w:rPr>
          <w:rFonts w:ascii="Times New Roman" w:eastAsia="Times New Roman" w:hAnsi="Times New Roman" w:cs="Times New Roman"/>
          <w:color w:val="000000"/>
          <w:spacing w:val="0"/>
          <w:w w:val="100"/>
          <w:position w:val="0"/>
        </w:rPr>
        <w:t>3</w:t>
      </w:r>
      <w:bookmarkEnd w:id="323"/>
      <w:r>
        <w:rPr>
          <w:color w:val="000000"/>
          <w:spacing w:val="0"/>
          <w:w w:val="100"/>
          <w:position w:val="0"/>
        </w:rPr>
        <w:t>、</w:t>
        <w:tab/>
        <w:t>关于董事和董事会</w:t>
      </w:r>
    </w:p>
    <w:p>
      <w:pPr>
        <w:pStyle w:val="Style24"/>
        <w:keepNext w:val="0"/>
        <w:keepLines w:val="0"/>
        <w:widowControl w:val="0"/>
        <w:shd w:val="clear" w:color="auto" w:fill="auto"/>
        <w:bidi w:val="0"/>
        <w:spacing w:before="0" w:after="0" w:line="313" w:lineRule="exact"/>
        <w:ind w:left="0" w:right="0" w:firstLine="520"/>
        <w:jc w:val="left"/>
      </w:pPr>
      <w:r>
        <w:rPr>
          <w:color w:val="000000"/>
          <w:spacing w:val="0"/>
          <w:w w:val="100"/>
          <w:position w:val="0"/>
        </w:rPr>
        <w:t>报告期内，公司董事会设董事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名，董事会人数及人员构成符合法律、法规和《公司章程》的要求。 各位董事能够依据《深圳证券交易所创业板上市公司规范运作指引》、《董事会议事规则》和《独立董事工作制度》等开展 工作，诚信、勤勉地履行职责和义务，同时积极参加有关培训，熟悉有关法律法规。报告期内，公司共召开</w:t>
      </w:r>
      <w:r>
        <w:rPr>
          <w:rFonts w:ascii="Times New Roman" w:eastAsia="Times New Roman" w:hAnsi="Times New Roman" w:cs="Times New Roman"/>
          <w:color w:val="000000"/>
          <w:spacing w:val="0"/>
          <w:w w:val="100"/>
          <w:position w:val="0"/>
        </w:rPr>
        <w:t>7</w:t>
      </w:r>
      <w:r>
        <w:rPr>
          <w:color w:val="000000"/>
          <w:spacing w:val="0"/>
          <w:w w:val="100"/>
          <w:position w:val="0"/>
        </w:rPr>
        <w:t>次董事会，均 由董事长召集、召开。董事会下设薪酬与考核委员会、战略决策委员会、提名委员会和审计委员会，各委员会中独立董事占 比均超过</w:t>
      </w:r>
      <w:r>
        <w:rPr>
          <w:rFonts w:ascii="Times New Roman" w:eastAsia="Times New Roman" w:hAnsi="Times New Roman" w:cs="Times New Roman"/>
          <w:color w:val="000000"/>
          <w:spacing w:val="0"/>
          <w:w w:val="100"/>
          <w:position w:val="0"/>
        </w:rPr>
        <w:t>1/2</w:t>
      </w:r>
      <w:r>
        <w:rPr>
          <w:color w:val="000000"/>
          <w:spacing w:val="0"/>
          <w:w w:val="100"/>
          <w:position w:val="0"/>
        </w:rPr>
        <w:t>，提高了董事会履职能力和专业化程度，保障了董事会决策的科学性和规范性。公司独立董事独立履行职责， 不受公司主要股东、实际控制人以及其他与公司有利害关系的单位或个人影响。</w:t>
      </w:r>
    </w:p>
    <w:p>
      <w:pPr>
        <w:pStyle w:val="Style24"/>
        <w:keepNext w:val="0"/>
        <w:keepLines w:val="0"/>
        <w:widowControl w:val="0"/>
        <w:numPr>
          <w:ilvl w:val="0"/>
          <w:numId w:val="3"/>
        </w:numPr>
        <w:shd w:val="clear" w:color="auto" w:fill="auto"/>
        <w:tabs>
          <w:tab w:pos="335" w:val="left"/>
        </w:tabs>
        <w:bidi w:val="0"/>
        <w:spacing w:before="0" w:after="0" w:line="313" w:lineRule="exact"/>
        <w:ind w:left="0" w:right="0" w:firstLine="0"/>
        <w:jc w:val="both"/>
      </w:pPr>
      <w:bookmarkStart w:id="324" w:name="bookmark324"/>
      <w:bookmarkEnd w:id="324"/>
      <w:r>
        <w:rPr>
          <w:color w:val="000000"/>
          <w:spacing w:val="0"/>
          <w:w w:val="100"/>
          <w:position w:val="0"/>
        </w:rPr>
        <w:t>关于监事和监事会</w:t>
      </w:r>
    </w:p>
    <w:p>
      <w:pPr>
        <w:pStyle w:val="Style24"/>
        <w:keepNext w:val="0"/>
        <w:keepLines w:val="0"/>
        <w:widowControl w:val="0"/>
        <w:shd w:val="clear" w:color="auto" w:fill="auto"/>
        <w:bidi w:val="0"/>
        <w:spacing w:before="0" w:after="320" w:line="313" w:lineRule="exact"/>
        <w:ind w:left="0" w:right="0" w:firstLine="52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名，监事会的人数和构成符合法律、法规的要求。各位监事严格按照《公司法》、 《公司章程》和《监事会议事规则》的有关规定认真履行职责，对公司财务状况、重大事项以及公司董事及高级管理人员履 行职责的合法合规性等进行监督，维护公司及股东的合法权益。报告期内，公司共召开</w:t>
      </w:r>
      <w:r>
        <w:rPr>
          <w:rFonts w:ascii="Times New Roman" w:eastAsia="Times New Roman" w:hAnsi="Times New Roman" w:cs="Times New Roman"/>
          <w:color w:val="000000"/>
          <w:spacing w:val="0"/>
          <w:w w:val="100"/>
          <w:position w:val="0"/>
        </w:rPr>
        <w:t>4</w:t>
      </w:r>
      <w:r>
        <w:rPr>
          <w:color w:val="000000"/>
          <w:spacing w:val="0"/>
          <w:w w:val="100"/>
          <w:position w:val="0"/>
        </w:rPr>
        <w:t>次监事会，会议均由监事会主席召 集、召开。</w:t>
      </w:r>
    </w:p>
    <w:p>
      <w:pPr>
        <w:pStyle w:val="Style24"/>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公司治理与《公司法》和中国证监会相关规定的要求是否存在差异</w:t>
      </w:r>
    </w:p>
    <w:p>
      <w:pPr>
        <w:pStyle w:val="Style2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2"/>
        <w:keepNext/>
        <w:keepLines/>
        <w:widowControl w:val="0"/>
        <w:shd w:val="clear" w:color="auto" w:fill="auto"/>
        <w:tabs>
          <w:tab w:pos="513" w:val="left"/>
        </w:tabs>
        <w:bidi w:val="0"/>
        <w:spacing w:before="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sz w:val="24"/>
          <w:szCs w:val="24"/>
        </w:rPr>
        <w:t>二</w:t>
      </w:r>
      <w:bookmarkEnd w:id="327"/>
      <w:r>
        <w:rPr>
          <w:color w:val="000000"/>
          <w:spacing w:val="0"/>
          <w:w w:val="100"/>
          <w:position w:val="0"/>
          <w:sz w:val="24"/>
          <w:szCs w:val="24"/>
        </w:rPr>
        <w:t>、</w:t>
        <w:tab/>
        <w:t>报告期内召开的年度股东大会和临时股东大会的有关情况</w:t>
      </w:r>
      <w:bookmarkEnd w:id="325"/>
      <w:bookmarkEnd w:id="326"/>
      <w:bookmarkEnd w:id="328"/>
    </w:p>
    <w:p>
      <w:pPr>
        <w:pStyle w:val="Style29"/>
        <w:keepNext/>
        <w:keepLines/>
        <w:widowControl w:val="0"/>
        <w:shd w:val="clear" w:color="auto" w:fill="auto"/>
        <w:bidi w:val="0"/>
        <w:spacing w:before="0" w:after="32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1</w:t>
      </w:r>
      <w:bookmarkEnd w:id="331"/>
      <w:r>
        <w:rPr>
          <w:color w:val="000000"/>
          <w:spacing w:val="0"/>
          <w:w w:val="100"/>
          <w:position w:val="0"/>
        </w:rPr>
        <w:t>、本报告期年度股东大会情况</w:t>
      </w:r>
      <w:bookmarkEnd w:id="329"/>
      <w:bookmarkEnd w:id="330"/>
      <w:bookmarkEnd w:id="332"/>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13"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上市前会议，无需刊登</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after="32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2</w:t>
      </w:r>
      <w:bookmarkEnd w:id="335"/>
      <w:r>
        <w:rPr>
          <w:color w:val="000000"/>
          <w:spacing w:val="0"/>
          <w:w w:val="100"/>
          <w:position w:val="0"/>
        </w:rPr>
        <w:t>、本报告期临时股东大会情况</w:t>
      </w:r>
      <w:bookmarkEnd w:id="333"/>
      <w:bookmarkEnd w:id="334"/>
      <w:bookmarkEnd w:id="336"/>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上市前会议，无需刊登</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上市前会议，无需刊登</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年第三次临时股东大会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上市前会议，无需刊登</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年第四次临时股东大会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上市前会议，无需刊登</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sz w:val="24"/>
          <w:szCs w:val="24"/>
        </w:rPr>
        <w:t>三</w:t>
      </w:r>
      <w:bookmarkEnd w:id="339"/>
      <w:r>
        <w:rPr>
          <w:color w:val="000000"/>
          <w:spacing w:val="0"/>
          <w:w w:val="100"/>
          <w:position w:val="0"/>
          <w:sz w:val="24"/>
          <w:szCs w:val="24"/>
        </w:rPr>
        <w:t>、报告期董事会召开情况</w:t>
      </w:r>
      <w:bookmarkEnd w:id="337"/>
      <w:bookmarkEnd w:id="338"/>
      <w:bookmarkEnd w:id="340"/>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第一届董事会十九次会议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上市前会议，无需刊登</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第一届董事会第二十次会议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上市前会议，无需刊登</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第一届董事会二十一次会议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上市前会议，无需刊登</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第二届董事会第一次会议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上市前会议，无需刊登</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上市前会议，无需刊登</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上市前会议，无需刊登</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第二届董事会第四次会议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上市前会议，无需刊登</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24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sz w:val="24"/>
          <w:szCs w:val="24"/>
        </w:rPr>
        <w:t>四</w:t>
      </w:r>
      <w:bookmarkEnd w:id="343"/>
      <w:r>
        <w:rPr>
          <w:color w:val="000000"/>
          <w:spacing w:val="0"/>
          <w:w w:val="100"/>
          <w:position w:val="0"/>
          <w:sz w:val="24"/>
          <w:szCs w:val="24"/>
        </w:rPr>
        <w:t>、年度报告重大差错责任追究制度的建立与执行情况</w:t>
      </w:r>
      <w:bookmarkEnd w:id="341"/>
      <w:bookmarkEnd w:id="342"/>
      <w:bookmarkEnd w:id="344"/>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公司一直致力于完善内控体系和提升管理效率，将进一步健全现代企业的科学管理制度，严格按照上市公司的标准规范股东 会、董事会、监事会的运作和公司经理层工作制度，建立科学有效的决策机制、快速市场反应机制和风险防范机制。同时， 公司将加强内部控制，提高规范运作水平，加强信息披露和投资者关系管理，以保护全体股东的合法权益。报告期内未发生 年度报告重大差错事项。</w:t>
      </w:r>
    </w:p>
    <w:p>
      <w:pPr>
        <w:pStyle w:val="Style22"/>
        <w:keepNext/>
        <w:keepLines/>
        <w:widowControl w:val="0"/>
        <w:shd w:val="clear" w:color="auto" w:fill="auto"/>
        <w:bidi w:val="0"/>
        <w:spacing w:before="0" w:after="24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sz w:val="24"/>
          <w:szCs w:val="24"/>
        </w:rPr>
        <w:t>五</w:t>
      </w:r>
      <w:bookmarkEnd w:id="347"/>
      <w:r>
        <w:rPr>
          <w:color w:val="000000"/>
          <w:spacing w:val="0"/>
          <w:w w:val="100"/>
          <w:position w:val="0"/>
          <w:sz w:val="24"/>
          <w:szCs w:val="24"/>
        </w:rPr>
        <w:t>、监事会工作情况</w:t>
      </w:r>
      <w:bookmarkEnd w:id="345"/>
      <w:bookmarkEnd w:id="346"/>
      <w:bookmarkEnd w:id="348"/>
    </w:p>
    <w:p>
      <w:pPr>
        <w:pStyle w:val="Style24"/>
        <w:keepNext w:val="0"/>
        <w:keepLines w:val="0"/>
        <w:widowControl w:val="0"/>
        <w:shd w:val="clear" w:color="auto" w:fill="auto"/>
        <w:bidi w:val="0"/>
        <w:spacing w:before="0" w:after="120" w:line="314" w:lineRule="exact"/>
        <w:ind w:left="0" w:right="0" w:firstLine="0"/>
        <w:jc w:val="left"/>
      </w:pPr>
      <w:r>
        <w:rPr>
          <w:color w:val="000000"/>
          <w:spacing w:val="0"/>
          <w:w w:val="100"/>
          <w:position w:val="0"/>
        </w:rPr>
        <w:t>监事会在报告期内的监督活动是否发现公司存在风险</w:t>
      </w:r>
    </w:p>
    <w:p>
      <w:pPr>
        <w:pStyle w:val="Style2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4"/>
        <w:keepNext w:val="0"/>
        <w:keepLines w:val="0"/>
        <w:widowControl w:val="0"/>
        <w:shd w:val="clear" w:color="auto" w:fill="auto"/>
        <w:bidi w:val="0"/>
        <w:spacing w:before="0" w:after="320" w:line="314" w:lineRule="exact"/>
        <w:ind w:left="0" w:right="0" w:firstLine="0"/>
        <w:jc w:val="left"/>
        <w:sectPr>
          <w:footnotePr>
            <w:pos w:val="pageBottom"/>
            <w:numFmt w:val="decimal"/>
            <w:numRestart w:val="continuous"/>
          </w:footnotePr>
          <w:pgSz w:w="11900" w:h="16840"/>
          <w:pgMar w:top="1455" w:right="1022" w:bottom="1892" w:left="1101" w:header="0" w:footer="3" w:gutter="0"/>
          <w:cols w:space="720"/>
          <w:noEndnote/>
          <w:rtlGutter w:val="0"/>
          <w:docGrid w:linePitch="360"/>
        </w:sectPr>
      </w:pPr>
      <w:r>
        <w:rPr>
          <w:color w:val="000000"/>
          <w:spacing w:val="0"/>
          <w:w w:val="100"/>
          <w:position w:val="0"/>
        </w:rPr>
        <w:t>公司监事会对报告期内的监督事项无异议。</w:t>
      </w:r>
    </w:p>
    <w:p>
      <w:pPr>
        <w:pStyle w:val="Style8"/>
        <w:keepNext/>
        <w:keepLines/>
        <w:widowControl w:val="0"/>
        <w:shd w:val="clear" w:color="auto" w:fill="auto"/>
        <w:bidi w:val="0"/>
        <w:spacing w:before="540" w:after="520" w:line="240" w:lineRule="auto"/>
        <w:ind w:left="0" w:right="0" w:firstLine="0"/>
        <w:jc w:val="center"/>
      </w:pPr>
      <w:bookmarkStart w:id="349" w:name="bookmark349"/>
      <w:bookmarkStart w:id="350" w:name="bookmark350"/>
      <w:bookmarkStart w:id="351" w:name="bookmark351"/>
      <w:r>
        <w:rPr>
          <w:color w:val="000000"/>
          <w:spacing w:val="0"/>
          <w:w w:val="100"/>
          <w:position w:val="0"/>
        </w:rPr>
        <w:t>第九节财务报告</w:t>
      </w:r>
      <w:bookmarkEnd w:id="349"/>
      <w:bookmarkEnd w:id="350"/>
      <w:bookmarkEnd w:id="351"/>
    </w:p>
    <w:p>
      <w:pPr>
        <w:pStyle w:val="Style22"/>
        <w:keepNext/>
        <w:keepLines/>
        <w:widowControl w:val="0"/>
        <w:shd w:val="clear" w:color="auto" w:fill="auto"/>
        <w:bidi w:val="0"/>
        <w:spacing w:before="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一</w:t>
      </w:r>
      <w:bookmarkEnd w:id="354"/>
      <w:r>
        <w:rPr>
          <w:color w:val="000000"/>
          <w:spacing w:val="0"/>
          <w:w w:val="100"/>
          <w:position w:val="0"/>
          <w:sz w:val="24"/>
          <w:szCs w:val="24"/>
        </w:rPr>
        <w:t>、审计报告</w:t>
      </w:r>
      <w:bookmarkEnd w:id="352"/>
      <w:bookmarkEnd w:id="353"/>
      <w:bookmarkEnd w:id="355"/>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天职业字</w:t>
            </w:r>
            <w:r>
              <w:rPr>
                <w:rFonts w:ascii="Times New Roman" w:eastAsia="Times New Roman" w:hAnsi="Times New Roman" w:cs="Times New Roman"/>
                <w:color w:val="000000"/>
                <w:spacing w:val="0"/>
                <w:w w:val="100"/>
                <w:position w:val="0"/>
              </w:rPr>
              <w:t>[2014]8222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黎明、曹璋</w:t>
            </w:r>
          </w:p>
        </w:tc>
      </w:tr>
    </w:tbl>
    <w:p>
      <w:pPr>
        <w:pStyle w:val="Style36"/>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深圳市赢时胜信息技术股份有限公司全体股东：</w:t>
      </w:r>
    </w:p>
    <w:p>
      <w:pPr>
        <w:pStyle w:val="Style24"/>
        <w:keepNext w:val="0"/>
        <w:keepLines w:val="0"/>
        <w:widowControl w:val="0"/>
        <w:shd w:val="clear" w:color="auto" w:fill="auto"/>
        <w:bidi w:val="0"/>
        <w:spacing w:before="0" w:after="0" w:line="310" w:lineRule="exact"/>
        <w:ind w:left="0" w:right="0" w:firstLine="520"/>
        <w:jc w:val="both"/>
      </w:pPr>
      <w:r>
        <w:rPr>
          <w:color w:val="000000"/>
          <w:spacing w:val="0"/>
          <w:w w:val="100"/>
          <w:position w:val="0"/>
        </w:rPr>
        <w:t>我们审计了后附的深圳市赢时胜信息技术股份有限公司（以下简称：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赢时胜公司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年度的利润表、所有者权益变动表、现金流量表以及财务报表附注。</w:t>
      </w:r>
    </w:p>
    <w:p>
      <w:pPr>
        <w:pStyle w:val="Style24"/>
        <w:keepNext w:val="0"/>
        <w:keepLines w:val="0"/>
        <w:widowControl w:val="0"/>
        <w:shd w:val="clear" w:color="auto" w:fill="auto"/>
        <w:tabs>
          <w:tab w:pos="435" w:val="left"/>
        </w:tabs>
        <w:bidi w:val="0"/>
        <w:spacing w:before="0" w:after="0" w:line="310" w:lineRule="exact"/>
        <w:ind w:left="0" w:right="0" w:firstLine="0"/>
        <w:jc w:val="left"/>
      </w:pPr>
      <w:bookmarkStart w:id="356" w:name="bookmark356"/>
      <w:r>
        <w:rPr>
          <w:color w:val="000000"/>
          <w:spacing w:val="0"/>
          <w:w w:val="100"/>
          <w:position w:val="0"/>
        </w:rPr>
        <w:t>一</w:t>
      </w:r>
      <w:bookmarkEnd w:id="356"/>
      <w:r>
        <w:rPr>
          <w:color w:val="000000"/>
          <w:spacing w:val="0"/>
          <w:w w:val="100"/>
          <w:position w:val="0"/>
        </w:rPr>
        <w:t>、</w:t>
        <w:tab/>
        <w:t>管理层对财务报表的责任</w:t>
      </w:r>
    </w:p>
    <w:p>
      <w:pPr>
        <w:pStyle w:val="Style24"/>
        <w:keepNext w:val="0"/>
        <w:keepLines w:val="0"/>
        <w:widowControl w:val="0"/>
        <w:shd w:val="clear" w:color="auto" w:fill="auto"/>
        <w:bidi w:val="0"/>
        <w:spacing w:before="0" w:after="0" w:line="310" w:lineRule="exact"/>
        <w:ind w:left="0" w:right="0" w:firstLine="520"/>
        <w:jc w:val="both"/>
      </w:pPr>
      <w:r>
        <w:rPr>
          <w:color w:val="000000"/>
          <w:spacing w:val="0"/>
          <w:w w:val="100"/>
          <w:position w:val="0"/>
        </w:rPr>
        <w:t>编制和公允列报财务报表是赢时胜公司管理层的责任。这种责任包括：（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24"/>
        <w:keepNext w:val="0"/>
        <w:keepLines w:val="0"/>
        <w:widowControl w:val="0"/>
        <w:shd w:val="clear" w:color="auto" w:fill="auto"/>
        <w:tabs>
          <w:tab w:pos="435" w:val="left"/>
        </w:tabs>
        <w:bidi w:val="0"/>
        <w:spacing w:before="0" w:after="0" w:line="310" w:lineRule="exact"/>
        <w:ind w:left="0" w:right="0" w:firstLine="0"/>
        <w:jc w:val="both"/>
      </w:pPr>
      <w:bookmarkStart w:id="357" w:name="bookmark357"/>
      <w:r>
        <w:rPr>
          <w:color w:val="000000"/>
          <w:spacing w:val="0"/>
          <w:w w:val="100"/>
          <w:position w:val="0"/>
        </w:rPr>
        <w:t>二</w:t>
      </w:r>
      <w:bookmarkEnd w:id="357"/>
      <w:r>
        <w:rPr>
          <w:color w:val="000000"/>
          <w:spacing w:val="0"/>
          <w:w w:val="100"/>
          <w:position w:val="0"/>
        </w:rPr>
        <w:t>、</w:t>
        <w:tab/>
        <w:t>注册会计师的责任</w:t>
      </w:r>
    </w:p>
    <w:p>
      <w:pPr>
        <w:pStyle w:val="Style24"/>
        <w:keepNext w:val="0"/>
        <w:keepLines w:val="0"/>
        <w:widowControl w:val="0"/>
        <w:shd w:val="clear" w:color="auto" w:fill="auto"/>
        <w:bidi w:val="0"/>
        <w:spacing w:before="0" w:after="0" w:line="310" w:lineRule="exact"/>
        <w:ind w:left="0" w:right="0" w:firstLine="520"/>
        <w:jc w:val="both"/>
      </w:pPr>
      <w:r>
        <w:rPr>
          <w:color w:val="000000"/>
          <w:spacing w:val="0"/>
          <w:w w:val="100"/>
          <w:position w:val="0"/>
        </w:rPr>
        <w:t>我们的责任是在实施审计工作的基础上对财务报表发表审计意见。我们按照中国注册会计师审计准则的规定执行了审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24"/>
        <w:keepNext w:val="0"/>
        <w:keepLines w:val="0"/>
        <w:widowControl w:val="0"/>
        <w:shd w:val="clear" w:color="auto" w:fill="auto"/>
        <w:bidi w:val="0"/>
        <w:spacing w:before="0" w:after="0" w:line="310" w:lineRule="exact"/>
        <w:ind w:left="0" w:right="0" w:firstLine="52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4"/>
        <w:keepNext w:val="0"/>
        <w:keepLines w:val="0"/>
        <w:widowControl w:val="0"/>
        <w:shd w:val="clear" w:color="auto" w:fill="auto"/>
        <w:bidi w:val="0"/>
        <w:spacing w:before="0" w:after="0" w:line="310" w:lineRule="exact"/>
        <w:ind w:left="0" w:right="0" w:firstLine="520"/>
        <w:jc w:val="both"/>
      </w:pPr>
      <w:r>
        <w:rPr>
          <w:color w:val="000000"/>
          <w:spacing w:val="0"/>
          <w:w w:val="100"/>
          <w:position w:val="0"/>
        </w:rPr>
        <w:t>我们相信，我们获取的审计证据是充分、适当的，为发表审计意见提供了基础。</w:t>
      </w:r>
    </w:p>
    <w:p>
      <w:pPr>
        <w:pStyle w:val="Style24"/>
        <w:keepNext w:val="0"/>
        <w:keepLines w:val="0"/>
        <w:widowControl w:val="0"/>
        <w:shd w:val="clear" w:color="auto" w:fill="auto"/>
        <w:tabs>
          <w:tab w:pos="435" w:val="left"/>
        </w:tabs>
        <w:bidi w:val="0"/>
        <w:spacing w:before="0" w:after="0" w:line="310" w:lineRule="exact"/>
        <w:ind w:left="0" w:right="0" w:firstLine="0"/>
        <w:jc w:val="both"/>
      </w:pPr>
      <w:bookmarkStart w:id="358" w:name="bookmark358"/>
      <w:r>
        <w:rPr>
          <w:color w:val="000000"/>
          <w:spacing w:val="0"/>
          <w:w w:val="100"/>
          <w:position w:val="0"/>
        </w:rPr>
        <w:t>三</w:t>
      </w:r>
      <w:bookmarkEnd w:id="358"/>
      <w:r>
        <w:rPr>
          <w:color w:val="000000"/>
          <w:spacing w:val="0"/>
          <w:w w:val="100"/>
          <w:position w:val="0"/>
        </w:rPr>
        <w:t>、</w:t>
        <w:tab/>
        <w:t>审计意见</w:t>
      </w:r>
    </w:p>
    <w:p>
      <w:pPr>
        <w:pStyle w:val="Style24"/>
        <w:keepNext w:val="0"/>
        <w:keepLines w:val="0"/>
        <w:widowControl w:val="0"/>
        <w:shd w:val="clear" w:color="auto" w:fill="auto"/>
        <w:bidi w:val="0"/>
        <w:spacing w:before="0" w:after="320" w:line="310" w:lineRule="exact"/>
        <w:ind w:left="0" w:right="0" w:firstLine="520"/>
        <w:jc w:val="both"/>
      </w:pPr>
      <w:r>
        <w:rPr>
          <w:color w:val="000000"/>
          <w:spacing w:val="0"/>
          <w:w w:val="100"/>
          <w:position w:val="0"/>
        </w:rPr>
        <w:t>我们认为，赢时胜公司财务报表在所有重大方面按照企业会计准则的规定编制，公允反映了赢时胜公司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2 013</w:t>
      </w:r>
      <w:r>
        <w:rPr>
          <w:color w:val="000000"/>
          <w:spacing w:val="0"/>
          <w:w w:val="100"/>
          <w:position w:val="0"/>
        </w:rPr>
        <w:t>年度的经营成果和现金流量</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天职国际会计师事务所（特殊普通合伙）</w:t>
      </w:r>
    </w:p>
    <w:p>
      <w:pPr>
        <w:pStyle w:val="Style24"/>
        <w:keepNext w:val="0"/>
        <w:keepLines w:val="0"/>
        <w:widowControl w:val="0"/>
        <w:shd w:val="clear" w:color="auto" w:fill="auto"/>
        <w:bidi w:val="0"/>
        <w:spacing w:before="0" w:after="320" w:line="310" w:lineRule="exact"/>
        <w:ind w:left="5860" w:right="0" w:firstLine="0"/>
        <w:jc w:val="left"/>
      </w:pPr>
      <w:r>
        <w:rPr>
          <w:color w:val="000000"/>
          <w:spacing w:val="0"/>
          <w:w w:val="100"/>
          <w:position w:val="0"/>
        </w:rPr>
        <w:t>中国注册会计师：黎明</w:t>
      </w:r>
    </w:p>
    <w:p>
      <w:pPr>
        <w:pStyle w:val="Style24"/>
        <w:keepNext w:val="0"/>
        <w:keepLines w:val="0"/>
        <w:widowControl w:val="0"/>
        <w:shd w:val="clear" w:color="auto" w:fill="auto"/>
        <w:bidi w:val="0"/>
        <w:spacing w:before="0" w:after="0" w:line="310" w:lineRule="exact"/>
        <w:ind w:left="0" w:right="0" w:firstLine="46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p>
      <w:pPr>
        <w:pStyle w:val="Style24"/>
        <w:keepNext w:val="0"/>
        <w:keepLines w:val="0"/>
        <w:widowControl w:val="0"/>
        <w:shd w:val="clear" w:color="auto" w:fill="auto"/>
        <w:bidi w:val="0"/>
        <w:spacing w:before="0" w:after="720" w:line="310" w:lineRule="exact"/>
        <w:ind w:left="5860" w:right="0" w:firstLine="0"/>
        <w:jc w:val="left"/>
      </w:pPr>
      <w:r>
        <w:rPr>
          <w:color w:val="000000"/>
          <w:spacing w:val="0"/>
          <w:w w:val="100"/>
          <w:position w:val="0"/>
        </w:rPr>
        <w:t>中国注册会计师：曹璋</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一四年四月二十三日</w:t>
      </w:r>
      <w:r>
        <w:br w:type="page"/>
      </w:r>
    </w:p>
    <w:p>
      <w:pPr>
        <w:pStyle w:val="Style22"/>
        <w:keepNext/>
        <w:keepLines/>
        <w:widowControl w:val="0"/>
        <w:shd w:val="clear" w:color="auto" w:fill="auto"/>
        <w:bidi w:val="0"/>
        <w:spacing w:before="0" w:after="36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sz w:val="24"/>
          <w:szCs w:val="24"/>
        </w:rPr>
        <w:t>二</w:t>
      </w:r>
      <w:bookmarkEnd w:id="361"/>
      <w:r>
        <w:rPr>
          <w:color w:val="000000"/>
          <w:spacing w:val="0"/>
          <w:w w:val="100"/>
          <w:position w:val="0"/>
          <w:sz w:val="24"/>
          <w:szCs w:val="24"/>
        </w:rPr>
        <w:t>、财务报表</w:t>
      </w:r>
      <w:bookmarkEnd w:id="359"/>
      <w:bookmarkEnd w:id="360"/>
      <w:bookmarkEnd w:id="362"/>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29"/>
        <w:keepNext/>
        <w:keepLines/>
        <w:widowControl w:val="0"/>
        <w:shd w:val="clear" w:color="auto" w:fill="auto"/>
        <w:bidi w:val="0"/>
        <w:spacing w:before="0" w:after="36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1</w:t>
      </w:r>
      <w:bookmarkEnd w:id="365"/>
      <w:r>
        <w:rPr>
          <w:color w:val="000000"/>
          <w:spacing w:val="0"/>
          <w:w w:val="100"/>
          <w:position w:val="0"/>
        </w:rPr>
        <w:t>、资产负债表</w:t>
      </w:r>
      <w:bookmarkEnd w:id="363"/>
      <w:bookmarkEnd w:id="364"/>
      <w:bookmarkEnd w:id="36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编制单位：深圳市赢时胜信息技术股份有限公司</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72,067,463.22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63,378,406.07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96,536,709.03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72,336,449.58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644,444.38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1,613,042.09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6,955,001.99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4,453,075.58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422,950.92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176,203,618.62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142,203,924.24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54,080,225.34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54,192,442.99</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980,121.81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555,585.01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1,153,604.80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140,326.78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843,613.47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1,229,778.33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57,057,565.42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56,118,133.11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233,261,184.04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198,322,057.35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1,169,452.69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1,103,414.53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4,268,903.25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1,666,922.71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8,147,307.21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5,529,261.26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5,706,158.77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8,968,950.20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28,094.69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41,255.77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753,006.55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647,737.67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1,584,521.76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1,483,588.00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21,657,444.92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24,441,130.14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12,453,072.86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14,037,594.62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12,903,072.86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15,537,594.62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34,560,517.78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39,978,724.76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10,587,464.99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10,587,464.99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14,311,320.13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10,275,586.76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128,801,881.14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92,480,280.84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198,700,666.26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158,343,332.59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198,700,666.26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158,343,332.59</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233,261,184.04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198,322,057.35</w:t>
            </w:r>
          </w:p>
        </w:tc>
      </w:tr>
    </w:tbl>
    <w:p>
      <w:pPr>
        <w:pStyle w:val="Style2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040" simplePos="0" relativeHeight="125829378" behindDoc="0" locked="0" layoutInCell="1" allowOverlap="1">
                <wp:simplePos x="0" y="0"/>
                <wp:positionH relativeFrom="page">
                  <wp:posOffset>709930</wp:posOffset>
                </wp:positionH>
                <wp:positionV relativeFrom="margin">
                  <wp:posOffset>6839585</wp:posOffset>
                </wp:positionV>
                <wp:extent cx="996950" cy="149225"/>
                <wp:wrapTopAndBottom/>
                <wp:docPr id="13" name="Shape 13"/>
                <a:graphic xmlns:a="http://schemas.openxmlformats.org/drawingml/2006/main">
                  <a:graphicData uri="http://schemas.microsoft.com/office/word/2010/wordprocessingShape">
                    <wps:wsp>
                      <wps:cNvSpPr txBox="1"/>
                      <wps:spPr>
                        <a:xfrm>
                          <a:ext cx="99695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法定代表人：唐球</w:t>
                            </w:r>
                          </w:p>
                        </w:txbxContent>
                      </wps:txbx>
                      <wps:bodyPr wrap="none" lIns="0" tIns="0" rIns="0" bIns="0">
                        <a:noAutoFit/>
                      </wps:bodyPr>
                    </wps:wsp>
                  </a:graphicData>
                </a:graphic>
              </wp:anchor>
            </w:drawing>
          </mc:Choice>
          <mc:Fallback>
            <w:pict>
              <v:shape id="_x0000_s1039" type="#_x0000_t202" style="position:absolute;margin-left:55.899999999999999pt;margin-top:538.54999999999995pt;width:78.5pt;height:11.75pt;z-index:-125829375;mso-wrap-distance-left:9.pt;mso-wrap-distance-top:12.pt;mso-wrap-distance-right:405.1999999999999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法定代表人：唐球</w:t>
                      </w:r>
                    </w:p>
                  </w:txbxContent>
                </v:textbox>
                <w10:wrap type="topAndBottom" anchorx="page" anchory="margin"/>
              </v:shape>
            </w:pict>
          </mc:Fallback>
        </mc:AlternateContent>
      </w:r>
      <w:r>
        <mc:AlternateContent>
          <mc:Choice Requires="wps">
            <w:drawing>
              <wp:anchor distT="152400" distB="0" distL="2290445" distR="2461260" simplePos="0" relativeHeight="125829380" behindDoc="0" locked="0" layoutInCell="1" allowOverlap="1">
                <wp:simplePos x="0" y="0"/>
                <wp:positionH relativeFrom="page">
                  <wp:posOffset>2886075</wp:posOffset>
                </wp:positionH>
                <wp:positionV relativeFrom="margin">
                  <wp:posOffset>6839585</wp:posOffset>
                </wp:positionV>
                <wp:extent cx="1505585" cy="149225"/>
                <wp:wrapTopAndBottom/>
                <wp:docPr id="15" name="Shape 1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主管会计工作负责人：伍国安</w:t>
                            </w:r>
                          </w:p>
                        </w:txbxContent>
                      </wps:txbx>
                      <wps:bodyPr wrap="none" lIns="0" tIns="0" rIns="0" bIns="0">
                        <a:noAutoFit/>
                      </wps:bodyPr>
                    </wps:wsp>
                  </a:graphicData>
                </a:graphic>
              </wp:anchor>
            </w:drawing>
          </mc:Choice>
          <mc:Fallback>
            <w:pict>
              <v:shape id="_x0000_s1041" type="#_x0000_t202" style="position:absolute;margin-left:227.25pt;margin-top:538.54999999999995pt;width:118.55pt;height:11.75pt;z-index:-125829373;mso-wrap-distance-left:180.34999999999999pt;mso-wrap-distance-top:12.pt;mso-wrap-distance-right:193.80000000000001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主管会计工作负责人：伍国安</w:t>
                      </w:r>
                    </w:p>
                  </w:txbxContent>
                </v:textbox>
                <w10:wrap type="topAndBottom" anchorx="page" anchory="margin"/>
              </v:shape>
            </w:pict>
          </mc:Fallback>
        </mc:AlternateContent>
      </w:r>
      <w:r>
        <mc:AlternateContent>
          <mc:Choice Requires="wps">
            <w:drawing>
              <wp:anchor distT="152400" distB="0" distL="4969510" distR="114300" simplePos="0" relativeHeight="125829382" behindDoc="0" locked="0" layoutInCell="1" allowOverlap="1">
                <wp:simplePos x="0" y="0"/>
                <wp:positionH relativeFrom="page">
                  <wp:posOffset>5565140</wp:posOffset>
                </wp:positionH>
                <wp:positionV relativeFrom="margin">
                  <wp:posOffset>6839585</wp:posOffset>
                </wp:positionV>
                <wp:extent cx="1173480" cy="149225"/>
                <wp:wrapTopAndBottom/>
                <wp:docPr id="17" name="Shape 17"/>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会计机构负责人：邹璇</w:t>
                            </w:r>
                          </w:p>
                        </w:txbxContent>
                      </wps:txbx>
                      <wps:bodyPr wrap="none" lIns="0" tIns="0" rIns="0" bIns="0">
                        <a:noAutoFit/>
                      </wps:bodyPr>
                    </wps:wsp>
                  </a:graphicData>
                </a:graphic>
              </wp:anchor>
            </w:drawing>
          </mc:Choice>
          <mc:Fallback>
            <w:pict>
              <v:shape id="_x0000_s1043" type="#_x0000_t202" style="position:absolute;margin-left:438.19999999999999pt;margin-top:538.54999999999995pt;width:92.400000000000006pt;height:11.75pt;z-index:-125829371;mso-wrap-distance-left:391.30000000000001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会计机构负责人：邹璇</w:t>
                      </w:r>
                    </w:p>
                  </w:txbxContent>
                </v:textbox>
                <w10:wrap type="topAndBottom" anchorx="page" anchory="margin"/>
              </v:shape>
            </w:pict>
          </mc:Fallback>
        </mc:AlternateContent>
      </w: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2</w:t>
      </w:r>
      <w:bookmarkEnd w:id="369"/>
      <w:r>
        <w:rPr>
          <w:color w:val="000000"/>
          <w:spacing w:val="0"/>
          <w:w w:val="100"/>
          <w:position w:val="0"/>
        </w:rPr>
        <w:t>、利润表</w:t>
      </w:r>
      <w:bookmarkEnd w:id="367"/>
      <w:bookmarkEnd w:id="368"/>
      <w:bookmarkEnd w:id="37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编制单位：深圳市赢时胜信息技术股份有限公司</w:t>
      </w: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168,207,619.87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143,916,992.81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168,207,619.87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143,916,992.81</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128,094,028.72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102,060,485.21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36,207,303.07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26,156,515.98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531,769.37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1,792,530.01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5,638,546.96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3,557,031.12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84,878,647.69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66,854,080.17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600,149.13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1,000,564.84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237,612.50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2,699,763.09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其中：对联营企业和合营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20"/>
              <w:jc w:val="left"/>
            </w:pPr>
            <w:r>
              <w:rPr>
                <w:color w:val="000000"/>
                <w:spacing w:val="0"/>
                <w:w w:val="100"/>
                <w:position w:val="0"/>
              </w:rPr>
              <w:t>汇兑收益（损失以号填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40,113,591.15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41,856,507.60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3,923,903.28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1,916,559.50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73,486.71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128,014.57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92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72,206.80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126,373.17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43,964,007.72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43,645,052.53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3,606,674.05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6,465,083.15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40,357,333.67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37,179,969.38</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其中：被合并方在合并前实现的 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40,357,333.67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37,179,969.38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40,357,333.67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37,179,969.38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40,357,333.67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37,179,969.38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bl>
    <w:p>
      <w:pPr>
        <w:pStyle w:val="Style2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040" simplePos="0" relativeHeight="125829384" behindDoc="0" locked="0" layoutInCell="1" allowOverlap="1">
                <wp:simplePos x="0" y="0"/>
                <wp:positionH relativeFrom="page">
                  <wp:posOffset>709930</wp:posOffset>
                </wp:positionH>
                <wp:positionV relativeFrom="margin">
                  <wp:posOffset>2755265</wp:posOffset>
                </wp:positionV>
                <wp:extent cx="996950" cy="149225"/>
                <wp:wrapTopAndBottom/>
                <wp:docPr id="19" name="Shape 19"/>
                <a:graphic xmlns:a="http://schemas.openxmlformats.org/drawingml/2006/main">
                  <a:graphicData uri="http://schemas.microsoft.com/office/word/2010/wordprocessingShape">
                    <wps:wsp>
                      <wps:cNvSpPr txBox="1"/>
                      <wps:spPr>
                        <a:xfrm>
                          <a:ext cx="99695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法定代表人：唐球</w:t>
                            </w:r>
                          </w:p>
                        </w:txbxContent>
                      </wps:txbx>
                      <wps:bodyPr wrap="none" lIns="0" tIns="0" rIns="0" bIns="0">
                        <a:noAutoFit/>
                      </wps:bodyPr>
                    </wps:wsp>
                  </a:graphicData>
                </a:graphic>
              </wp:anchor>
            </w:drawing>
          </mc:Choice>
          <mc:Fallback>
            <w:pict>
              <v:shape id="_x0000_s1045" type="#_x0000_t202" style="position:absolute;margin-left:55.899999999999999pt;margin-top:216.95000000000002pt;width:78.5pt;height:11.75pt;z-index:-125829369;mso-wrap-distance-left:9.pt;mso-wrap-distance-top:12.pt;mso-wrap-distance-right:405.1999999999999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法定代表人：唐球</w:t>
                      </w:r>
                    </w:p>
                  </w:txbxContent>
                </v:textbox>
                <w10:wrap type="topAndBottom" anchorx="page" anchory="margin"/>
              </v:shape>
            </w:pict>
          </mc:Fallback>
        </mc:AlternateContent>
      </w:r>
      <w:r>
        <mc:AlternateContent>
          <mc:Choice Requires="wps">
            <w:drawing>
              <wp:anchor distT="152400" distB="0" distL="2290445" distR="2461260" simplePos="0" relativeHeight="125829386" behindDoc="0" locked="0" layoutInCell="1" allowOverlap="1">
                <wp:simplePos x="0" y="0"/>
                <wp:positionH relativeFrom="page">
                  <wp:posOffset>2886075</wp:posOffset>
                </wp:positionH>
                <wp:positionV relativeFrom="margin">
                  <wp:posOffset>2755265</wp:posOffset>
                </wp:positionV>
                <wp:extent cx="1505585" cy="149225"/>
                <wp:wrapTopAndBottom/>
                <wp:docPr id="21" name="Shape 2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主管会计工作负责人：伍国安</w:t>
                            </w:r>
                          </w:p>
                        </w:txbxContent>
                      </wps:txbx>
                      <wps:bodyPr wrap="none" lIns="0" tIns="0" rIns="0" bIns="0">
                        <a:noAutoFit/>
                      </wps:bodyPr>
                    </wps:wsp>
                  </a:graphicData>
                </a:graphic>
              </wp:anchor>
            </w:drawing>
          </mc:Choice>
          <mc:Fallback>
            <w:pict>
              <v:shape id="_x0000_s1047" type="#_x0000_t202" style="position:absolute;margin-left:227.25pt;margin-top:216.95000000000002pt;width:118.55pt;height:11.75pt;z-index:-125829367;mso-wrap-distance-left:180.34999999999999pt;mso-wrap-distance-top:12.pt;mso-wrap-distance-right:193.80000000000001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主管会计工作负责人：伍国安</w:t>
                      </w:r>
                    </w:p>
                  </w:txbxContent>
                </v:textbox>
                <w10:wrap type="topAndBottom" anchorx="page" anchory="margin"/>
              </v:shape>
            </w:pict>
          </mc:Fallback>
        </mc:AlternateContent>
      </w:r>
      <w:r>
        <mc:AlternateContent>
          <mc:Choice Requires="wps">
            <w:drawing>
              <wp:anchor distT="152400" distB="0" distL="4969510" distR="114300" simplePos="0" relativeHeight="125829388" behindDoc="0" locked="0" layoutInCell="1" allowOverlap="1">
                <wp:simplePos x="0" y="0"/>
                <wp:positionH relativeFrom="page">
                  <wp:posOffset>5565140</wp:posOffset>
                </wp:positionH>
                <wp:positionV relativeFrom="margin">
                  <wp:posOffset>2755265</wp:posOffset>
                </wp:positionV>
                <wp:extent cx="1173480" cy="149225"/>
                <wp:wrapTopAndBottom/>
                <wp:docPr id="23" name="Shape 23"/>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会计机构负责人：邹璇</w:t>
                            </w:r>
                          </w:p>
                        </w:txbxContent>
                      </wps:txbx>
                      <wps:bodyPr wrap="none" lIns="0" tIns="0" rIns="0" bIns="0">
                        <a:noAutoFit/>
                      </wps:bodyPr>
                    </wps:wsp>
                  </a:graphicData>
                </a:graphic>
              </wp:anchor>
            </w:drawing>
          </mc:Choice>
          <mc:Fallback>
            <w:pict>
              <v:shape id="_x0000_s1049" type="#_x0000_t202" style="position:absolute;margin-left:438.19999999999999pt;margin-top:216.95000000000002pt;width:92.400000000000006pt;height:11.75pt;z-index:-125829365;mso-wrap-distance-left:391.30000000000001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会计机构负责人：邹璇</w:t>
                      </w:r>
                    </w:p>
                  </w:txbxContent>
                </v:textbox>
                <w10:wrap type="topAndBottom" anchorx="page" anchory="margin"/>
              </v:shape>
            </w:pict>
          </mc:Fallback>
        </mc:AlternateContent>
      </w: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3</w:t>
      </w:r>
      <w:bookmarkEnd w:id="373"/>
      <w:r>
        <w:rPr>
          <w:color w:val="000000"/>
          <w:spacing w:val="0"/>
          <w:w w:val="100"/>
          <w:position w:val="0"/>
        </w:rPr>
        <w:t>、现金流量表</w:t>
      </w:r>
      <w:bookmarkEnd w:id="371"/>
      <w:bookmarkEnd w:id="372"/>
      <w:bookmarkEnd w:id="37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编制单位：深圳市赢时胜信息技术股份有限公司</w:t>
      </w:r>
    </w:p>
    <w:p>
      <w:pPr>
        <w:pStyle w:val="Style2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149,807,925.20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127,650,002.36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1,412,021.44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496,341.92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2,400,167.01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3,197,469.37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153,620,113.65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131,343,813.65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2,621,446.82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3,322,170.08</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95,606,498.73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69,454,530.72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10,648,362.99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10,344,388.48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22,682,791.96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21,987,731.33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131,559,100.50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105,108,820.61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22,061,013.15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26,234,993.04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9,300.00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26,227.25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9,300.00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26,227.25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5,586,097.06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5,645,972.25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5,586,097.06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5,645,972.25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-5,576,797.06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-5,619,745.00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5,000,000.00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6,483,588.00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1,389,083.67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1,001,888.50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1,262,212.02</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7,485,476.50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2,651,295.69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-7,485,476.50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2,348,704.31</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-5,682.44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8,993,057.15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22,963,757.46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63,074,406.07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40,110,648.61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72,067,463.22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63,074,406.07</w:t>
            </w:r>
          </w:p>
        </w:tc>
      </w:tr>
    </w:tbl>
    <w:p>
      <w:pPr>
        <w:pStyle w:val="Style2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040" simplePos="0" relativeHeight="125829390" behindDoc="0" locked="0" layoutInCell="1" allowOverlap="1">
                <wp:simplePos x="0" y="0"/>
                <wp:positionH relativeFrom="page">
                  <wp:posOffset>709930</wp:posOffset>
                </wp:positionH>
                <wp:positionV relativeFrom="margin">
                  <wp:posOffset>3919855</wp:posOffset>
                </wp:positionV>
                <wp:extent cx="996950" cy="149225"/>
                <wp:wrapTopAndBottom/>
                <wp:docPr id="25" name="Shape 25"/>
                <a:graphic xmlns:a="http://schemas.openxmlformats.org/drawingml/2006/main">
                  <a:graphicData uri="http://schemas.microsoft.com/office/word/2010/wordprocessingShape">
                    <wps:wsp>
                      <wps:cNvSpPr txBox="1"/>
                      <wps:spPr>
                        <a:xfrm>
                          <a:ext cx="99695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法定代表人：唐球</w:t>
                            </w:r>
                          </w:p>
                        </w:txbxContent>
                      </wps:txbx>
                      <wps:bodyPr wrap="none" lIns="0" tIns="0" rIns="0" bIns="0">
                        <a:noAutoFit/>
                      </wps:bodyPr>
                    </wps:wsp>
                  </a:graphicData>
                </a:graphic>
              </wp:anchor>
            </w:drawing>
          </mc:Choice>
          <mc:Fallback>
            <w:pict>
              <v:shape id="_x0000_s1051" type="#_x0000_t202" style="position:absolute;margin-left:55.899999999999999pt;margin-top:308.65000000000003pt;width:78.5pt;height:11.75pt;z-index:-125829363;mso-wrap-distance-left:9.pt;mso-wrap-distance-top:12.pt;mso-wrap-distance-right:405.1999999999999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法定代表人：唐球</w:t>
                      </w:r>
                    </w:p>
                  </w:txbxContent>
                </v:textbox>
                <w10:wrap type="topAndBottom" anchorx="page" anchory="margin"/>
              </v:shape>
            </w:pict>
          </mc:Fallback>
        </mc:AlternateContent>
      </w:r>
      <w:r>
        <mc:AlternateContent>
          <mc:Choice Requires="wps">
            <w:drawing>
              <wp:anchor distT="152400" distB="0" distL="2290445" distR="2461260" simplePos="0" relativeHeight="125829392" behindDoc="0" locked="0" layoutInCell="1" allowOverlap="1">
                <wp:simplePos x="0" y="0"/>
                <wp:positionH relativeFrom="page">
                  <wp:posOffset>2886075</wp:posOffset>
                </wp:positionH>
                <wp:positionV relativeFrom="margin">
                  <wp:posOffset>3919855</wp:posOffset>
                </wp:positionV>
                <wp:extent cx="1505585" cy="149225"/>
                <wp:wrapTopAndBottom/>
                <wp:docPr id="27" name="Shape 2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主管会计工作负责人：伍国安</w:t>
                            </w:r>
                          </w:p>
                        </w:txbxContent>
                      </wps:txbx>
                      <wps:bodyPr wrap="none" lIns="0" tIns="0" rIns="0" bIns="0">
                        <a:noAutoFit/>
                      </wps:bodyPr>
                    </wps:wsp>
                  </a:graphicData>
                </a:graphic>
              </wp:anchor>
            </w:drawing>
          </mc:Choice>
          <mc:Fallback>
            <w:pict>
              <v:shape id="_x0000_s1053" type="#_x0000_t202" style="position:absolute;margin-left:227.25pt;margin-top:308.65000000000003pt;width:118.55pt;height:11.75pt;z-index:-125829361;mso-wrap-distance-left:180.34999999999999pt;mso-wrap-distance-top:12.pt;mso-wrap-distance-right:193.80000000000001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主管会计工作负责人：伍国安</w:t>
                      </w:r>
                    </w:p>
                  </w:txbxContent>
                </v:textbox>
                <w10:wrap type="topAndBottom" anchorx="page" anchory="margin"/>
              </v:shape>
            </w:pict>
          </mc:Fallback>
        </mc:AlternateContent>
      </w:r>
      <w:r>
        <mc:AlternateContent>
          <mc:Choice Requires="wps">
            <w:drawing>
              <wp:anchor distT="152400" distB="0" distL="4969510" distR="114300" simplePos="0" relativeHeight="125829394" behindDoc="0" locked="0" layoutInCell="1" allowOverlap="1">
                <wp:simplePos x="0" y="0"/>
                <wp:positionH relativeFrom="page">
                  <wp:posOffset>5565140</wp:posOffset>
                </wp:positionH>
                <wp:positionV relativeFrom="margin">
                  <wp:posOffset>3919855</wp:posOffset>
                </wp:positionV>
                <wp:extent cx="1173480" cy="149225"/>
                <wp:wrapTopAndBottom/>
                <wp:docPr id="29" name="Shape 29"/>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会计机构负责人：邹璇</w:t>
                            </w:r>
                          </w:p>
                        </w:txbxContent>
                      </wps:txbx>
                      <wps:bodyPr wrap="none" lIns="0" tIns="0" rIns="0" bIns="0">
                        <a:noAutoFit/>
                      </wps:bodyPr>
                    </wps:wsp>
                  </a:graphicData>
                </a:graphic>
              </wp:anchor>
            </w:drawing>
          </mc:Choice>
          <mc:Fallback>
            <w:pict>
              <v:shape id="_x0000_s1055" type="#_x0000_t202" style="position:absolute;margin-left:438.19999999999999pt;margin-top:308.65000000000003pt;width:92.400000000000006pt;height:11.75pt;z-index:-125829359;mso-wrap-distance-left:391.30000000000001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会计机构负责人：邹璇</w:t>
                      </w:r>
                    </w:p>
                  </w:txbxContent>
                </v:textbox>
                <w10:wrap type="topAndBottom" anchorx="page" anchory="margin"/>
              </v:shape>
            </w:pict>
          </mc:Fallback>
        </mc:AlternateContent>
      </w: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4</w:t>
      </w:r>
      <w:bookmarkEnd w:id="377"/>
      <w:r>
        <w:rPr>
          <w:color w:val="000000"/>
          <w:spacing w:val="0"/>
          <w:w w:val="100"/>
          <w:position w:val="0"/>
        </w:rPr>
        <w:t>、所有者权益变动表</w:t>
      </w:r>
      <w:bookmarkEnd w:id="375"/>
      <w:bookmarkEnd w:id="376"/>
      <w:bookmarkEnd w:id="37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编制单位：深圳市赢时胜信息技术股份有限公司 </w:t>
      </w:r>
      <w:r>
        <w:rPr>
          <w:color w:val="000000"/>
          <w:spacing w:val="0"/>
          <w:w w:val="100"/>
          <w:position w:val="0"/>
        </w:rPr>
        <w:t>本期金额</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45,000,</w:t>
            </w:r>
          </w:p>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10,587,4</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10,275,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92,480,2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158,343,33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45,000,</w:t>
            </w:r>
          </w:p>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10,587,4</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10,275,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92,480,2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158,343,33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4,035,7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36,321,6</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40,357,333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40,357,3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40,357,333</w:t>
            </w: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4,035,7</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-4,035,7</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4,035,7</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-4,035,7</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,对所有者（或股东）的分 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45,000,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10,587,4</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14,311,3</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128,801,</w:t>
            </w:r>
          </w:p>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881.14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198,700,66</w:t>
            </w:r>
          </w:p>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6.26</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实收资 本（或 股本）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45,000,</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10,587,4</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6,557,5</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59,018,3</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121,163,36</w:t>
            </w:r>
          </w:p>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3.21</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45,000,</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10,587,4</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6,557,5</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59,018,3</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121,163,36</w:t>
            </w:r>
          </w:p>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3.21</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3,717,9</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33,461,9</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37,179,969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37,179,9</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37,179,969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37,179,9</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37,179,969</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3,717,9</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-3,717,9</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3,717,9</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-3,717,9</w:t>
            </w:r>
          </w:p>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,对所有者（或股东）的分 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45,000,</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10,587,4</w:t>
            </w:r>
          </w:p>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10,275,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92,480,2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158,343,33</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r>
    </w:tbl>
    <w:p>
      <w:pPr>
        <w:widowControl w:val="0"/>
        <w:spacing w:after="239" w:line="1" w:lineRule="exact"/>
      </w:pPr>
    </w:p>
    <w:p>
      <w:pPr>
        <w:pStyle w:val="Style24"/>
        <w:keepNext w:val="0"/>
        <w:keepLines w:val="0"/>
        <w:widowControl w:val="0"/>
        <w:shd w:val="clear" w:color="auto" w:fill="auto"/>
        <w:tabs>
          <w:tab w:pos="3394" w:val="left"/>
          <w:tab w:pos="7579" w:val="left"/>
        </w:tabs>
        <w:bidi w:val="0"/>
        <w:spacing w:before="0" w:after="360" w:line="313" w:lineRule="exact"/>
        <w:ind w:left="0" w:right="0" w:firstLine="0"/>
        <w:jc w:val="left"/>
      </w:pPr>
      <w:r>
        <w:rPr>
          <w:color w:val="000000"/>
          <w:spacing w:val="0"/>
          <w:w w:val="100"/>
          <w:position w:val="0"/>
        </w:rPr>
        <w:t>法定代表人：唐球</w:t>
        <w:tab/>
        <w:t>主管会计工作负责人：伍国安</w:t>
        <w:tab/>
        <w:t>会计机构负责人：邹璇</w:t>
      </w:r>
    </w:p>
    <w:p>
      <w:pPr>
        <w:pStyle w:val="Style22"/>
        <w:keepNext/>
        <w:keepLines/>
        <w:widowControl w:val="0"/>
        <w:shd w:val="clear" w:color="auto" w:fill="auto"/>
        <w:bidi w:val="0"/>
        <w:spacing w:before="0" w:after="24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sz w:val="24"/>
          <w:szCs w:val="24"/>
        </w:rPr>
        <w:t>三</w:t>
      </w:r>
      <w:bookmarkEnd w:id="381"/>
      <w:r>
        <w:rPr>
          <w:color w:val="000000"/>
          <w:spacing w:val="0"/>
          <w:w w:val="100"/>
          <w:position w:val="0"/>
          <w:sz w:val="24"/>
          <w:szCs w:val="24"/>
        </w:rPr>
        <w:t>、公司基本情况</w:t>
      </w:r>
      <w:bookmarkEnd w:id="379"/>
      <w:bookmarkEnd w:id="380"/>
      <w:bookmarkEnd w:id="382"/>
    </w:p>
    <w:p>
      <w:pPr>
        <w:pStyle w:val="Style24"/>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深圳市赢时胜信息技术股份有限公司（以下简称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）经深圳市工商行政管理局批准，于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 成立，原名</w:t>
      </w:r>
      <w:r>
        <w:rPr>
          <w:rFonts w:ascii="Times New Roman" w:eastAsia="Times New Roman" w:hAnsi="Times New Roman" w:cs="Times New Roman"/>
          <w:color w:val="000000"/>
          <w:spacing w:val="0"/>
          <w:w w:val="100"/>
          <w:position w:val="0"/>
        </w:rPr>
        <w:t>“</w:t>
      </w:r>
      <w:r>
        <w:rPr>
          <w:color w:val="000000"/>
          <w:spacing w:val="0"/>
          <w:w w:val="100"/>
          <w:position w:val="0"/>
        </w:rPr>
        <w:t>深圳市赢时胜电子技术有限公司</w:t>
      </w:r>
      <w:r>
        <w:rPr>
          <w:rFonts w:ascii="Times New Roman" w:eastAsia="Times New Roman" w:hAnsi="Times New Roman" w:cs="Times New Roman"/>
          <w:color w:val="000000"/>
          <w:spacing w:val="0"/>
          <w:w w:val="100"/>
          <w:position w:val="0"/>
        </w:rPr>
        <w:t>”</w:t>
      </w:r>
      <w:r>
        <w:rPr>
          <w:color w:val="000000"/>
          <w:spacing w:val="0"/>
          <w:w w:val="100"/>
          <w:position w:val="0"/>
        </w:rPr>
        <w:t>，企业法人营业执照注册号：</w:t>
      </w:r>
      <w:r>
        <w:rPr>
          <w:rFonts w:ascii="Times New Roman" w:eastAsia="Times New Roman" w:hAnsi="Times New Roman" w:cs="Times New Roman"/>
          <w:color w:val="000000"/>
          <w:spacing w:val="0"/>
          <w:w w:val="100"/>
          <w:position w:val="0"/>
        </w:rPr>
        <w:t>4403012073335</w:t>
      </w:r>
      <w:r>
        <w:rPr>
          <w:color w:val="000000"/>
          <w:spacing w:val="0"/>
          <w:w w:val="100"/>
          <w:position w:val="0"/>
        </w:rPr>
        <w:t>，法定代表人唐球，最初登记住 所为：深圳市福田区福中路紫玉大厦</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25J</w:t>
      </w:r>
      <w:r>
        <w:rPr>
          <w:color w:val="000000"/>
          <w:spacing w:val="0"/>
          <w:w w:val="100"/>
          <w:position w:val="0"/>
        </w:rPr>
        <w:t>室，初始投资额为注册资本</w:t>
      </w:r>
      <w:r>
        <w:rPr>
          <w:rFonts w:ascii="Times New Roman" w:eastAsia="Times New Roman" w:hAnsi="Times New Roman" w:cs="Times New Roman"/>
          <w:color w:val="000000"/>
          <w:spacing w:val="0"/>
          <w:w w:val="100"/>
          <w:position w:val="0"/>
        </w:rPr>
        <w:t>500,000.00</w:t>
      </w:r>
      <w:r>
        <w:rPr>
          <w:color w:val="000000"/>
          <w:spacing w:val="0"/>
          <w:w w:val="100"/>
          <w:position w:val="0"/>
        </w:rPr>
        <w:t>元，业经深圳远东会计师事务所深远东验 字</w:t>
      </w:r>
      <w:r>
        <w:rPr>
          <w:rFonts w:ascii="Times New Roman" w:eastAsia="Times New Roman" w:hAnsi="Times New Roman" w:cs="Times New Roman"/>
          <w:color w:val="000000"/>
          <w:spacing w:val="0"/>
          <w:w w:val="100"/>
          <w:position w:val="0"/>
        </w:rPr>
        <w:t>［2001］</w:t>
      </w:r>
      <w:r>
        <w:rPr>
          <w:color w:val="000000"/>
          <w:spacing w:val="0"/>
          <w:w w:val="100"/>
          <w:position w:val="0"/>
        </w:rPr>
        <w:t>第</w:t>
      </w:r>
      <w:r>
        <w:rPr>
          <w:rFonts w:ascii="Times New Roman" w:eastAsia="Times New Roman" w:hAnsi="Times New Roman" w:cs="Times New Roman"/>
          <w:color w:val="000000"/>
          <w:spacing w:val="0"/>
          <w:w w:val="100"/>
          <w:position w:val="0"/>
        </w:rPr>
        <w:t>495</w:t>
      </w:r>
      <w:r>
        <w:rPr>
          <w:color w:val="000000"/>
          <w:spacing w:val="0"/>
          <w:w w:val="100"/>
          <w:position w:val="0"/>
        </w:rPr>
        <w:t>号验资报告验证。出资人及持股比例为：唐球出资</w:t>
      </w:r>
      <w:r>
        <w:rPr>
          <w:rFonts w:ascii="Times New Roman" w:eastAsia="Times New Roman" w:hAnsi="Times New Roman" w:cs="Times New Roman"/>
          <w:color w:val="000000"/>
          <w:spacing w:val="0"/>
          <w:w w:val="100"/>
          <w:position w:val="0"/>
        </w:rPr>
        <w:t>230,000.00</w:t>
      </w:r>
      <w:r>
        <w:rPr>
          <w:color w:val="000000"/>
          <w:spacing w:val="0"/>
          <w:w w:val="100"/>
          <w:position w:val="0"/>
        </w:rPr>
        <w:t>元，持股比例为</w:t>
      </w:r>
      <w:r>
        <w:rPr>
          <w:rFonts w:ascii="Times New Roman" w:eastAsia="Times New Roman" w:hAnsi="Times New Roman" w:cs="Times New Roman"/>
          <w:color w:val="000000"/>
          <w:spacing w:val="0"/>
          <w:w w:val="100"/>
          <w:position w:val="0"/>
        </w:rPr>
        <w:t xml:space="preserve">46% </w:t>
      </w:r>
      <w:r>
        <w:rPr>
          <w:color w:val="000000"/>
          <w:spacing w:val="0"/>
          <w:w w:val="100"/>
          <w:position w:val="0"/>
        </w:rPr>
        <w:t>；鄢建兵出资</w:t>
      </w:r>
      <w:r>
        <w:rPr>
          <w:rFonts w:ascii="Times New Roman" w:eastAsia="Times New Roman" w:hAnsi="Times New Roman" w:cs="Times New Roman"/>
          <w:color w:val="000000"/>
          <w:spacing w:val="0"/>
          <w:w w:val="100"/>
          <w:position w:val="0"/>
        </w:rPr>
        <w:t>135,000.00</w:t>
      </w:r>
      <w:r>
        <w:rPr>
          <w:color w:val="000000"/>
          <w:spacing w:val="0"/>
          <w:w w:val="100"/>
          <w:position w:val="0"/>
        </w:rPr>
        <w:t>元， 持股比例为</w:t>
      </w:r>
      <w:r>
        <w:rPr>
          <w:rFonts w:ascii="Times New Roman" w:eastAsia="Times New Roman" w:hAnsi="Times New Roman" w:cs="Times New Roman"/>
          <w:color w:val="000000"/>
          <w:spacing w:val="0"/>
          <w:w w:val="100"/>
          <w:position w:val="0"/>
        </w:rPr>
        <w:t>27%</w:t>
      </w:r>
      <w:r>
        <w:rPr>
          <w:color w:val="000000"/>
          <w:spacing w:val="0"/>
          <w:w w:val="100"/>
          <w:position w:val="0"/>
        </w:rPr>
        <w:t>；张列出资</w:t>
      </w:r>
      <w:r>
        <w:rPr>
          <w:rFonts w:ascii="Times New Roman" w:eastAsia="Times New Roman" w:hAnsi="Times New Roman" w:cs="Times New Roman"/>
          <w:color w:val="000000"/>
          <w:spacing w:val="0"/>
          <w:w w:val="100"/>
          <w:position w:val="0"/>
        </w:rPr>
        <w:t>135,000.00</w:t>
      </w:r>
      <w:r>
        <w:rPr>
          <w:color w:val="000000"/>
          <w:spacing w:val="0"/>
          <w:w w:val="100"/>
          <w:position w:val="0"/>
        </w:rPr>
        <w:t>元，持股比例为</w:t>
      </w:r>
      <w:r>
        <w:rPr>
          <w:rFonts w:ascii="Times New Roman" w:eastAsia="Times New Roman" w:hAnsi="Times New Roman" w:cs="Times New Roman"/>
          <w:color w:val="000000"/>
          <w:spacing w:val="0"/>
          <w:w w:val="100"/>
          <w:position w:val="0"/>
        </w:rPr>
        <w:t>27%</w:t>
      </w:r>
      <w:r>
        <w:rPr>
          <w:color w:val="000000"/>
          <w:spacing w:val="0"/>
          <w:w w:val="100"/>
          <w:position w:val="0"/>
        </w:rPr>
        <w:t>。</w:t>
      </w:r>
    </w:p>
    <w:p>
      <w:pPr>
        <w:pStyle w:val="Style24"/>
        <w:keepNext w:val="0"/>
        <w:keepLines w:val="0"/>
        <w:widowControl w:val="0"/>
        <w:shd w:val="clear" w:color="auto" w:fill="auto"/>
        <w:bidi w:val="0"/>
        <w:spacing w:before="0" w:after="0" w:line="313" w:lineRule="exact"/>
        <w:ind w:left="0" w:right="0" w:firstLine="52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日，根据公司</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日股东会决议，变更公司住所为深圳市福田区深南中路</w:t>
      </w:r>
      <w:r>
        <w:rPr>
          <w:rFonts w:ascii="Times New Roman" w:eastAsia="Times New Roman" w:hAnsi="Times New Roman" w:cs="Times New Roman"/>
          <w:color w:val="000000"/>
          <w:spacing w:val="0"/>
          <w:w w:val="100"/>
          <w:position w:val="0"/>
        </w:rPr>
        <w:t>3037</w:t>
      </w:r>
      <w:r>
        <w:rPr>
          <w:color w:val="000000"/>
          <w:spacing w:val="0"/>
          <w:w w:val="100"/>
          <w:position w:val="0"/>
        </w:rPr>
        <w:t xml:space="preserve">号南光捷佳大厦 </w:t>
      </w:r>
      <w:r>
        <w:rPr>
          <w:rFonts w:ascii="Times New Roman" w:eastAsia="Times New Roman" w:hAnsi="Times New Roman" w:cs="Times New Roman"/>
          <w:color w:val="000000"/>
          <w:spacing w:val="0"/>
          <w:w w:val="100"/>
          <w:position w:val="0"/>
        </w:rPr>
        <w:t xml:space="preserve">1716 </w:t>
      </w:r>
      <w:r>
        <w:rPr>
          <w:color w:val="000000"/>
          <w:spacing w:val="0"/>
          <w:w w:val="100"/>
          <w:position w:val="0"/>
        </w:rPr>
        <w:t>室。</w:t>
      </w:r>
    </w:p>
    <w:p>
      <w:pPr>
        <w:pStyle w:val="Style24"/>
        <w:keepNext w:val="0"/>
        <w:keepLines w:val="0"/>
        <w:widowControl w:val="0"/>
        <w:shd w:val="clear" w:color="auto" w:fill="auto"/>
        <w:bidi w:val="0"/>
        <w:spacing w:before="0" w:after="0" w:line="313" w:lineRule="exact"/>
        <w:ind w:left="0" w:right="0" w:firstLine="52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日，根据公司</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日股东会决议，以现金方式增加注册资本人民币</w:t>
      </w:r>
      <w:r>
        <w:rPr>
          <w:rFonts w:ascii="Times New Roman" w:eastAsia="Times New Roman" w:hAnsi="Times New Roman" w:cs="Times New Roman"/>
          <w:color w:val="000000"/>
          <w:spacing w:val="0"/>
          <w:w w:val="100"/>
          <w:position w:val="0"/>
        </w:rPr>
        <w:t>4,500,000.00</w:t>
      </w:r>
      <w:r>
        <w:rPr>
          <w:color w:val="000000"/>
          <w:spacing w:val="0"/>
          <w:w w:val="100"/>
          <w:position w:val="0"/>
        </w:rPr>
        <w:t>元，由股东唐球、 张列及鄢建兵分别认缴出资</w:t>
      </w:r>
      <w:r>
        <w:rPr>
          <w:rFonts w:ascii="Times New Roman" w:eastAsia="Times New Roman" w:hAnsi="Times New Roman" w:cs="Times New Roman"/>
          <w:color w:val="000000"/>
          <w:spacing w:val="0"/>
          <w:w w:val="100"/>
          <w:position w:val="0"/>
        </w:rPr>
        <w:t>1,770,000.00</w:t>
      </w:r>
      <w:r>
        <w:rPr>
          <w:color w:val="000000"/>
          <w:spacing w:val="0"/>
          <w:w w:val="100"/>
          <w:position w:val="0"/>
        </w:rPr>
        <w:t>元、</w:t>
      </w:r>
      <w:r>
        <w:rPr>
          <w:rFonts w:ascii="Times New Roman" w:eastAsia="Times New Roman" w:hAnsi="Times New Roman" w:cs="Times New Roman"/>
          <w:color w:val="000000"/>
          <w:spacing w:val="0"/>
          <w:w w:val="100"/>
          <w:position w:val="0"/>
        </w:rPr>
        <w:t>1,365,000.00</w:t>
      </w:r>
      <w:r>
        <w:rPr>
          <w:color w:val="000000"/>
          <w:spacing w:val="0"/>
          <w:w w:val="100"/>
          <w:position w:val="0"/>
        </w:rPr>
        <w:t>元、</w:t>
      </w:r>
      <w:r>
        <w:rPr>
          <w:rFonts w:ascii="Times New Roman" w:eastAsia="Times New Roman" w:hAnsi="Times New Roman" w:cs="Times New Roman"/>
          <w:color w:val="000000"/>
          <w:spacing w:val="0"/>
          <w:w w:val="100"/>
          <w:position w:val="0"/>
        </w:rPr>
        <w:t>1,365,000.0</w:t>
      </w:r>
      <w:r>
        <w:rPr>
          <w:rFonts w:ascii="Times New Roman" w:eastAsia="Times New Roman" w:hAnsi="Times New Roman" w:cs="Times New Roman"/>
          <w:color w:val="000000"/>
          <w:spacing w:val="0"/>
          <w:w w:val="100"/>
          <w:position w:val="0"/>
        </w:rPr>
        <w:t>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5,000,000.00</w:t>
      </w:r>
      <w:r>
        <w:rPr>
          <w:color w:val="000000"/>
          <w:spacing w:val="0"/>
          <w:w w:val="100"/>
          <w:position w:val="0"/>
        </w:rPr>
        <w:t>元，业 经深圳国安会计师事务所有限公司深国安验字</w:t>
      </w:r>
      <w:r>
        <w:rPr>
          <w:rFonts w:ascii="Times New Roman" w:eastAsia="Times New Roman" w:hAnsi="Times New Roman" w:cs="Times New Roman"/>
          <w:color w:val="000000"/>
          <w:spacing w:val="0"/>
          <w:w w:val="100"/>
          <w:position w:val="0"/>
        </w:rPr>
        <w:t>［2004］</w:t>
      </w:r>
      <w:r>
        <w:rPr>
          <w:color w:val="000000"/>
          <w:spacing w:val="0"/>
          <w:w w:val="100"/>
          <w:position w:val="0"/>
        </w:rPr>
        <w:t>第</w:t>
      </w:r>
      <w:r>
        <w:rPr>
          <w:rFonts w:ascii="Times New Roman" w:eastAsia="Times New Roman" w:hAnsi="Times New Roman" w:cs="Times New Roman"/>
          <w:color w:val="000000"/>
          <w:spacing w:val="0"/>
          <w:w w:val="100"/>
          <w:position w:val="0"/>
        </w:rPr>
        <w:t>596</w:t>
      </w:r>
      <w:r>
        <w:rPr>
          <w:color w:val="000000"/>
          <w:spacing w:val="0"/>
          <w:w w:val="100"/>
          <w:position w:val="0"/>
        </w:rPr>
        <w:t xml:space="preserve">号验资报告验证。增资后的出资人及持股比例为：唐球出资 </w:t>
      </w:r>
      <w:r>
        <w:rPr>
          <w:rFonts w:ascii="Times New Roman" w:eastAsia="Times New Roman" w:hAnsi="Times New Roman" w:cs="Times New Roman"/>
          <w:color w:val="000000"/>
          <w:spacing w:val="0"/>
          <w:w w:val="100"/>
          <w:position w:val="0"/>
        </w:rPr>
        <w:t>2,000,000.0</w:t>
      </w:r>
      <w:r>
        <w:rPr>
          <w:rFonts w:ascii="Times New Roman" w:eastAsia="Times New Roman" w:hAnsi="Times New Roman" w:cs="Times New Roman"/>
          <w:color w:val="000000"/>
          <w:spacing w:val="0"/>
          <w:w w:val="100"/>
          <w:position w:val="0"/>
        </w:rPr>
        <w:t>0</w:t>
      </w:r>
      <w:r>
        <w:rPr>
          <w:color w:val="000000"/>
          <w:spacing w:val="0"/>
          <w:w w:val="100"/>
          <w:position w:val="0"/>
        </w:rPr>
        <w:t>元，持股比例为</w:t>
      </w:r>
      <w:r>
        <w:rPr>
          <w:rFonts w:ascii="Times New Roman" w:eastAsia="Times New Roman" w:hAnsi="Times New Roman" w:cs="Times New Roman"/>
          <w:color w:val="000000"/>
          <w:spacing w:val="0"/>
          <w:w w:val="100"/>
          <w:position w:val="0"/>
        </w:rPr>
        <w:t>40%</w:t>
      </w:r>
      <w:r>
        <w:rPr>
          <w:color w:val="000000"/>
          <w:spacing w:val="0"/>
          <w:w w:val="100"/>
          <w:position w:val="0"/>
        </w:rPr>
        <w:t>；鄢建兵出资</w:t>
      </w:r>
      <w:r>
        <w:rPr>
          <w:rFonts w:ascii="Times New Roman" w:eastAsia="Times New Roman" w:hAnsi="Times New Roman" w:cs="Times New Roman"/>
          <w:color w:val="000000"/>
          <w:spacing w:val="0"/>
          <w:w w:val="100"/>
          <w:position w:val="0"/>
        </w:rPr>
        <w:t>1,500,000.00</w:t>
      </w:r>
      <w:r>
        <w:rPr>
          <w:color w:val="000000"/>
          <w:spacing w:val="0"/>
          <w:w w:val="100"/>
          <w:position w:val="0"/>
        </w:rPr>
        <w:t>元，持股比例为</w:t>
      </w:r>
      <w:r>
        <w:rPr>
          <w:rFonts w:ascii="Times New Roman" w:eastAsia="Times New Roman" w:hAnsi="Times New Roman" w:cs="Times New Roman"/>
          <w:color w:val="000000"/>
          <w:spacing w:val="0"/>
          <w:w w:val="100"/>
          <w:position w:val="0"/>
        </w:rPr>
        <w:t>30%</w:t>
      </w:r>
      <w:r>
        <w:rPr>
          <w:color w:val="000000"/>
          <w:spacing w:val="0"/>
          <w:w w:val="100"/>
          <w:position w:val="0"/>
        </w:rPr>
        <w:t>；张列出资</w:t>
      </w:r>
      <w:r>
        <w:rPr>
          <w:rFonts w:ascii="Times New Roman" w:eastAsia="Times New Roman" w:hAnsi="Times New Roman" w:cs="Times New Roman"/>
          <w:color w:val="000000"/>
          <w:spacing w:val="0"/>
          <w:w w:val="100"/>
          <w:position w:val="0"/>
        </w:rPr>
        <w:t>1,500,000.00</w:t>
      </w:r>
      <w:r>
        <w:rPr>
          <w:color w:val="000000"/>
          <w:spacing w:val="0"/>
          <w:w w:val="100"/>
          <w:position w:val="0"/>
        </w:rPr>
        <w:t>元，持股比例为</w:t>
      </w:r>
      <w:r>
        <w:rPr>
          <w:rFonts w:ascii="Times New Roman" w:eastAsia="Times New Roman" w:hAnsi="Times New Roman" w:cs="Times New Roman"/>
          <w:color w:val="000000"/>
          <w:spacing w:val="0"/>
          <w:w w:val="100"/>
          <w:position w:val="0"/>
        </w:rPr>
        <w:t>30%</w:t>
      </w:r>
      <w:r>
        <w:rPr>
          <w:color w:val="000000"/>
          <w:spacing w:val="0"/>
          <w:w w:val="100"/>
          <w:position w:val="0"/>
        </w:rPr>
        <w:t>。 同时变更公司名称为：深圳市赢时胜信息技术有限公司。</w:t>
      </w:r>
    </w:p>
    <w:p>
      <w:pPr>
        <w:pStyle w:val="Style24"/>
        <w:keepNext w:val="0"/>
        <w:keepLines w:val="0"/>
        <w:widowControl w:val="0"/>
        <w:shd w:val="clear" w:color="auto" w:fill="auto"/>
        <w:bidi w:val="0"/>
        <w:spacing w:before="0" w:after="0" w:line="313" w:lineRule="exact"/>
        <w:ind w:left="0" w:right="0" w:firstLine="52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日，根据公司</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日股东会决议，变更公司住所为深圳市福田区深南大道</w:t>
      </w:r>
      <w:r>
        <w:rPr>
          <w:rFonts w:ascii="Times New Roman" w:eastAsia="Times New Roman" w:hAnsi="Times New Roman" w:cs="Times New Roman"/>
          <w:color w:val="000000"/>
          <w:spacing w:val="0"/>
          <w:w w:val="100"/>
          <w:position w:val="0"/>
        </w:rPr>
        <w:t>4019</w:t>
      </w:r>
      <w:r>
        <w:rPr>
          <w:color w:val="000000"/>
          <w:spacing w:val="0"/>
          <w:w w:val="100"/>
          <w:position w:val="0"/>
        </w:rPr>
        <w:t>号航天大厦</w:t>
      </w:r>
      <w:r>
        <w:rPr>
          <w:rFonts w:ascii="Times New Roman" w:eastAsia="Times New Roman" w:hAnsi="Times New Roman" w:cs="Times New Roman"/>
          <w:color w:val="000000"/>
          <w:spacing w:val="0"/>
          <w:w w:val="100"/>
          <w:position w:val="0"/>
        </w:rPr>
        <w:t>611</w:t>
      </w:r>
      <w:r>
        <w:rPr>
          <w:color w:val="000000"/>
          <w:spacing w:val="0"/>
          <w:w w:val="100"/>
          <w:position w:val="0"/>
        </w:rPr>
        <w:t>室。</w:t>
      </w:r>
    </w:p>
    <w:p>
      <w:pPr>
        <w:pStyle w:val="Style24"/>
        <w:keepNext w:val="0"/>
        <w:keepLines w:val="0"/>
        <w:widowControl w:val="0"/>
        <w:shd w:val="clear" w:color="auto" w:fill="auto"/>
        <w:bidi w:val="0"/>
        <w:spacing w:before="0" w:after="0" w:line="313" w:lineRule="exact"/>
        <w:ind w:left="0" w:right="0" w:firstLine="52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日，根据</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日股东会决议，公司股东进行股权转让，新增股东鄢建红、周云杉、庞军三人，股 权变更后公司股东出资情况分别为：唐球出资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,800,000.00</w:t>
      </w:r>
      <w:r>
        <w:rPr>
          <w:color w:val="000000"/>
          <w:spacing w:val="0"/>
          <w:w w:val="100"/>
          <w:position w:val="0"/>
        </w:rPr>
        <w:t>元，持股比例</w:t>
      </w:r>
      <w:r>
        <w:rPr>
          <w:rFonts w:ascii="Times New Roman" w:eastAsia="Times New Roman" w:hAnsi="Times New Roman" w:cs="Times New Roman"/>
          <w:color w:val="000000"/>
          <w:spacing w:val="0"/>
          <w:w w:val="100"/>
          <w:position w:val="0"/>
        </w:rPr>
        <w:t xml:space="preserve">36% </w:t>
      </w:r>
      <w:r>
        <w:rPr>
          <w:color w:val="000000"/>
          <w:spacing w:val="0"/>
          <w:w w:val="100"/>
          <w:position w:val="0"/>
        </w:rPr>
        <w:t>；鄢建兵出资</w:t>
      </w:r>
      <w:r>
        <w:rPr>
          <w:rFonts w:ascii="Times New Roman" w:eastAsia="Times New Roman" w:hAnsi="Times New Roman" w:cs="Times New Roman"/>
          <w:color w:val="000000"/>
          <w:spacing w:val="0"/>
          <w:w w:val="100"/>
          <w:position w:val="0"/>
        </w:rPr>
        <w:t>1,100,000.00</w:t>
      </w:r>
      <w:r>
        <w:rPr>
          <w:color w:val="000000"/>
          <w:spacing w:val="0"/>
          <w:w w:val="100"/>
          <w:position w:val="0"/>
        </w:rPr>
        <w:t>元，持股比例</w:t>
      </w:r>
      <w:r>
        <w:rPr>
          <w:rFonts w:ascii="Times New Roman" w:eastAsia="Times New Roman" w:hAnsi="Times New Roman" w:cs="Times New Roman"/>
          <w:color w:val="000000"/>
          <w:spacing w:val="0"/>
          <w:w w:val="100"/>
          <w:position w:val="0"/>
        </w:rPr>
        <w:t>22%</w:t>
      </w:r>
      <w:r>
        <w:rPr>
          <w:color w:val="000000"/>
          <w:spacing w:val="0"/>
          <w:w w:val="100"/>
          <w:position w:val="0"/>
        </w:rPr>
        <w:t>； 张列出资</w:t>
      </w:r>
      <w:r>
        <w:rPr>
          <w:rFonts w:ascii="Times New Roman" w:eastAsia="Times New Roman" w:hAnsi="Times New Roman" w:cs="Times New Roman"/>
          <w:color w:val="000000"/>
          <w:spacing w:val="0"/>
          <w:w w:val="100"/>
          <w:position w:val="0"/>
        </w:rPr>
        <w:t>1,100,000.00</w:t>
      </w:r>
      <w:r>
        <w:rPr>
          <w:color w:val="000000"/>
          <w:spacing w:val="0"/>
          <w:w w:val="100"/>
          <w:position w:val="0"/>
        </w:rPr>
        <w:t>元，持股比例</w:t>
      </w:r>
      <w:r>
        <w:rPr>
          <w:rFonts w:ascii="Times New Roman" w:eastAsia="Times New Roman" w:hAnsi="Times New Roman" w:cs="Times New Roman"/>
          <w:color w:val="000000"/>
          <w:spacing w:val="0"/>
          <w:w w:val="100"/>
          <w:position w:val="0"/>
        </w:rPr>
        <w:t>22%</w:t>
      </w:r>
      <w:r>
        <w:rPr>
          <w:color w:val="000000"/>
          <w:spacing w:val="0"/>
          <w:w w:val="100"/>
          <w:position w:val="0"/>
        </w:rPr>
        <w:t>；鄢建红出资</w:t>
      </w:r>
      <w:r>
        <w:rPr>
          <w:rFonts w:ascii="Times New Roman" w:eastAsia="Times New Roman" w:hAnsi="Times New Roman" w:cs="Times New Roman"/>
          <w:color w:val="000000"/>
          <w:spacing w:val="0"/>
          <w:w w:val="100"/>
          <w:position w:val="0"/>
        </w:rPr>
        <w:t>500,0</w:t>
      </w:r>
      <w:r>
        <w:rPr>
          <w:rFonts w:ascii="Times New Roman" w:eastAsia="Times New Roman" w:hAnsi="Times New Roman" w:cs="Times New Roman"/>
          <w:color w:val="000000"/>
          <w:spacing w:val="0"/>
          <w:w w:val="100"/>
          <w:position w:val="0"/>
        </w:rPr>
        <w:t>00.00</w:t>
      </w:r>
      <w:r>
        <w:rPr>
          <w:color w:val="000000"/>
          <w:spacing w:val="0"/>
          <w:w w:val="100"/>
          <w:position w:val="0"/>
        </w:rPr>
        <w:t>元，持股比例</w:t>
      </w:r>
      <w:r>
        <w:rPr>
          <w:rFonts w:ascii="Times New Roman" w:eastAsia="Times New Roman" w:hAnsi="Times New Roman" w:cs="Times New Roman"/>
          <w:color w:val="000000"/>
          <w:spacing w:val="0"/>
          <w:w w:val="100"/>
          <w:position w:val="0"/>
        </w:rPr>
        <w:t>10%</w:t>
      </w:r>
      <w:r>
        <w:rPr>
          <w:color w:val="000000"/>
          <w:spacing w:val="0"/>
          <w:w w:val="100"/>
          <w:position w:val="0"/>
        </w:rPr>
        <w:t>；周云杉出资</w:t>
      </w:r>
      <w:r>
        <w:rPr>
          <w:rFonts w:ascii="Times New Roman" w:eastAsia="Times New Roman" w:hAnsi="Times New Roman" w:cs="Times New Roman"/>
          <w:color w:val="000000"/>
          <w:spacing w:val="0"/>
          <w:w w:val="100"/>
          <w:position w:val="0"/>
        </w:rPr>
        <w:t>300,000.00</w:t>
      </w:r>
      <w:r>
        <w:rPr>
          <w:color w:val="000000"/>
          <w:spacing w:val="0"/>
          <w:w w:val="100"/>
          <w:position w:val="0"/>
        </w:rPr>
        <w:t>元，持股比例</w:t>
      </w:r>
      <w:r>
        <w:rPr>
          <w:rFonts w:ascii="Times New Roman" w:eastAsia="Times New Roman" w:hAnsi="Times New Roman" w:cs="Times New Roman"/>
          <w:color w:val="000000"/>
          <w:spacing w:val="0"/>
          <w:w w:val="100"/>
          <w:position w:val="0"/>
        </w:rPr>
        <w:t>6%</w:t>
      </w:r>
      <w:r>
        <w:rPr>
          <w:color w:val="000000"/>
          <w:spacing w:val="0"/>
          <w:w w:val="100"/>
          <w:position w:val="0"/>
        </w:rPr>
        <w:t>； 庞军出资</w:t>
      </w:r>
      <w:r>
        <w:rPr>
          <w:rFonts w:ascii="Times New Roman" w:eastAsia="Times New Roman" w:hAnsi="Times New Roman" w:cs="Times New Roman"/>
          <w:color w:val="000000"/>
          <w:spacing w:val="0"/>
          <w:w w:val="100"/>
          <w:position w:val="0"/>
        </w:rPr>
        <w:t>200,000.00</w:t>
      </w:r>
      <w:r>
        <w:rPr>
          <w:color w:val="000000"/>
          <w:spacing w:val="0"/>
          <w:w w:val="100"/>
          <w:position w:val="0"/>
        </w:rPr>
        <w:t>元，持股比例</w:t>
      </w:r>
      <w:r>
        <w:rPr>
          <w:rFonts w:ascii="Times New Roman" w:eastAsia="Times New Roman" w:hAnsi="Times New Roman" w:cs="Times New Roman"/>
          <w:color w:val="000000"/>
          <w:spacing w:val="0"/>
          <w:w w:val="100"/>
          <w:position w:val="0"/>
        </w:rPr>
        <w:t>4%</w:t>
      </w:r>
      <w:r>
        <w:rPr>
          <w:color w:val="000000"/>
          <w:spacing w:val="0"/>
          <w:w w:val="100"/>
          <w:position w:val="0"/>
        </w:rPr>
        <w:t>。此次股权转让业经广东省深圳市公证处公证，公证书编号：</w:t>
      </w:r>
      <w:r>
        <w:rPr>
          <w:rFonts w:ascii="Times New Roman" w:eastAsia="Times New Roman" w:hAnsi="Times New Roman" w:cs="Times New Roman"/>
          <w:color w:val="000000"/>
          <w:spacing w:val="0"/>
          <w:w w:val="100"/>
          <w:position w:val="0"/>
        </w:rPr>
        <w:t>［2006</w:t>
      </w:r>
      <w:r>
        <w:rPr>
          <w:rFonts w:ascii="Times New Roman" w:eastAsia="Times New Roman" w:hAnsi="Times New Roman" w:cs="Times New Roman"/>
          <w:color w:val="000000"/>
          <w:spacing w:val="0"/>
          <w:w w:val="100"/>
          <w:position w:val="0"/>
        </w:rPr>
        <w:t>］</w:t>
      </w:r>
      <w:r>
        <w:rPr>
          <w:color w:val="000000"/>
          <w:spacing w:val="0"/>
          <w:w w:val="100"/>
          <w:position w:val="0"/>
        </w:rPr>
        <w:t>深证字第</w:t>
      </w:r>
      <w:r>
        <w:rPr>
          <w:rFonts w:ascii="Times New Roman" w:eastAsia="Times New Roman" w:hAnsi="Times New Roman" w:cs="Times New Roman"/>
          <w:color w:val="000000"/>
          <w:spacing w:val="0"/>
          <w:w w:val="100"/>
          <w:position w:val="0"/>
        </w:rPr>
        <w:t>86134</w:t>
      </w:r>
      <w:r>
        <w:rPr>
          <w:color w:val="000000"/>
          <w:spacing w:val="0"/>
          <w:w w:val="100"/>
          <w:position w:val="0"/>
        </w:rPr>
        <w:t>号。 深圳市工商行政管理局予以变更登记并核发新的企业法人营业执照，法定代表人唐球。</w:t>
      </w:r>
    </w:p>
    <w:p>
      <w:pPr>
        <w:pStyle w:val="Style24"/>
        <w:keepNext w:val="0"/>
        <w:keepLines w:val="0"/>
        <w:widowControl w:val="0"/>
        <w:shd w:val="clear" w:color="auto" w:fill="auto"/>
        <w:bidi w:val="0"/>
        <w:spacing w:before="0" w:after="0" w:line="313" w:lineRule="exact"/>
        <w:ind w:left="0" w:right="0" w:firstLine="52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日，根据</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日股东会决议，变更公司住所为：深圳市福田区深南中路与广深高速公路交界东南 金运世纪大厦</w:t>
      </w:r>
      <w:r>
        <w:rPr>
          <w:rFonts w:ascii="Times New Roman" w:eastAsia="Times New Roman" w:hAnsi="Times New Roman" w:cs="Times New Roman"/>
          <w:color w:val="000000"/>
          <w:spacing w:val="0"/>
          <w:w w:val="100"/>
          <w:position w:val="0"/>
        </w:rPr>
        <w:t>13</w:t>
      </w:r>
      <w:r>
        <w:rPr>
          <w:color w:val="000000"/>
          <w:spacing w:val="0"/>
          <w:w w:val="100"/>
          <w:position w:val="0"/>
        </w:rPr>
        <w:t>层</w:t>
      </w:r>
      <w:r>
        <w:rPr>
          <w:rFonts w:ascii="Times New Roman" w:eastAsia="Times New Roman" w:hAnsi="Times New Roman" w:cs="Times New Roman"/>
          <w:color w:val="000000"/>
          <w:spacing w:val="0"/>
          <w:w w:val="100"/>
          <w:position w:val="0"/>
        </w:rPr>
        <w:t>13F</w:t>
      </w:r>
      <w:r>
        <w:rPr>
          <w:color w:val="000000"/>
          <w:spacing w:val="0"/>
          <w:w w:val="100"/>
          <w:position w:val="0"/>
        </w:rPr>
        <w:t>，企业法人营业执照注册号升级为：</w:t>
      </w:r>
      <w:r>
        <w:rPr>
          <w:rFonts w:ascii="Times New Roman" w:eastAsia="Times New Roman" w:hAnsi="Times New Roman" w:cs="Times New Roman"/>
          <w:color w:val="000000"/>
          <w:spacing w:val="0"/>
          <w:w w:val="100"/>
          <w:position w:val="0"/>
        </w:rPr>
        <w:t>440301103944755</w:t>
      </w:r>
      <w:r>
        <w:rPr>
          <w:color w:val="000000"/>
          <w:spacing w:val="0"/>
          <w:w w:val="100"/>
          <w:position w:val="0"/>
        </w:rPr>
        <w:t>。</w:t>
      </w:r>
    </w:p>
    <w:p>
      <w:pPr>
        <w:pStyle w:val="Style24"/>
        <w:keepNext w:val="0"/>
        <w:keepLines w:val="0"/>
        <w:widowControl w:val="0"/>
        <w:shd w:val="clear" w:color="auto" w:fill="auto"/>
        <w:bidi w:val="0"/>
        <w:spacing w:before="0" w:after="0" w:line="313" w:lineRule="exact"/>
        <w:ind w:left="0" w:right="0" w:firstLine="52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日及</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日的股东会决议，股东张列将其持有的</w:t>
      </w:r>
      <w:r>
        <w:rPr>
          <w:rFonts w:ascii="Times New Roman" w:eastAsia="Times New Roman" w:hAnsi="Times New Roman" w:cs="Times New Roman"/>
          <w:color w:val="000000"/>
          <w:spacing w:val="0"/>
          <w:w w:val="100"/>
          <w:position w:val="0"/>
        </w:rPr>
        <w:t>4.1809%</w:t>
      </w:r>
      <w:r>
        <w:rPr>
          <w:color w:val="000000"/>
          <w:spacing w:val="0"/>
          <w:w w:val="100"/>
          <w:position w:val="0"/>
        </w:rPr>
        <w:t>股权转让给周云杉、庞军、管文源等</w:t>
      </w:r>
      <w:r>
        <w:rPr>
          <w:rFonts w:ascii="Times New Roman" w:eastAsia="Times New Roman" w:hAnsi="Times New Roman" w:cs="Times New Roman"/>
          <w:color w:val="000000"/>
          <w:spacing w:val="0"/>
          <w:w w:val="100"/>
          <w:position w:val="0"/>
        </w:rPr>
        <w:t xml:space="preserve">19 </w:t>
      </w:r>
      <w:r>
        <w:rPr>
          <w:color w:val="000000"/>
          <w:spacing w:val="0"/>
          <w:w w:val="100"/>
          <w:position w:val="0"/>
        </w:rPr>
        <w:t>名自然人，股东鄢建兵将其持有的</w:t>
      </w:r>
      <w:r>
        <w:rPr>
          <w:rFonts w:ascii="Times New Roman" w:eastAsia="Times New Roman" w:hAnsi="Times New Roman" w:cs="Times New Roman"/>
          <w:color w:val="000000"/>
          <w:spacing w:val="0"/>
          <w:w w:val="100"/>
          <w:position w:val="0"/>
        </w:rPr>
        <w:t>4.1809%</w:t>
      </w:r>
      <w:r>
        <w:rPr>
          <w:color w:val="000000"/>
          <w:spacing w:val="0"/>
          <w:w w:val="100"/>
          <w:position w:val="0"/>
        </w:rPr>
        <w:t>股权转让给唐球、鄢建红、何丹等</w:t>
      </w:r>
      <w:r>
        <w:rPr>
          <w:rFonts w:ascii="Times New Roman" w:eastAsia="Times New Roman" w:hAnsi="Times New Roman" w:cs="Times New Roman"/>
          <w:color w:val="000000"/>
          <w:spacing w:val="0"/>
          <w:w w:val="100"/>
          <w:position w:val="0"/>
        </w:rPr>
        <w:t>24</w:t>
      </w:r>
      <w:r>
        <w:rPr>
          <w:color w:val="000000"/>
          <w:spacing w:val="0"/>
          <w:w w:val="100"/>
          <w:position w:val="0"/>
        </w:rPr>
        <w:t>名自然人。此次股权转让业经广东省深圳市 公证处（</w:t>
      </w:r>
      <w:r>
        <w:rPr>
          <w:rFonts w:ascii="Times New Roman" w:eastAsia="Times New Roman" w:hAnsi="Times New Roman" w:cs="Times New Roman"/>
          <w:color w:val="000000"/>
          <w:spacing w:val="0"/>
          <w:w w:val="100"/>
          <w:position w:val="0"/>
        </w:rPr>
        <w:t>2009</w:t>
      </w:r>
      <w:r>
        <w:rPr>
          <w:color w:val="000000"/>
          <w:spacing w:val="0"/>
          <w:w w:val="100"/>
          <w:position w:val="0"/>
        </w:rPr>
        <w:t>）深证字第</w:t>
      </w:r>
      <w:r>
        <w:rPr>
          <w:rFonts w:ascii="Times New Roman" w:eastAsia="Times New Roman" w:hAnsi="Times New Roman" w:cs="Times New Roman"/>
          <w:color w:val="000000"/>
          <w:spacing w:val="0"/>
          <w:w w:val="100"/>
          <w:position w:val="0"/>
        </w:rPr>
        <w:t>195779</w:t>
      </w:r>
      <w:r>
        <w:rPr>
          <w:color w:val="000000"/>
          <w:spacing w:val="0"/>
          <w:w w:val="100"/>
          <w:position w:val="0"/>
        </w:rPr>
        <w:t>至</w:t>
      </w:r>
      <w:r>
        <w:rPr>
          <w:rFonts w:ascii="Times New Roman" w:eastAsia="Times New Roman" w:hAnsi="Times New Roman" w:cs="Times New Roman"/>
          <w:color w:val="000000"/>
          <w:spacing w:val="0"/>
          <w:w w:val="100"/>
          <w:position w:val="0"/>
        </w:rPr>
        <w:t>195821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43</w:t>
      </w:r>
      <w:r>
        <w:rPr>
          <w:color w:val="000000"/>
          <w:spacing w:val="0"/>
          <w:w w:val="100"/>
          <w:position w:val="0"/>
        </w:rPr>
        <w:t>份</w:t>
      </w:r>
      <w:r>
        <w:rPr>
          <w:rFonts w:ascii="Times New Roman" w:eastAsia="Times New Roman" w:hAnsi="Times New Roman" w:cs="Times New Roman"/>
          <w:color w:val="000000"/>
          <w:spacing w:val="0"/>
          <w:w w:val="100"/>
          <w:position w:val="0"/>
        </w:rPr>
        <w:t>）</w:t>
      </w:r>
      <w:r>
        <w:rPr>
          <w:color w:val="000000"/>
          <w:spacing w:val="0"/>
          <w:w w:val="100"/>
          <w:position w:val="0"/>
        </w:rPr>
        <w:t>公证书公证。股权转让后，公司的股东共</w:t>
      </w:r>
      <w:r>
        <w:rPr>
          <w:rFonts w:ascii="Times New Roman" w:eastAsia="Times New Roman" w:hAnsi="Times New Roman" w:cs="Times New Roman"/>
          <w:color w:val="000000"/>
          <w:spacing w:val="0"/>
          <w:w w:val="100"/>
          <w:position w:val="0"/>
        </w:rPr>
        <w:t>44</w:t>
      </w:r>
      <w:r>
        <w:rPr>
          <w:color w:val="000000"/>
          <w:spacing w:val="0"/>
          <w:w w:val="100"/>
          <w:position w:val="0"/>
        </w:rPr>
        <w:t>名。</w:t>
      </w:r>
    </w:p>
    <w:p>
      <w:pPr>
        <w:pStyle w:val="Style24"/>
        <w:keepNext w:val="0"/>
        <w:keepLines w:val="0"/>
        <w:widowControl w:val="0"/>
        <w:shd w:val="clear" w:color="auto" w:fill="auto"/>
        <w:bidi w:val="0"/>
        <w:spacing w:before="0" w:after="0" w:line="313" w:lineRule="exact"/>
        <w:ind w:left="0" w:right="0" w:firstLine="52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日的股东会决议，公司注册资本由</w:t>
      </w:r>
      <w:r>
        <w:rPr>
          <w:rFonts w:ascii="Times New Roman" w:eastAsia="Times New Roman" w:hAnsi="Times New Roman" w:cs="Times New Roman"/>
          <w:color w:val="000000"/>
          <w:spacing w:val="0"/>
          <w:w w:val="100"/>
          <w:position w:val="0"/>
        </w:rPr>
        <w:t>5,000,000.00</w:t>
      </w:r>
      <w:r>
        <w:rPr>
          <w:color w:val="000000"/>
          <w:spacing w:val="0"/>
          <w:w w:val="100"/>
          <w:position w:val="0"/>
        </w:rPr>
        <w:t>元增加至</w:t>
      </w:r>
      <w:r>
        <w:rPr>
          <w:rFonts w:ascii="Times New Roman" w:eastAsia="Times New Roman" w:hAnsi="Times New Roman" w:cs="Times New Roman"/>
          <w:color w:val="000000"/>
          <w:spacing w:val="0"/>
          <w:w w:val="100"/>
          <w:position w:val="0"/>
        </w:rPr>
        <w:t>5,319,149.00</w:t>
      </w:r>
      <w:r>
        <w:rPr>
          <w:color w:val="000000"/>
          <w:spacing w:val="0"/>
          <w:w w:val="100"/>
          <w:position w:val="0"/>
        </w:rPr>
        <w:t>元。无锡华软投资管理有限公 司为新增股东，新增股东以现金实际出资</w:t>
      </w:r>
      <w:r>
        <w:rPr>
          <w:rFonts w:ascii="Times New Roman" w:eastAsia="Times New Roman" w:hAnsi="Times New Roman" w:cs="Times New Roman"/>
          <w:color w:val="000000"/>
          <w:spacing w:val="0"/>
          <w:w w:val="100"/>
          <w:position w:val="0"/>
        </w:rPr>
        <w:t>15,000,000.00</w:t>
      </w:r>
      <w:r>
        <w:rPr>
          <w:color w:val="000000"/>
          <w:spacing w:val="0"/>
          <w:w w:val="100"/>
          <w:position w:val="0"/>
        </w:rPr>
        <w:t>元，认购公司注册资本</w:t>
      </w:r>
      <w:r>
        <w:rPr>
          <w:rFonts w:ascii="Times New Roman" w:eastAsia="Times New Roman" w:hAnsi="Times New Roman" w:cs="Times New Roman"/>
          <w:color w:val="000000"/>
          <w:spacing w:val="0"/>
          <w:w w:val="100"/>
          <w:position w:val="0"/>
        </w:rPr>
        <w:t>319,149.00</w:t>
      </w:r>
      <w:r>
        <w:rPr>
          <w:color w:val="000000"/>
          <w:spacing w:val="0"/>
          <w:w w:val="100"/>
          <w:position w:val="0"/>
        </w:rPr>
        <w:t>元，占注册资本的</w:t>
      </w:r>
      <w:r>
        <w:rPr>
          <w:rFonts w:ascii="Times New Roman" w:eastAsia="Times New Roman" w:hAnsi="Times New Roman" w:cs="Times New Roman"/>
          <w:color w:val="000000"/>
          <w:spacing w:val="0"/>
          <w:w w:val="100"/>
          <w:position w:val="0"/>
        </w:rPr>
        <w:t>6%</w:t>
      </w:r>
      <w:r>
        <w:rPr>
          <w:color w:val="000000"/>
          <w:spacing w:val="0"/>
          <w:w w:val="100"/>
          <w:position w:val="0"/>
        </w:rPr>
        <w:t>。变更后的注 册资本为人民币</w:t>
      </w:r>
      <w:r>
        <w:rPr>
          <w:rFonts w:ascii="Times New Roman" w:eastAsia="Times New Roman" w:hAnsi="Times New Roman" w:cs="Times New Roman"/>
          <w:color w:val="000000"/>
          <w:spacing w:val="0"/>
          <w:w w:val="100"/>
          <w:position w:val="0"/>
        </w:rPr>
        <w:t>5,319,149.00</w:t>
      </w:r>
      <w:r>
        <w:rPr>
          <w:color w:val="000000"/>
          <w:spacing w:val="0"/>
          <w:w w:val="100"/>
          <w:position w:val="0"/>
        </w:rPr>
        <w:t>元，业经天职国际会计师事务所有限公司天职深核字</w:t>
      </w:r>
      <w:r>
        <w:rPr>
          <w:rFonts w:ascii="Times New Roman" w:eastAsia="Times New Roman" w:hAnsi="Times New Roman" w:cs="Times New Roman"/>
          <w:color w:val="000000"/>
          <w:spacing w:val="0"/>
          <w:w w:val="100"/>
          <w:position w:val="0"/>
        </w:rPr>
        <w:t>［2009］377</w:t>
      </w:r>
      <w:r>
        <w:rPr>
          <w:color w:val="000000"/>
          <w:spacing w:val="0"/>
          <w:w w:val="100"/>
          <w:position w:val="0"/>
        </w:rPr>
        <w:t>号验资报告验证。</w:t>
      </w:r>
    </w:p>
    <w:p>
      <w:pPr>
        <w:pStyle w:val="Style24"/>
        <w:keepNext w:val="0"/>
        <w:keepLines w:val="0"/>
        <w:widowControl w:val="0"/>
        <w:shd w:val="clear" w:color="auto" w:fill="auto"/>
        <w:bidi w:val="0"/>
        <w:spacing w:before="0" w:after="0" w:line="313" w:lineRule="exact"/>
        <w:ind w:left="0" w:right="0" w:firstLine="52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日的股东会决议：</w:t>
      </w:r>
      <w:r>
        <w:rPr>
          <w:rFonts w:ascii="Times New Roman" w:eastAsia="Times New Roman" w:hAnsi="Times New Roman" w:cs="Times New Roman"/>
          <w:color w:val="000000"/>
          <w:spacing w:val="0"/>
          <w:w w:val="100"/>
          <w:position w:val="0"/>
        </w:rPr>
        <w:t>1</w:t>
      </w:r>
      <w:r>
        <w:rPr>
          <w:color w:val="000000"/>
          <w:spacing w:val="0"/>
          <w:w w:val="100"/>
          <w:position w:val="0"/>
        </w:rPr>
        <w:t>、公司名称由</w:t>
      </w:r>
      <w:r>
        <w:rPr>
          <w:rFonts w:ascii="Times New Roman" w:eastAsia="Times New Roman" w:hAnsi="Times New Roman" w:cs="Times New Roman"/>
          <w:color w:val="000000"/>
          <w:spacing w:val="0"/>
          <w:w w:val="100"/>
          <w:position w:val="0"/>
        </w:rPr>
        <w:t>“</w:t>
      </w:r>
      <w:r>
        <w:rPr>
          <w:color w:val="000000"/>
          <w:spacing w:val="0"/>
          <w:w w:val="100"/>
          <w:position w:val="0"/>
        </w:rPr>
        <w:t>深圳市赢时胜信息技术有限公司</w:t>
      </w:r>
      <w:r>
        <w:rPr>
          <w:rFonts w:ascii="Times New Roman" w:eastAsia="Times New Roman" w:hAnsi="Times New Roman" w:cs="Times New Roman"/>
          <w:color w:val="000000"/>
          <w:spacing w:val="0"/>
          <w:w w:val="100"/>
          <w:position w:val="0"/>
        </w:rPr>
        <w:t>”</w:t>
      </w:r>
      <w:r>
        <w:rPr>
          <w:color w:val="000000"/>
          <w:spacing w:val="0"/>
          <w:w w:val="100"/>
          <w:position w:val="0"/>
        </w:rPr>
        <w:t>整体变更为</w:t>
      </w:r>
      <w:r>
        <w:rPr>
          <w:rFonts w:ascii="Times New Roman" w:eastAsia="Times New Roman" w:hAnsi="Times New Roman" w:cs="Times New Roman"/>
          <w:color w:val="000000"/>
          <w:spacing w:val="0"/>
          <w:w w:val="100"/>
          <w:position w:val="0"/>
        </w:rPr>
        <w:t>“</w:t>
      </w:r>
      <w:r>
        <w:rPr>
          <w:color w:val="000000"/>
          <w:spacing w:val="0"/>
          <w:w w:val="100"/>
          <w:position w:val="0"/>
        </w:rPr>
        <w:t>深圳市赢时胜信息 技术股份有限公司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、根据天职国际会计师事务所有限公司于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日出具的天职深审字</w:t>
      </w:r>
      <w:r>
        <w:rPr>
          <w:rFonts w:ascii="Times New Roman" w:eastAsia="Times New Roman" w:hAnsi="Times New Roman" w:cs="Times New Roman"/>
          <w:color w:val="000000"/>
          <w:spacing w:val="0"/>
          <w:w w:val="100"/>
          <w:position w:val="0"/>
        </w:rPr>
        <w:t>［2010］84-1</w:t>
      </w:r>
      <w:r>
        <w:rPr>
          <w:color w:val="000000"/>
          <w:spacing w:val="0"/>
          <w:w w:val="100"/>
          <w:position w:val="0"/>
        </w:rPr>
        <w:t>号审计报告，公 司以截至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日的净资产</w:t>
      </w:r>
      <w:r>
        <w:rPr>
          <w:rFonts w:ascii="Times New Roman" w:eastAsia="Times New Roman" w:hAnsi="Times New Roman" w:cs="Times New Roman"/>
          <w:color w:val="000000"/>
          <w:spacing w:val="0"/>
          <w:w w:val="100"/>
          <w:position w:val="0"/>
        </w:rPr>
        <w:t>55,407,464.99</w:t>
      </w:r>
      <w:r>
        <w:rPr>
          <w:color w:val="000000"/>
          <w:spacing w:val="0"/>
          <w:w w:val="100"/>
          <w:position w:val="0"/>
        </w:rPr>
        <w:t>元为基准，按</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0.5956</w:t>
      </w:r>
      <w:r>
        <w:rPr>
          <w:color w:val="000000"/>
          <w:spacing w:val="0"/>
          <w:w w:val="100"/>
          <w:position w:val="0"/>
        </w:rPr>
        <w:t>的比例折为</w:t>
      </w:r>
      <w:r>
        <w:rPr>
          <w:rFonts w:ascii="Times New Roman" w:eastAsia="Times New Roman" w:hAnsi="Times New Roman" w:cs="Times New Roman"/>
          <w:color w:val="000000"/>
          <w:spacing w:val="0"/>
          <w:w w:val="100"/>
          <w:position w:val="0"/>
        </w:rPr>
        <w:t>33,000,000.00</w:t>
      </w:r>
      <w:r>
        <w:rPr>
          <w:color w:val="000000"/>
          <w:spacing w:val="0"/>
          <w:w w:val="100"/>
          <w:position w:val="0"/>
        </w:rPr>
        <w:t>股，作为公司发起人股份， 其余</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2,407,464.99</w:t>
      </w:r>
      <w:r>
        <w:rPr>
          <w:color w:val="000000"/>
          <w:spacing w:val="0"/>
          <w:w w:val="100"/>
          <w:position w:val="0"/>
        </w:rPr>
        <w:t>元净资产作为公司的资本公积；</w:t>
      </w:r>
      <w:r>
        <w:rPr>
          <w:rFonts w:ascii="Times New Roman" w:eastAsia="Times New Roman" w:hAnsi="Times New Roman" w:cs="Times New Roman"/>
          <w:color w:val="000000"/>
          <w:spacing w:val="0"/>
          <w:w w:val="100"/>
          <w:position w:val="0"/>
        </w:rPr>
        <w:t>3</w:t>
      </w:r>
      <w:r>
        <w:rPr>
          <w:color w:val="000000"/>
          <w:spacing w:val="0"/>
          <w:w w:val="100"/>
          <w:position w:val="0"/>
        </w:rPr>
        <w:t>、本次变更后公司注册资本为人民币</w:t>
      </w:r>
      <w:r>
        <w:rPr>
          <w:rFonts w:ascii="Times New Roman" w:eastAsia="Times New Roman" w:hAnsi="Times New Roman" w:cs="Times New Roman"/>
          <w:color w:val="000000"/>
          <w:spacing w:val="0"/>
          <w:w w:val="100"/>
          <w:position w:val="0"/>
        </w:rPr>
        <w:t>33,000,000.00</w:t>
      </w:r>
      <w:r>
        <w:rPr>
          <w:color w:val="000000"/>
          <w:spacing w:val="0"/>
          <w:w w:val="100"/>
          <w:position w:val="0"/>
        </w:rPr>
        <w:t>元，业经天职国际会计 师事务所有限公司天职深核字</w:t>
      </w:r>
      <w:r>
        <w:rPr>
          <w:rFonts w:ascii="Times New Roman" w:eastAsia="Times New Roman" w:hAnsi="Times New Roman" w:cs="Times New Roman"/>
          <w:color w:val="000000"/>
          <w:spacing w:val="0"/>
          <w:w w:val="100"/>
          <w:position w:val="0"/>
        </w:rPr>
        <w:t>［2010］266</w:t>
      </w:r>
      <w:r>
        <w:rPr>
          <w:color w:val="000000"/>
          <w:spacing w:val="0"/>
          <w:w w:val="100"/>
          <w:position w:val="0"/>
        </w:rPr>
        <w:t>号验资报告验证。</w:t>
      </w:r>
    </w:p>
    <w:p>
      <w:pPr>
        <w:pStyle w:val="Style24"/>
        <w:keepNext w:val="0"/>
        <w:keepLines w:val="0"/>
        <w:widowControl w:val="0"/>
        <w:shd w:val="clear" w:color="auto" w:fill="auto"/>
        <w:bidi w:val="0"/>
        <w:spacing w:before="0" w:after="0" w:line="313" w:lineRule="exact"/>
        <w:ind w:left="0" w:right="0" w:firstLine="52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日第一届董事会第二次会议决议，</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日第一次临时股东大会决议和修改后的公司章程 的规定，公司注册资本由</w:t>
      </w:r>
      <w:r>
        <w:rPr>
          <w:rFonts w:ascii="Times New Roman" w:eastAsia="Times New Roman" w:hAnsi="Times New Roman" w:cs="Times New Roman"/>
          <w:color w:val="000000"/>
          <w:spacing w:val="0"/>
          <w:w w:val="100"/>
          <w:position w:val="0"/>
        </w:rPr>
        <w:t>33,000,000.00</w:t>
      </w:r>
      <w:r>
        <w:rPr>
          <w:color w:val="000000"/>
          <w:spacing w:val="0"/>
          <w:w w:val="100"/>
          <w:position w:val="0"/>
        </w:rPr>
        <w:t>元增加至</w:t>
      </w:r>
      <w:r>
        <w:rPr>
          <w:rFonts w:ascii="Times New Roman" w:eastAsia="Times New Roman" w:hAnsi="Times New Roman" w:cs="Times New Roman"/>
          <w:color w:val="000000"/>
          <w:spacing w:val="0"/>
          <w:w w:val="100"/>
          <w:position w:val="0"/>
        </w:rPr>
        <w:t>33,100,000.00</w:t>
      </w:r>
      <w:r>
        <w:rPr>
          <w:color w:val="000000"/>
          <w:spacing w:val="0"/>
          <w:w w:val="100"/>
          <w:position w:val="0"/>
        </w:rPr>
        <w:t>元，王安锋为新增股东，新增股东以现金实际出资</w:t>
      </w:r>
      <w:r>
        <w:rPr>
          <w:rFonts w:ascii="Times New Roman" w:eastAsia="Times New Roman" w:hAnsi="Times New Roman" w:cs="Times New Roman"/>
          <w:color w:val="000000"/>
          <w:spacing w:val="0"/>
          <w:w w:val="100"/>
          <w:position w:val="0"/>
        </w:rPr>
        <w:t>180,000.00</w:t>
        <w:br w:type="page"/>
      </w:r>
      <w:r>
        <w:rPr>
          <w:color w:val="000000"/>
          <w:spacing w:val="0"/>
          <w:w w:val="100"/>
          <w:position w:val="0"/>
        </w:rPr>
        <w:t>元，认购公司注册资本</w:t>
      </w:r>
      <w:r>
        <w:rPr>
          <w:rFonts w:ascii="Times New Roman" w:eastAsia="Times New Roman" w:hAnsi="Times New Roman" w:cs="Times New Roman"/>
          <w:color w:val="000000"/>
          <w:spacing w:val="0"/>
          <w:w w:val="100"/>
          <w:position w:val="0"/>
        </w:rPr>
        <w:t>100,000.00</w:t>
      </w:r>
      <w:r>
        <w:rPr>
          <w:color w:val="000000"/>
          <w:spacing w:val="0"/>
          <w:w w:val="100"/>
          <w:position w:val="0"/>
        </w:rPr>
        <w:t>元，占注册资本的</w:t>
      </w:r>
      <w:r>
        <w:rPr>
          <w:rFonts w:ascii="Times New Roman" w:eastAsia="Times New Roman" w:hAnsi="Times New Roman" w:cs="Times New Roman"/>
          <w:color w:val="000000"/>
          <w:spacing w:val="0"/>
          <w:w w:val="100"/>
          <w:position w:val="0"/>
        </w:rPr>
        <w:t>0.30%</w:t>
      </w:r>
      <w:r>
        <w:rPr>
          <w:color w:val="000000"/>
          <w:spacing w:val="0"/>
          <w:w w:val="100"/>
          <w:position w:val="0"/>
        </w:rPr>
        <w:t>，其余</w:t>
      </w:r>
      <w:r>
        <w:rPr>
          <w:rFonts w:ascii="Times New Roman" w:eastAsia="Times New Roman" w:hAnsi="Times New Roman" w:cs="Times New Roman"/>
          <w:color w:val="000000"/>
          <w:spacing w:val="0"/>
          <w:w w:val="100"/>
          <w:position w:val="0"/>
        </w:rPr>
        <w:t>80,000.00</w:t>
      </w:r>
      <w:r>
        <w:rPr>
          <w:color w:val="000000"/>
          <w:spacing w:val="0"/>
          <w:w w:val="100"/>
          <w:position w:val="0"/>
        </w:rPr>
        <w:t xml:space="preserve">元作为公司的资本公积。变更后的注册资本为 </w:t>
      </w:r>
      <w:r>
        <w:rPr>
          <w:rFonts w:ascii="Times New Roman" w:eastAsia="Times New Roman" w:hAnsi="Times New Roman" w:cs="Times New Roman"/>
          <w:color w:val="000000"/>
          <w:spacing w:val="0"/>
          <w:w w:val="100"/>
          <w:position w:val="0"/>
        </w:rPr>
        <w:t>33,100,000.00</w:t>
      </w:r>
      <w:r>
        <w:rPr>
          <w:color w:val="000000"/>
          <w:spacing w:val="0"/>
          <w:w w:val="100"/>
          <w:position w:val="0"/>
        </w:rPr>
        <w:t>元，业经天职国际会计师事务所有限公司天职深核字</w:t>
      </w:r>
      <w:r>
        <w:rPr>
          <w:rFonts w:ascii="Times New Roman" w:eastAsia="Times New Roman" w:hAnsi="Times New Roman" w:cs="Times New Roman"/>
          <w:color w:val="000000"/>
          <w:spacing w:val="0"/>
          <w:w w:val="100"/>
          <w:position w:val="0"/>
        </w:rPr>
        <w:t>[2010]443</w:t>
      </w:r>
      <w:r>
        <w:rPr>
          <w:color w:val="000000"/>
          <w:spacing w:val="0"/>
          <w:w w:val="100"/>
          <w:position w:val="0"/>
        </w:rPr>
        <w:t>号验资报告验证。</w:t>
      </w:r>
    </w:p>
    <w:p>
      <w:pPr>
        <w:pStyle w:val="Style24"/>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2010</w:t>
      </w:r>
      <w:r>
        <w:rPr>
          <w:color w:val="000000"/>
          <w:spacing w:val="0"/>
          <w:w w:val="100"/>
          <w:position w:val="0"/>
        </w:rPr>
        <w:t>年第二次临时股东大会决议，公司由资本公积转增注册资本</w:t>
      </w:r>
      <w:r>
        <w:rPr>
          <w:rFonts w:ascii="Times New Roman" w:eastAsia="Times New Roman" w:hAnsi="Times New Roman" w:cs="Times New Roman"/>
          <w:color w:val="000000"/>
          <w:spacing w:val="0"/>
          <w:w w:val="100"/>
          <w:position w:val="0"/>
        </w:rPr>
        <w:t>11,900,000.00</w:t>
      </w:r>
      <w:r>
        <w:rPr>
          <w:color w:val="000000"/>
          <w:spacing w:val="0"/>
          <w:w w:val="100"/>
          <w:position w:val="0"/>
        </w:rPr>
        <w:t>元，转增基准日期为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日。变更后的注册资本为人民</w:t>
      </w:r>
      <w:r>
        <w:rPr>
          <w:rFonts w:ascii="Times New Roman" w:eastAsia="Times New Roman" w:hAnsi="Times New Roman" w:cs="Times New Roman"/>
          <w:color w:val="000000"/>
          <w:spacing w:val="0"/>
          <w:w w:val="100"/>
          <w:position w:val="0"/>
        </w:rPr>
        <w:t>45,000,000.00</w:t>
      </w:r>
      <w:r>
        <w:rPr>
          <w:color w:val="000000"/>
          <w:spacing w:val="0"/>
          <w:w w:val="100"/>
          <w:position w:val="0"/>
        </w:rPr>
        <w:t>元，业经天职国际会计师事务所有限公司天职深核字</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010]499</w:t>
      </w:r>
      <w:r>
        <w:rPr>
          <w:color w:val="000000"/>
          <w:spacing w:val="0"/>
          <w:w w:val="100"/>
          <w:position w:val="0"/>
        </w:rPr>
        <w:t>号验资报告验 证。</w:t>
      </w:r>
    </w:p>
    <w:p>
      <w:pPr>
        <w:pStyle w:val="Style24"/>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公司股东无锡华软投资管理有限公司于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日将其持有的</w:t>
      </w:r>
      <w:r>
        <w:rPr>
          <w:rFonts w:ascii="Times New Roman" w:eastAsia="Times New Roman" w:hAnsi="Times New Roman" w:cs="Times New Roman"/>
          <w:color w:val="000000"/>
          <w:spacing w:val="0"/>
          <w:w w:val="100"/>
          <w:position w:val="0"/>
        </w:rPr>
        <w:t>5.9819%</w:t>
      </w:r>
      <w:r>
        <w:rPr>
          <w:color w:val="000000"/>
          <w:spacing w:val="0"/>
          <w:w w:val="100"/>
          <w:position w:val="0"/>
        </w:rPr>
        <w:t>股权转让给华软创业投资无锡合伙企业（有 限合伙），公司于</w:t>
      </w:r>
      <w:r>
        <w:rPr>
          <w:rFonts w:ascii="Times New Roman" w:eastAsia="Times New Roman" w:hAnsi="Times New Roman" w:cs="Times New Roman"/>
          <w:color w:val="000000"/>
          <w:spacing w:val="0"/>
          <w:w w:val="100"/>
          <w:position w:val="0"/>
        </w:rPr>
        <w:t>2 011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日办理工商变更登记。</w:t>
      </w:r>
    </w:p>
    <w:p>
      <w:pPr>
        <w:pStyle w:val="Style24"/>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日股东大会决议，变更公司住所为：深圳市福田区深南路与新洲路交汇处东南侧航 天大厦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611A</w:t>
      </w:r>
      <w:r>
        <w:rPr>
          <w:color w:val="000000"/>
          <w:spacing w:val="0"/>
          <w:w w:val="100"/>
          <w:position w:val="0"/>
        </w:rPr>
        <w:t>。</w:t>
      </w:r>
    </w:p>
    <w:p>
      <w:pPr>
        <w:pStyle w:val="Style24"/>
        <w:keepNext w:val="0"/>
        <w:keepLines w:val="0"/>
        <w:widowControl w:val="0"/>
        <w:shd w:val="clear" w:color="auto" w:fill="auto"/>
        <w:bidi w:val="0"/>
        <w:spacing w:before="0" w:after="60" w:line="312" w:lineRule="exact"/>
        <w:ind w:left="0" w:right="0" w:firstLine="520"/>
        <w:jc w:val="both"/>
      </w:pPr>
      <w:r>
        <w:rPr>
          <w:color w:val="000000"/>
          <w:spacing w:val="0"/>
          <w:w w:val="100"/>
          <w:position w:val="0"/>
        </w:rPr>
        <w:t>公司经营范围：计算机软件的技术开发、咨询（不含限制项目）、销售及售后服务（法律、行政法规、国务院决定禁 止的项目除外，限制的项目须取得许可后方可经营）；计算机系统集成的技术开发；计算机硬件及外部设备的开发及销售</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软件业务外包及相关服务；受金融机构委托从事金融业务流程外包、金融信息技术外包、金融知识流程外包、金融信息数据 服务；金融信息咨询。</w:t>
      </w:r>
    </w:p>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公司基本架构如下图所示：</w:t>
      </w:r>
    </w:p>
    <w:p>
      <w:pPr>
        <w:widowControl w:val="0"/>
        <w:spacing w:line="1" w:lineRule="exact"/>
      </w:pPr>
      <w:r>
        <w:drawing>
          <wp:anchor distT="25400" distB="0" distL="0" distR="0" simplePos="0" relativeHeight="125829396" behindDoc="0" locked="0" layoutInCell="1" allowOverlap="1">
            <wp:simplePos x="0" y="0"/>
            <wp:positionH relativeFrom="page">
              <wp:posOffset>1337310</wp:posOffset>
            </wp:positionH>
            <wp:positionV relativeFrom="paragraph">
              <wp:posOffset>25400</wp:posOffset>
            </wp:positionV>
            <wp:extent cx="5480050" cy="304800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3"/>
                    <a:stretch/>
                  </pic:blipFill>
                  <pic:spPr>
                    <a:xfrm>
                      <a:ext cx="5480050" cy="30480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4820920</wp:posOffset>
                </wp:positionH>
                <wp:positionV relativeFrom="paragraph">
                  <wp:posOffset>345440</wp:posOffset>
                </wp:positionV>
                <wp:extent cx="1569720" cy="411480"/>
                <wp:wrapNone/>
                <wp:docPr id="33" name="Shape 33"/>
                <a:graphic xmlns:a="http://schemas.openxmlformats.org/drawingml/2006/main">
                  <a:graphicData uri="http://schemas.microsoft.com/office/word/2010/wordprocessingShape">
                    <wps:wsp>
                      <wps:cNvSpPr txBox="1"/>
                      <wps:spPr>
                        <a:xfrm>
                          <a:ext cx="1569720" cy="411480"/>
                        </a:xfrm>
                        <a:prstGeom prst="rect"/>
                        <a:noFill/>
                      </wps:spPr>
                      <wps:txbx>
                        <w:txbxContent>
                          <w:p>
                            <w:pPr>
                              <w:pStyle w:val="Style43"/>
                              <w:keepNext w:val="0"/>
                              <w:keepLines w:val="0"/>
                              <w:widowControl w:val="0"/>
                              <w:shd w:val="clear" w:color="auto" w:fill="auto"/>
                              <w:bidi w:val="0"/>
                              <w:spacing w:before="0" w:after="0"/>
                              <w:ind w:left="0" w:right="0" w:firstLine="0"/>
                              <w:jc w:val="left"/>
                            </w:pPr>
                            <w:r>
                              <w:rPr>
                                <w:spacing w:val="0"/>
                                <w:w w:val="100"/>
                                <w:position w:val="0"/>
                                <w:u w:val="none"/>
                              </w:rPr>
                              <w:t>—</w:t>
                            </w:r>
                            <w:r>
                              <w:rPr>
                                <w:spacing w:val="0"/>
                                <w:w w:val="100"/>
                                <w:position w:val="0"/>
                              </w:rPr>
                              <w:t xml:space="preserve">| 握#登员会 </w:t>
                            </w:r>
                            <w:r>
                              <w:rPr>
                                <w:color w:val="3C3D3E"/>
                                <w:spacing w:val="0"/>
                                <w:w w:val="100"/>
                                <w:position w:val="0"/>
                                <w:u w:val="none"/>
                              </w:rPr>
                              <w:t>一</w:t>
                            </w:r>
                            <w:r>
                              <w:rPr>
                                <w:spacing w:val="0"/>
                                <w:w w:val="100"/>
                                <w:position w:val="0"/>
                              </w:rPr>
                              <w:t>|</w:t>
                            </w:r>
                            <w:r>
                              <w:rPr>
                                <w:color w:val="375989"/>
                                <w:spacing w:val="0"/>
                                <w:w w:val="100"/>
                                <w:position w:val="0"/>
                              </w:rPr>
                              <w:t>粉制与考核卷员会</w:t>
                            </w:r>
                            <w:r>
                              <w:rPr>
                                <w:spacing w:val="0"/>
                                <w:w w:val="100"/>
                                <w:position w:val="0"/>
                              </w:rPr>
                              <w:t>|</w:t>
                            </w:r>
                          </w:p>
                        </w:txbxContent>
                      </wps:txbx>
                      <wps:bodyPr lIns="0" tIns="0" rIns="0" bIns="0">
                        <a:noAutoFit/>
                      </wps:bodyPr>
                    </wps:wsp>
                  </a:graphicData>
                </a:graphic>
              </wp:anchor>
            </w:drawing>
          </mc:Choice>
          <mc:Fallback>
            <w:pict>
              <v:shape id="_x0000_s1059" type="#_x0000_t202" style="position:absolute;margin-left:379.60000000000002pt;margin-top:27.199999999999999pt;width:123.60000000000001pt;height:32.399999999999999pt;z-index:251657729;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ind w:left="0" w:right="0" w:firstLine="0"/>
                        <w:jc w:val="left"/>
                      </w:pPr>
                      <w:r>
                        <w:rPr>
                          <w:spacing w:val="0"/>
                          <w:w w:val="100"/>
                          <w:position w:val="0"/>
                          <w:u w:val="none"/>
                        </w:rPr>
                        <w:t>—</w:t>
                      </w:r>
                      <w:r>
                        <w:rPr>
                          <w:spacing w:val="0"/>
                          <w:w w:val="100"/>
                          <w:position w:val="0"/>
                        </w:rPr>
                        <w:t xml:space="preserve">| 握#登员会 </w:t>
                      </w:r>
                      <w:r>
                        <w:rPr>
                          <w:color w:val="3C3D3E"/>
                          <w:spacing w:val="0"/>
                          <w:w w:val="100"/>
                          <w:position w:val="0"/>
                          <w:u w:val="none"/>
                        </w:rPr>
                        <w:t>一</w:t>
                      </w:r>
                      <w:r>
                        <w:rPr>
                          <w:spacing w:val="0"/>
                          <w:w w:val="100"/>
                          <w:position w:val="0"/>
                        </w:rPr>
                        <w:t>|</w:t>
                      </w:r>
                      <w:r>
                        <w:rPr>
                          <w:color w:val="375989"/>
                          <w:spacing w:val="0"/>
                          <w:w w:val="100"/>
                          <w:position w:val="0"/>
                        </w:rPr>
                        <w:t>粉制与考核卷员会</w:t>
                      </w:r>
                      <w:r>
                        <w:rPr>
                          <w:spacing w:val="0"/>
                          <w:w w:val="100"/>
                          <w:position w:val="0"/>
                        </w:rPr>
                        <w:t>|</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4820920</wp:posOffset>
                </wp:positionH>
                <wp:positionV relativeFrom="paragraph">
                  <wp:posOffset>808990</wp:posOffset>
                </wp:positionV>
                <wp:extent cx="1569720" cy="170815"/>
                <wp:wrapNone/>
                <wp:docPr id="35" name="Shape 35"/>
                <a:graphic xmlns:a="http://schemas.openxmlformats.org/drawingml/2006/main">
                  <a:graphicData uri="http://schemas.microsoft.com/office/word/2010/wordprocessingShape">
                    <wps:wsp>
                      <wps:cNvSpPr txBox="1"/>
                      <wps:spPr>
                        <a:xfrm>
                          <a:ext cx="1569720" cy="170815"/>
                        </a:xfrm>
                        <a:prstGeom prst="rect"/>
                        <a:noFill/>
                      </wps:spPr>
                      <wps:txbx>
                        <w:txbxContent>
                          <w:p>
                            <w:pPr>
                              <w:pStyle w:val="Style43"/>
                              <w:keepNext w:val="0"/>
                              <w:keepLines w:val="0"/>
                              <w:widowControl w:val="0"/>
                              <w:shd w:val="clear" w:color="auto" w:fill="auto"/>
                              <w:bidi w:val="0"/>
                              <w:spacing w:before="0" w:after="0" w:line="264" w:lineRule="auto"/>
                              <w:ind w:left="0" w:right="0" w:firstLine="0"/>
                              <w:jc w:val="left"/>
                            </w:pPr>
                            <w:r>
                              <w:rPr>
                                <w:rFonts w:ascii="Arial" w:eastAsia="Arial" w:hAnsi="Arial" w:cs="Arial"/>
                                <w:color w:val="3C3D3E"/>
                                <w:spacing w:val="0"/>
                                <w:w w:val="100"/>
                                <w:position w:val="0"/>
                                <w:sz w:val="24"/>
                                <w:szCs w:val="24"/>
                                <w:u w:val="none"/>
                              </w:rPr>
                              <w:t>-I</w:t>
                            </w:r>
                            <w:r>
                              <w:rPr>
                                <w:rFonts w:ascii="Arial" w:eastAsia="Arial" w:hAnsi="Arial" w:cs="Arial"/>
                                <w:color w:val="375989"/>
                                <w:spacing w:val="0"/>
                                <w:w w:val="100"/>
                                <w:position w:val="0"/>
                                <w:sz w:val="24"/>
                                <w:szCs w:val="24"/>
                                <w:u w:val="none"/>
                              </w:rPr>
                              <w:t>_</w:t>
                            </w:r>
                            <w:r>
                              <w:rPr>
                                <w:color w:val="375989"/>
                                <w:spacing w:val="0"/>
                                <w:w w:val="100"/>
                                <w:position w:val="0"/>
                                <w:u w:val="none"/>
                              </w:rPr>
                              <w:t>审计委员会_</w:t>
                            </w:r>
                            <w:r>
                              <w:rPr>
                                <w:rFonts w:ascii="Arial" w:eastAsia="Arial" w:hAnsi="Arial" w:cs="Arial"/>
                                <w:spacing w:val="0"/>
                                <w:w w:val="100"/>
                                <w:position w:val="0"/>
                                <w:sz w:val="24"/>
                                <w:szCs w:val="24"/>
                                <w:u w:val="none"/>
                              </w:rPr>
                              <w:t>I</w:t>
                            </w:r>
                            <w:r>
                              <w:rPr>
                                <w:rFonts w:ascii="Arial" w:eastAsia="Arial" w:hAnsi="Arial" w:cs="Arial"/>
                                <w:color w:val="3C3D3E"/>
                                <w:spacing w:val="0"/>
                                <w:w w:val="100"/>
                                <w:position w:val="0"/>
                                <w:sz w:val="24"/>
                                <w:szCs w:val="24"/>
                                <w:u w:val="none"/>
                              </w:rPr>
                              <w:t>~</w:t>
                            </w:r>
                            <w:r>
                              <w:rPr>
                                <w:rFonts w:ascii="Arial" w:eastAsia="Arial" w:hAnsi="Arial" w:cs="Arial"/>
                                <w:spacing w:val="0"/>
                                <w:w w:val="100"/>
                                <w:position w:val="0"/>
                                <w:sz w:val="24"/>
                                <w:szCs w:val="24"/>
                                <w:u w:val="none"/>
                              </w:rPr>
                              <w:t>I</w:t>
                            </w:r>
                            <w:r>
                              <w:rPr>
                                <w:color w:val="375989"/>
                                <w:spacing w:val="0"/>
                                <w:w w:val="100"/>
                                <w:position w:val="0"/>
                                <w:u w:val="none"/>
                              </w:rPr>
                              <w:t>内申部</w:t>
                            </w:r>
                            <w:r>
                              <w:rPr>
                                <w:color w:val="375989"/>
                                <w:spacing w:val="0"/>
                                <w:w w:val="100"/>
                                <w:position w:val="0"/>
                                <w:u w:val="none"/>
                              </w:rPr>
                              <w:t>-</w:t>
                            </w:r>
                          </w:p>
                        </w:txbxContent>
                      </wps:txbx>
                      <wps:bodyPr lIns="0" tIns="0" rIns="0" bIns="0">
                        <a:noAutoFit/>
                      </wps:bodyPr>
                    </wps:wsp>
                  </a:graphicData>
                </a:graphic>
              </wp:anchor>
            </w:drawing>
          </mc:Choice>
          <mc:Fallback>
            <w:pict>
              <v:shape id="_x0000_s1061" type="#_x0000_t202" style="position:absolute;margin-left:379.60000000000002pt;margin-top:63.700000000000003pt;width:123.60000000000001pt;height:13.450000000000001pt;z-index:251657731;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64" w:lineRule="auto"/>
                        <w:ind w:left="0" w:right="0" w:firstLine="0"/>
                        <w:jc w:val="left"/>
                      </w:pPr>
                      <w:r>
                        <w:rPr>
                          <w:rFonts w:ascii="Arial" w:eastAsia="Arial" w:hAnsi="Arial" w:cs="Arial"/>
                          <w:color w:val="3C3D3E"/>
                          <w:spacing w:val="0"/>
                          <w:w w:val="100"/>
                          <w:position w:val="0"/>
                          <w:sz w:val="24"/>
                          <w:szCs w:val="24"/>
                          <w:u w:val="none"/>
                        </w:rPr>
                        <w:t>-I</w:t>
                      </w:r>
                      <w:r>
                        <w:rPr>
                          <w:rFonts w:ascii="Arial" w:eastAsia="Arial" w:hAnsi="Arial" w:cs="Arial"/>
                          <w:color w:val="375989"/>
                          <w:spacing w:val="0"/>
                          <w:w w:val="100"/>
                          <w:position w:val="0"/>
                          <w:sz w:val="24"/>
                          <w:szCs w:val="24"/>
                          <w:u w:val="none"/>
                        </w:rPr>
                        <w:t>_</w:t>
                      </w:r>
                      <w:r>
                        <w:rPr>
                          <w:color w:val="375989"/>
                          <w:spacing w:val="0"/>
                          <w:w w:val="100"/>
                          <w:position w:val="0"/>
                          <w:u w:val="none"/>
                        </w:rPr>
                        <w:t>审计委员会_</w:t>
                      </w:r>
                      <w:r>
                        <w:rPr>
                          <w:rFonts w:ascii="Arial" w:eastAsia="Arial" w:hAnsi="Arial" w:cs="Arial"/>
                          <w:spacing w:val="0"/>
                          <w:w w:val="100"/>
                          <w:position w:val="0"/>
                          <w:sz w:val="24"/>
                          <w:szCs w:val="24"/>
                          <w:u w:val="none"/>
                        </w:rPr>
                        <w:t>I</w:t>
                      </w:r>
                      <w:r>
                        <w:rPr>
                          <w:rFonts w:ascii="Arial" w:eastAsia="Arial" w:hAnsi="Arial" w:cs="Arial"/>
                          <w:color w:val="3C3D3E"/>
                          <w:spacing w:val="0"/>
                          <w:w w:val="100"/>
                          <w:position w:val="0"/>
                          <w:sz w:val="24"/>
                          <w:szCs w:val="24"/>
                          <w:u w:val="none"/>
                        </w:rPr>
                        <w:t>~</w:t>
                      </w:r>
                      <w:r>
                        <w:rPr>
                          <w:rFonts w:ascii="Arial" w:eastAsia="Arial" w:hAnsi="Arial" w:cs="Arial"/>
                          <w:spacing w:val="0"/>
                          <w:w w:val="100"/>
                          <w:position w:val="0"/>
                          <w:sz w:val="24"/>
                          <w:szCs w:val="24"/>
                          <w:u w:val="none"/>
                        </w:rPr>
                        <w:t>I</w:t>
                      </w:r>
                      <w:r>
                        <w:rPr>
                          <w:color w:val="375989"/>
                          <w:spacing w:val="0"/>
                          <w:w w:val="100"/>
                          <w:position w:val="0"/>
                          <w:u w:val="none"/>
                        </w:rPr>
                        <w:t>内申部</w:t>
                      </w:r>
                      <w:r>
                        <w:rPr>
                          <w:color w:val="375989"/>
                          <w:spacing w:val="0"/>
                          <w:w w:val="100"/>
                          <w:position w:val="0"/>
                          <w:u w:val="none"/>
                        </w:rPr>
                        <w:t>-</w:t>
                      </w:r>
                    </w:p>
                  </w:txbxContent>
                </v:textbox>
                <w10:wrap anchorx="page"/>
              </v:shape>
            </w:pict>
          </mc:Fallback>
        </mc:AlternateContent>
      </w:r>
      <w:r>
        <mc:AlternateContent>
          <mc:Choice Requires="wps">
            <w:drawing>
              <wp:anchor distT="2207895" distB="5715" distL="0" distR="0" simplePos="0" relativeHeight="125829397" behindDoc="0" locked="0" layoutInCell="1" allowOverlap="1">
                <wp:simplePos x="0" y="0"/>
                <wp:positionH relativeFrom="page">
                  <wp:posOffset>1245870</wp:posOffset>
                </wp:positionH>
                <wp:positionV relativeFrom="paragraph">
                  <wp:posOffset>2207895</wp:posOffset>
                </wp:positionV>
                <wp:extent cx="692150" cy="856615"/>
                <wp:wrapTopAndBottom/>
                <wp:docPr id="37" name="Shape 37"/>
                <a:graphic xmlns:a="http://schemas.openxmlformats.org/drawingml/2006/main">
                  <a:graphicData uri="http://schemas.microsoft.com/office/word/2010/wordprocessingShape">
                    <wps:wsp>
                      <wps:cNvSpPr txBox="1"/>
                      <wps:spPr>
                        <a:xfrm>
                          <a:ext cx="692150" cy="856615"/>
                        </a:xfrm>
                        <a:prstGeom prst="rect"/>
                        <a:noFill/>
                      </wps:spPr>
                      <wps:txbx>
                        <w:txbxContent>
                          <w:tbl>
                            <w:tblPr>
                              <w:tblOverlap w:val="never"/>
                              <w:jc w:val="left"/>
                              <w:tblLayout w:type="fixed"/>
                            </w:tblPr>
                            <w:tblGrid>
                              <w:gridCol w:w="379"/>
                              <w:gridCol w:w="398"/>
                              <w:gridCol w:w="312"/>
                            </w:tblGrid>
                            <w:tr>
                              <w:trPr>
                                <w:tblHeader/>
                                <w:trHeight w:val="264" w:hRule="exact"/>
                              </w:trPr>
                              <w:tc>
                                <w:tcPr>
                                  <w:tcBorders>
                                    <w:top w:val="single" w:sz="4"/>
                                    <w:left w:val="single" w:sz="4"/>
                                  </w:tcBorders>
                                  <w:shd w:val="clear" w:color="auto" w:fill="69FA68"/>
                                  <w:vAlign w:val="top"/>
                                </w:tcPr>
                                <w:p>
                                  <w:pPr>
                                    <w:widowControl w:val="0"/>
                                    <w:rPr>
                                      <w:sz w:val="10"/>
                                      <w:szCs w:val="10"/>
                                    </w:rPr>
                                  </w:pPr>
                                </w:p>
                              </w:tc>
                              <w:tc>
                                <w:tcPr>
                                  <w:tcBorders>
                                    <w:top w:val="single" w:sz="4"/>
                                    <w:left w:val="single" w:sz="4"/>
                                  </w:tcBorders>
                                  <w:shd w:val="clear" w:color="auto" w:fill="69FA68"/>
                                  <w:vAlign w:val="top"/>
                                </w:tcPr>
                                <w:p>
                                  <w:pPr>
                                    <w:widowControl w:val="0"/>
                                    <w:rPr>
                                      <w:sz w:val="10"/>
                                      <w:szCs w:val="10"/>
                                    </w:rPr>
                                  </w:pPr>
                                </w:p>
                              </w:tc>
                              <w:tc>
                                <w:tcPr>
                                  <w:tcBorders>
                                    <w:top w:val="single" w:sz="4"/>
                                    <w:left w:val="single" w:sz="4"/>
                                    <w:right w:val="single" w:sz="4"/>
                                  </w:tcBorders>
                                  <w:shd w:val="clear" w:color="auto" w:fill="69FA68"/>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229A23"/>
                                      <w:spacing w:val="0"/>
                                      <w:w w:val="100"/>
                                      <w:position w:val="0"/>
                                      <w:sz w:val="13"/>
                                      <w:szCs w:val="13"/>
                                    </w:rPr>
                                    <w:t>风</w:t>
                                  </w:r>
                                </w:p>
                              </w:tc>
                            </w:tr>
                            <w:tr>
                              <w:trPr>
                                <w:trHeight w:val="158" w:hRule="exact"/>
                              </w:trPr>
                              <w:tc>
                                <w:tcPr>
                                  <w:tcBorders>
                                    <w:left w:val="single" w:sz="4"/>
                                  </w:tcBorders>
                                  <w:shd w:val="clear" w:color="auto" w:fill="69FA68"/>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229A23"/>
                                      <w:spacing w:val="0"/>
                                      <w:w w:val="100"/>
                                      <w:position w:val="0"/>
                                      <w:sz w:val="13"/>
                                      <w:szCs w:val="13"/>
                                    </w:rPr>
                                    <w:t>务</w:t>
                                  </w:r>
                                </w:p>
                              </w:tc>
                              <w:tc>
                                <w:tcPr>
                                  <w:tcBorders>
                                    <w:left w:val="single" w:sz="4"/>
                                  </w:tcBorders>
                                  <w:shd w:val="clear" w:color="auto" w:fill="69FA68"/>
                                  <w:vAlign w:val="top"/>
                                </w:tcPr>
                                <w:p>
                                  <w:pPr>
                                    <w:widowControl w:val="0"/>
                                    <w:rPr>
                                      <w:sz w:val="10"/>
                                      <w:szCs w:val="10"/>
                                    </w:rPr>
                                  </w:pPr>
                                </w:p>
                              </w:tc>
                              <w:tc>
                                <w:tcPr>
                                  <w:tcBorders>
                                    <w:left w:val="single" w:sz="4"/>
                                    <w:right w:val="single" w:sz="4"/>
                                  </w:tcBorders>
                                  <w:shd w:val="clear" w:color="auto" w:fill="69FA68"/>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229A23"/>
                                      <w:spacing w:val="0"/>
                                      <w:w w:val="100"/>
                                      <w:position w:val="0"/>
                                      <w:sz w:val="13"/>
                                      <w:szCs w:val="13"/>
                                    </w:rPr>
                                    <w:t>险</w:t>
                                  </w:r>
                                </w:p>
                              </w:tc>
                            </w:tr>
                            <w:tr>
                              <w:trPr>
                                <w:trHeight w:val="163" w:hRule="exact"/>
                              </w:trPr>
                              <w:tc>
                                <w:tcPr>
                                  <w:tcBorders>
                                    <w:left w:val="single" w:sz="4"/>
                                  </w:tcBorders>
                                  <w:shd w:val="clear" w:color="auto" w:fill="69FA68"/>
                                  <w:vAlign w:val="top"/>
                                </w:tcPr>
                                <w:p>
                                  <w:pPr>
                                    <w:widowControl w:val="0"/>
                                    <w:rPr>
                                      <w:sz w:val="10"/>
                                      <w:szCs w:val="10"/>
                                    </w:rPr>
                                  </w:pPr>
                                </w:p>
                              </w:tc>
                              <w:tc>
                                <w:tcPr>
                                  <w:tcBorders>
                                    <w:left w:val="single" w:sz="4"/>
                                  </w:tcBorders>
                                  <w:shd w:val="clear" w:color="auto" w:fill="69FA68"/>
                                  <w:vAlign w:val="top"/>
                                </w:tcPr>
                                <w:p>
                                  <w:pPr>
                                    <w:widowControl w:val="0"/>
                                    <w:rPr>
                                      <w:sz w:val="10"/>
                                      <w:szCs w:val="10"/>
                                    </w:rPr>
                                  </w:pPr>
                                </w:p>
                              </w:tc>
                              <w:tc>
                                <w:tcPr>
                                  <w:tcBorders>
                                    <w:left w:val="single" w:sz="4"/>
                                    <w:right w:val="single" w:sz="4"/>
                                  </w:tcBorders>
                                  <w:shd w:val="clear" w:color="auto" w:fill="69FA68"/>
                                  <w:vAlign w:val="top"/>
                                </w:tcPr>
                                <w:p>
                                  <w:pPr>
                                    <w:widowControl w:val="0"/>
                                    <w:rPr>
                                      <w:sz w:val="10"/>
                                      <w:szCs w:val="10"/>
                                    </w:rPr>
                                  </w:pPr>
                                </w:p>
                              </w:tc>
                            </w:tr>
                            <w:tr>
                              <w:trPr>
                                <w:trHeight w:val="154" w:hRule="exact"/>
                              </w:trPr>
                              <w:tc>
                                <w:tcPr>
                                  <w:tcBorders>
                                    <w:left w:val="single" w:sz="4"/>
                                  </w:tcBorders>
                                  <w:shd w:val="clear" w:color="auto" w:fill="69FA68"/>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229A23"/>
                                      <w:spacing w:val="0"/>
                                      <w:w w:val="100"/>
                                      <w:position w:val="0"/>
                                      <w:sz w:val="13"/>
                                      <w:szCs w:val="13"/>
                                    </w:rPr>
                                    <w:t>究</w:t>
                                  </w:r>
                                </w:p>
                              </w:tc>
                              <w:tc>
                                <w:tcPr>
                                  <w:tcBorders>
                                    <w:left w:val="single" w:sz="4"/>
                                  </w:tcBorders>
                                  <w:shd w:val="clear" w:color="auto" w:fill="69FA68"/>
                                  <w:vAlign w:val="top"/>
                                </w:tcPr>
                                <w:p>
                                  <w:pPr>
                                    <w:widowControl w:val="0"/>
                                    <w:rPr>
                                      <w:sz w:val="10"/>
                                      <w:szCs w:val="10"/>
                                    </w:rPr>
                                  </w:pPr>
                                </w:p>
                              </w:tc>
                              <w:tc>
                                <w:tcPr>
                                  <w:tcBorders>
                                    <w:left w:val="single" w:sz="4"/>
                                    <w:right w:val="single" w:sz="4"/>
                                  </w:tcBorders>
                                  <w:shd w:val="clear" w:color="auto" w:fill="69FA68"/>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128514"/>
                                      <w:spacing w:val="0"/>
                                      <w:w w:val="100"/>
                                      <w:position w:val="0"/>
                                      <w:sz w:val="13"/>
                                      <w:szCs w:val="13"/>
                                    </w:rPr>
                                    <w:t>效</w:t>
                                  </w:r>
                                </w:p>
                              </w:tc>
                            </w:tr>
                            <w:tr>
                              <w:trPr>
                                <w:trHeight w:val="163" w:hRule="exact"/>
                              </w:trPr>
                              <w:tc>
                                <w:tcPr>
                                  <w:tcBorders>
                                    <w:left w:val="single" w:sz="4"/>
                                  </w:tcBorders>
                                  <w:shd w:val="clear" w:color="auto" w:fill="69FA68"/>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229A23"/>
                                      <w:spacing w:val="0"/>
                                      <w:w w:val="100"/>
                                      <w:position w:val="0"/>
                                      <w:sz w:val="13"/>
                                      <w:szCs w:val="13"/>
                                    </w:rPr>
                                    <w:t>管</w:t>
                                  </w:r>
                                </w:p>
                              </w:tc>
                              <w:tc>
                                <w:tcPr>
                                  <w:tcBorders>
                                    <w:left w:val="single" w:sz="4"/>
                                  </w:tcBorders>
                                  <w:shd w:val="clear" w:color="auto" w:fill="69FA68"/>
                                  <w:vAlign w:val="top"/>
                                </w:tcPr>
                                <w:p>
                                  <w:pPr>
                                    <w:widowControl w:val="0"/>
                                    <w:rPr>
                                      <w:sz w:val="10"/>
                                      <w:szCs w:val="10"/>
                                    </w:rPr>
                                  </w:pPr>
                                </w:p>
                              </w:tc>
                              <w:tc>
                                <w:tcPr>
                                  <w:tcBorders>
                                    <w:left w:val="single" w:sz="4"/>
                                    <w:right w:val="single" w:sz="4"/>
                                  </w:tcBorders>
                                  <w:shd w:val="clear" w:color="auto" w:fill="69FA68"/>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229A23"/>
                                      <w:spacing w:val="0"/>
                                      <w:w w:val="100"/>
                                      <w:position w:val="0"/>
                                      <w:sz w:val="13"/>
                                      <w:szCs w:val="13"/>
                                    </w:rPr>
                                    <w:t>产</w:t>
                                  </w:r>
                                </w:p>
                              </w:tc>
                            </w:tr>
                            <w:tr>
                              <w:trPr>
                                <w:trHeight w:val="168" w:hRule="exact"/>
                              </w:trPr>
                              <w:tc>
                                <w:tcPr>
                                  <w:tcBorders>
                                    <w:left w:val="single" w:sz="4"/>
                                  </w:tcBorders>
                                  <w:shd w:val="clear" w:color="auto" w:fill="69FA68"/>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128514"/>
                                      <w:spacing w:val="0"/>
                                      <w:w w:val="100"/>
                                      <w:position w:val="0"/>
                                      <w:sz w:val="13"/>
                                      <w:szCs w:val="13"/>
                                    </w:rPr>
                                    <w:t>理</w:t>
                                  </w:r>
                                </w:p>
                              </w:tc>
                              <w:tc>
                                <w:tcPr>
                                  <w:tcBorders>
                                    <w:left w:val="single" w:sz="4"/>
                                  </w:tcBorders>
                                  <w:shd w:val="clear" w:color="auto" w:fill="69FA68"/>
                                  <w:vAlign w:val="top"/>
                                </w:tcPr>
                                <w:p>
                                  <w:pPr>
                                    <w:widowControl w:val="0"/>
                                    <w:rPr>
                                      <w:sz w:val="10"/>
                                      <w:szCs w:val="10"/>
                                    </w:rPr>
                                  </w:pPr>
                                </w:p>
                              </w:tc>
                              <w:tc>
                                <w:tcPr>
                                  <w:tcBorders>
                                    <w:left w:val="single" w:sz="4"/>
                                    <w:right w:val="single" w:sz="4"/>
                                  </w:tcBorders>
                                  <w:shd w:val="clear" w:color="auto" w:fill="69FA68"/>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128514"/>
                                      <w:spacing w:val="0"/>
                                      <w:w w:val="100"/>
                                      <w:position w:val="0"/>
                                      <w:sz w:val="13"/>
                                      <w:szCs w:val="13"/>
                                    </w:rPr>
                                    <w:t>品</w:t>
                                  </w:r>
                                </w:p>
                              </w:tc>
                            </w:tr>
                            <w:tr>
                              <w:trPr>
                                <w:trHeight w:val="278" w:hRule="exact"/>
                              </w:trPr>
                              <w:tc>
                                <w:tcPr>
                                  <w:tcBorders>
                                    <w:left w:val="single" w:sz="4"/>
                                    <w:bottom w:val="single" w:sz="4"/>
                                  </w:tcBorders>
                                  <w:shd w:val="clear" w:color="auto" w:fill="69FA68"/>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229A23"/>
                                      <w:spacing w:val="0"/>
                                      <w:w w:val="100"/>
                                      <w:position w:val="0"/>
                                      <w:sz w:val="13"/>
                                      <w:szCs w:val="13"/>
                                    </w:rPr>
                                    <w:t>部</w:t>
                                  </w:r>
                                </w:p>
                              </w:tc>
                              <w:tc>
                                <w:tcPr>
                                  <w:tcBorders>
                                    <w:left w:val="single" w:sz="4"/>
                                    <w:bottom w:val="single" w:sz="4"/>
                                  </w:tcBorders>
                                  <w:shd w:val="clear" w:color="auto" w:fill="69FA68"/>
                                  <w:vAlign w:val="top"/>
                                </w:tcPr>
                                <w:p>
                                  <w:pPr>
                                    <w:widowControl w:val="0"/>
                                    <w:rPr>
                                      <w:sz w:val="10"/>
                                      <w:szCs w:val="10"/>
                                    </w:rPr>
                                  </w:pPr>
                                </w:p>
                              </w:tc>
                              <w:tc>
                                <w:tcPr>
                                  <w:tcBorders>
                                    <w:left w:val="single" w:sz="4"/>
                                    <w:bottom w:val="single" w:sz="4"/>
                                    <w:right w:val="single" w:sz="4"/>
                                  </w:tcBorders>
                                  <w:shd w:val="clear" w:color="auto" w:fill="69FA68"/>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128514"/>
                                      <w:spacing w:val="0"/>
                                      <w:w w:val="100"/>
                                      <w:position w:val="0"/>
                                      <w:sz w:val="13"/>
                                      <w:szCs w:val="13"/>
                                    </w:rPr>
                                    <w:t>部</w:t>
                                  </w:r>
                                </w:p>
                              </w:tc>
                            </w:tr>
                          </w:tbl>
                          <w:p>
                            <w:pPr>
                              <w:widowControl w:val="0"/>
                              <w:spacing w:line="1" w:lineRule="exact"/>
                            </w:pPr>
                          </w:p>
                        </w:txbxContent>
                      </wps:txbx>
                      <wps:bodyPr lIns="0" tIns="0" rIns="0" bIns="0">
                        <a:noAutoFit/>
                      </wps:bodyPr>
                    </wps:wsp>
                  </a:graphicData>
                </a:graphic>
              </wp:anchor>
            </w:drawing>
          </mc:Choice>
          <mc:Fallback>
            <w:pict>
              <v:shape id="_x0000_s1063" type="#_x0000_t202" style="position:absolute;margin-left:98.100000000000009pt;margin-top:173.84999999999999pt;width:54.5pt;height:67.450000000000003pt;z-index:-125829356;mso-wrap-distance-left:0;mso-wrap-distance-top:173.84999999999999pt;mso-wrap-distance-right:0;mso-wrap-distance-bottom:0.45000000000000001pt;mso-position-horizontal-relative:page" filled="f" stroked="f">
                <v:textbox inset="0,0,0,0">
                  <w:txbxContent>
                    <w:tbl>
                      <w:tblPr>
                        <w:tblOverlap w:val="never"/>
                        <w:jc w:val="left"/>
                        <w:tblLayout w:type="fixed"/>
                      </w:tblPr>
                      <w:tblGrid>
                        <w:gridCol w:w="379"/>
                        <w:gridCol w:w="398"/>
                        <w:gridCol w:w="312"/>
                      </w:tblGrid>
                      <w:tr>
                        <w:trPr>
                          <w:tblHeader/>
                          <w:trHeight w:val="264" w:hRule="exact"/>
                        </w:trPr>
                        <w:tc>
                          <w:tcPr>
                            <w:tcBorders>
                              <w:top w:val="single" w:sz="4"/>
                              <w:left w:val="single" w:sz="4"/>
                            </w:tcBorders>
                            <w:shd w:val="clear" w:color="auto" w:fill="69FA68"/>
                            <w:vAlign w:val="top"/>
                          </w:tcPr>
                          <w:p>
                            <w:pPr>
                              <w:widowControl w:val="0"/>
                              <w:rPr>
                                <w:sz w:val="10"/>
                                <w:szCs w:val="10"/>
                              </w:rPr>
                            </w:pPr>
                          </w:p>
                        </w:tc>
                        <w:tc>
                          <w:tcPr>
                            <w:tcBorders>
                              <w:top w:val="single" w:sz="4"/>
                              <w:left w:val="single" w:sz="4"/>
                            </w:tcBorders>
                            <w:shd w:val="clear" w:color="auto" w:fill="69FA68"/>
                            <w:vAlign w:val="top"/>
                          </w:tcPr>
                          <w:p>
                            <w:pPr>
                              <w:widowControl w:val="0"/>
                              <w:rPr>
                                <w:sz w:val="10"/>
                                <w:szCs w:val="10"/>
                              </w:rPr>
                            </w:pPr>
                          </w:p>
                        </w:tc>
                        <w:tc>
                          <w:tcPr>
                            <w:tcBorders>
                              <w:top w:val="single" w:sz="4"/>
                              <w:left w:val="single" w:sz="4"/>
                              <w:right w:val="single" w:sz="4"/>
                            </w:tcBorders>
                            <w:shd w:val="clear" w:color="auto" w:fill="69FA68"/>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229A23"/>
                                <w:spacing w:val="0"/>
                                <w:w w:val="100"/>
                                <w:position w:val="0"/>
                                <w:sz w:val="13"/>
                                <w:szCs w:val="13"/>
                              </w:rPr>
                              <w:t>风</w:t>
                            </w:r>
                          </w:p>
                        </w:tc>
                      </w:tr>
                      <w:tr>
                        <w:trPr>
                          <w:trHeight w:val="158" w:hRule="exact"/>
                        </w:trPr>
                        <w:tc>
                          <w:tcPr>
                            <w:tcBorders>
                              <w:left w:val="single" w:sz="4"/>
                            </w:tcBorders>
                            <w:shd w:val="clear" w:color="auto" w:fill="69FA68"/>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229A23"/>
                                <w:spacing w:val="0"/>
                                <w:w w:val="100"/>
                                <w:position w:val="0"/>
                                <w:sz w:val="13"/>
                                <w:szCs w:val="13"/>
                              </w:rPr>
                              <w:t>务</w:t>
                            </w:r>
                          </w:p>
                        </w:tc>
                        <w:tc>
                          <w:tcPr>
                            <w:tcBorders>
                              <w:left w:val="single" w:sz="4"/>
                            </w:tcBorders>
                            <w:shd w:val="clear" w:color="auto" w:fill="69FA68"/>
                            <w:vAlign w:val="top"/>
                          </w:tcPr>
                          <w:p>
                            <w:pPr>
                              <w:widowControl w:val="0"/>
                              <w:rPr>
                                <w:sz w:val="10"/>
                                <w:szCs w:val="10"/>
                              </w:rPr>
                            </w:pPr>
                          </w:p>
                        </w:tc>
                        <w:tc>
                          <w:tcPr>
                            <w:tcBorders>
                              <w:left w:val="single" w:sz="4"/>
                              <w:right w:val="single" w:sz="4"/>
                            </w:tcBorders>
                            <w:shd w:val="clear" w:color="auto" w:fill="69FA68"/>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229A23"/>
                                <w:spacing w:val="0"/>
                                <w:w w:val="100"/>
                                <w:position w:val="0"/>
                                <w:sz w:val="13"/>
                                <w:szCs w:val="13"/>
                              </w:rPr>
                              <w:t>险</w:t>
                            </w:r>
                          </w:p>
                        </w:tc>
                      </w:tr>
                      <w:tr>
                        <w:trPr>
                          <w:trHeight w:val="163" w:hRule="exact"/>
                        </w:trPr>
                        <w:tc>
                          <w:tcPr>
                            <w:tcBorders>
                              <w:left w:val="single" w:sz="4"/>
                            </w:tcBorders>
                            <w:shd w:val="clear" w:color="auto" w:fill="69FA68"/>
                            <w:vAlign w:val="top"/>
                          </w:tcPr>
                          <w:p>
                            <w:pPr>
                              <w:widowControl w:val="0"/>
                              <w:rPr>
                                <w:sz w:val="10"/>
                                <w:szCs w:val="10"/>
                              </w:rPr>
                            </w:pPr>
                          </w:p>
                        </w:tc>
                        <w:tc>
                          <w:tcPr>
                            <w:tcBorders>
                              <w:left w:val="single" w:sz="4"/>
                            </w:tcBorders>
                            <w:shd w:val="clear" w:color="auto" w:fill="69FA68"/>
                            <w:vAlign w:val="top"/>
                          </w:tcPr>
                          <w:p>
                            <w:pPr>
                              <w:widowControl w:val="0"/>
                              <w:rPr>
                                <w:sz w:val="10"/>
                                <w:szCs w:val="10"/>
                              </w:rPr>
                            </w:pPr>
                          </w:p>
                        </w:tc>
                        <w:tc>
                          <w:tcPr>
                            <w:tcBorders>
                              <w:left w:val="single" w:sz="4"/>
                              <w:right w:val="single" w:sz="4"/>
                            </w:tcBorders>
                            <w:shd w:val="clear" w:color="auto" w:fill="69FA68"/>
                            <w:vAlign w:val="top"/>
                          </w:tcPr>
                          <w:p>
                            <w:pPr>
                              <w:widowControl w:val="0"/>
                              <w:rPr>
                                <w:sz w:val="10"/>
                                <w:szCs w:val="10"/>
                              </w:rPr>
                            </w:pPr>
                          </w:p>
                        </w:tc>
                      </w:tr>
                      <w:tr>
                        <w:trPr>
                          <w:trHeight w:val="154" w:hRule="exact"/>
                        </w:trPr>
                        <w:tc>
                          <w:tcPr>
                            <w:tcBorders>
                              <w:left w:val="single" w:sz="4"/>
                            </w:tcBorders>
                            <w:shd w:val="clear" w:color="auto" w:fill="69FA68"/>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229A23"/>
                                <w:spacing w:val="0"/>
                                <w:w w:val="100"/>
                                <w:position w:val="0"/>
                                <w:sz w:val="13"/>
                                <w:szCs w:val="13"/>
                              </w:rPr>
                              <w:t>究</w:t>
                            </w:r>
                          </w:p>
                        </w:tc>
                        <w:tc>
                          <w:tcPr>
                            <w:tcBorders>
                              <w:left w:val="single" w:sz="4"/>
                            </w:tcBorders>
                            <w:shd w:val="clear" w:color="auto" w:fill="69FA68"/>
                            <w:vAlign w:val="top"/>
                          </w:tcPr>
                          <w:p>
                            <w:pPr>
                              <w:widowControl w:val="0"/>
                              <w:rPr>
                                <w:sz w:val="10"/>
                                <w:szCs w:val="10"/>
                              </w:rPr>
                            </w:pPr>
                          </w:p>
                        </w:tc>
                        <w:tc>
                          <w:tcPr>
                            <w:tcBorders>
                              <w:left w:val="single" w:sz="4"/>
                              <w:right w:val="single" w:sz="4"/>
                            </w:tcBorders>
                            <w:shd w:val="clear" w:color="auto" w:fill="69FA68"/>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128514"/>
                                <w:spacing w:val="0"/>
                                <w:w w:val="100"/>
                                <w:position w:val="0"/>
                                <w:sz w:val="13"/>
                                <w:szCs w:val="13"/>
                              </w:rPr>
                              <w:t>效</w:t>
                            </w:r>
                          </w:p>
                        </w:tc>
                      </w:tr>
                      <w:tr>
                        <w:trPr>
                          <w:trHeight w:val="163" w:hRule="exact"/>
                        </w:trPr>
                        <w:tc>
                          <w:tcPr>
                            <w:tcBorders>
                              <w:left w:val="single" w:sz="4"/>
                            </w:tcBorders>
                            <w:shd w:val="clear" w:color="auto" w:fill="69FA68"/>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229A23"/>
                                <w:spacing w:val="0"/>
                                <w:w w:val="100"/>
                                <w:position w:val="0"/>
                                <w:sz w:val="13"/>
                                <w:szCs w:val="13"/>
                              </w:rPr>
                              <w:t>管</w:t>
                            </w:r>
                          </w:p>
                        </w:tc>
                        <w:tc>
                          <w:tcPr>
                            <w:tcBorders>
                              <w:left w:val="single" w:sz="4"/>
                            </w:tcBorders>
                            <w:shd w:val="clear" w:color="auto" w:fill="69FA68"/>
                            <w:vAlign w:val="top"/>
                          </w:tcPr>
                          <w:p>
                            <w:pPr>
                              <w:widowControl w:val="0"/>
                              <w:rPr>
                                <w:sz w:val="10"/>
                                <w:szCs w:val="10"/>
                              </w:rPr>
                            </w:pPr>
                          </w:p>
                        </w:tc>
                        <w:tc>
                          <w:tcPr>
                            <w:tcBorders>
                              <w:left w:val="single" w:sz="4"/>
                              <w:right w:val="single" w:sz="4"/>
                            </w:tcBorders>
                            <w:shd w:val="clear" w:color="auto" w:fill="69FA68"/>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229A23"/>
                                <w:spacing w:val="0"/>
                                <w:w w:val="100"/>
                                <w:position w:val="0"/>
                                <w:sz w:val="13"/>
                                <w:szCs w:val="13"/>
                              </w:rPr>
                              <w:t>产</w:t>
                            </w:r>
                          </w:p>
                        </w:tc>
                      </w:tr>
                      <w:tr>
                        <w:trPr>
                          <w:trHeight w:val="168" w:hRule="exact"/>
                        </w:trPr>
                        <w:tc>
                          <w:tcPr>
                            <w:tcBorders>
                              <w:left w:val="single" w:sz="4"/>
                            </w:tcBorders>
                            <w:shd w:val="clear" w:color="auto" w:fill="69FA68"/>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128514"/>
                                <w:spacing w:val="0"/>
                                <w:w w:val="100"/>
                                <w:position w:val="0"/>
                                <w:sz w:val="13"/>
                                <w:szCs w:val="13"/>
                              </w:rPr>
                              <w:t>理</w:t>
                            </w:r>
                          </w:p>
                        </w:tc>
                        <w:tc>
                          <w:tcPr>
                            <w:tcBorders>
                              <w:left w:val="single" w:sz="4"/>
                            </w:tcBorders>
                            <w:shd w:val="clear" w:color="auto" w:fill="69FA68"/>
                            <w:vAlign w:val="top"/>
                          </w:tcPr>
                          <w:p>
                            <w:pPr>
                              <w:widowControl w:val="0"/>
                              <w:rPr>
                                <w:sz w:val="10"/>
                                <w:szCs w:val="10"/>
                              </w:rPr>
                            </w:pPr>
                          </w:p>
                        </w:tc>
                        <w:tc>
                          <w:tcPr>
                            <w:tcBorders>
                              <w:left w:val="single" w:sz="4"/>
                              <w:right w:val="single" w:sz="4"/>
                            </w:tcBorders>
                            <w:shd w:val="clear" w:color="auto" w:fill="69FA68"/>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128514"/>
                                <w:spacing w:val="0"/>
                                <w:w w:val="100"/>
                                <w:position w:val="0"/>
                                <w:sz w:val="13"/>
                                <w:szCs w:val="13"/>
                              </w:rPr>
                              <w:t>品</w:t>
                            </w:r>
                          </w:p>
                        </w:tc>
                      </w:tr>
                      <w:tr>
                        <w:trPr>
                          <w:trHeight w:val="278" w:hRule="exact"/>
                        </w:trPr>
                        <w:tc>
                          <w:tcPr>
                            <w:tcBorders>
                              <w:left w:val="single" w:sz="4"/>
                              <w:bottom w:val="single" w:sz="4"/>
                            </w:tcBorders>
                            <w:shd w:val="clear" w:color="auto" w:fill="69FA68"/>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229A23"/>
                                <w:spacing w:val="0"/>
                                <w:w w:val="100"/>
                                <w:position w:val="0"/>
                                <w:sz w:val="13"/>
                                <w:szCs w:val="13"/>
                              </w:rPr>
                              <w:t>部</w:t>
                            </w:r>
                          </w:p>
                        </w:tc>
                        <w:tc>
                          <w:tcPr>
                            <w:tcBorders>
                              <w:left w:val="single" w:sz="4"/>
                              <w:bottom w:val="single" w:sz="4"/>
                            </w:tcBorders>
                            <w:shd w:val="clear" w:color="auto" w:fill="69FA68"/>
                            <w:vAlign w:val="top"/>
                          </w:tcPr>
                          <w:p>
                            <w:pPr>
                              <w:widowControl w:val="0"/>
                              <w:rPr>
                                <w:sz w:val="10"/>
                                <w:szCs w:val="10"/>
                              </w:rPr>
                            </w:pPr>
                          </w:p>
                        </w:tc>
                        <w:tc>
                          <w:tcPr>
                            <w:tcBorders>
                              <w:left w:val="single" w:sz="4"/>
                              <w:bottom w:val="single" w:sz="4"/>
                              <w:right w:val="single" w:sz="4"/>
                            </w:tcBorders>
                            <w:shd w:val="clear" w:color="auto" w:fill="69FA68"/>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128514"/>
                                <w:spacing w:val="0"/>
                                <w:w w:val="100"/>
                                <w:position w:val="0"/>
                                <w:sz w:val="13"/>
                                <w:szCs w:val="13"/>
                              </w:rPr>
                              <w:t>部</w:t>
                            </w:r>
                          </w:p>
                        </w:tc>
                      </w:tr>
                    </w:tbl>
                    <w:p>
                      <w:pPr>
                        <w:widowControl w:val="0"/>
                        <w:spacing w:line="1" w:lineRule="exact"/>
                      </w:pPr>
                    </w:p>
                  </w:txbxContent>
                </v:textbox>
                <w10:wrap type="topAndBottom" anchorx="page"/>
              </v:shape>
            </w:pict>
          </mc:Fallback>
        </mc:AlternateContent>
      </w:r>
      <w:r>
        <mc:AlternateContent>
          <mc:Choice Requires="wps">
            <w:drawing>
              <wp:anchor distT="1390650" distB="6350" distL="0" distR="0" simplePos="0" relativeHeight="125829399" behindDoc="0" locked="0" layoutInCell="1" allowOverlap="1">
                <wp:simplePos x="0" y="0"/>
                <wp:positionH relativeFrom="page">
                  <wp:posOffset>3345815</wp:posOffset>
                </wp:positionH>
                <wp:positionV relativeFrom="paragraph">
                  <wp:posOffset>1390650</wp:posOffset>
                </wp:positionV>
                <wp:extent cx="753110" cy="1673225"/>
                <wp:wrapTopAndBottom/>
                <wp:docPr id="39" name="Shape 39"/>
                <a:graphic xmlns:a="http://schemas.openxmlformats.org/drawingml/2006/main">
                  <a:graphicData uri="http://schemas.microsoft.com/office/word/2010/wordprocessingShape">
                    <wps:wsp>
                      <wps:cNvSpPr txBox="1"/>
                      <wps:spPr>
                        <a:xfrm>
                          <a:ext cx="753110" cy="1673225"/>
                        </a:xfrm>
                        <a:prstGeom prst="rect"/>
                        <a:noFill/>
                      </wps:spPr>
                      <wps:txbx>
                        <w:txbxContent>
                          <w:tbl>
                            <w:tblPr>
                              <w:tblOverlap w:val="never"/>
                              <w:jc w:val="left"/>
                              <w:tblLayout w:type="fixed"/>
                            </w:tblPr>
                            <w:tblGrid>
                              <w:gridCol w:w="182"/>
                              <w:gridCol w:w="216"/>
                              <w:gridCol w:w="211"/>
                              <w:gridCol w:w="192"/>
                              <w:gridCol w:w="230"/>
                              <w:gridCol w:w="154"/>
                            </w:tblGrid>
                            <w:tr>
                              <w:trPr>
                                <w:tblHeader/>
                                <w:trHeight w:val="365" w:hRule="exact"/>
                              </w:trPr>
                              <w:tc>
                                <w:tcPr>
                                  <w:tcBorders/>
                                  <w:shd w:val="clear" w:color="auto" w:fill="FFFFFF"/>
                                  <w:vAlign w:val="top"/>
                                </w:tcPr>
                                <w:p>
                                  <w:pPr>
                                    <w:widowControl w:val="0"/>
                                    <w:rPr>
                                      <w:sz w:val="10"/>
                                      <w:szCs w:val="10"/>
                                    </w:rPr>
                                  </w:pPr>
                                </w:p>
                              </w:tc>
                              <w:tc>
                                <w:tcPr>
                                  <w:gridSpan w:val="4"/>
                                  <w:tcBorders>
                                    <w:top w:val="single" w:sz="4"/>
                                    <w:left w:val="single" w:sz="4"/>
                                  </w:tcBorders>
                                  <w:shd w:val="clear" w:color="auto" w:fill="69FA68"/>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i/>
                                      <w:iCs/>
                                      <w:color w:val="229A23"/>
                                      <w:spacing w:val="0"/>
                                      <w:w w:val="100"/>
                                      <w:position w:val="0"/>
                                      <w:sz w:val="13"/>
                                      <w:szCs w:val="13"/>
                                    </w:rPr>
                                    <w:t>戏经</w:t>
                                  </w:r>
                                  <w:r>
                                    <w:rPr>
                                      <w:color w:val="229A23"/>
                                      <w:spacing w:val="0"/>
                                      <w:w w:val="100"/>
                                      <w:position w:val="0"/>
                                      <w:sz w:val="13"/>
                                      <w:szCs w:val="13"/>
                                    </w:rPr>
                                    <w:t>理</w:t>
                                  </w:r>
                                </w:p>
                              </w:tc>
                              <w:tc>
                                <w:tcPr>
                                  <w:tcBorders>
                                    <w:left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gridSpan w:val="6"/>
                                  <w:tcBorders>
                                    <w:top w:val="single" w:sz="4"/>
                                    <w:left w:val="single" w:sz="4"/>
                                    <w:right w:val="single" w:sz="4"/>
                                  </w:tcBorders>
                                  <w:shd w:val="clear" w:color="auto" w:fill="69FA68"/>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229A23"/>
                                      <w:spacing w:val="0"/>
                                      <w:w w:val="100"/>
                                      <w:position w:val="0"/>
                                      <w:sz w:val="13"/>
                                      <w:szCs w:val="13"/>
                                    </w:rPr>
                                    <w:t>营情中心</w:t>
                                  </w:r>
                                </w:p>
                              </w:tc>
                            </w:tr>
                            <w:tr>
                              <w:trPr>
                                <w:trHeight w:val="134"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top"/>
                                </w:tcPr>
                                <w:p>
                                  <w:pPr>
                                    <w:widowControl w:val="0"/>
                                    <w:rPr>
                                      <w:sz w:val="10"/>
                                      <w:szCs w:val="10"/>
                                    </w:rPr>
                                  </w:pPr>
                                </w:p>
                              </w:tc>
                            </w:tr>
                            <w:tr>
                              <w:trPr>
                                <w:trHeight w:val="125" w:hRule="exact"/>
                              </w:trPr>
                              <w:tc>
                                <w:tcPr>
                                  <w:vMerge/>
                                  <w:tcBorders/>
                                  <w:shd w:val="clear" w:color="auto" w:fill="FFFFFF"/>
                                  <w:vAlign w:val="top"/>
                                </w:tcPr>
                                <w:p>
                                  <w:pPr/>
                                </w:p>
                              </w:tc>
                              <w:tc>
                                <w:tcPr>
                                  <w:gridSpan w:val="2"/>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p>
                              </w:tc>
                              <w:tc>
                                <w:tcPr>
                                  <w:vMerge/>
                                  <w:tcBorders/>
                                  <w:shd w:val="clear" w:color="auto" w:fill="FFFFFF"/>
                                  <w:vAlign w:val="top"/>
                                </w:tcPr>
                                <w:p>
                                  <w:pPr/>
                                </w:p>
                              </w:tc>
                            </w:tr>
                            <w:tr>
                              <w:trPr>
                                <w:trHeight w:val="1315" w:hRule="exact"/>
                              </w:trPr>
                              <w:tc>
                                <w:tcPr>
                                  <w:gridSpan w:val="2"/>
                                  <w:tcBorders>
                                    <w:top w:val="single" w:sz="4"/>
                                    <w:left w:val="single" w:sz="4"/>
                                    <w:bottom w:val="single" w:sz="4"/>
                                  </w:tcBorders>
                                  <w:shd w:val="clear" w:color="auto" w:fill="69FA68"/>
                                  <w:vAlign w:val="top"/>
                                </w:tcPr>
                                <w:p>
                                  <w:pPr>
                                    <w:widowControl w:val="0"/>
                                    <w:rPr>
                                      <w:sz w:val="10"/>
                                      <w:szCs w:val="10"/>
                                    </w:rPr>
                                  </w:pPr>
                                </w:p>
                              </w:tc>
                              <w:tc>
                                <w:tcPr>
                                  <w:gridSpan w:val="2"/>
                                  <w:tcBorders>
                                    <w:top w:val="single" w:sz="4"/>
                                    <w:left w:val="single" w:sz="4"/>
                                    <w:bottom w:val="single" w:sz="4"/>
                                  </w:tcBorders>
                                  <w:shd w:val="clear" w:color="auto" w:fill="69FA68"/>
                                  <w:vAlign w:val="top"/>
                                </w:tcPr>
                                <w:p>
                                  <w:pPr>
                                    <w:widowControl w:val="0"/>
                                    <w:rPr>
                                      <w:sz w:val="10"/>
                                      <w:szCs w:val="10"/>
                                    </w:rPr>
                                  </w:pPr>
                                </w:p>
                              </w:tc>
                              <w:tc>
                                <w:tcPr>
                                  <w:gridSpan w:val="2"/>
                                  <w:tcBorders>
                                    <w:top w:val="single" w:sz="4"/>
                                    <w:left w:val="single" w:sz="4"/>
                                    <w:bottom w:val="single" w:sz="4"/>
                                    <w:right w:val="single" w:sz="4"/>
                                  </w:tcBorders>
                                  <w:shd w:val="clear" w:color="auto" w:fill="69FA68"/>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65" type="#_x0000_t202" style="position:absolute;margin-left:263.44999999999999pt;margin-top:109.5pt;width:59.300000000000004pt;height:131.75pt;z-index:-125829354;mso-wrap-distance-left:0;mso-wrap-distance-top:109.5pt;mso-wrap-distance-right:0;mso-wrap-distance-bottom:0.5pt;mso-position-horizontal-relative:page" filled="f" stroked="f">
                <v:textbox inset="0,0,0,0">
                  <w:txbxContent>
                    <w:tbl>
                      <w:tblPr>
                        <w:tblOverlap w:val="never"/>
                        <w:jc w:val="left"/>
                        <w:tblLayout w:type="fixed"/>
                      </w:tblPr>
                      <w:tblGrid>
                        <w:gridCol w:w="182"/>
                        <w:gridCol w:w="216"/>
                        <w:gridCol w:w="211"/>
                        <w:gridCol w:w="192"/>
                        <w:gridCol w:w="230"/>
                        <w:gridCol w:w="154"/>
                      </w:tblGrid>
                      <w:tr>
                        <w:trPr>
                          <w:tblHeader/>
                          <w:trHeight w:val="365" w:hRule="exact"/>
                        </w:trPr>
                        <w:tc>
                          <w:tcPr>
                            <w:tcBorders/>
                            <w:shd w:val="clear" w:color="auto" w:fill="FFFFFF"/>
                            <w:vAlign w:val="top"/>
                          </w:tcPr>
                          <w:p>
                            <w:pPr>
                              <w:widowControl w:val="0"/>
                              <w:rPr>
                                <w:sz w:val="10"/>
                                <w:szCs w:val="10"/>
                              </w:rPr>
                            </w:pPr>
                          </w:p>
                        </w:tc>
                        <w:tc>
                          <w:tcPr>
                            <w:gridSpan w:val="4"/>
                            <w:tcBorders>
                              <w:top w:val="single" w:sz="4"/>
                              <w:left w:val="single" w:sz="4"/>
                            </w:tcBorders>
                            <w:shd w:val="clear" w:color="auto" w:fill="69FA68"/>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i/>
                                <w:iCs/>
                                <w:color w:val="229A23"/>
                                <w:spacing w:val="0"/>
                                <w:w w:val="100"/>
                                <w:position w:val="0"/>
                                <w:sz w:val="13"/>
                                <w:szCs w:val="13"/>
                              </w:rPr>
                              <w:t>戏经</w:t>
                            </w:r>
                            <w:r>
                              <w:rPr>
                                <w:color w:val="229A23"/>
                                <w:spacing w:val="0"/>
                                <w:w w:val="100"/>
                                <w:position w:val="0"/>
                                <w:sz w:val="13"/>
                                <w:szCs w:val="13"/>
                              </w:rPr>
                              <w:t>理</w:t>
                            </w:r>
                          </w:p>
                        </w:tc>
                        <w:tc>
                          <w:tcPr>
                            <w:tcBorders>
                              <w:left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gridSpan w:val="6"/>
                            <w:tcBorders>
                              <w:top w:val="single" w:sz="4"/>
                              <w:left w:val="single" w:sz="4"/>
                              <w:right w:val="single" w:sz="4"/>
                            </w:tcBorders>
                            <w:shd w:val="clear" w:color="auto" w:fill="69FA68"/>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229A23"/>
                                <w:spacing w:val="0"/>
                                <w:w w:val="100"/>
                                <w:position w:val="0"/>
                                <w:sz w:val="13"/>
                                <w:szCs w:val="13"/>
                              </w:rPr>
                              <w:t>营情中心</w:t>
                            </w:r>
                          </w:p>
                        </w:tc>
                      </w:tr>
                      <w:tr>
                        <w:trPr>
                          <w:trHeight w:val="134"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top"/>
                          </w:tcPr>
                          <w:p>
                            <w:pPr>
                              <w:widowControl w:val="0"/>
                              <w:rPr>
                                <w:sz w:val="10"/>
                                <w:szCs w:val="10"/>
                              </w:rPr>
                            </w:pPr>
                          </w:p>
                        </w:tc>
                      </w:tr>
                      <w:tr>
                        <w:trPr>
                          <w:trHeight w:val="125" w:hRule="exact"/>
                        </w:trPr>
                        <w:tc>
                          <w:tcPr>
                            <w:vMerge/>
                            <w:tcBorders/>
                            <w:shd w:val="clear" w:color="auto" w:fill="FFFFFF"/>
                            <w:vAlign w:val="top"/>
                          </w:tcPr>
                          <w:p>
                            <w:pPr/>
                          </w:p>
                        </w:tc>
                        <w:tc>
                          <w:tcPr>
                            <w:gridSpan w:val="2"/>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p>
                        </w:tc>
                        <w:tc>
                          <w:tcPr>
                            <w:vMerge/>
                            <w:tcBorders/>
                            <w:shd w:val="clear" w:color="auto" w:fill="FFFFFF"/>
                            <w:vAlign w:val="top"/>
                          </w:tcPr>
                          <w:p>
                            <w:pPr/>
                          </w:p>
                        </w:tc>
                      </w:tr>
                      <w:tr>
                        <w:trPr>
                          <w:trHeight w:val="1315" w:hRule="exact"/>
                        </w:trPr>
                        <w:tc>
                          <w:tcPr>
                            <w:gridSpan w:val="2"/>
                            <w:tcBorders>
                              <w:top w:val="single" w:sz="4"/>
                              <w:left w:val="single" w:sz="4"/>
                              <w:bottom w:val="single" w:sz="4"/>
                            </w:tcBorders>
                            <w:shd w:val="clear" w:color="auto" w:fill="69FA68"/>
                            <w:vAlign w:val="top"/>
                          </w:tcPr>
                          <w:p>
                            <w:pPr>
                              <w:widowControl w:val="0"/>
                              <w:rPr>
                                <w:sz w:val="10"/>
                                <w:szCs w:val="10"/>
                              </w:rPr>
                            </w:pPr>
                          </w:p>
                        </w:tc>
                        <w:tc>
                          <w:tcPr>
                            <w:gridSpan w:val="2"/>
                            <w:tcBorders>
                              <w:top w:val="single" w:sz="4"/>
                              <w:left w:val="single" w:sz="4"/>
                              <w:bottom w:val="single" w:sz="4"/>
                            </w:tcBorders>
                            <w:shd w:val="clear" w:color="auto" w:fill="69FA68"/>
                            <w:vAlign w:val="top"/>
                          </w:tcPr>
                          <w:p>
                            <w:pPr>
                              <w:widowControl w:val="0"/>
                              <w:rPr>
                                <w:sz w:val="10"/>
                                <w:szCs w:val="10"/>
                              </w:rPr>
                            </w:pPr>
                          </w:p>
                        </w:tc>
                        <w:tc>
                          <w:tcPr>
                            <w:gridSpan w:val="2"/>
                            <w:tcBorders>
                              <w:top w:val="single" w:sz="4"/>
                              <w:left w:val="single" w:sz="4"/>
                              <w:bottom w:val="single" w:sz="4"/>
                              <w:right w:val="single" w:sz="4"/>
                            </w:tcBorders>
                            <w:shd w:val="clear" w:color="auto" w:fill="69FA68"/>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1390650" distB="6350" distL="0" distR="0" simplePos="0" relativeHeight="125829401" behindDoc="0" locked="0" layoutInCell="1" allowOverlap="1">
                <wp:simplePos x="0" y="0"/>
                <wp:positionH relativeFrom="page">
                  <wp:posOffset>4211320</wp:posOffset>
                </wp:positionH>
                <wp:positionV relativeFrom="paragraph">
                  <wp:posOffset>1390650</wp:posOffset>
                </wp:positionV>
                <wp:extent cx="768350" cy="1673225"/>
                <wp:wrapTopAndBottom/>
                <wp:docPr id="41" name="Shape 41"/>
                <a:graphic xmlns:a="http://schemas.openxmlformats.org/drawingml/2006/main">
                  <a:graphicData uri="http://schemas.microsoft.com/office/word/2010/wordprocessingShape">
                    <wps:wsp>
                      <wps:cNvSpPr txBox="1"/>
                      <wps:spPr>
                        <a:xfrm>
                          <a:ext cx="768350" cy="1673225"/>
                        </a:xfrm>
                        <a:prstGeom prst="rect"/>
                        <a:noFill/>
                      </wps:spPr>
                      <wps:txbx>
                        <w:txbxContent>
                          <w:tbl>
                            <w:tblPr>
                              <w:tblOverlap w:val="never"/>
                              <w:jc w:val="left"/>
                              <w:tblLayout w:type="fixed"/>
                            </w:tblPr>
                            <w:tblGrid>
                              <w:gridCol w:w="187"/>
                              <w:gridCol w:w="221"/>
                              <w:gridCol w:w="187"/>
                              <w:gridCol w:w="216"/>
                              <w:gridCol w:w="202"/>
                              <w:gridCol w:w="197"/>
                            </w:tblGrid>
                            <w:tr>
                              <w:trPr>
                                <w:tblHeader/>
                                <w:trHeight w:val="365" w:hRule="exact"/>
                              </w:trPr>
                              <w:tc>
                                <w:tcPr>
                                  <w:tcBorders/>
                                  <w:shd w:val="clear" w:color="auto" w:fill="FFFFFF"/>
                                  <w:vAlign w:val="top"/>
                                </w:tcPr>
                                <w:p>
                                  <w:pPr>
                                    <w:widowControl w:val="0"/>
                                    <w:rPr>
                                      <w:sz w:val="10"/>
                                      <w:szCs w:val="10"/>
                                    </w:rPr>
                                  </w:pPr>
                                </w:p>
                              </w:tc>
                              <w:tc>
                                <w:tcPr>
                                  <w:gridSpan w:val="4"/>
                                  <w:tcBorders>
                                    <w:top w:val="single" w:sz="4"/>
                                    <w:left w:val="single" w:sz="4"/>
                                  </w:tcBorders>
                                  <w:shd w:val="clear" w:color="auto" w:fill="69FA68"/>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229A23"/>
                                      <w:spacing w:val="0"/>
                                      <w:w w:val="100"/>
                                      <w:position w:val="0"/>
                                      <w:sz w:val="13"/>
                                      <w:szCs w:val="13"/>
                                    </w:rPr>
                                    <w:t>副总蛭理</w:t>
                                  </w:r>
                                </w:p>
                              </w:tc>
                              <w:tc>
                                <w:tcPr>
                                  <w:tcBorders>
                                    <w:left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gridSpan w:val="6"/>
                                  <w:tcBorders>
                                    <w:top w:val="single" w:sz="4"/>
                                    <w:left w:val="single" w:sz="4"/>
                                    <w:right w:val="single" w:sz="4"/>
                                  </w:tcBorders>
                                  <w:shd w:val="clear" w:color="auto" w:fill="69FA68"/>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229A23"/>
                                      <w:spacing w:val="0"/>
                                      <w:w w:val="100"/>
                                      <w:position w:val="0"/>
                                      <w:sz w:val="13"/>
                                      <w:szCs w:val="13"/>
                                    </w:rPr>
                                    <w:t>客户服务中心</w:t>
                                  </w:r>
                                </w:p>
                              </w:tc>
                            </w:tr>
                            <w:tr>
                              <w:trPr>
                                <w:trHeight w:val="134"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top"/>
                                </w:tcPr>
                                <w:p>
                                  <w:pPr>
                                    <w:widowControl w:val="0"/>
                                    <w:rPr>
                                      <w:sz w:val="10"/>
                                      <w:szCs w:val="10"/>
                                    </w:rPr>
                                  </w:pPr>
                                </w:p>
                              </w:tc>
                            </w:tr>
                            <w:tr>
                              <w:trPr>
                                <w:trHeight w:val="125" w:hRule="exact"/>
                              </w:trPr>
                              <w:tc>
                                <w:tcPr>
                                  <w:vMerge/>
                                  <w:tcBorders/>
                                  <w:shd w:val="clear" w:color="auto" w:fill="FFFFFF"/>
                                  <w:vAlign w:val="top"/>
                                </w:tcPr>
                                <w:p>
                                  <w:pPr/>
                                </w:p>
                              </w:tc>
                              <w:tc>
                                <w:tcPr>
                                  <w:gridSpan w:val="2"/>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vMerge/>
                                  <w:tcBorders/>
                                  <w:shd w:val="clear" w:color="auto" w:fill="FFFFFF"/>
                                  <w:vAlign w:val="top"/>
                                </w:tcPr>
                                <w:p>
                                  <w:pPr/>
                                </w:p>
                              </w:tc>
                            </w:tr>
                            <w:tr>
                              <w:trPr>
                                <w:trHeight w:val="1315" w:hRule="exact"/>
                              </w:trPr>
                              <w:tc>
                                <w:tcPr>
                                  <w:gridSpan w:val="2"/>
                                  <w:tcBorders>
                                    <w:top w:val="single" w:sz="4"/>
                                    <w:left w:val="single" w:sz="4"/>
                                    <w:bottom w:val="single" w:sz="4"/>
                                  </w:tcBorders>
                                  <w:shd w:val="clear" w:color="auto" w:fill="69FA68"/>
                                  <w:vAlign w:val="top"/>
                                </w:tcPr>
                                <w:p>
                                  <w:pPr>
                                    <w:widowControl w:val="0"/>
                                    <w:rPr>
                                      <w:sz w:val="10"/>
                                      <w:szCs w:val="10"/>
                                    </w:rPr>
                                  </w:pPr>
                                </w:p>
                              </w:tc>
                              <w:tc>
                                <w:tcPr>
                                  <w:gridSpan w:val="2"/>
                                  <w:tcBorders>
                                    <w:top w:val="single" w:sz="4"/>
                                    <w:left w:val="single" w:sz="4"/>
                                    <w:bottom w:val="single" w:sz="4"/>
                                  </w:tcBorders>
                                  <w:shd w:val="clear" w:color="auto" w:fill="69FA68"/>
                                  <w:vAlign w:val="top"/>
                                </w:tcPr>
                                <w:p>
                                  <w:pPr>
                                    <w:widowControl w:val="0"/>
                                    <w:rPr>
                                      <w:sz w:val="10"/>
                                      <w:szCs w:val="10"/>
                                    </w:rPr>
                                  </w:pPr>
                                </w:p>
                              </w:tc>
                              <w:tc>
                                <w:tcPr>
                                  <w:gridSpan w:val="2"/>
                                  <w:tcBorders>
                                    <w:top w:val="single" w:sz="4"/>
                                    <w:left w:val="single" w:sz="4"/>
                                    <w:bottom w:val="single" w:sz="4"/>
                                    <w:right w:val="single" w:sz="4"/>
                                  </w:tcBorders>
                                  <w:shd w:val="clear" w:color="auto" w:fill="69FA68"/>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67" type="#_x0000_t202" style="position:absolute;margin-left:331.60000000000002pt;margin-top:109.5pt;width:60.5pt;height:131.75pt;z-index:-125829352;mso-wrap-distance-left:0;mso-wrap-distance-top:109.5pt;mso-wrap-distance-right:0;mso-wrap-distance-bottom:0.5pt;mso-position-horizontal-relative:page" filled="f" stroked="f">
                <v:textbox inset="0,0,0,0">
                  <w:txbxContent>
                    <w:tbl>
                      <w:tblPr>
                        <w:tblOverlap w:val="never"/>
                        <w:jc w:val="left"/>
                        <w:tblLayout w:type="fixed"/>
                      </w:tblPr>
                      <w:tblGrid>
                        <w:gridCol w:w="187"/>
                        <w:gridCol w:w="221"/>
                        <w:gridCol w:w="187"/>
                        <w:gridCol w:w="216"/>
                        <w:gridCol w:w="202"/>
                        <w:gridCol w:w="197"/>
                      </w:tblGrid>
                      <w:tr>
                        <w:trPr>
                          <w:tblHeader/>
                          <w:trHeight w:val="365" w:hRule="exact"/>
                        </w:trPr>
                        <w:tc>
                          <w:tcPr>
                            <w:tcBorders/>
                            <w:shd w:val="clear" w:color="auto" w:fill="FFFFFF"/>
                            <w:vAlign w:val="top"/>
                          </w:tcPr>
                          <w:p>
                            <w:pPr>
                              <w:widowControl w:val="0"/>
                              <w:rPr>
                                <w:sz w:val="10"/>
                                <w:szCs w:val="10"/>
                              </w:rPr>
                            </w:pPr>
                          </w:p>
                        </w:tc>
                        <w:tc>
                          <w:tcPr>
                            <w:gridSpan w:val="4"/>
                            <w:tcBorders>
                              <w:top w:val="single" w:sz="4"/>
                              <w:left w:val="single" w:sz="4"/>
                            </w:tcBorders>
                            <w:shd w:val="clear" w:color="auto" w:fill="69FA68"/>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229A23"/>
                                <w:spacing w:val="0"/>
                                <w:w w:val="100"/>
                                <w:position w:val="0"/>
                                <w:sz w:val="13"/>
                                <w:szCs w:val="13"/>
                              </w:rPr>
                              <w:t>副总蛭理</w:t>
                            </w:r>
                          </w:p>
                        </w:tc>
                        <w:tc>
                          <w:tcPr>
                            <w:tcBorders>
                              <w:left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gridSpan w:val="6"/>
                            <w:tcBorders>
                              <w:top w:val="single" w:sz="4"/>
                              <w:left w:val="single" w:sz="4"/>
                              <w:right w:val="single" w:sz="4"/>
                            </w:tcBorders>
                            <w:shd w:val="clear" w:color="auto" w:fill="69FA68"/>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229A23"/>
                                <w:spacing w:val="0"/>
                                <w:w w:val="100"/>
                                <w:position w:val="0"/>
                                <w:sz w:val="13"/>
                                <w:szCs w:val="13"/>
                              </w:rPr>
                              <w:t>客户服务中心</w:t>
                            </w:r>
                          </w:p>
                        </w:tc>
                      </w:tr>
                      <w:tr>
                        <w:trPr>
                          <w:trHeight w:val="134"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top"/>
                          </w:tcPr>
                          <w:p>
                            <w:pPr>
                              <w:widowControl w:val="0"/>
                              <w:rPr>
                                <w:sz w:val="10"/>
                                <w:szCs w:val="10"/>
                              </w:rPr>
                            </w:pPr>
                          </w:p>
                        </w:tc>
                      </w:tr>
                      <w:tr>
                        <w:trPr>
                          <w:trHeight w:val="125" w:hRule="exact"/>
                        </w:trPr>
                        <w:tc>
                          <w:tcPr>
                            <w:vMerge/>
                            <w:tcBorders/>
                            <w:shd w:val="clear" w:color="auto" w:fill="FFFFFF"/>
                            <w:vAlign w:val="top"/>
                          </w:tcPr>
                          <w:p>
                            <w:pPr/>
                          </w:p>
                        </w:tc>
                        <w:tc>
                          <w:tcPr>
                            <w:gridSpan w:val="2"/>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vMerge/>
                            <w:tcBorders/>
                            <w:shd w:val="clear" w:color="auto" w:fill="FFFFFF"/>
                            <w:vAlign w:val="top"/>
                          </w:tcPr>
                          <w:p>
                            <w:pPr/>
                          </w:p>
                        </w:tc>
                      </w:tr>
                      <w:tr>
                        <w:trPr>
                          <w:trHeight w:val="1315" w:hRule="exact"/>
                        </w:trPr>
                        <w:tc>
                          <w:tcPr>
                            <w:gridSpan w:val="2"/>
                            <w:tcBorders>
                              <w:top w:val="single" w:sz="4"/>
                              <w:left w:val="single" w:sz="4"/>
                              <w:bottom w:val="single" w:sz="4"/>
                            </w:tcBorders>
                            <w:shd w:val="clear" w:color="auto" w:fill="69FA68"/>
                            <w:vAlign w:val="top"/>
                          </w:tcPr>
                          <w:p>
                            <w:pPr>
                              <w:widowControl w:val="0"/>
                              <w:rPr>
                                <w:sz w:val="10"/>
                                <w:szCs w:val="10"/>
                              </w:rPr>
                            </w:pPr>
                          </w:p>
                        </w:tc>
                        <w:tc>
                          <w:tcPr>
                            <w:gridSpan w:val="2"/>
                            <w:tcBorders>
                              <w:top w:val="single" w:sz="4"/>
                              <w:left w:val="single" w:sz="4"/>
                              <w:bottom w:val="single" w:sz="4"/>
                            </w:tcBorders>
                            <w:shd w:val="clear" w:color="auto" w:fill="69FA68"/>
                            <w:vAlign w:val="top"/>
                          </w:tcPr>
                          <w:p>
                            <w:pPr>
                              <w:widowControl w:val="0"/>
                              <w:rPr>
                                <w:sz w:val="10"/>
                                <w:szCs w:val="10"/>
                              </w:rPr>
                            </w:pPr>
                          </w:p>
                        </w:tc>
                        <w:tc>
                          <w:tcPr>
                            <w:gridSpan w:val="2"/>
                            <w:tcBorders>
                              <w:top w:val="single" w:sz="4"/>
                              <w:left w:val="single" w:sz="4"/>
                              <w:bottom w:val="single" w:sz="4"/>
                              <w:right w:val="single" w:sz="4"/>
                            </w:tcBorders>
                            <w:shd w:val="clear" w:color="auto" w:fill="69FA68"/>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24"/>
        <w:keepNext w:val="0"/>
        <w:keepLines w:val="0"/>
        <w:widowControl w:val="0"/>
        <w:shd w:val="clear" w:color="auto" w:fill="auto"/>
        <w:bidi w:val="0"/>
        <w:spacing w:before="0" w:after="340" w:line="322" w:lineRule="exact"/>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sz w:val="24"/>
          <w:szCs w:val="24"/>
        </w:rPr>
        <w:t>四</w:t>
      </w:r>
      <w:bookmarkEnd w:id="385"/>
      <w:r>
        <w:rPr>
          <w:color w:val="000000"/>
          <w:spacing w:val="0"/>
          <w:w w:val="100"/>
          <w:position w:val="0"/>
          <w:sz w:val="24"/>
          <w:szCs w:val="24"/>
        </w:rPr>
        <w:t>、公司主要会计政策、会计估计和前期差错</w:t>
      </w:r>
      <w:bookmarkEnd w:id="383"/>
      <w:bookmarkEnd w:id="384"/>
      <w:bookmarkEnd w:id="386"/>
    </w:p>
    <w:p>
      <w:pPr>
        <w:pStyle w:val="Style29"/>
        <w:keepNext/>
        <w:keepLines/>
        <w:widowControl w:val="0"/>
        <w:shd w:val="clear" w:color="auto" w:fill="auto"/>
        <w:tabs>
          <w:tab w:pos="373" w:val="left"/>
        </w:tabs>
        <w:bidi w:val="0"/>
        <w:spacing w:before="0" w:after="26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1</w:t>
      </w:r>
      <w:bookmarkEnd w:id="389"/>
      <w:r>
        <w:rPr>
          <w:color w:val="000000"/>
          <w:spacing w:val="0"/>
          <w:w w:val="100"/>
          <w:position w:val="0"/>
        </w:rPr>
        <w:t>、</w:t>
        <w:tab/>
        <w:t>财务报表的编制基础</w:t>
      </w:r>
      <w:bookmarkEnd w:id="387"/>
      <w:bookmarkEnd w:id="388"/>
      <w:bookmarkEnd w:id="390"/>
    </w:p>
    <w:p>
      <w:pPr>
        <w:pStyle w:val="Style24"/>
        <w:keepNext w:val="0"/>
        <w:keepLines w:val="0"/>
        <w:widowControl w:val="0"/>
        <w:shd w:val="clear" w:color="auto" w:fill="auto"/>
        <w:bidi w:val="0"/>
        <w:spacing w:before="0" w:after="340" w:line="322" w:lineRule="exact"/>
        <w:ind w:left="0" w:right="0" w:firstLine="46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日起执行《企业会计准则》，以持续经营为基础，根据实际发生的交易和事项，按照《企业会计 准则</w:t>
      </w:r>
      <w:r>
        <w:rPr>
          <w:rFonts w:ascii="Times New Roman" w:eastAsia="Times New Roman" w:hAnsi="Times New Roman" w:cs="Times New Roman"/>
          <w:color w:val="000000"/>
          <w:spacing w:val="0"/>
          <w:w w:val="100"/>
          <w:position w:val="0"/>
        </w:rPr>
        <w:t>-</w:t>
      </w:r>
      <w:r>
        <w:rPr>
          <w:color w:val="000000"/>
          <w:spacing w:val="0"/>
          <w:w w:val="100"/>
          <w:position w:val="0"/>
        </w:rPr>
        <w:t>基本准则》和其他各项会计准则的规定（以下简称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）进行确认和计量，在此基础上编制</w:t>
      </w:r>
      <w:r>
        <w:rPr>
          <w:rFonts w:ascii="Times New Roman" w:eastAsia="Times New Roman" w:hAnsi="Times New Roman" w:cs="Times New Roman"/>
          <w:color w:val="000000"/>
          <w:spacing w:val="0"/>
          <w:w w:val="100"/>
          <w:position w:val="0"/>
        </w:rPr>
        <w:t>2013</w:t>
      </w:r>
      <w:r>
        <w:rPr>
          <w:color w:val="000000"/>
          <w:spacing w:val="0"/>
          <w:w w:val="100"/>
          <w:position w:val="0"/>
        </w:rPr>
        <w:t>年度财务 报表。</w:t>
      </w:r>
    </w:p>
    <w:p>
      <w:pPr>
        <w:pStyle w:val="Style29"/>
        <w:keepNext/>
        <w:keepLines/>
        <w:widowControl w:val="0"/>
        <w:shd w:val="clear" w:color="auto" w:fill="auto"/>
        <w:tabs>
          <w:tab w:pos="382" w:val="left"/>
        </w:tabs>
        <w:bidi w:val="0"/>
        <w:spacing w:before="0" w:after="26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2</w:t>
      </w:r>
      <w:bookmarkEnd w:id="393"/>
      <w:r>
        <w:rPr>
          <w:color w:val="000000"/>
          <w:spacing w:val="0"/>
          <w:w w:val="100"/>
          <w:position w:val="0"/>
        </w:rPr>
        <w:t>、</w:t>
        <w:tab/>
        <w:t>遵循企业会计准则的声明</w:t>
      </w:r>
      <w:bookmarkEnd w:id="391"/>
      <w:bookmarkEnd w:id="392"/>
      <w:bookmarkEnd w:id="394"/>
    </w:p>
    <w:p>
      <w:pPr>
        <w:pStyle w:val="Style24"/>
        <w:keepNext w:val="0"/>
        <w:keepLines w:val="0"/>
        <w:widowControl w:val="0"/>
        <w:shd w:val="clear" w:color="auto" w:fill="auto"/>
        <w:bidi w:val="0"/>
        <w:spacing w:before="0" w:after="300" w:line="322" w:lineRule="exact"/>
        <w:ind w:left="0" w:right="0" w:firstLine="460"/>
        <w:jc w:val="both"/>
      </w:pPr>
      <w:r>
        <w:rPr>
          <w:color w:val="000000"/>
          <w:spacing w:val="0"/>
          <w:w w:val="100"/>
          <w:position w:val="0"/>
        </w:rPr>
        <w:t>本公司基于下述编制基础编制的财务报表符合财政部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日颁布的《企业会计准则》的要求，真实完整地反映 </w:t>
      </w:r>
      <w:r>
        <w:rPr>
          <w:color w:val="000000"/>
          <w:spacing w:val="0"/>
          <w:w w:val="100"/>
          <w:position w:val="0"/>
        </w:rPr>
        <w:t>了公司的财务状况、经营成果和现金流量等有关信息。</w:t>
      </w:r>
    </w:p>
    <w:p>
      <w:pPr>
        <w:pStyle w:val="Style32"/>
        <w:keepNext w:val="0"/>
        <w:keepLines w:val="0"/>
        <w:widowControl w:val="0"/>
        <w:shd w:val="clear" w:color="auto" w:fill="auto"/>
        <w:tabs>
          <w:tab w:pos="382" w:val="left"/>
        </w:tabs>
        <w:bidi w:val="0"/>
        <w:spacing w:before="0" w:line="240" w:lineRule="auto"/>
        <w:ind w:left="0" w:right="0" w:firstLine="0"/>
        <w:jc w:val="left"/>
      </w:pPr>
      <w:bookmarkStart w:id="395" w:name="bookmark395"/>
      <w:r>
        <w:rPr>
          <w:rFonts w:ascii="Times New Roman" w:eastAsia="Times New Roman" w:hAnsi="Times New Roman" w:cs="Times New Roman"/>
          <w:b/>
          <w:bCs/>
          <w:color w:val="000000"/>
          <w:spacing w:val="0"/>
          <w:w w:val="100"/>
          <w:position w:val="0"/>
        </w:rPr>
        <w:t>3</w:t>
      </w:r>
      <w:bookmarkEnd w:id="395"/>
      <w:r>
        <w:rPr>
          <w:b/>
          <w:bCs/>
          <w:color w:val="000000"/>
          <w:spacing w:val="0"/>
          <w:w w:val="100"/>
          <w:position w:val="0"/>
        </w:rPr>
        <w:t>、</w:t>
        <w:tab/>
        <w:t>会计期间</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本公司的会计年度从公历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2"/>
        <w:keepNext w:val="0"/>
        <w:keepLines w:val="0"/>
        <w:widowControl w:val="0"/>
        <w:shd w:val="clear" w:color="auto" w:fill="auto"/>
        <w:tabs>
          <w:tab w:pos="382" w:val="left"/>
        </w:tabs>
        <w:bidi w:val="0"/>
        <w:spacing w:before="0" w:line="240" w:lineRule="auto"/>
        <w:ind w:left="0" w:right="0" w:firstLine="0"/>
        <w:jc w:val="left"/>
      </w:pPr>
      <w:bookmarkStart w:id="396" w:name="bookmark396"/>
      <w:r>
        <w:rPr>
          <w:rFonts w:ascii="Times New Roman" w:eastAsia="Times New Roman" w:hAnsi="Times New Roman" w:cs="Times New Roman"/>
          <w:b/>
          <w:bCs/>
          <w:color w:val="000000"/>
          <w:spacing w:val="0"/>
          <w:w w:val="100"/>
          <w:position w:val="0"/>
        </w:rPr>
        <w:t>4</w:t>
      </w:r>
      <w:bookmarkEnd w:id="396"/>
      <w:r>
        <w:rPr>
          <w:b/>
          <w:bCs/>
          <w:color w:val="000000"/>
          <w:spacing w:val="0"/>
          <w:w w:val="100"/>
          <w:position w:val="0"/>
        </w:rPr>
        <w:t>、</w:t>
        <w:tab/>
        <w:t>记账本位币</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本公司采用人民币作为记账本位币。</w:t>
      </w:r>
    </w:p>
    <w:p>
      <w:pPr>
        <w:pStyle w:val="Style32"/>
        <w:keepNext w:val="0"/>
        <w:keepLines w:val="0"/>
        <w:widowControl w:val="0"/>
        <w:shd w:val="clear" w:color="auto" w:fill="auto"/>
        <w:tabs>
          <w:tab w:pos="382" w:val="left"/>
        </w:tabs>
        <w:bidi w:val="0"/>
        <w:spacing w:before="0" w:line="240" w:lineRule="auto"/>
        <w:ind w:left="0" w:right="0" w:firstLine="0"/>
        <w:jc w:val="left"/>
      </w:pPr>
      <w:bookmarkStart w:id="397" w:name="bookmark397"/>
      <w:r>
        <w:rPr>
          <w:rFonts w:ascii="Times New Roman" w:eastAsia="Times New Roman" w:hAnsi="Times New Roman" w:cs="Times New Roman"/>
          <w:b/>
          <w:bCs/>
          <w:color w:val="000000"/>
          <w:spacing w:val="0"/>
          <w:w w:val="100"/>
          <w:position w:val="0"/>
        </w:rPr>
        <w:t>5</w:t>
      </w:r>
      <w:bookmarkEnd w:id="397"/>
      <w:r>
        <w:rPr>
          <w:b/>
          <w:bCs/>
          <w:color w:val="000000"/>
          <w:spacing w:val="0"/>
          <w:w w:val="100"/>
          <w:position w:val="0"/>
        </w:rPr>
        <w:t>、</w:t>
        <w:tab/>
        <w:t>同一控制下和非同一控制下企业合并的会计处理方法</w:t>
      </w:r>
    </w:p>
    <w:p>
      <w:pPr>
        <w:pStyle w:val="Style32"/>
        <w:keepNext w:val="0"/>
        <w:keepLines w:val="0"/>
        <w:widowControl w:val="0"/>
        <w:shd w:val="clear" w:color="auto" w:fill="auto"/>
        <w:tabs>
          <w:tab w:pos="493" w:val="left"/>
        </w:tabs>
        <w:bidi w:val="0"/>
        <w:spacing w:before="0" w:line="240" w:lineRule="auto"/>
        <w:ind w:left="0" w:right="0" w:firstLine="0"/>
        <w:jc w:val="left"/>
      </w:pPr>
      <w:bookmarkStart w:id="398" w:name="bookmark398"/>
      <w:r>
        <w:rPr>
          <w:b/>
          <w:bCs/>
          <w:color w:val="000000"/>
          <w:spacing w:val="0"/>
          <w:w w:val="100"/>
          <w:position w:val="0"/>
        </w:rPr>
        <w:t>（</w:t>
      </w:r>
      <w:bookmarkEnd w:id="39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同一控制下企业合并</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tabs>
          <w:tab w:pos="493" w:val="left"/>
        </w:tabs>
        <w:bidi w:val="0"/>
        <w:spacing w:before="0" w:line="240" w:lineRule="auto"/>
        <w:ind w:left="0" w:right="0" w:firstLine="0"/>
        <w:jc w:val="left"/>
      </w:pPr>
      <w:bookmarkStart w:id="399" w:name="bookmark399"/>
      <w:r>
        <w:rPr>
          <w:b/>
          <w:bCs/>
          <w:color w:val="000000"/>
          <w:spacing w:val="0"/>
          <w:w w:val="100"/>
          <w:position w:val="0"/>
        </w:rPr>
        <w:t>（</w:t>
      </w:r>
      <w:bookmarkEnd w:id="39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非同一控制下的企业合并</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tabs>
          <w:tab w:pos="382" w:val="left"/>
        </w:tabs>
        <w:bidi w:val="0"/>
        <w:spacing w:before="0" w:line="240" w:lineRule="auto"/>
        <w:ind w:left="0" w:right="0" w:firstLine="0"/>
        <w:jc w:val="left"/>
      </w:pPr>
      <w:bookmarkStart w:id="400" w:name="bookmark400"/>
      <w:r>
        <w:rPr>
          <w:rFonts w:ascii="Times New Roman" w:eastAsia="Times New Roman" w:hAnsi="Times New Roman" w:cs="Times New Roman"/>
          <w:b/>
          <w:bCs/>
          <w:color w:val="000000"/>
          <w:spacing w:val="0"/>
          <w:w w:val="100"/>
          <w:position w:val="0"/>
        </w:rPr>
        <w:t>6</w:t>
      </w:r>
      <w:bookmarkEnd w:id="400"/>
      <w:r>
        <w:rPr>
          <w:b/>
          <w:bCs/>
          <w:color w:val="000000"/>
          <w:spacing w:val="0"/>
          <w:w w:val="100"/>
          <w:position w:val="0"/>
        </w:rPr>
        <w:t>、</w:t>
        <w:tab/>
        <w:t>分步处置股权至丧失控制权相关的具体会计政策</w:t>
      </w:r>
    </w:p>
    <w:p>
      <w:pPr>
        <w:pStyle w:val="Style32"/>
        <w:keepNext w:val="0"/>
        <w:keepLines w:val="0"/>
        <w:widowControl w:val="0"/>
        <w:shd w:val="clear" w:color="auto" w:fill="auto"/>
        <w:tabs>
          <w:tab w:pos="493" w:val="left"/>
        </w:tabs>
        <w:bidi w:val="0"/>
        <w:spacing w:before="0" w:line="240" w:lineRule="auto"/>
        <w:ind w:left="0" w:right="0" w:firstLine="0"/>
        <w:jc w:val="left"/>
      </w:pPr>
      <w:bookmarkStart w:id="401" w:name="bookmark401"/>
      <w:r>
        <w:rPr>
          <w:b/>
          <w:bCs/>
          <w:color w:val="000000"/>
          <w:spacing w:val="0"/>
          <w:w w:val="100"/>
          <w:position w:val="0"/>
        </w:rPr>
        <w:t>（</w:t>
      </w:r>
      <w:bookmarkEnd w:id="40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的判断原则</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tabs>
          <w:tab w:pos="493" w:val="left"/>
        </w:tabs>
        <w:bidi w:val="0"/>
        <w:spacing w:before="0" w:line="240" w:lineRule="auto"/>
        <w:ind w:left="0" w:right="0" w:firstLine="0"/>
        <w:jc w:val="left"/>
      </w:pPr>
      <w:bookmarkStart w:id="402" w:name="bookmark402"/>
      <w:r>
        <w:rPr>
          <w:b/>
          <w:bCs/>
          <w:color w:val="000000"/>
          <w:spacing w:val="0"/>
          <w:w w:val="100"/>
          <w:position w:val="0"/>
        </w:rPr>
        <w:t>（</w:t>
      </w:r>
      <w:bookmarkEnd w:id="40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的会计处理方法</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tabs>
          <w:tab w:pos="493" w:val="left"/>
        </w:tabs>
        <w:bidi w:val="0"/>
        <w:spacing w:before="0" w:line="240" w:lineRule="auto"/>
        <w:ind w:left="0" w:right="0" w:firstLine="0"/>
        <w:jc w:val="left"/>
      </w:pPr>
      <w:bookmarkStart w:id="403" w:name="bookmark403"/>
      <w:r>
        <w:rPr>
          <w:b/>
          <w:bCs/>
          <w:color w:val="000000"/>
          <w:spacing w:val="0"/>
          <w:w w:val="100"/>
          <w:position w:val="0"/>
        </w:rPr>
        <w:t>（</w:t>
      </w:r>
      <w:bookmarkEnd w:id="40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非</w:t>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的会计处理方法</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tabs>
          <w:tab w:pos="382" w:val="left"/>
        </w:tabs>
        <w:bidi w:val="0"/>
        <w:spacing w:before="0" w:line="240" w:lineRule="auto"/>
        <w:ind w:left="0" w:right="0" w:firstLine="0"/>
        <w:jc w:val="left"/>
      </w:pPr>
      <w:bookmarkStart w:id="404" w:name="bookmark404"/>
      <w:r>
        <w:rPr>
          <w:rFonts w:ascii="Times New Roman" w:eastAsia="Times New Roman" w:hAnsi="Times New Roman" w:cs="Times New Roman"/>
          <w:b/>
          <w:bCs/>
          <w:color w:val="000000"/>
          <w:spacing w:val="0"/>
          <w:w w:val="100"/>
          <w:position w:val="0"/>
        </w:rPr>
        <w:t>7</w:t>
      </w:r>
      <w:bookmarkEnd w:id="404"/>
      <w:r>
        <w:rPr>
          <w:b/>
          <w:bCs/>
          <w:color w:val="000000"/>
          <w:spacing w:val="0"/>
          <w:w w:val="100"/>
          <w:position w:val="0"/>
        </w:rPr>
        <w:t>、</w:t>
        <w:tab/>
        <w:t>合并财务报表的编制方法</w:t>
      </w:r>
    </w:p>
    <w:p>
      <w:pPr>
        <w:pStyle w:val="Style32"/>
        <w:keepNext w:val="0"/>
        <w:keepLines w:val="0"/>
        <w:widowControl w:val="0"/>
        <w:shd w:val="clear" w:color="auto" w:fill="auto"/>
        <w:tabs>
          <w:tab w:pos="493" w:val="left"/>
        </w:tabs>
        <w:bidi w:val="0"/>
        <w:spacing w:before="0" w:line="240" w:lineRule="auto"/>
        <w:ind w:left="0" w:right="0" w:firstLine="0"/>
        <w:jc w:val="left"/>
      </w:pPr>
      <w:bookmarkStart w:id="405" w:name="bookmark405"/>
      <w:r>
        <w:rPr>
          <w:b/>
          <w:bCs/>
          <w:color w:val="000000"/>
          <w:spacing w:val="0"/>
          <w:w w:val="100"/>
          <w:position w:val="0"/>
        </w:rPr>
        <w:t>（</w:t>
      </w:r>
      <w:bookmarkEnd w:id="40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合并财务报表的编制方法</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tabs>
          <w:tab w:pos="493" w:val="left"/>
        </w:tabs>
        <w:bidi w:val="0"/>
        <w:spacing w:before="0" w:line="240" w:lineRule="auto"/>
        <w:ind w:left="0" w:right="0" w:firstLine="0"/>
        <w:jc w:val="left"/>
      </w:pPr>
      <w:bookmarkStart w:id="406" w:name="bookmark406"/>
      <w:r>
        <w:rPr>
          <w:b/>
          <w:bCs/>
          <w:color w:val="000000"/>
          <w:spacing w:val="0"/>
          <w:w w:val="100"/>
          <w:position w:val="0"/>
        </w:rPr>
        <w:t>（</w:t>
      </w:r>
      <w:bookmarkEnd w:id="40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对同一子公司的股权在连续两个会计年度买入再卖出，或卖出再买入的应披露相关的会计处理方法</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tabs>
          <w:tab w:pos="382" w:val="left"/>
        </w:tabs>
        <w:bidi w:val="0"/>
        <w:spacing w:before="0" w:line="240" w:lineRule="auto"/>
        <w:ind w:left="0" w:right="0" w:firstLine="0"/>
        <w:jc w:val="left"/>
      </w:pPr>
      <w:bookmarkStart w:id="407" w:name="bookmark407"/>
      <w:r>
        <w:rPr>
          <w:rFonts w:ascii="Times New Roman" w:eastAsia="Times New Roman" w:hAnsi="Times New Roman" w:cs="Times New Roman"/>
          <w:b/>
          <w:bCs/>
          <w:color w:val="000000"/>
          <w:spacing w:val="0"/>
          <w:w w:val="100"/>
          <w:position w:val="0"/>
        </w:rPr>
        <w:t>8</w:t>
      </w:r>
      <w:bookmarkEnd w:id="407"/>
      <w:r>
        <w:rPr>
          <w:b/>
          <w:bCs/>
          <w:color w:val="000000"/>
          <w:spacing w:val="0"/>
          <w:w w:val="100"/>
          <w:position w:val="0"/>
        </w:rPr>
        <w:t>、</w:t>
        <w:tab/>
        <w:t>现金及现金等价物的确定标准</w:t>
      </w:r>
    </w:p>
    <w:p>
      <w:pPr>
        <w:pStyle w:val="Style24"/>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 xml:space="preserve">现金流量表的现金指企业库存现金及可以随时用于支付的存款。现金等价物指持有的期限短（一般是指从购买日起三 </w:t>
      </w:r>
      <w:r>
        <w:rPr>
          <w:color w:val="000000"/>
          <w:spacing w:val="0"/>
          <w:w w:val="100"/>
          <w:position w:val="0"/>
        </w:rPr>
        <w:t>个月内到期）、流动性强、易于转换为已知金额现金、价值变动风险很小的投资。</w:t>
      </w:r>
    </w:p>
    <w:p>
      <w:pPr>
        <w:pStyle w:val="Style29"/>
        <w:keepNext/>
        <w:keepLines/>
        <w:widowControl w:val="0"/>
        <w:shd w:val="clear" w:color="auto" w:fill="auto"/>
        <w:tabs>
          <w:tab w:pos="382" w:val="left"/>
        </w:tabs>
        <w:bidi w:val="0"/>
        <w:spacing w:before="0" w:after="360" w:line="240" w:lineRule="auto"/>
        <w:ind w:left="0" w:right="0" w:firstLine="0"/>
        <w:jc w:val="both"/>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9</w:t>
      </w:r>
      <w:bookmarkEnd w:id="410"/>
      <w:r>
        <w:rPr>
          <w:color w:val="000000"/>
          <w:spacing w:val="0"/>
          <w:w w:val="100"/>
          <w:position w:val="0"/>
        </w:rPr>
        <w:t>、</w:t>
        <w:tab/>
        <w:t>外币业务和外币报表折算</w:t>
      </w:r>
      <w:bookmarkEnd w:id="408"/>
      <w:bookmarkEnd w:id="409"/>
      <w:bookmarkEnd w:id="411"/>
    </w:p>
    <w:p>
      <w:pPr>
        <w:pStyle w:val="Style29"/>
        <w:keepNext/>
        <w:keepLines/>
        <w:widowControl w:val="0"/>
        <w:shd w:val="clear" w:color="auto" w:fill="auto"/>
        <w:tabs>
          <w:tab w:pos="493" w:val="left"/>
        </w:tabs>
        <w:bidi w:val="0"/>
        <w:spacing w:before="0" w:after="280" w:line="240" w:lineRule="auto"/>
        <w:ind w:left="0" w:right="0" w:firstLine="0"/>
        <w:jc w:val="both"/>
      </w:pPr>
      <w:bookmarkStart w:id="408" w:name="bookmark408"/>
      <w:bookmarkStart w:id="409" w:name="bookmark409"/>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408"/>
      <w:bookmarkEnd w:id="409"/>
      <w:bookmarkEnd w:id="413"/>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本公司收到投资者以外币投入资本时按当日即期汇率折合为人民币，其他外币交易在初始确认时按交易发生日的即期汇率折 合为人民币。</w:t>
      </w:r>
    </w:p>
    <w:p>
      <w:pPr>
        <w:pStyle w:val="Style24"/>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即期汇率是中国人民银行公布的人民币外汇牌价。</w:t>
      </w:r>
    </w:p>
    <w:p>
      <w:pPr>
        <w:pStyle w:val="Style29"/>
        <w:keepNext/>
        <w:keepLines/>
        <w:widowControl w:val="0"/>
        <w:shd w:val="clear" w:color="auto" w:fill="auto"/>
        <w:tabs>
          <w:tab w:pos="493" w:val="left"/>
        </w:tabs>
        <w:bidi w:val="0"/>
        <w:spacing w:before="0" w:after="280" w:line="240" w:lineRule="auto"/>
        <w:ind w:left="0" w:right="0" w:firstLine="0"/>
        <w:jc w:val="both"/>
      </w:pPr>
      <w:bookmarkStart w:id="414" w:name="bookmark414"/>
      <w:bookmarkStart w:id="415" w:name="bookmark415"/>
      <w:bookmarkStart w:id="416" w:name="bookmark416"/>
      <w:bookmarkStart w:id="417" w:name="bookmark417"/>
      <w:r>
        <w:rPr>
          <w:color w:val="000000"/>
          <w:spacing w:val="0"/>
          <w:w w:val="100"/>
          <w:position w:val="0"/>
        </w:rPr>
        <w:t>（</w:t>
      </w:r>
      <w:bookmarkEnd w:id="416"/>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414"/>
      <w:bookmarkEnd w:id="415"/>
      <w:bookmarkEnd w:id="417"/>
    </w:p>
    <w:p>
      <w:pPr>
        <w:pStyle w:val="Style24"/>
        <w:keepNext w:val="0"/>
        <w:keepLines w:val="0"/>
        <w:widowControl w:val="0"/>
        <w:shd w:val="clear" w:color="auto" w:fill="auto"/>
        <w:bidi w:val="0"/>
        <w:spacing w:before="0" w:after="360" w:line="313" w:lineRule="exact"/>
        <w:ind w:left="0" w:right="0" w:firstLine="460"/>
        <w:jc w:val="both"/>
      </w:pPr>
      <w:r>
        <w:rPr>
          <w:color w:val="000000"/>
          <w:spacing w:val="0"/>
          <w:w w:val="100"/>
          <w:position w:val="0"/>
        </w:rPr>
        <w:t>年末外币货币性项目，采用资产负债表日的即期汇率折算。除与购建或者生产符合资本化条件资产有关的专门借款本 金和利息的汇兑差额外，其他汇兑差额计入当期损益。以历史成本计量的外币非货币性项目，不改变其记账本位币金额。以 公允价值计量的外币非货币性项目，采用公允价值确定日的即期汇率折算，折算后的记账本位币金额与原记账本位币金额的 差额，属于可供出售金融资产的外币非货币性项目，其差额计入资本公积；属于以公允价值计量且其变动计入当期损益的外 币非货币性项目，其差额计入当期损益。</w:t>
      </w:r>
    </w:p>
    <w:p>
      <w:pPr>
        <w:pStyle w:val="Style29"/>
        <w:keepNext/>
        <w:keepLines/>
        <w:widowControl w:val="0"/>
        <w:shd w:val="clear" w:color="auto" w:fill="auto"/>
        <w:tabs>
          <w:tab w:pos="478" w:val="left"/>
        </w:tabs>
        <w:bidi w:val="0"/>
        <w:spacing w:before="0" w:after="36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418"/>
      <w:bookmarkEnd w:id="419"/>
      <w:bookmarkEnd w:id="421"/>
    </w:p>
    <w:p>
      <w:pPr>
        <w:pStyle w:val="Style29"/>
        <w:keepNext/>
        <w:keepLines/>
        <w:widowControl w:val="0"/>
        <w:shd w:val="clear" w:color="auto" w:fill="auto"/>
        <w:tabs>
          <w:tab w:pos="493" w:val="left"/>
        </w:tabs>
        <w:bidi w:val="0"/>
        <w:spacing w:before="0" w:after="280" w:line="240" w:lineRule="auto"/>
        <w:ind w:left="0" w:right="0" w:firstLine="0"/>
        <w:jc w:val="left"/>
      </w:pPr>
      <w:bookmarkStart w:id="418" w:name="bookmark418"/>
      <w:bookmarkStart w:id="419" w:name="bookmark419"/>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418"/>
      <w:bookmarkEnd w:id="419"/>
      <w:bookmarkEnd w:id="423"/>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金融资产包括交易性金融资产、指定为以公允价值计量且其变动计入当期损益的金融资产、持有至到期投资、应收款项、可 供出售金融资产等。金融负债包括交易性金融负债、指定为以公允价值计量且其变动计入当期损益的金融负债、其他金融负 债。</w:t>
      </w:r>
    </w:p>
    <w:p>
      <w:pPr>
        <w:pStyle w:val="Style29"/>
        <w:keepNext/>
        <w:keepLines/>
        <w:widowControl w:val="0"/>
        <w:shd w:val="clear" w:color="auto" w:fill="auto"/>
        <w:tabs>
          <w:tab w:pos="493" w:val="left"/>
        </w:tabs>
        <w:bidi w:val="0"/>
        <w:spacing w:before="0" w:after="280" w:line="240" w:lineRule="auto"/>
        <w:ind w:left="0" w:right="0" w:firstLine="0"/>
        <w:jc w:val="both"/>
      </w:pPr>
      <w:bookmarkStart w:id="424" w:name="bookmark424"/>
      <w:bookmarkStart w:id="425" w:name="bookmark425"/>
      <w:bookmarkStart w:id="426" w:name="bookmark426"/>
      <w:bookmarkStart w:id="427" w:name="bookmark427"/>
      <w:r>
        <w:rPr>
          <w:color w:val="000000"/>
          <w:spacing w:val="0"/>
          <w:w w:val="100"/>
          <w:position w:val="0"/>
        </w:rPr>
        <w:t>（</w:t>
      </w:r>
      <w:bookmarkEnd w:id="426"/>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424"/>
      <w:bookmarkEnd w:id="425"/>
      <w:bookmarkEnd w:id="427"/>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当公司成为金融工具合同的一方时，确认一项金融资产或金融负债。当收取该金融资产现金流量的合同权利终止、金融资产 已转移且符合规定的终止确认条件的金融资产时终止确认。当金融负债的现时义务全部或部分已解除的，终止确认该金融负 债或其一部分。</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公司初始确认金融资产或金融负债，按照公允价值计量。对于以公允价值计量且其变动计入当期损益的金融资产或金融负债， 相关交易费用直接计入当期损益；对于其他类别的金融资产或金融负债，相关交易费用计入初始确认金额。</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公司按照公允价值对金融资产进行后续计量，且不扣除将来处置该金融资产时可能发生的交易费用。但是，下列情况除外：</w:t>
      </w:r>
    </w:p>
    <w:p>
      <w:pPr>
        <w:pStyle w:val="Style24"/>
        <w:keepNext w:val="0"/>
        <w:keepLines w:val="0"/>
        <w:widowControl w:val="0"/>
        <w:shd w:val="clear" w:color="auto" w:fill="auto"/>
        <w:tabs>
          <w:tab w:pos="397" w:val="left"/>
        </w:tabs>
        <w:bidi w:val="0"/>
        <w:spacing w:before="0" w:after="0"/>
        <w:ind w:left="0" w:right="0" w:firstLine="0"/>
        <w:jc w:val="left"/>
      </w:pPr>
      <w:bookmarkStart w:id="428" w:name="bookmark428"/>
      <w:r>
        <w:rPr>
          <w:rFonts w:ascii="Times New Roman" w:eastAsia="Times New Roman" w:hAnsi="Times New Roman" w:cs="Times New Roman"/>
          <w:color w:val="000000"/>
          <w:spacing w:val="0"/>
          <w:w w:val="100"/>
          <w:position w:val="0"/>
        </w:rPr>
        <w:t>A</w:t>
      </w:r>
      <w:bookmarkEnd w:id="428"/>
      <w:r>
        <w:rPr>
          <w:color w:val="000000"/>
          <w:spacing w:val="0"/>
          <w:w w:val="100"/>
          <w:position w:val="0"/>
        </w:rPr>
        <w:t>、</w:t>
        <w:tab/>
      </w:r>
      <w:r>
        <w:rPr>
          <w:color w:val="000000"/>
          <w:spacing w:val="0"/>
          <w:w w:val="100"/>
          <w:position w:val="0"/>
        </w:rPr>
        <w:t>持有至到期投资以及贷款和应收款项，采用实际利率法，按摊余成本计量；</w:t>
      </w:r>
    </w:p>
    <w:p>
      <w:pPr>
        <w:pStyle w:val="Style24"/>
        <w:keepNext w:val="0"/>
        <w:keepLines w:val="0"/>
        <w:widowControl w:val="0"/>
        <w:shd w:val="clear" w:color="auto" w:fill="auto"/>
        <w:tabs>
          <w:tab w:pos="397" w:val="left"/>
        </w:tabs>
        <w:bidi w:val="0"/>
        <w:spacing w:before="0" w:after="0" w:line="312" w:lineRule="exact"/>
        <w:ind w:left="0" w:right="0" w:firstLine="0"/>
        <w:jc w:val="left"/>
      </w:pPr>
      <w:bookmarkStart w:id="429" w:name="bookmark429"/>
      <w:r>
        <w:rPr>
          <w:rFonts w:ascii="Times New Roman" w:eastAsia="Times New Roman" w:hAnsi="Times New Roman" w:cs="Times New Roman"/>
          <w:color w:val="000000"/>
          <w:spacing w:val="0"/>
          <w:w w:val="100"/>
          <w:position w:val="0"/>
        </w:rPr>
        <w:t>B</w:t>
      </w:r>
      <w:bookmarkEnd w:id="429"/>
      <w:r>
        <w:rPr>
          <w:color w:val="000000"/>
          <w:spacing w:val="0"/>
          <w:w w:val="100"/>
          <w:position w:val="0"/>
        </w:rPr>
        <w:t>、</w:t>
        <w:tab/>
      </w:r>
      <w:r>
        <w:rPr>
          <w:color w:val="000000"/>
          <w:spacing w:val="0"/>
          <w:w w:val="100"/>
          <w:position w:val="0"/>
        </w:rPr>
        <w:t>在活跃市场中没有报价且其公允价值不能可靠计量的权益工具投资，以及与该权益工具挂钩并须通过交付该权益工具结 算的衍生金融资产，按照成本计量。</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公司采用实际利率法，按摊余成本对金融负债进行后续计量。但是，下列情况除外：</w:t>
      </w:r>
    </w:p>
    <w:p>
      <w:pPr>
        <w:pStyle w:val="Style24"/>
        <w:keepNext w:val="0"/>
        <w:keepLines w:val="0"/>
        <w:widowControl w:val="0"/>
        <w:shd w:val="clear" w:color="auto" w:fill="auto"/>
        <w:tabs>
          <w:tab w:pos="397" w:val="left"/>
        </w:tabs>
        <w:bidi w:val="0"/>
        <w:spacing w:before="0" w:after="0" w:line="312" w:lineRule="exact"/>
        <w:ind w:left="0" w:right="0" w:firstLine="0"/>
        <w:jc w:val="left"/>
      </w:pPr>
      <w:bookmarkStart w:id="430" w:name="bookmark430"/>
      <w:r>
        <w:rPr>
          <w:rFonts w:ascii="Times New Roman" w:eastAsia="Times New Roman" w:hAnsi="Times New Roman" w:cs="Times New Roman"/>
          <w:color w:val="000000"/>
          <w:spacing w:val="0"/>
          <w:w w:val="100"/>
          <w:position w:val="0"/>
        </w:rPr>
        <w:t>A</w:t>
      </w:r>
      <w:bookmarkEnd w:id="430"/>
      <w:r>
        <w:rPr>
          <w:color w:val="000000"/>
          <w:spacing w:val="0"/>
          <w:w w:val="100"/>
          <w:position w:val="0"/>
        </w:rPr>
        <w:t>、</w:t>
        <w:tab/>
      </w:r>
      <w:r>
        <w:rPr>
          <w:color w:val="000000"/>
          <w:spacing w:val="0"/>
          <w:w w:val="100"/>
          <w:position w:val="0"/>
        </w:rPr>
        <w:t>以公允价值计量且其变动计入当期损益的金融负债，按照公允价值计量，且不扣除将来结清金融负债时可能发生的交易 费用；</w:t>
      </w:r>
    </w:p>
    <w:p>
      <w:pPr>
        <w:pStyle w:val="Style24"/>
        <w:keepNext w:val="0"/>
        <w:keepLines w:val="0"/>
        <w:widowControl w:val="0"/>
        <w:shd w:val="clear" w:color="auto" w:fill="auto"/>
        <w:tabs>
          <w:tab w:pos="397" w:val="left"/>
        </w:tabs>
        <w:bidi w:val="0"/>
        <w:spacing w:before="0" w:after="0" w:line="312" w:lineRule="exact"/>
        <w:ind w:left="0" w:right="0" w:firstLine="0"/>
        <w:jc w:val="left"/>
      </w:pPr>
      <w:bookmarkStart w:id="431" w:name="bookmark431"/>
      <w:r>
        <w:rPr>
          <w:rFonts w:ascii="Times New Roman" w:eastAsia="Times New Roman" w:hAnsi="Times New Roman" w:cs="Times New Roman"/>
          <w:color w:val="000000"/>
          <w:spacing w:val="0"/>
          <w:w w:val="100"/>
          <w:position w:val="0"/>
        </w:rPr>
        <w:t>B</w:t>
      </w:r>
      <w:bookmarkEnd w:id="431"/>
      <w:r>
        <w:rPr>
          <w:color w:val="000000"/>
          <w:spacing w:val="0"/>
          <w:w w:val="100"/>
          <w:position w:val="0"/>
        </w:rPr>
        <w:t>、</w:t>
        <w:tab/>
      </w:r>
      <w:r>
        <w:rPr>
          <w:color w:val="000000"/>
          <w:spacing w:val="0"/>
          <w:w w:val="100"/>
          <w:position w:val="0"/>
        </w:rPr>
        <w:t>与在活跃市场中没有报价、公允价值不能可靠计量的权益工具挂钩并须通过交付该权益工具结算的衍生金融负债，按照 成本计量；</w:t>
      </w:r>
    </w:p>
    <w:p>
      <w:pPr>
        <w:pStyle w:val="Style24"/>
        <w:keepNext w:val="0"/>
        <w:keepLines w:val="0"/>
        <w:widowControl w:val="0"/>
        <w:shd w:val="clear" w:color="auto" w:fill="auto"/>
        <w:tabs>
          <w:tab w:pos="397" w:val="left"/>
        </w:tabs>
        <w:bidi w:val="0"/>
        <w:spacing w:before="0" w:after="280" w:line="312" w:lineRule="exact"/>
        <w:ind w:left="0" w:right="0" w:firstLine="0"/>
        <w:jc w:val="left"/>
      </w:pPr>
      <w:bookmarkStart w:id="432" w:name="bookmark432"/>
      <w:r>
        <w:rPr>
          <w:rFonts w:ascii="Times New Roman" w:eastAsia="Times New Roman" w:hAnsi="Times New Roman" w:cs="Times New Roman"/>
          <w:color w:val="000000"/>
          <w:spacing w:val="0"/>
          <w:w w:val="100"/>
          <w:position w:val="0"/>
        </w:rPr>
        <w:t>C</w:t>
      </w:r>
      <w:bookmarkEnd w:id="432"/>
      <w:r>
        <w:rPr>
          <w:color w:val="000000"/>
          <w:spacing w:val="0"/>
          <w:w w:val="100"/>
          <w:position w:val="0"/>
        </w:rPr>
        <w:t>、</w:t>
        <w:tab/>
      </w:r>
      <w:r>
        <w:rPr>
          <w:color w:val="000000"/>
          <w:spacing w:val="0"/>
          <w:w w:val="100"/>
          <w:position w:val="0"/>
        </w:rPr>
        <w:t>不属于指定为以公允价值计量且其变动计入当期损益的金融负债的财务担保合同，或没有指定为以公允价值计量且其变 动计入当期损益并将以低于市场利率贷款的贷款承诺，在初始确认后按照下列两项金额之中的较高者进行后续计量： ①按照《企业会计准则第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或有事项》确定的金额；</w:t>
      </w:r>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②初始确认金额扣除按照《企业会计准则</w:t>
      </w:r>
      <w:r>
        <w:rPr>
          <w:rFonts w:ascii="Times New Roman" w:eastAsia="Times New Roman" w:hAnsi="Times New Roman" w:cs="Times New Roman"/>
          <w:color w:val="000000"/>
          <w:spacing w:val="0"/>
          <w:w w:val="100"/>
          <w:position w:val="0"/>
        </w:rPr>
        <w:t>--</w:t>
      </w:r>
      <w:r>
        <w:rPr>
          <w:color w:val="000000"/>
          <w:spacing w:val="0"/>
          <w:w w:val="100"/>
          <w:position w:val="0"/>
        </w:rPr>
        <w:t>收入》确定的累计摊销额后的余额。</w:t>
      </w:r>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公司因持有意图或能力发生改变，使某项投资不再适合划分为持有至到期投资的，将其重分类为可供出售金融资产，并以公 允价值进行后续计量。重分类日，该投资的账面价值与公允价值之间的差额计入所有者权益，在该可供出售金融资产发生减 值或终止确认时转出，计入当期损益。</w:t>
      </w:r>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对应当以公允价值计量，但以前公允价值不能可靠计量的金融资产或金融负债，公司在其公允价值能够可靠计量时改按公允 价值计量，相关账面价值与公允价值之间的差额按照以下规定进行处理：</w:t>
      </w:r>
    </w:p>
    <w:p>
      <w:pPr>
        <w:pStyle w:val="Style24"/>
        <w:keepNext w:val="0"/>
        <w:keepLines w:val="0"/>
        <w:widowControl w:val="0"/>
        <w:shd w:val="clear" w:color="auto" w:fill="auto"/>
        <w:tabs>
          <w:tab w:pos="397" w:val="left"/>
        </w:tabs>
        <w:bidi w:val="0"/>
        <w:spacing w:before="0" w:after="0" w:line="315" w:lineRule="exact"/>
        <w:ind w:left="0" w:right="0" w:firstLine="0"/>
        <w:jc w:val="both"/>
      </w:pPr>
      <w:bookmarkStart w:id="433" w:name="bookmark433"/>
      <w:r>
        <w:rPr>
          <w:rFonts w:ascii="Times New Roman" w:eastAsia="Times New Roman" w:hAnsi="Times New Roman" w:cs="Times New Roman"/>
          <w:color w:val="000000"/>
          <w:spacing w:val="0"/>
          <w:w w:val="100"/>
          <w:position w:val="0"/>
        </w:rPr>
        <w:t>A</w:t>
      </w:r>
      <w:bookmarkEnd w:id="433"/>
      <w:r>
        <w:rPr>
          <w:color w:val="000000"/>
          <w:spacing w:val="0"/>
          <w:w w:val="100"/>
          <w:position w:val="0"/>
        </w:rPr>
        <w:t>、</w:t>
        <w:tab/>
      </w:r>
      <w:r>
        <w:rPr>
          <w:color w:val="000000"/>
          <w:spacing w:val="0"/>
          <w:w w:val="100"/>
          <w:position w:val="0"/>
        </w:rPr>
        <w:t>以公允价值计量且其变动计入当期损益的金融资产或金融负债公允价值变动形成的利得或损失，计入当期损益；</w:t>
      </w:r>
    </w:p>
    <w:p>
      <w:pPr>
        <w:pStyle w:val="Style24"/>
        <w:keepNext w:val="0"/>
        <w:keepLines w:val="0"/>
        <w:widowControl w:val="0"/>
        <w:shd w:val="clear" w:color="auto" w:fill="auto"/>
        <w:tabs>
          <w:tab w:pos="397" w:val="left"/>
        </w:tabs>
        <w:bidi w:val="0"/>
        <w:spacing w:before="0" w:after="0" w:line="315" w:lineRule="exact"/>
        <w:ind w:left="0" w:right="0" w:firstLine="0"/>
        <w:jc w:val="both"/>
      </w:pPr>
      <w:bookmarkStart w:id="434" w:name="bookmark434"/>
      <w:r>
        <w:rPr>
          <w:rFonts w:ascii="Times New Roman" w:eastAsia="Times New Roman" w:hAnsi="Times New Roman" w:cs="Times New Roman"/>
          <w:color w:val="000000"/>
          <w:spacing w:val="0"/>
          <w:w w:val="100"/>
          <w:position w:val="0"/>
        </w:rPr>
        <w:t>B</w:t>
      </w:r>
      <w:bookmarkEnd w:id="434"/>
      <w:r>
        <w:rPr>
          <w:color w:val="000000"/>
          <w:spacing w:val="0"/>
          <w:w w:val="100"/>
          <w:position w:val="0"/>
        </w:rPr>
        <w:t>、</w:t>
        <w:tab/>
      </w:r>
      <w:r>
        <w:rPr>
          <w:color w:val="000000"/>
          <w:spacing w:val="0"/>
          <w:w w:val="100"/>
          <w:position w:val="0"/>
        </w:rPr>
        <w:t>可供出售金融资产公允价值变动形成的利得或损失，除减值损失和外币货币性金融资产形成的汇兑损益外，直接计入所 有者权益，在该金融资产终止确认时转出，计入当期损益。</w:t>
      </w:r>
    </w:p>
    <w:p>
      <w:pPr>
        <w:pStyle w:val="Style24"/>
        <w:keepNext w:val="0"/>
        <w:keepLines w:val="0"/>
        <w:widowControl w:val="0"/>
        <w:shd w:val="clear" w:color="auto" w:fill="auto"/>
        <w:bidi w:val="0"/>
        <w:spacing w:before="0" w:after="680" w:line="315" w:lineRule="exact"/>
        <w:ind w:left="0" w:right="0" w:firstLine="0"/>
        <w:jc w:val="both"/>
      </w:pPr>
      <w:r>
        <w:rPr>
          <w:color w:val="000000"/>
          <w:spacing w:val="0"/>
          <w:w w:val="100"/>
          <w:position w:val="0"/>
        </w:rPr>
        <w:t>可供出售外币货币性金融资产形成的汇兑损益，计入当期损益。采用实际利率法计算的可供出售金融资产的利息，计入当期 损益；可供出售权益工具投资的现金股利，在被投资单位宣告发放股利时计入当期损益。</w:t>
      </w:r>
    </w:p>
    <w:p>
      <w:pPr>
        <w:pStyle w:val="Style29"/>
        <w:keepNext/>
        <w:keepLines/>
        <w:widowControl w:val="0"/>
        <w:shd w:val="clear" w:color="auto" w:fill="auto"/>
        <w:bidi w:val="0"/>
        <w:spacing w:before="0" w:after="260" w:line="240" w:lineRule="auto"/>
        <w:ind w:left="0" w:right="0" w:firstLine="0"/>
        <w:jc w:val="both"/>
      </w:pPr>
      <w:bookmarkStart w:id="435" w:name="bookmark435"/>
      <w:bookmarkStart w:id="436" w:name="bookmark436"/>
      <w:bookmarkStart w:id="437" w:name="bookmark437"/>
      <w:bookmarkStart w:id="438" w:name="bookmark438"/>
      <w:r>
        <w:rPr>
          <w:color w:val="000000"/>
          <w:spacing w:val="0"/>
          <w:w w:val="100"/>
          <w:position w:val="0"/>
        </w:rPr>
        <w:t>（</w:t>
      </w:r>
      <w:bookmarkEnd w:id="437"/>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435"/>
      <w:bookmarkEnd w:id="436"/>
      <w:bookmarkEnd w:id="438"/>
    </w:p>
    <w:p>
      <w:pPr>
        <w:pStyle w:val="Style24"/>
        <w:keepNext w:val="0"/>
        <w:keepLines w:val="0"/>
        <w:widowControl w:val="0"/>
        <w:shd w:val="clear" w:color="auto" w:fill="auto"/>
        <w:tabs>
          <w:tab w:pos="397" w:val="left"/>
        </w:tabs>
        <w:bidi w:val="0"/>
        <w:spacing w:before="0" w:after="0" w:line="317" w:lineRule="exact"/>
        <w:ind w:left="0" w:right="0" w:firstLine="0"/>
        <w:jc w:val="both"/>
      </w:pPr>
      <w:bookmarkStart w:id="439" w:name="bookmark439"/>
      <w:r>
        <w:rPr>
          <w:rFonts w:ascii="Times New Roman" w:eastAsia="Times New Roman" w:hAnsi="Times New Roman" w:cs="Times New Roman"/>
          <w:color w:val="000000"/>
          <w:spacing w:val="0"/>
          <w:w w:val="100"/>
          <w:position w:val="0"/>
        </w:rPr>
        <w:t>A</w:t>
      </w:r>
      <w:bookmarkEnd w:id="439"/>
      <w:r>
        <w:rPr>
          <w:color w:val="000000"/>
          <w:spacing w:val="0"/>
          <w:w w:val="100"/>
          <w:position w:val="0"/>
        </w:rPr>
        <w:t>、</w:t>
        <w:tab/>
      </w:r>
      <w:r>
        <w:rPr>
          <w:color w:val="000000"/>
          <w:spacing w:val="0"/>
          <w:w w:val="100"/>
          <w:position w:val="0"/>
        </w:rPr>
        <w:t>本公司在已将金融资产所有权上几乎所有的风险和报酬转移给转入方时终止对该项金融资产的确认。</w:t>
      </w:r>
    </w:p>
    <w:p>
      <w:pPr>
        <w:pStyle w:val="Style24"/>
        <w:keepNext w:val="0"/>
        <w:keepLines w:val="0"/>
        <w:widowControl w:val="0"/>
        <w:shd w:val="clear" w:color="auto" w:fill="auto"/>
        <w:bidi w:val="0"/>
        <w:spacing w:before="0" w:line="317" w:lineRule="exact"/>
        <w:ind w:left="0" w:right="0" w:firstLine="0"/>
        <w:jc w:val="both"/>
      </w:pPr>
      <w:r>
        <w:rPr>
          <w:color w:val="000000"/>
          <w:spacing w:val="0"/>
          <w:w w:val="100"/>
          <w:position w:val="0"/>
        </w:rPr>
        <w:t>本公司在金融资产整体转移满足终止确认条件的，将下列两项的差额计入当期损益：</w:t>
      </w:r>
    </w:p>
    <w:p>
      <w:pPr>
        <w:pStyle w:val="Style24"/>
        <w:keepNext w:val="0"/>
        <w:keepLines w:val="0"/>
        <w:widowControl w:val="0"/>
        <w:shd w:val="clear" w:color="auto" w:fill="auto"/>
        <w:tabs>
          <w:tab w:pos="334" w:val="left"/>
        </w:tabs>
        <w:bidi w:val="0"/>
        <w:spacing w:before="0" w:after="0"/>
        <w:ind w:left="0" w:right="0" w:firstLine="0"/>
        <w:jc w:val="both"/>
      </w:pPr>
      <w:bookmarkStart w:id="440" w:name="bookmark440"/>
      <w:r>
        <w:rPr>
          <w:rFonts w:ascii="Times New Roman" w:eastAsia="Times New Roman" w:hAnsi="Times New Roman" w:cs="Times New Roman"/>
          <w:color w:val="000000"/>
          <w:spacing w:val="0"/>
          <w:w w:val="100"/>
          <w:position w:val="0"/>
        </w:rPr>
        <w:t>a</w:t>
      </w:r>
      <w:bookmarkEnd w:id="440"/>
      <w:r>
        <w:rPr>
          <w:rFonts w:ascii="Times New Roman" w:eastAsia="Times New Roman" w:hAnsi="Times New Roman" w:cs="Times New Roman"/>
          <w:color w:val="000000"/>
          <w:spacing w:val="0"/>
          <w:w w:val="100"/>
          <w:position w:val="0"/>
        </w:rPr>
        <w:t>）</w:t>
        <w:tab/>
      </w:r>
      <w:r>
        <w:rPr>
          <w:color w:val="000000"/>
          <w:spacing w:val="0"/>
          <w:w w:val="100"/>
          <w:position w:val="0"/>
        </w:rPr>
        <w:t>所转移金融资产的账面价值；</w:t>
      </w:r>
    </w:p>
    <w:p>
      <w:pPr>
        <w:pStyle w:val="Style24"/>
        <w:keepNext w:val="0"/>
        <w:keepLines w:val="0"/>
        <w:widowControl w:val="0"/>
        <w:shd w:val="clear" w:color="auto" w:fill="auto"/>
        <w:tabs>
          <w:tab w:pos="349" w:val="left"/>
        </w:tabs>
        <w:bidi w:val="0"/>
        <w:spacing w:before="0" w:after="0" w:line="317" w:lineRule="exact"/>
        <w:ind w:left="0" w:right="0" w:firstLine="0"/>
        <w:jc w:val="both"/>
      </w:pPr>
      <w:bookmarkStart w:id="441" w:name="bookmark441"/>
      <w:r>
        <w:rPr>
          <w:rFonts w:ascii="Times New Roman" w:eastAsia="Times New Roman" w:hAnsi="Times New Roman" w:cs="Times New Roman"/>
          <w:color w:val="000000"/>
          <w:spacing w:val="0"/>
          <w:w w:val="100"/>
          <w:position w:val="0"/>
        </w:rPr>
        <w:t>b</w:t>
      </w:r>
      <w:bookmarkEnd w:id="441"/>
      <w:r>
        <w:rPr>
          <w:rFonts w:ascii="Times New Roman" w:eastAsia="Times New Roman" w:hAnsi="Times New Roman" w:cs="Times New Roman"/>
          <w:color w:val="000000"/>
          <w:spacing w:val="0"/>
          <w:w w:val="100"/>
          <w:position w:val="0"/>
        </w:rPr>
        <w:t>）</w:t>
        <w:tab/>
      </w:r>
      <w:r>
        <w:rPr>
          <w:color w:val="000000"/>
          <w:spacing w:val="0"/>
          <w:w w:val="100"/>
          <w:position w:val="0"/>
        </w:rPr>
        <w:t>因转移而收到的对价，与原直接计入所有者权益的公允价值变动累计额之和。</w:t>
      </w:r>
    </w:p>
    <w:p>
      <w:pPr>
        <w:pStyle w:val="Style24"/>
        <w:keepNext w:val="0"/>
        <w:keepLines w:val="0"/>
        <w:widowControl w:val="0"/>
        <w:shd w:val="clear" w:color="auto" w:fill="auto"/>
        <w:bidi w:val="0"/>
        <w:spacing w:before="0" w:line="317" w:lineRule="exact"/>
        <w:ind w:left="0" w:right="0" w:firstLine="0"/>
        <w:jc w:val="both"/>
      </w:pPr>
      <w:r>
        <w:rPr>
          <w:color w:val="000000"/>
          <w:spacing w:val="0"/>
          <w:w w:val="100"/>
          <w:position w:val="0"/>
        </w:rPr>
        <w:t>本公司的金融资产部分转移满足终止确认条件的，将所转移金融资产整体的账面价值，在终止确认部分和未终止确认部分之 间，按照各自的相对公允价值进行分摊，并将下列两项金额的差额计入当期损益：</w:t>
      </w:r>
    </w:p>
    <w:p>
      <w:pPr>
        <w:pStyle w:val="Style24"/>
        <w:keepNext w:val="0"/>
        <w:keepLines w:val="0"/>
        <w:widowControl w:val="0"/>
        <w:shd w:val="clear" w:color="auto" w:fill="auto"/>
        <w:tabs>
          <w:tab w:pos="334" w:val="left"/>
        </w:tabs>
        <w:bidi w:val="0"/>
        <w:spacing w:before="0" w:after="0"/>
        <w:ind w:left="0" w:right="0" w:firstLine="0"/>
        <w:jc w:val="both"/>
      </w:pPr>
      <w:bookmarkStart w:id="442" w:name="bookmark442"/>
      <w:r>
        <w:rPr>
          <w:rFonts w:ascii="Times New Roman" w:eastAsia="Times New Roman" w:hAnsi="Times New Roman" w:cs="Times New Roman"/>
          <w:color w:val="000000"/>
          <w:spacing w:val="0"/>
          <w:w w:val="100"/>
          <w:position w:val="0"/>
        </w:rPr>
        <w:t>a</w:t>
      </w:r>
      <w:bookmarkEnd w:id="442"/>
      <w:r>
        <w:rPr>
          <w:rFonts w:ascii="Times New Roman" w:eastAsia="Times New Roman" w:hAnsi="Times New Roman" w:cs="Times New Roman"/>
          <w:color w:val="000000"/>
          <w:spacing w:val="0"/>
          <w:w w:val="100"/>
          <w:position w:val="0"/>
        </w:rPr>
        <w:t>）</w:t>
        <w:tab/>
      </w:r>
      <w:r>
        <w:rPr>
          <w:color w:val="000000"/>
          <w:spacing w:val="0"/>
          <w:w w:val="100"/>
          <w:position w:val="0"/>
        </w:rPr>
        <w:t>终止确认部分的账面价值；</w:t>
      </w:r>
    </w:p>
    <w:p>
      <w:pPr>
        <w:pStyle w:val="Style24"/>
        <w:keepNext w:val="0"/>
        <w:keepLines w:val="0"/>
        <w:widowControl w:val="0"/>
        <w:shd w:val="clear" w:color="auto" w:fill="auto"/>
        <w:tabs>
          <w:tab w:pos="349" w:val="left"/>
        </w:tabs>
        <w:bidi w:val="0"/>
        <w:spacing w:before="0" w:after="0" w:line="317" w:lineRule="exact"/>
        <w:ind w:left="0" w:right="0" w:firstLine="0"/>
        <w:jc w:val="both"/>
      </w:pPr>
      <w:bookmarkStart w:id="443" w:name="bookmark443"/>
      <w:r>
        <w:rPr>
          <w:rFonts w:ascii="Times New Roman" w:eastAsia="Times New Roman" w:hAnsi="Times New Roman" w:cs="Times New Roman"/>
          <w:color w:val="000000"/>
          <w:spacing w:val="0"/>
          <w:w w:val="100"/>
          <w:position w:val="0"/>
        </w:rPr>
        <w:t>b</w:t>
      </w:r>
      <w:bookmarkEnd w:id="443"/>
      <w:r>
        <w:rPr>
          <w:rFonts w:ascii="Times New Roman" w:eastAsia="Times New Roman" w:hAnsi="Times New Roman" w:cs="Times New Roman"/>
          <w:color w:val="000000"/>
          <w:spacing w:val="0"/>
          <w:w w:val="100"/>
          <w:position w:val="0"/>
        </w:rPr>
        <w:t>）</w:t>
        <w:tab/>
      </w:r>
      <w:r>
        <w:rPr>
          <w:color w:val="000000"/>
          <w:spacing w:val="0"/>
          <w:w w:val="100"/>
          <w:position w:val="0"/>
        </w:rPr>
        <w:t>终止确认部分的对价，与原直接计入所有者权益的公允价值变动累计额中对应终止确认部分的金额之和。</w:t>
      </w:r>
    </w:p>
    <w:p>
      <w:pPr>
        <w:pStyle w:val="Style24"/>
        <w:keepNext w:val="0"/>
        <w:keepLines w:val="0"/>
        <w:widowControl w:val="0"/>
        <w:shd w:val="clear" w:color="auto" w:fill="auto"/>
        <w:tabs>
          <w:tab w:pos="397" w:val="left"/>
        </w:tabs>
        <w:bidi w:val="0"/>
        <w:spacing w:before="0" w:after="0" w:line="317" w:lineRule="exact"/>
        <w:ind w:left="0" w:right="0" w:firstLine="0"/>
        <w:jc w:val="both"/>
      </w:pPr>
      <w:bookmarkStart w:id="444" w:name="bookmark444"/>
      <w:r>
        <w:rPr>
          <w:rFonts w:ascii="Times New Roman" w:eastAsia="Times New Roman" w:hAnsi="Times New Roman" w:cs="Times New Roman"/>
          <w:color w:val="000000"/>
          <w:spacing w:val="0"/>
          <w:w w:val="100"/>
          <w:position w:val="0"/>
        </w:rPr>
        <w:t>B</w:t>
      </w:r>
      <w:bookmarkEnd w:id="444"/>
      <w:r>
        <w:rPr>
          <w:color w:val="000000"/>
          <w:spacing w:val="0"/>
          <w:w w:val="100"/>
          <w:position w:val="0"/>
        </w:rPr>
        <w:t>、</w:t>
        <w:tab/>
      </w:r>
      <w:r>
        <w:rPr>
          <w:color w:val="000000"/>
          <w:spacing w:val="0"/>
          <w:w w:val="100"/>
          <w:position w:val="0"/>
        </w:rPr>
        <w:t>金融资产转移不满足终止确认条件的，继续确认该金融资产，将所收到的对价确认为一项金融负债。</w:t>
      </w:r>
    </w:p>
    <w:p>
      <w:pPr>
        <w:pStyle w:val="Style24"/>
        <w:keepNext w:val="0"/>
        <w:keepLines w:val="0"/>
        <w:widowControl w:val="0"/>
        <w:shd w:val="clear" w:color="auto" w:fill="auto"/>
        <w:tabs>
          <w:tab w:pos="397" w:val="left"/>
        </w:tabs>
        <w:bidi w:val="0"/>
        <w:spacing w:before="0" w:after="680" w:line="317" w:lineRule="exact"/>
        <w:ind w:left="0" w:right="0" w:firstLine="0"/>
        <w:jc w:val="both"/>
      </w:pPr>
      <w:bookmarkStart w:id="445" w:name="bookmark445"/>
      <w:r>
        <w:rPr>
          <w:rFonts w:ascii="Times New Roman" w:eastAsia="Times New Roman" w:hAnsi="Times New Roman" w:cs="Times New Roman"/>
          <w:color w:val="000000"/>
          <w:spacing w:val="0"/>
          <w:w w:val="100"/>
          <w:position w:val="0"/>
        </w:rPr>
        <w:t>C</w:t>
      </w:r>
      <w:bookmarkEnd w:id="445"/>
      <w:r>
        <w:rPr>
          <w:color w:val="000000"/>
          <w:spacing w:val="0"/>
          <w:w w:val="100"/>
          <w:position w:val="0"/>
        </w:rPr>
        <w:t>、</w:t>
        <w:tab/>
      </w:r>
      <w:r>
        <w:rPr>
          <w:color w:val="000000"/>
          <w:spacing w:val="0"/>
          <w:w w:val="100"/>
          <w:position w:val="0"/>
        </w:rPr>
        <w:t>对于采用继续涉入方式的金融资产转移，企业应当按照继续涉入所转移金融资产的程度确认一项金融资产，同时确认一 项金融负债。</w:t>
      </w:r>
    </w:p>
    <w:p>
      <w:pPr>
        <w:pStyle w:val="Style29"/>
        <w:keepNext/>
        <w:keepLines/>
        <w:widowControl w:val="0"/>
        <w:shd w:val="clear" w:color="auto" w:fill="auto"/>
        <w:bidi w:val="0"/>
        <w:spacing w:before="0" w:after="260" w:line="240" w:lineRule="auto"/>
        <w:ind w:left="0" w:right="0" w:firstLine="0"/>
        <w:jc w:val="both"/>
      </w:pPr>
      <w:bookmarkStart w:id="446" w:name="bookmark446"/>
      <w:bookmarkStart w:id="447" w:name="bookmark447"/>
      <w:bookmarkStart w:id="448" w:name="bookmark448"/>
      <w:bookmarkStart w:id="449" w:name="bookmark449"/>
      <w:r>
        <w:rPr>
          <w:color w:val="000000"/>
          <w:spacing w:val="0"/>
          <w:w w:val="100"/>
          <w:position w:val="0"/>
        </w:rPr>
        <w:t>（</w:t>
      </w:r>
      <w:bookmarkEnd w:id="448"/>
      <w:r>
        <w:rPr>
          <w:rFonts w:ascii="Times New Roman" w:eastAsia="Times New Roman" w:hAnsi="Times New Roman" w:cs="Times New Roman"/>
          <w:color w:val="000000"/>
          <w:spacing w:val="0"/>
          <w:w w:val="100"/>
          <w:position w:val="0"/>
        </w:rPr>
        <w:t>4</w:t>
      </w:r>
      <w:r>
        <w:rPr>
          <w:color w:val="000000"/>
          <w:spacing w:val="0"/>
          <w:w w:val="100"/>
          <w:position w:val="0"/>
        </w:rPr>
        <w:t>）金融负债终止确认条件</w:t>
      </w:r>
      <w:bookmarkEnd w:id="446"/>
      <w:bookmarkEnd w:id="447"/>
      <w:bookmarkEnd w:id="449"/>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金融负债的现时义务全部或部分已经解除的，则终止确认该金融负债或其一部分；公司若与债权人签定协议，以承担新的金 融负债方式替换现有金融负债，且新的金融负债与现有金融负债的合同条款实质上不同的，则终止确认现有金融负债，并同 时确认新的金融负债。</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对现有金融负债全部或部分合同条款作出实质性修改的，则终止确认现有金融负债或其一部分，同时将修改条款后的金融负 债确认为一项新的金融负债。</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金融负债全部或部分终止确认时，终止确认的金融负债账面价值与支付对价（包括转出的非现金资产或承担的新金融负债） 之间的差额，计入当期损益。</w:t>
      </w:r>
    </w:p>
    <w:p>
      <w:pPr>
        <w:pStyle w:val="Style24"/>
        <w:keepNext w:val="0"/>
        <w:keepLines w:val="0"/>
        <w:widowControl w:val="0"/>
        <w:shd w:val="clear" w:color="auto" w:fill="auto"/>
        <w:bidi w:val="0"/>
        <w:spacing w:before="0" w:after="680" w:line="313" w:lineRule="exact"/>
        <w:ind w:left="0" w:right="0" w:firstLine="0"/>
        <w:jc w:val="both"/>
      </w:pPr>
      <w:r>
        <w:rPr>
          <w:color w:val="000000"/>
          <w:spacing w:val="0"/>
          <w:w w:val="100"/>
          <w:position w:val="0"/>
        </w:rPr>
        <w:t>公司若回购部分金融负债的，在回购日按照继续确认部分与终止确认部分的相对公允价值，将该金融负债整体的账面价值进 行分配。分配给终止确认部分的账面价值与支付的对价（包括转出的非现金资产或承担的新金融负债）之间的差额，计入当 期损益。</w:t>
      </w:r>
    </w:p>
    <w:p>
      <w:pPr>
        <w:pStyle w:val="Style29"/>
        <w:keepNext/>
        <w:keepLines/>
        <w:widowControl w:val="0"/>
        <w:shd w:val="clear" w:color="auto" w:fill="auto"/>
        <w:bidi w:val="0"/>
        <w:spacing w:before="0" w:after="380" w:line="240" w:lineRule="auto"/>
        <w:ind w:left="0" w:right="0" w:firstLine="0"/>
        <w:jc w:val="both"/>
      </w:pPr>
      <w:bookmarkStart w:id="450" w:name="bookmark450"/>
      <w:bookmarkStart w:id="451" w:name="bookmark451"/>
      <w:bookmarkStart w:id="452" w:name="bookmark452"/>
      <w:bookmarkStart w:id="453" w:name="bookmark453"/>
      <w:r>
        <w:rPr>
          <w:color w:val="000000"/>
          <w:spacing w:val="0"/>
          <w:w w:val="100"/>
          <w:position w:val="0"/>
        </w:rPr>
        <w:t>（</w:t>
      </w:r>
      <w:bookmarkEnd w:id="452"/>
      <w:r>
        <w:rPr>
          <w:rFonts w:ascii="Times New Roman" w:eastAsia="Times New Roman" w:hAnsi="Times New Roman" w:cs="Times New Roman"/>
          <w:color w:val="000000"/>
          <w:spacing w:val="0"/>
          <w:w w:val="100"/>
          <w:position w:val="0"/>
        </w:rPr>
        <w:t>5</w:t>
      </w:r>
      <w:r>
        <w:rPr>
          <w:color w:val="000000"/>
          <w:spacing w:val="0"/>
          <w:w w:val="100"/>
          <w:position w:val="0"/>
        </w:rPr>
        <w:t>）金融资产和金融负债公允价值的确定方法</w:t>
      </w:r>
      <w:bookmarkEnd w:id="450"/>
      <w:bookmarkEnd w:id="451"/>
      <w:bookmarkEnd w:id="453"/>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存在活跃市场的金融资产或金融负债，以活跃市场的报价确定其公允价值；不存在活跃市场的金融资产或金融负债，采用估 </w:t>
      </w:r>
      <w:r>
        <w:rPr>
          <w:color w:val="000000"/>
          <w:spacing w:val="0"/>
          <w:w w:val="100"/>
          <w:position w:val="0"/>
        </w:rPr>
        <w:t>值技术确定其公允价值。</w:t>
      </w:r>
    </w:p>
    <w:p>
      <w:pPr>
        <w:pStyle w:val="Style29"/>
        <w:keepNext/>
        <w:keepLines/>
        <w:widowControl w:val="0"/>
        <w:shd w:val="clear" w:color="auto" w:fill="auto"/>
        <w:tabs>
          <w:tab w:pos="493" w:val="left"/>
        </w:tabs>
        <w:bidi w:val="0"/>
        <w:spacing w:before="0" w:after="28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w:t>
      </w:r>
      <w:bookmarkEnd w:id="456"/>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454"/>
      <w:bookmarkEnd w:id="455"/>
      <w:bookmarkEnd w:id="457"/>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公司在资产负债表日对以公允价值计量且其变动计入当期损益的金融资产以外的金融资产的账面价值进行检查，有客观证据 表明该金融资产发生减值的，计提减值准备。金融资产发生减值的客观证据，包括以下各项：</w:t>
      </w:r>
    </w:p>
    <w:p>
      <w:pPr>
        <w:pStyle w:val="Style24"/>
        <w:keepNext w:val="0"/>
        <w:keepLines w:val="0"/>
        <w:widowControl w:val="0"/>
        <w:shd w:val="clear" w:color="auto" w:fill="auto"/>
        <w:tabs>
          <w:tab w:pos="397" w:val="left"/>
        </w:tabs>
        <w:bidi w:val="0"/>
        <w:spacing w:before="0" w:after="0" w:line="307" w:lineRule="exact"/>
        <w:ind w:left="0" w:right="0" w:firstLine="0"/>
        <w:jc w:val="left"/>
      </w:pPr>
      <w:bookmarkStart w:id="458" w:name="bookmark458"/>
      <w:r>
        <w:rPr>
          <w:rFonts w:ascii="Times New Roman" w:eastAsia="Times New Roman" w:hAnsi="Times New Roman" w:cs="Times New Roman"/>
          <w:color w:val="000000"/>
          <w:spacing w:val="0"/>
          <w:w w:val="100"/>
          <w:position w:val="0"/>
        </w:rPr>
        <w:t>A</w:t>
      </w:r>
      <w:bookmarkEnd w:id="458"/>
      <w:r>
        <w:rPr>
          <w:color w:val="000000"/>
          <w:spacing w:val="0"/>
          <w:w w:val="100"/>
          <w:position w:val="0"/>
        </w:rPr>
        <w:t>、</w:t>
        <w:tab/>
      </w:r>
      <w:r>
        <w:rPr>
          <w:color w:val="000000"/>
          <w:spacing w:val="0"/>
          <w:w w:val="100"/>
          <w:position w:val="0"/>
        </w:rPr>
        <w:t>发行方或债务人发生严重财务困难；</w:t>
      </w:r>
    </w:p>
    <w:p>
      <w:pPr>
        <w:pStyle w:val="Style24"/>
        <w:keepNext w:val="0"/>
        <w:keepLines w:val="0"/>
        <w:widowControl w:val="0"/>
        <w:shd w:val="clear" w:color="auto" w:fill="auto"/>
        <w:tabs>
          <w:tab w:pos="397" w:val="left"/>
        </w:tabs>
        <w:bidi w:val="0"/>
        <w:spacing w:before="0" w:after="0" w:line="307" w:lineRule="exact"/>
        <w:ind w:left="0" w:right="0" w:firstLine="0"/>
        <w:jc w:val="left"/>
      </w:pPr>
      <w:bookmarkStart w:id="459" w:name="bookmark459"/>
      <w:r>
        <w:rPr>
          <w:rFonts w:ascii="Times New Roman" w:eastAsia="Times New Roman" w:hAnsi="Times New Roman" w:cs="Times New Roman"/>
          <w:color w:val="000000"/>
          <w:spacing w:val="0"/>
          <w:w w:val="100"/>
          <w:position w:val="0"/>
        </w:rPr>
        <w:t>B</w:t>
      </w:r>
      <w:bookmarkEnd w:id="459"/>
      <w:r>
        <w:rPr>
          <w:color w:val="000000"/>
          <w:spacing w:val="0"/>
          <w:w w:val="100"/>
          <w:position w:val="0"/>
        </w:rPr>
        <w:t>、</w:t>
        <w:tab/>
      </w:r>
      <w:r>
        <w:rPr>
          <w:color w:val="000000"/>
          <w:spacing w:val="0"/>
          <w:w w:val="100"/>
          <w:position w:val="0"/>
        </w:rPr>
        <w:t>债务人违反了合同条款，如偿付利息或本金发生违约或逾期等；</w:t>
      </w:r>
    </w:p>
    <w:p>
      <w:pPr>
        <w:pStyle w:val="Style24"/>
        <w:keepNext w:val="0"/>
        <w:keepLines w:val="0"/>
        <w:widowControl w:val="0"/>
        <w:shd w:val="clear" w:color="auto" w:fill="auto"/>
        <w:tabs>
          <w:tab w:pos="397" w:val="left"/>
        </w:tabs>
        <w:bidi w:val="0"/>
        <w:spacing w:before="0" w:after="0" w:line="307" w:lineRule="exact"/>
        <w:ind w:left="0" w:right="0" w:firstLine="0"/>
        <w:jc w:val="left"/>
      </w:pPr>
      <w:bookmarkStart w:id="460" w:name="bookmark460"/>
      <w:r>
        <w:rPr>
          <w:rFonts w:ascii="Times New Roman" w:eastAsia="Times New Roman" w:hAnsi="Times New Roman" w:cs="Times New Roman"/>
          <w:color w:val="000000"/>
          <w:spacing w:val="0"/>
          <w:w w:val="100"/>
          <w:position w:val="0"/>
        </w:rPr>
        <w:t>C</w:t>
      </w:r>
      <w:bookmarkEnd w:id="460"/>
      <w:r>
        <w:rPr>
          <w:color w:val="000000"/>
          <w:spacing w:val="0"/>
          <w:w w:val="100"/>
          <w:position w:val="0"/>
        </w:rPr>
        <w:t>、</w:t>
        <w:tab/>
      </w:r>
      <w:r>
        <w:rPr>
          <w:color w:val="000000"/>
          <w:spacing w:val="0"/>
          <w:w w:val="100"/>
          <w:position w:val="0"/>
        </w:rPr>
        <w:t>本公司出于经济或法律等方面因素的考虑，对发生困难的债务人作出让步；</w:t>
      </w:r>
    </w:p>
    <w:p>
      <w:pPr>
        <w:pStyle w:val="Style24"/>
        <w:keepNext w:val="0"/>
        <w:keepLines w:val="0"/>
        <w:widowControl w:val="0"/>
        <w:shd w:val="clear" w:color="auto" w:fill="auto"/>
        <w:tabs>
          <w:tab w:pos="397" w:val="left"/>
        </w:tabs>
        <w:bidi w:val="0"/>
        <w:spacing w:before="0" w:after="0" w:line="307" w:lineRule="exact"/>
        <w:ind w:left="0" w:right="0" w:firstLine="0"/>
        <w:jc w:val="left"/>
      </w:pPr>
      <w:bookmarkStart w:id="461" w:name="bookmark461"/>
      <w:r>
        <w:rPr>
          <w:rFonts w:ascii="Times New Roman" w:eastAsia="Times New Roman" w:hAnsi="Times New Roman" w:cs="Times New Roman"/>
          <w:color w:val="000000"/>
          <w:spacing w:val="0"/>
          <w:w w:val="100"/>
          <w:position w:val="0"/>
        </w:rPr>
        <w:t>D</w:t>
      </w:r>
      <w:bookmarkEnd w:id="461"/>
      <w:r>
        <w:rPr>
          <w:color w:val="000000"/>
          <w:spacing w:val="0"/>
          <w:w w:val="100"/>
          <w:position w:val="0"/>
        </w:rPr>
        <w:t>、</w:t>
        <w:tab/>
      </w:r>
      <w:r>
        <w:rPr>
          <w:color w:val="000000"/>
          <w:spacing w:val="0"/>
          <w:w w:val="100"/>
          <w:position w:val="0"/>
        </w:rPr>
        <w:t>债务人很可能倒闭或进行其他财务重组；</w:t>
      </w:r>
    </w:p>
    <w:p>
      <w:pPr>
        <w:pStyle w:val="Style24"/>
        <w:keepNext w:val="0"/>
        <w:keepLines w:val="0"/>
        <w:widowControl w:val="0"/>
        <w:shd w:val="clear" w:color="auto" w:fill="auto"/>
        <w:tabs>
          <w:tab w:pos="397" w:val="left"/>
        </w:tabs>
        <w:bidi w:val="0"/>
        <w:spacing w:before="0" w:after="0" w:line="307" w:lineRule="exact"/>
        <w:ind w:left="0" w:right="0" w:firstLine="0"/>
        <w:jc w:val="left"/>
      </w:pPr>
      <w:bookmarkStart w:id="462" w:name="bookmark462"/>
      <w:r>
        <w:rPr>
          <w:rFonts w:ascii="Times New Roman" w:eastAsia="Times New Roman" w:hAnsi="Times New Roman" w:cs="Times New Roman"/>
          <w:color w:val="000000"/>
          <w:spacing w:val="0"/>
          <w:w w:val="100"/>
          <w:position w:val="0"/>
        </w:rPr>
        <w:t>E</w:t>
      </w:r>
      <w:bookmarkEnd w:id="462"/>
      <w:r>
        <w:rPr>
          <w:color w:val="000000"/>
          <w:spacing w:val="0"/>
          <w:w w:val="100"/>
          <w:position w:val="0"/>
        </w:rPr>
        <w:t>、</w:t>
        <w:tab/>
      </w:r>
      <w:r>
        <w:rPr>
          <w:color w:val="000000"/>
          <w:spacing w:val="0"/>
          <w:w w:val="100"/>
          <w:position w:val="0"/>
        </w:rPr>
        <w:t>因发行方发生重大财务困难，该金融资产无法在活跃市场继续交易；</w:t>
      </w:r>
    </w:p>
    <w:p>
      <w:pPr>
        <w:pStyle w:val="Style24"/>
        <w:keepNext w:val="0"/>
        <w:keepLines w:val="0"/>
        <w:widowControl w:val="0"/>
        <w:shd w:val="clear" w:color="auto" w:fill="auto"/>
        <w:tabs>
          <w:tab w:pos="397" w:val="left"/>
        </w:tabs>
        <w:bidi w:val="0"/>
        <w:spacing w:before="0" w:after="0" w:line="307" w:lineRule="exact"/>
        <w:ind w:left="0" w:right="0" w:firstLine="0"/>
        <w:jc w:val="left"/>
      </w:pPr>
      <w:bookmarkStart w:id="463" w:name="bookmark463"/>
      <w:r>
        <w:rPr>
          <w:rFonts w:ascii="Times New Roman" w:eastAsia="Times New Roman" w:hAnsi="Times New Roman" w:cs="Times New Roman"/>
          <w:color w:val="000000"/>
          <w:spacing w:val="0"/>
          <w:w w:val="100"/>
          <w:position w:val="0"/>
        </w:rPr>
        <w:t>F</w:t>
      </w:r>
      <w:bookmarkEnd w:id="463"/>
      <w:r>
        <w:rPr>
          <w:color w:val="000000"/>
          <w:spacing w:val="0"/>
          <w:w w:val="100"/>
          <w:position w:val="0"/>
        </w:rPr>
        <w:t>、</w:t>
        <w:tab/>
      </w:r>
      <w:r>
        <w:rPr>
          <w:color w:val="000000"/>
          <w:spacing w:val="0"/>
          <w:w w:val="100"/>
          <w:position w:val="0"/>
        </w:rPr>
        <w:t>债务人经营所处的技术、市场、经济和法律环境等发生重大不利变化，使本公司可能无法收回投资成本；</w:t>
      </w:r>
    </w:p>
    <w:p>
      <w:pPr>
        <w:pStyle w:val="Style24"/>
        <w:keepNext w:val="0"/>
        <w:keepLines w:val="0"/>
        <w:widowControl w:val="0"/>
        <w:shd w:val="clear" w:color="auto" w:fill="auto"/>
        <w:tabs>
          <w:tab w:pos="397" w:val="left"/>
        </w:tabs>
        <w:bidi w:val="0"/>
        <w:spacing w:before="0" w:after="0" w:line="307" w:lineRule="exact"/>
        <w:ind w:left="0" w:right="0" w:firstLine="0"/>
        <w:jc w:val="left"/>
      </w:pPr>
      <w:bookmarkStart w:id="464" w:name="bookmark464"/>
      <w:r>
        <w:rPr>
          <w:rFonts w:ascii="Times New Roman" w:eastAsia="Times New Roman" w:hAnsi="Times New Roman" w:cs="Times New Roman"/>
          <w:color w:val="000000"/>
          <w:spacing w:val="0"/>
          <w:w w:val="100"/>
          <w:position w:val="0"/>
        </w:rPr>
        <w:t>G</w:t>
      </w:r>
      <w:bookmarkEnd w:id="464"/>
      <w:r>
        <w:rPr>
          <w:color w:val="000000"/>
          <w:spacing w:val="0"/>
          <w:w w:val="100"/>
          <w:position w:val="0"/>
        </w:rPr>
        <w:t>、</w:t>
        <w:tab/>
      </w:r>
      <w:r>
        <w:rPr>
          <w:color w:val="000000"/>
          <w:spacing w:val="0"/>
          <w:w w:val="100"/>
          <w:position w:val="0"/>
        </w:rPr>
        <w:t>权益工具投资的公允价值发生严重或非暂时性下跌；</w:t>
      </w:r>
    </w:p>
    <w:p>
      <w:pPr>
        <w:pStyle w:val="Style24"/>
        <w:keepNext w:val="0"/>
        <w:keepLines w:val="0"/>
        <w:widowControl w:val="0"/>
        <w:shd w:val="clear" w:color="auto" w:fill="auto"/>
        <w:bidi w:val="0"/>
        <w:spacing w:before="0" w:after="0" w:line="307" w:lineRule="exact"/>
        <w:ind w:left="0" w:right="0" w:firstLine="320"/>
        <w:jc w:val="both"/>
      </w:pPr>
      <w:bookmarkStart w:id="465" w:name="bookmark465"/>
      <w:r>
        <w:rPr>
          <w:rFonts w:ascii="Times New Roman" w:eastAsia="Times New Roman" w:hAnsi="Times New Roman" w:cs="Times New Roman"/>
          <w:color w:val="000000"/>
          <w:spacing w:val="0"/>
          <w:w w:val="100"/>
          <w:position w:val="0"/>
        </w:rPr>
        <w:t>H</w:t>
      </w:r>
      <w:bookmarkEnd w:id="465"/>
      <w:r>
        <w:rPr>
          <w:color w:val="000000"/>
          <w:spacing w:val="0"/>
          <w:w w:val="100"/>
          <w:position w:val="0"/>
        </w:rPr>
        <w:t>、</w:t>
      </w:r>
      <w:r>
        <w:rPr>
          <w:color w:val="000000"/>
          <w:spacing w:val="0"/>
          <w:w w:val="100"/>
          <w:position w:val="0"/>
        </w:rPr>
        <w:t>其他表明金融资产发生减值的客观证据。</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②</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以公允价值计量且其变动计入当期损益的金融资产不需要进行减值测试；</w:t>
      </w:r>
    </w:p>
    <w:p>
      <w:pPr>
        <w:pStyle w:val="Style24"/>
        <w:keepNext w:val="0"/>
        <w:keepLines w:val="0"/>
        <w:widowControl w:val="0"/>
        <w:shd w:val="clear" w:color="auto" w:fill="auto"/>
        <w:bidi w:val="0"/>
        <w:spacing w:before="0" w:after="360" w:line="307" w:lineRule="exact"/>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持有至到期投资的减值损失的计量：按预计未来现金流量低于期末账面价值的差额计提减值准备；</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各类可供出售金融资产减值的各项认定标准</w:t>
      </w:r>
    </w:p>
    <w:p>
      <w:pPr>
        <w:pStyle w:val="Style24"/>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可供出售的金融资产减值的计量：若该项金融资产公允价值发生较大幅度下降</w:t>
      </w:r>
      <w:r>
        <w:rPr>
          <w:color w:val="000000"/>
          <w:spacing w:val="0"/>
          <w:w w:val="100"/>
          <w:position w:val="0"/>
        </w:rPr>
        <w:t>，</w:t>
      </w:r>
      <w:r>
        <w:rPr>
          <w:color w:val="000000"/>
          <w:spacing w:val="0"/>
          <w:w w:val="100"/>
          <w:position w:val="0"/>
        </w:rPr>
        <w:t>超过其持有成本的</w:t>
      </w:r>
      <w:r>
        <w:rPr>
          <w:rFonts w:ascii="Times New Roman" w:eastAsia="Times New Roman" w:hAnsi="Times New Roman" w:cs="Times New Roman"/>
          <w:color w:val="000000"/>
          <w:spacing w:val="0"/>
          <w:w w:val="100"/>
          <w:position w:val="0"/>
        </w:rPr>
        <w:t>50%</w:t>
      </w:r>
      <w:r>
        <w:rPr>
          <w:color w:val="000000"/>
          <w:spacing w:val="0"/>
          <w:w w:val="100"/>
          <w:position w:val="0"/>
        </w:rPr>
        <w:t>，并且时间持续在</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个月以上，预期这种下降趋势属于非暂时性的，则按其公允价值低于其账面价值的差额</w:t>
      </w:r>
      <w:r>
        <w:rPr>
          <w:color w:val="000000"/>
          <w:spacing w:val="0"/>
          <w:w w:val="100"/>
          <w:position w:val="0"/>
        </w:rPr>
        <w:t>，</w:t>
      </w:r>
      <w:r>
        <w:rPr>
          <w:color w:val="000000"/>
          <w:spacing w:val="0"/>
          <w:w w:val="100"/>
          <w:position w:val="0"/>
        </w:rPr>
        <w:t>确认减值损失</w:t>
      </w:r>
      <w:r>
        <w:rPr>
          <w:rFonts w:ascii="Times New Roman" w:eastAsia="Times New Roman" w:hAnsi="Times New Roman" w:cs="Times New Roman"/>
          <w:color w:val="000000"/>
          <w:spacing w:val="0"/>
          <w:w w:val="100"/>
          <w:position w:val="0"/>
        </w:rPr>
        <w:t>,</w:t>
      </w:r>
      <w:r>
        <w:rPr>
          <w:color w:val="000000"/>
          <w:spacing w:val="0"/>
          <w:w w:val="100"/>
          <w:position w:val="0"/>
        </w:rPr>
        <w:t>计提减值准备。在确 认减值损失时，将原直接计入所有者权益的公允价值下降形成的累计损失一并转出，计入减值损失。</w:t>
      </w:r>
    </w:p>
    <w:p>
      <w:pPr>
        <w:pStyle w:val="Style29"/>
        <w:keepNext/>
        <w:keepLines/>
        <w:widowControl w:val="0"/>
        <w:shd w:val="clear" w:color="auto" w:fill="auto"/>
        <w:tabs>
          <w:tab w:pos="493" w:val="left"/>
        </w:tabs>
        <w:bidi w:val="0"/>
        <w:spacing w:before="0" w:after="280" w:line="240" w:lineRule="auto"/>
        <w:ind w:left="0" w:right="0" w:firstLine="0"/>
        <w:jc w:val="both"/>
      </w:pPr>
      <w:bookmarkStart w:id="466" w:name="bookmark466"/>
      <w:bookmarkStart w:id="467" w:name="bookmark467"/>
      <w:bookmarkStart w:id="468" w:name="bookmark468"/>
      <w:bookmarkStart w:id="469" w:name="bookmark469"/>
      <w:r>
        <w:rPr>
          <w:color w:val="000000"/>
          <w:spacing w:val="0"/>
          <w:w w:val="100"/>
          <w:position w:val="0"/>
        </w:rPr>
        <w:t>（</w:t>
      </w:r>
      <w:bookmarkEnd w:id="468"/>
      <w:r>
        <w:rPr>
          <w:rFonts w:ascii="Times New Roman" w:eastAsia="Times New Roman" w:hAnsi="Times New Roman" w:cs="Times New Roman"/>
          <w:color w:val="000000"/>
          <w:spacing w:val="0"/>
          <w:w w:val="100"/>
          <w:position w:val="0"/>
        </w:rPr>
        <w:t>7</w:t>
      </w:r>
      <w:r>
        <w:rPr>
          <w:color w:val="000000"/>
          <w:spacing w:val="0"/>
          <w:w w:val="100"/>
          <w:position w:val="0"/>
        </w:rPr>
        <w:t>）</w:t>
        <w:tab/>
        <w:t>将尚未到期的持有至到期投资重分类为可供出售金融资产的，说明持有意图或能力发生改变的依据</w:t>
      </w:r>
      <w:bookmarkEnd w:id="466"/>
      <w:bookmarkEnd w:id="467"/>
      <w:bookmarkEnd w:id="469"/>
    </w:p>
    <w:p>
      <w:pPr>
        <w:pStyle w:val="Style24"/>
        <w:keepNext w:val="0"/>
        <w:keepLines w:val="0"/>
        <w:widowControl w:val="0"/>
        <w:shd w:val="clear" w:color="auto" w:fill="auto"/>
        <w:bidi w:val="0"/>
        <w:spacing w:before="0" w:after="360" w:line="307" w:lineRule="exact"/>
        <w:ind w:left="0" w:right="0" w:firstLine="0"/>
        <w:jc w:val="both"/>
      </w:pP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both"/>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470"/>
      <w:bookmarkEnd w:id="471"/>
      <w:bookmarkEnd w:id="473"/>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应收款项包括应收账款、其他应收款等。本公司对外销售商品或提供劳务形成的应收账款，按从购货方应收的合同或协议价 款的公允价值作为初始确认金额。应收款项采用实际利率法，以摊余成本减去坏账准备后的净额列示。</w:t>
      </w:r>
    </w:p>
    <w:p>
      <w:pPr>
        <w:pStyle w:val="Style29"/>
        <w:keepNext/>
        <w:keepLines/>
        <w:widowControl w:val="0"/>
        <w:shd w:val="clear" w:color="auto" w:fill="auto"/>
        <w:bidi w:val="0"/>
        <w:spacing w:before="0" w:after="280" w:line="240" w:lineRule="auto"/>
        <w:ind w:left="0" w:right="0" w:firstLine="140"/>
        <w:jc w:val="left"/>
      </w:pPr>
      <w:bookmarkStart w:id="474" w:name="bookmark474"/>
      <w:bookmarkStart w:id="475" w:name="bookmark475"/>
      <w:bookmarkStart w:id="476" w:name="bookmark476"/>
      <w:bookmarkStart w:id="477" w:name="bookmark477"/>
      <w:r>
        <w:rPr>
          <w:color w:val="000000"/>
          <w:spacing w:val="0"/>
          <w:w w:val="100"/>
          <w:position w:val="0"/>
        </w:rPr>
        <w:t>（</w:t>
      </w:r>
      <w:bookmarkEnd w:id="476"/>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474"/>
      <w:bookmarkEnd w:id="475"/>
      <w:bookmarkEnd w:id="477"/>
    </w:p>
    <w:tbl>
      <w:tblPr>
        <w:tblOverlap w:val="never"/>
        <w:jc w:val="center"/>
        <w:tblLayout w:type="fixed"/>
      </w:tblPr>
      <w:tblGrid>
        <w:gridCol w:w="5059"/>
        <w:gridCol w:w="4522"/>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公司将单项金额超过</w:t>
            </w:r>
            <w:r>
              <w:rPr>
                <w:rFonts w:ascii="Times New Roman" w:eastAsia="Times New Roman" w:hAnsi="Times New Roman" w:cs="Times New Roman"/>
                <w:color w:val="000000"/>
                <w:spacing w:val="0"/>
                <w:w w:val="100"/>
                <w:position w:val="0"/>
              </w:rPr>
              <w:t>100</w:t>
            </w:r>
            <w:r>
              <w:rPr>
                <w:color w:val="000000"/>
                <w:spacing w:val="0"/>
                <w:w w:val="100"/>
                <w:position w:val="0"/>
              </w:rPr>
              <w:t>万元人民币的应收账款认定为单 项金额重大的应收账款，公司将单项金额超过</w:t>
            </w:r>
            <w:r>
              <w:rPr>
                <w:rFonts w:ascii="Times New Roman" w:eastAsia="Times New Roman" w:hAnsi="Times New Roman" w:cs="Times New Roman"/>
                <w:color w:val="000000"/>
                <w:spacing w:val="0"/>
                <w:w w:val="100"/>
                <w:position w:val="0"/>
              </w:rPr>
              <w:t>50</w:t>
            </w:r>
            <w:r>
              <w:rPr>
                <w:color w:val="000000"/>
                <w:spacing w:val="0"/>
                <w:w w:val="100"/>
                <w:position w:val="0"/>
              </w:rPr>
              <w:t>万元人 民币的其他应收款认定为单项金额重大的其他应收款。</w:t>
            </w:r>
          </w:p>
        </w:tc>
      </w:tr>
      <w:tr>
        <w:trPr>
          <w:trHeight w:val="25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C8EDCC"/>
            <w:vAlign w:val="bottom"/>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年末对单项金额重大的应收款项单独进行减值测试，如有 客观证据表明其已发生减值，根据其预计未来现金流量现 值低于其账面价值的差额，单独进行减值测试，确认减值 损失，计入当期损益。对单项测试未减值单项金额重大的 的应收款项，会同对单项金额非重大的应收款项，按类似 的信用风险特征划分为若干组合，根据以前年度与之相同 或相类似的、具有类似信用风险特征的应收款项组合的实 际损失率为基础，结合现时情况确定本年度各项组合计提</w:t>
            </w:r>
          </w:p>
        </w:tc>
      </w:tr>
    </w:tbl>
    <w:p>
      <w:pPr>
        <w:widowControl w:val="0"/>
        <w:spacing w:line="1" w:lineRule="exact"/>
      </w:pPr>
      <w:r>
        <w:br w:type="page"/>
      </w:r>
    </w:p>
    <w:tbl>
      <w:tblPr>
        <w:tblOverlap w:val="never"/>
        <w:jc w:val="center"/>
        <w:tblLayout w:type="fixed"/>
      </w:tblPr>
      <w:tblGrid>
        <w:gridCol w:w="5059"/>
        <w:gridCol w:w="4522"/>
      </w:tblGrid>
      <w:tr>
        <w:trPr>
          <w:trHeight w:val="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C8EDCC"/>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坏账准备的比例。</w:t>
            </w:r>
          </w:p>
        </w:tc>
      </w:tr>
    </w:tbl>
    <w:p>
      <w:pPr>
        <w:widowControl w:val="0"/>
        <w:spacing w:after="319" w:line="1" w:lineRule="exact"/>
      </w:pPr>
    </w:p>
    <w:p>
      <w:pPr>
        <w:pStyle w:val="Style29"/>
        <w:keepNext/>
        <w:keepLines/>
        <w:widowControl w:val="0"/>
        <w:numPr>
          <w:ilvl w:val="0"/>
          <w:numId w:val="5"/>
        </w:numPr>
        <w:shd w:val="clear" w:color="auto" w:fill="auto"/>
        <w:bidi w:val="0"/>
        <w:spacing w:before="0" w:after="320" w:line="240" w:lineRule="auto"/>
        <w:ind w:left="0" w:right="0" w:firstLine="0"/>
        <w:jc w:val="left"/>
      </w:pPr>
      <w:bookmarkStart w:id="478" w:name="bookmark478"/>
      <w:bookmarkStart w:id="479" w:name="bookmark479"/>
      <w:bookmarkStart w:id="480" w:name="bookmark480"/>
      <w:bookmarkStart w:id="481" w:name="bookmark481"/>
      <w:bookmarkEnd w:id="480"/>
      <w:r>
        <w:rPr>
          <w:color w:val="000000"/>
          <w:spacing w:val="0"/>
          <w:w w:val="100"/>
          <w:position w:val="0"/>
        </w:rPr>
        <w:t>按组合计提坏账准备的应收款项</w:t>
      </w:r>
      <w:bookmarkEnd w:id="478"/>
      <w:bookmarkEnd w:id="479"/>
      <w:bookmarkEnd w:id="481"/>
    </w:p>
    <w:tbl>
      <w:tblPr>
        <w:tblOverlap w:val="never"/>
        <w:jc w:val="center"/>
        <w:tblLayout w:type="fixed"/>
      </w:tblPr>
      <w:tblGrid>
        <w:gridCol w:w="2602"/>
        <w:gridCol w:w="2189"/>
        <w:gridCol w:w="479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按照应收款项的账龄作为划分信用风险特征组合的标准。</w:t>
            </w:r>
          </w:p>
        </w:tc>
      </w:tr>
      <w:tr>
        <w:trPr>
          <w:trHeight w:val="720"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按照应收款项的款项性质作为划分信用风险特征组合的标 准。</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2"/>
        <w:gridCol w:w="2976"/>
        <w:gridCol w:w="400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931"/>
        <w:gridCol w:w="565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725"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按照应收款项的款项性质作为划分信用风险特征组合的标准，对于组合 中可回收性不存在风险的应收款项按照个别认定法计提坏账准备。</w:t>
            </w:r>
          </w:p>
        </w:tc>
      </w:tr>
    </w:tbl>
    <w:p>
      <w:pPr>
        <w:widowControl w:val="0"/>
        <w:spacing w:after="319" w:line="1" w:lineRule="exact"/>
      </w:pPr>
    </w:p>
    <w:p>
      <w:pPr>
        <w:pStyle w:val="Style29"/>
        <w:keepNext/>
        <w:keepLines/>
        <w:widowControl w:val="0"/>
        <w:numPr>
          <w:ilvl w:val="0"/>
          <w:numId w:val="5"/>
        </w:numPr>
        <w:shd w:val="clear" w:color="auto" w:fill="auto"/>
        <w:bidi w:val="0"/>
        <w:spacing w:before="0" w:after="320" w:line="240" w:lineRule="auto"/>
        <w:ind w:left="0" w:right="0" w:firstLine="0"/>
        <w:jc w:val="left"/>
      </w:pPr>
      <w:bookmarkStart w:id="482" w:name="bookmark482"/>
      <w:bookmarkStart w:id="483" w:name="bookmark483"/>
      <w:bookmarkStart w:id="484" w:name="bookmark484"/>
      <w:bookmarkStart w:id="485" w:name="bookmark485"/>
      <w:bookmarkEnd w:id="484"/>
      <w:r>
        <w:rPr>
          <w:color w:val="000000"/>
          <w:spacing w:val="0"/>
          <w:w w:val="100"/>
          <w:position w:val="0"/>
        </w:rPr>
        <w:t>单项金额虽不重大但单项计提坏账准备的应收账款</w:t>
      </w:r>
      <w:bookmarkEnd w:id="482"/>
      <w:bookmarkEnd w:id="483"/>
      <w:bookmarkEnd w:id="485"/>
    </w:p>
    <w:tbl>
      <w:tblPr>
        <w:tblOverlap w:val="never"/>
        <w:jc w:val="center"/>
        <w:tblLayout w:type="fixed"/>
      </w:tblPr>
      <w:tblGrid>
        <w:gridCol w:w="3355"/>
        <w:gridCol w:w="6226"/>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公司将单项金额小于</w:t>
            </w:r>
            <w:r>
              <w:rPr>
                <w:rFonts w:ascii="Times New Roman" w:eastAsia="Times New Roman" w:hAnsi="Times New Roman" w:cs="Times New Roman"/>
                <w:color w:val="000000"/>
                <w:spacing w:val="0"/>
                <w:w w:val="100"/>
                <w:position w:val="0"/>
              </w:rPr>
              <w:t>100</w:t>
            </w:r>
            <w:r>
              <w:rPr>
                <w:color w:val="000000"/>
                <w:spacing w:val="0"/>
                <w:w w:val="100"/>
                <w:position w:val="0"/>
              </w:rPr>
              <w:t>万元人民币的应收账款认定为单项金额不重大的应收 账款，将单项金额小于</w:t>
            </w:r>
            <w:r>
              <w:rPr>
                <w:rFonts w:ascii="Times New Roman" w:eastAsia="Times New Roman" w:hAnsi="Times New Roman" w:cs="Times New Roman"/>
                <w:color w:val="000000"/>
                <w:spacing w:val="0"/>
                <w:w w:val="100"/>
                <w:position w:val="0"/>
              </w:rPr>
              <w:t>50</w:t>
            </w:r>
            <w:r>
              <w:rPr>
                <w:color w:val="000000"/>
                <w:spacing w:val="0"/>
                <w:w w:val="100"/>
                <w:position w:val="0"/>
              </w:rPr>
              <w:t>万元人民币的其他应收款认定为单项金额不重大的其 他应收款。</w:t>
            </w:r>
          </w:p>
        </w:tc>
      </w:tr>
      <w:tr>
        <w:trPr>
          <w:trHeight w:val="165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年末如有客观证据表明其已发生减值，根据其预计未来现金流量现值低于其账 面价值的差额，单独进行减值测试，确认减值损失，计入当期损益。对其他的 不重大的应收款项，按类似的信用风险特征划分为若干组合，根据以前年度与 之相同或相类似的、具有类似信用风险特征的应收款项组合的实际损失率为基 础，结合现时情况确定本年度各项组合计提坏账准备的比例。</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1</w:t>
      </w:r>
      <w:bookmarkEnd w:id="488"/>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486"/>
      <w:bookmarkEnd w:id="487"/>
      <w:bookmarkEnd w:id="489"/>
    </w:p>
    <w:p>
      <w:pPr>
        <w:pStyle w:val="Style29"/>
        <w:keepNext/>
        <w:keepLines/>
        <w:widowControl w:val="0"/>
        <w:numPr>
          <w:ilvl w:val="0"/>
          <w:numId w:val="7"/>
        </w:numPr>
        <w:shd w:val="clear" w:color="auto" w:fill="auto"/>
        <w:bidi w:val="0"/>
        <w:spacing w:before="0" w:after="360" w:line="240" w:lineRule="auto"/>
        <w:ind w:left="0" w:right="0" w:firstLine="0"/>
        <w:jc w:val="left"/>
      </w:pPr>
      <w:bookmarkStart w:id="486" w:name="bookmark486"/>
      <w:bookmarkStart w:id="487" w:name="bookmark487"/>
      <w:bookmarkStart w:id="490" w:name="bookmark490"/>
      <w:bookmarkStart w:id="491" w:name="bookmark491"/>
      <w:bookmarkEnd w:id="490"/>
      <w:r>
        <w:rPr>
          <w:color w:val="000000"/>
          <w:spacing w:val="0"/>
          <w:w w:val="100"/>
          <w:position w:val="0"/>
        </w:rPr>
        <w:t>存货的分类</w:t>
      </w:r>
      <w:bookmarkEnd w:id="486"/>
      <w:bookmarkEnd w:id="487"/>
      <w:bookmarkEnd w:id="491"/>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本公司存货包括在日常活动中持有以备出售的产成品和商品、处在生产过程中的在产品、在生产过程中或提供劳务过程中耗 </w:t>
      </w:r>
      <w:r>
        <w:rPr>
          <w:color w:val="000000"/>
          <w:spacing w:val="0"/>
          <w:w w:val="100"/>
          <w:position w:val="0"/>
        </w:rPr>
        <w:t>用的材料和物料。</w:t>
      </w:r>
    </w:p>
    <w:p>
      <w:pPr>
        <w:pStyle w:val="Style29"/>
        <w:keepNext/>
        <w:keepLines/>
        <w:widowControl w:val="0"/>
        <w:shd w:val="clear" w:color="auto" w:fill="auto"/>
        <w:tabs>
          <w:tab w:pos="493" w:val="left"/>
        </w:tabs>
        <w:bidi w:val="0"/>
        <w:spacing w:before="0" w:after="28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w:t>
      </w:r>
      <w:bookmarkEnd w:id="494"/>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492"/>
      <w:bookmarkEnd w:id="493"/>
      <w:bookmarkEnd w:id="495"/>
    </w:p>
    <w:p>
      <w:pPr>
        <w:pStyle w:val="Style24"/>
        <w:keepNext w:val="0"/>
        <w:keepLines w:val="0"/>
        <w:widowControl w:val="0"/>
        <w:shd w:val="clear" w:color="auto" w:fill="auto"/>
        <w:bidi w:val="0"/>
        <w:spacing w:before="0" w:after="40" w:line="313" w:lineRule="exact"/>
        <w:ind w:left="0" w:right="0" w:firstLine="0"/>
        <w:jc w:val="left"/>
      </w:pPr>
      <w:r>
        <w:rPr>
          <w:color w:val="000000"/>
          <w:spacing w:val="0"/>
          <w:w w:val="100"/>
          <w:position w:val="0"/>
        </w:rPr>
        <w:t>计价方法：加权平均法</w:t>
      </w:r>
    </w:p>
    <w:p>
      <w:pPr>
        <w:pStyle w:val="Style2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存货在取得时按实际成本计量，存货成本包括采购成本、加工成本和其他成本；发出存货的实际成本采用加权平均法计量。</w:t>
      </w:r>
    </w:p>
    <w:p>
      <w:pPr>
        <w:pStyle w:val="Style29"/>
        <w:keepNext/>
        <w:keepLines/>
        <w:widowControl w:val="0"/>
        <w:shd w:val="clear" w:color="auto" w:fill="auto"/>
        <w:tabs>
          <w:tab w:pos="493" w:val="left"/>
        </w:tabs>
        <w:bidi w:val="0"/>
        <w:spacing w:before="0" w:after="28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rPr>
        <w:t>（</w:t>
      </w:r>
      <w:bookmarkEnd w:id="498"/>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496"/>
      <w:bookmarkEnd w:id="497"/>
      <w:bookmarkEnd w:id="499"/>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年末对存货进行全面清查后，按存货的成本与可变现净值孰低提取或调整存货跌价准备。</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产成品、库存商品和用于出售的材料等直接用于出售的商品存货，在正常生产经营过程中，以该存货的估计售价减去估计的 销售费用和相关税费后的金额，确定其可变现净值；需要经过加工的材料存货，在正常生产经营过程中，以所生产的产成品 的估计售价减去至完工时估计将要发生的成本、估计的销售费用和相关税费后的金额，确定其可变现净值；为执行销售合同 或者劳务合同而持有的存货，其可变现净值以合同价格为基础计算，若持有存货的数量多于销售合同订购数量的，超出部分 的存货的可变现净值以一般销售价格为基础计算。</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年末按照单个存货项目计提存货跌价准备；但对于数量繁多、单价较低的存货，按照存货类别计提存货跌价准备；与在同一 地区生产和销售的产品系列相关、具有相同或类似最终用途或目的，且难以与其他项目分开计量的存货，则合并计提存货跌 价准备。</w:t>
      </w:r>
    </w:p>
    <w:p>
      <w:pPr>
        <w:pStyle w:val="Style24"/>
        <w:keepNext w:val="0"/>
        <w:keepLines w:val="0"/>
        <w:widowControl w:val="0"/>
        <w:shd w:val="clear" w:color="auto" w:fill="auto"/>
        <w:bidi w:val="0"/>
        <w:spacing w:before="0" w:after="680" w:line="313" w:lineRule="exact"/>
        <w:ind w:left="0" w:right="0" w:firstLine="0"/>
        <w:jc w:val="left"/>
      </w:pPr>
      <w:r>
        <w:rPr>
          <w:color w:val="000000"/>
          <w:spacing w:val="0"/>
          <w:w w:val="100"/>
          <w:position w:val="0"/>
        </w:rPr>
        <w:t>以前减记存货价值的影响因素已经消失的，减记的金额予以恢复，并在原已计提的存货跌价准备金额内转回，转回的金额计 入当期损益。</w:t>
      </w:r>
    </w:p>
    <w:p>
      <w:pPr>
        <w:pStyle w:val="Style29"/>
        <w:keepNext/>
        <w:keepLines/>
        <w:widowControl w:val="0"/>
        <w:shd w:val="clear" w:color="auto" w:fill="auto"/>
        <w:tabs>
          <w:tab w:pos="493" w:val="left"/>
        </w:tabs>
        <w:bidi w:val="0"/>
        <w:spacing w:before="0" w:after="28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w:t>
      </w:r>
      <w:bookmarkEnd w:id="502"/>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00"/>
      <w:bookmarkEnd w:id="501"/>
      <w:bookmarkEnd w:id="503"/>
    </w:p>
    <w:p>
      <w:pPr>
        <w:pStyle w:val="Style24"/>
        <w:keepNext w:val="0"/>
        <w:keepLines w:val="0"/>
        <w:widowControl w:val="0"/>
        <w:shd w:val="clear" w:color="auto" w:fill="auto"/>
        <w:bidi w:val="0"/>
        <w:spacing w:before="0" w:after="120" w:line="313" w:lineRule="exact"/>
        <w:ind w:left="0" w:right="0" w:firstLine="0"/>
        <w:jc w:val="left"/>
      </w:pPr>
      <w:r>
        <w:rPr>
          <w:color w:val="000000"/>
          <w:spacing w:val="0"/>
          <w:w w:val="100"/>
          <w:position w:val="0"/>
        </w:rPr>
        <w:t>盘存制度：永续盘存制</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存货的盘存制度，采用永续盘存制。</w:t>
      </w:r>
    </w:p>
    <w:p>
      <w:pPr>
        <w:pStyle w:val="Style29"/>
        <w:keepNext/>
        <w:keepLines/>
        <w:widowControl w:val="0"/>
        <w:shd w:val="clear" w:color="auto" w:fill="auto"/>
        <w:tabs>
          <w:tab w:pos="493" w:val="left"/>
        </w:tabs>
        <w:bidi w:val="0"/>
        <w:spacing w:before="0" w:after="28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w:t>
      </w:r>
      <w:bookmarkEnd w:id="506"/>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04"/>
      <w:bookmarkEnd w:id="505"/>
      <w:bookmarkEnd w:id="507"/>
    </w:p>
    <w:p>
      <w:pPr>
        <w:pStyle w:val="Style24"/>
        <w:keepNext w:val="0"/>
        <w:keepLines w:val="0"/>
        <w:widowControl w:val="0"/>
        <w:shd w:val="clear" w:color="auto" w:fill="auto"/>
        <w:bidi w:val="0"/>
        <w:spacing w:before="0" w:after="40" w:line="313" w:lineRule="exact"/>
        <w:ind w:left="0" w:right="0" w:firstLine="0"/>
        <w:jc w:val="left"/>
      </w:pPr>
      <w:r>
        <w:rPr>
          <w:color w:val="000000"/>
          <w:spacing w:val="0"/>
          <w:w w:val="100"/>
          <w:position w:val="0"/>
        </w:rPr>
        <w:t>低值易耗品</w:t>
      </w:r>
    </w:p>
    <w:p>
      <w:pPr>
        <w:pStyle w:val="Style24"/>
        <w:keepNext w:val="0"/>
        <w:keepLines w:val="0"/>
        <w:widowControl w:val="0"/>
        <w:shd w:val="clear" w:color="auto" w:fill="auto"/>
        <w:bidi w:val="0"/>
        <w:spacing w:before="0" w:after="40" w:line="313" w:lineRule="exact"/>
        <w:ind w:left="0" w:right="0" w:firstLine="0"/>
        <w:jc w:val="left"/>
      </w:pPr>
      <w:r>
        <w:rPr>
          <w:color w:val="000000"/>
          <w:spacing w:val="0"/>
          <w:w w:val="100"/>
          <w:position w:val="0"/>
        </w:rPr>
        <w:t>摊销方法：一次摊销法</w:t>
      </w:r>
    </w:p>
    <w:p>
      <w:pPr>
        <w:pStyle w:val="Style24"/>
        <w:keepNext w:val="0"/>
        <w:keepLines w:val="0"/>
        <w:widowControl w:val="0"/>
        <w:shd w:val="clear" w:color="auto" w:fill="auto"/>
        <w:bidi w:val="0"/>
        <w:spacing w:before="0" w:after="40" w:line="313" w:lineRule="exact"/>
        <w:ind w:left="0" w:right="0" w:firstLine="0"/>
        <w:jc w:val="left"/>
      </w:pPr>
      <w:r>
        <w:rPr>
          <w:color w:val="000000"/>
          <w:spacing w:val="0"/>
          <w:w w:val="100"/>
          <w:position w:val="0"/>
        </w:rPr>
        <w:t>包装物</w:t>
      </w:r>
    </w:p>
    <w:p>
      <w:pPr>
        <w:pStyle w:val="Style2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摊销方法：一次摊销法</w:t>
      </w:r>
    </w:p>
    <w:p>
      <w:pPr>
        <w:pStyle w:val="Style29"/>
        <w:keepNext/>
        <w:keepLines/>
        <w:widowControl w:val="0"/>
        <w:shd w:val="clear" w:color="auto" w:fill="auto"/>
        <w:bidi w:val="0"/>
        <w:spacing w:before="0" w:after="36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1</w:t>
      </w:r>
      <w:bookmarkEnd w:id="510"/>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508"/>
      <w:bookmarkEnd w:id="509"/>
      <w:bookmarkEnd w:id="511"/>
    </w:p>
    <w:p>
      <w:pPr>
        <w:pStyle w:val="Style29"/>
        <w:keepNext/>
        <w:keepLines/>
        <w:widowControl w:val="0"/>
        <w:shd w:val="clear" w:color="auto" w:fill="auto"/>
        <w:bidi w:val="0"/>
        <w:spacing w:before="0" w:after="280" w:line="240" w:lineRule="auto"/>
        <w:ind w:left="0" w:right="0" w:firstLine="0"/>
        <w:jc w:val="left"/>
      </w:pPr>
      <w:bookmarkStart w:id="508" w:name="bookmark508"/>
      <w:bookmarkStart w:id="509" w:name="bookmark509"/>
      <w:bookmarkStart w:id="512" w:name="bookmark512"/>
      <w:bookmarkStart w:id="513" w:name="bookmark513"/>
      <w:r>
        <w:rPr>
          <w:color w:val="000000"/>
          <w:spacing w:val="0"/>
          <w:w w:val="100"/>
          <w:position w:val="0"/>
        </w:rPr>
        <w:t>（</w:t>
      </w:r>
      <w:bookmarkEnd w:id="512"/>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508"/>
      <w:bookmarkEnd w:id="509"/>
      <w:bookmarkEnd w:id="513"/>
    </w:p>
    <w:p>
      <w:pPr>
        <w:pStyle w:val="Style24"/>
        <w:keepNext w:val="0"/>
        <w:keepLines w:val="0"/>
        <w:widowControl w:val="0"/>
        <w:shd w:val="clear" w:color="auto" w:fill="auto"/>
        <w:bidi w:val="0"/>
        <w:spacing w:before="0" w:after="280" w:line="313" w:lineRule="exact"/>
        <w:ind w:left="0" w:right="0" w:firstLine="380"/>
        <w:jc w:val="both"/>
      </w:pPr>
      <w:r>
        <w:rPr>
          <w:color w:val="000000"/>
          <w:spacing w:val="0"/>
          <w:w w:val="100"/>
          <w:position w:val="0"/>
        </w:rPr>
        <w:t xml:space="preserve">本公司分别下列两种情况对长期股权投资成本进行计量： </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 xml:space="preserve">合并形成的长期股权投资，按照下列规定确定其投资 成本： </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同一控制下的企业合并中，合并方以支付现金、转让非现金资产或承担债务方式作为合并对价的，在合并日 按照取得被合并方所有者权益账面价值的份额作为长期股权投资的投资成本。长期股权投资投资成本与支付的现金、转让的 非现金资产以及所承担债务账面价值之间的差额，调整资本公积；资本公积不足冲减的，调整留存收益。 分步实现同一 控制下企业合并的，应当以持股比例计算的合并日应享有被合并方账面所有者权益份额作为该项投资的初始投资成本。初始 投资成本与其原长期股权投资账面价值加上合并日取得进一步股份新支付对价的公允价值之和的差额，调整资本公积（资本</w:t>
      </w:r>
    </w:p>
    <w:p>
      <w:pPr>
        <w:pStyle w:val="Style24"/>
        <w:keepNext w:val="0"/>
        <w:keepLines w:val="0"/>
        <w:widowControl w:val="0"/>
        <w:shd w:val="clear" w:color="auto" w:fill="auto"/>
        <w:tabs>
          <w:tab w:pos="4860" w:val="left"/>
        </w:tabs>
        <w:bidi w:val="0"/>
        <w:spacing w:before="0" w:after="0" w:line="307" w:lineRule="exact"/>
        <w:ind w:left="0" w:right="0" w:firstLine="0"/>
        <w:jc w:val="left"/>
      </w:pPr>
      <w:r>
        <w:rPr>
          <w:color w:val="000000"/>
          <w:spacing w:val="0"/>
          <w:w w:val="100"/>
          <w:position w:val="0"/>
        </w:rPr>
        <w:t>溢价或股本溢价），资本公积不足冲减的，冲减留存收益。</w:t>
        <w:tab/>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合并方以发行权益性证券作为合并对价的，在合并日按照</w:t>
      </w:r>
    </w:p>
    <w:p>
      <w:pPr>
        <w:pStyle w:val="Style24"/>
        <w:keepNext w:val="0"/>
        <w:keepLines w:val="0"/>
        <w:widowControl w:val="0"/>
        <w:shd w:val="clear" w:color="auto" w:fill="auto"/>
        <w:tabs>
          <w:tab w:pos="8189" w:val="left"/>
        </w:tabs>
        <w:bidi w:val="0"/>
        <w:spacing w:before="0" w:after="0" w:line="307" w:lineRule="exact"/>
        <w:ind w:left="0" w:right="0" w:firstLine="0"/>
        <w:jc w:val="left"/>
      </w:pPr>
      <w:r>
        <w:rPr>
          <w:color w:val="000000"/>
          <w:spacing w:val="0"/>
          <w:w w:val="100"/>
          <w:position w:val="0"/>
        </w:rPr>
        <w:t>取得被合并方所有者权益账面价值的份额作为长期股权投资的投资成本。按照发行股份的面值总额作为股本，长期股权投资 投资成本与所发行股份面值总额之间的差额，调整资本公积；资本公积不足冲减的，调整留存收益。</w:t>
        <w:tab/>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非同一控制下</w:t>
      </w:r>
    </w:p>
    <w:p>
      <w:pPr>
        <w:pStyle w:val="Style24"/>
        <w:keepNext w:val="0"/>
        <w:keepLines w:val="0"/>
        <w:widowControl w:val="0"/>
        <w:shd w:val="clear" w:color="auto" w:fill="auto"/>
        <w:tabs>
          <w:tab w:pos="4224" w:val="left"/>
        </w:tabs>
        <w:bidi w:val="0"/>
        <w:spacing w:before="0" w:after="0" w:line="307" w:lineRule="exact"/>
        <w:ind w:left="0" w:right="0" w:firstLine="0"/>
        <w:jc w:val="left"/>
      </w:pPr>
      <w:r>
        <w:rPr>
          <w:color w:val="000000"/>
          <w:spacing w:val="0"/>
          <w:w w:val="100"/>
          <w:position w:val="0"/>
        </w:rPr>
        <w:t>的企业合并中，购买方应当按照确定的企业合并成本作为长期股权投资的投资成本。企业合并成本包括购买方付出的资产、 发生或承担的负债、发行的权益性证券的公允价值之和。购买方为企业合并发生的审计、法律服务、评估咨询等中介费用以 及其他相关的管理费用，应当于发生时计入当期损益；购买方作为合并对价发行的权益性证券或债务性证券的交易费用，应 当计入权益性证券或债务性证券的初始确认金额。</w:t>
        <w:tab/>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除企业合并形成的长期股权投资以外，其他方式取得的长期股权</w:t>
      </w:r>
    </w:p>
    <w:p>
      <w:pPr>
        <w:pStyle w:val="Style24"/>
        <w:keepNext w:val="0"/>
        <w:keepLines w:val="0"/>
        <w:widowControl w:val="0"/>
        <w:shd w:val="clear" w:color="auto" w:fill="auto"/>
        <w:tabs>
          <w:tab w:pos="3329" w:val="left"/>
        </w:tabs>
        <w:bidi w:val="0"/>
        <w:spacing w:before="0" w:after="0" w:line="307" w:lineRule="exact"/>
        <w:ind w:left="0" w:right="0" w:firstLine="0"/>
        <w:jc w:val="left"/>
      </w:pPr>
      <w:r>
        <w:rPr>
          <w:color w:val="000000"/>
          <w:spacing w:val="0"/>
          <w:w w:val="100"/>
          <w:position w:val="0"/>
        </w:rPr>
        <w:t>投资，按照下列规定确定其投资成本：</w:t>
        <w:tab/>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以支付现金取得的长期股权投资，按照实际支付的购买价款作为投资成本。</w:t>
      </w:r>
    </w:p>
    <w:p>
      <w:pPr>
        <w:pStyle w:val="Style24"/>
        <w:keepNext w:val="0"/>
        <w:keepLines w:val="0"/>
        <w:widowControl w:val="0"/>
        <w:shd w:val="clear" w:color="auto" w:fill="auto"/>
        <w:tabs>
          <w:tab w:pos="3329" w:val="left"/>
        </w:tabs>
        <w:bidi w:val="0"/>
        <w:spacing w:before="0" w:after="0" w:line="307" w:lineRule="exact"/>
        <w:ind w:left="0" w:right="0" w:firstLine="0"/>
        <w:jc w:val="left"/>
      </w:pPr>
      <w:r>
        <w:rPr>
          <w:color w:val="000000"/>
          <w:spacing w:val="0"/>
          <w:w w:val="100"/>
          <w:position w:val="0"/>
        </w:rPr>
        <w:t>投资成本包括与取得长期股权投资直接相关的费用、税金及其他必要支出，但实际支付的价款中包含的已宣告但尚未领取的 现金股利，应作为应收项目单独核算。</w:t>
        <w:tab/>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以发行权益性证券取得的长期股权投资，按照发行权益性证券的公允价值作</w:t>
      </w:r>
    </w:p>
    <w:p>
      <w:pPr>
        <w:pStyle w:val="Style24"/>
        <w:keepNext w:val="0"/>
        <w:keepLines w:val="0"/>
        <w:widowControl w:val="0"/>
        <w:shd w:val="clear" w:color="auto" w:fill="auto"/>
        <w:tabs>
          <w:tab w:pos="1334" w:val="left"/>
        </w:tabs>
        <w:bidi w:val="0"/>
        <w:spacing w:before="0" w:after="0" w:line="307" w:lineRule="exact"/>
        <w:ind w:left="0" w:right="0" w:firstLine="0"/>
        <w:jc w:val="left"/>
      </w:pPr>
      <w:r>
        <w:rPr>
          <w:color w:val="000000"/>
          <w:spacing w:val="0"/>
          <w:w w:val="100"/>
          <w:position w:val="0"/>
        </w:rPr>
        <w:t>为投资成本。</w:t>
        <w:tab/>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投资者投入的长期股权投资，按照投资合同或协议约定的价值作为投资成本，但合同或协议约定价值</w:t>
      </w:r>
    </w:p>
    <w:p>
      <w:pPr>
        <w:pStyle w:val="Style24"/>
        <w:keepNext w:val="0"/>
        <w:keepLines w:val="0"/>
        <w:widowControl w:val="0"/>
        <w:shd w:val="clear" w:color="auto" w:fill="auto"/>
        <w:tabs>
          <w:tab w:pos="1531" w:val="left"/>
        </w:tabs>
        <w:bidi w:val="0"/>
        <w:spacing w:before="0" w:after="0" w:line="307" w:lineRule="exact"/>
        <w:ind w:left="0" w:right="0" w:firstLine="0"/>
        <w:jc w:val="left"/>
      </w:pPr>
      <w:r>
        <w:rPr>
          <w:color w:val="000000"/>
          <w:spacing w:val="0"/>
          <w:w w:val="100"/>
          <w:position w:val="0"/>
        </w:rPr>
        <w:t>不公允的除外。</w:t>
        <w:tab/>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通过非货币性资产交换取得的长期股权投资，其投资成本按照《企业会计准则第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非货币性资产</w:t>
      </w:r>
    </w:p>
    <w:p>
      <w:pPr>
        <w:pStyle w:val="Style24"/>
        <w:keepNext w:val="0"/>
        <w:keepLines w:val="0"/>
        <w:widowControl w:val="0"/>
        <w:shd w:val="clear" w:color="auto" w:fill="auto"/>
        <w:bidi w:val="0"/>
        <w:spacing w:before="0" w:after="360" w:line="307" w:lineRule="exact"/>
        <w:ind w:left="0" w:right="0" w:firstLine="0"/>
        <w:jc w:val="left"/>
      </w:pPr>
      <w:r>
        <w:rPr>
          <w:color w:val="000000"/>
          <w:spacing w:val="0"/>
          <w:w w:val="100"/>
          <w:position w:val="0"/>
        </w:rPr>
        <w:t>交换》确定。</w:t>
      </w:r>
      <w:r>
        <w:rPr>
          <w:rFonts w:ascii="Times New Roman" w:eastAsia="Times New Roman" w:hAnsi="Times New Roman" w:cs="Times New Roman"/>
          <w:color w:val="000000"/>
          <w:spacing w:val="0"/>
          <w:w w:val="100"/>
          <w:position w:val="0"/>
        </w:rPr>
        <w:t>e</w:t>
      </w:r>
      <w:r>
        <w:rPr>
          <w:color w:val="000000"/>
          <w:spacing w:val="0"/>
          <w:w w:val="100"/>
          <w:position w:val="0"/>
        </w:rPr>
        <w:t>）</w:t>
      </w:r>
      <w:r>
        <w:rPr>
          <w:color w:val="000000"/>
          <w:spacing w:val="0"/>
          <w:w w:val="100"/>
          <w:position w:val="0"/>
        </w:rPr>
        <w:t>通过债务重组取得的长期股权投资，其投资成本按照《企业会计准则第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债务重组》确定。</w:t>
      </w:r>
    </w:p>
    <w:p>
      <w:pPr>
        <w:pStyle w:val="Style29"/>
        <w:keepNext/>
        <w:keepLines/>
        <w:widowControl w:val="0"/>
        <w:shd w:val="clear" w:color="auto" w:fill="auto"/>
        <w:tabs>
          <w:tab w:pos="473" w:val="left"/>
        </w:tabs>
        <w:bidi w:val="0"/>
        <w:spacing w:before="0" w:after="28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w:t>
      </w:r>
      <w:bookmarkEnd w:id="516"/>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514"/>
      <w:bookmarkEnd w:id="515"/>
      <w:bookmarkEnd w:id="517"/>
    </w:p>
    <w:p>
      <w:pPr>
        <w:pStyle w:val="Style24"/>
        <w:keepNext w:val="0"/>
        <w:keepLines w:val="0"/>
        <w:widowControl w:val="0"/>
        <w:shd w:val="clear" w:color="auto" w:fill="auto"/>
        <w:tabs>
          <w:tab w:pos="5693" w:val="left"/>
        </w:tabs>
        <w:bidi w:val="0"/>
        <w:spacing w:before="0" w:after="0" w:line="312" w:lineRule="exact"/>
        <w:ind w:left="0" w:right="0" w:firstLine="380"/>
        <w:jc w:val="both"/>
      </w:pPr>
      <w:r>
        <w:rPr>
          <w:color w:val="000000"/>
          <w:spacing w:val="0"/>
          <w:w w:val="100"/>
          <w:position w:val="0"/>
        </w:rPr>
        <w:t>本公司能够对被投资单位实施控制的长期股权投资，以及对被投资单位不具有共同控制或重大影响，且在活跃市场中没 有报价、公允价值不能可靠计量的长期股权投资，采用成本法核算。</w:t>
        <w:tab/>
        <w:t>本公司对被投资单位具有共同控制或重大影响的，</w:t>
      </w:r>
    </w:p>
    <w:p>
      <w:pPr>
        <w:pStyle w:val="Style24"/>
        <w:keepNext w:val="0"/>
        <w:keepLines w:val="0"/>
        <w:widowControl w:val="0"/>
        <w:shd w:val="clear" w:color="auto" w:fill="auto"/>
        <w:tabs>
          <w:tab w:pos="5117" w:val="left"/>
        </w:tabs>
        <w:bidi w:val="0"/>
        <w:spacing w:before="0" w:after="0" w:line="312" w:lineRule="exact"/>
        <w:ind w:left="0" w:right="0" w:firstLine="0"/>
        <w:jc w:val="left"/>
      </w:pPr>
      <w:r>
        <w:rPr>
          <w:color w:val="000000"/>
          <w:spacing w:val="0"/>
          <w:w w:val="100"/>
          <w:position w:val="0"/>
        </w:rPr>
        <w:t>长期股权投资采用权益法核算。采用权益法时，长期股权投资的投资成本大于投资时应享有被投资单位可辨认净资产公允价 值份额的，归入长期股权投资的投资成本；长期股权投资的投资成本小于投资时应享有被投资单位可辨认净资产公允价值份 额的，其差额计入当期损益，同时调整长期股权投资的成本。</w:t>
        <w:tab/>
        <w:t>采用成本法时，除取得投资时实际支付的价款或对价中包</w:t>
      </w:r>
    </w:p>
    <w:p>
      <w:pPr>
        <w:pStyle w:val="Style24"/>
        <w:keepNext w:val="0"/>
        <w:keepLines w:val="0"/>
        <w:widowControl w:val="0"/>
        <w:shd w:val="clear" w:color="auto" w:fill="auto"/>
        <w:tabs>
          <w:tab w:pos="2429" w:val="left"/>
        </w:tabs>
        <w:bidi w:val="0"/>
        <w:spacing w:before="0" w:after="0" w:line="312" w:lineRule="exact"/>
        <w:ind w:left="0" w:right="0" w:firstLine="0"/>
        <w:jc w:val="left"/>
      </w:pPr>
      <w:r>
        <w:rPr>
          <w:color w:val="000000"/>
          <w:spacing w:val="0"/>
          <w:w w:val="100"/>
          <w:position w:val="0"/>
        </w:rPr>
        <w:t>含的已宣告但尚未发放的现金股利或利润外，投资企业应当按照享有被投资单位宣告发放的现金股利或利润确认投资收益。 采用权益法时，取得长期股权投资后，按照应享有或应分担的被投资单位实现的净损益的份额，确认投资损益并调整长期股 权投资的账面价值。按照被投资单位宣告分派的利润或现金股利计算应分得的部分，相应减少长期股权投资的账面价值。 本公司在权益法下确认应分担被投资单位发生的亏损时，按照以下顺序进行处理：首先，冲减长期股权投资的账面价值。其 次，长期股权投资的账面价值不足以冲减的，以其他实质上构成对被投资单位净投资的长期权益账面价值为限继续确认投资 损失，冲减长期应收项目的账面价值。最后，经过上述处理，按照投资合同或协议约定企业仍承担额外义务的，按预计承担 的义务确认预计负债，计入当期投资损失。被投资单位以后期间实现盈利的，在扣除未确认的亏损分担额后，按与上述相反 的顺序处理，减记已确认预计负债的账面金额、恢复其他实质上构成对被投资单位净投资的长期权益及长期股权投资的账面 价值，同时确认投资收益。</w:t>
        <w:tab/>
        <w:t>对于被投资单位除净损益以外所有者权益的其他变动，在持股比例不变的情况下，本公司按</w:t>
      </w:r>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照持股比例计算应享有或分担的部分，调整长期股权投资的账面价值并计入所有者权益，待处置该项投资时按相应比例转入 当期损益。处置长期股权投资，其账面价值与实际取得价款的差额，计入当期损益。</w:t>
      </w:r>
    </w:p>
    <w:p>
      <w:pPr>
        <w:pStyle w:val="Style29"/>
        <w:keepNext/>
        <w:keepLines/>
        <w:widowControl w:val="0"/>
        <w:shd w:val="clear" w:color="auto" w:fill="auto"/>
        <w:tabs>
          <w:tab w:pos="473" w:val="left"/>
        </w:tabs>
        <w:bidi w:val="0"/>
        <w:spacing w:before="0" w:after="28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rPr>
        <w:t>（</w:t>
      </w:r>
      <w:bookmarkEnd w:id="520"/>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518"/>
      <w:bookmarkEnd w:id="519"/>
      <w:bookmarkEnd w:id="521"/>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按照合同约定对某项经济活动具有共有控制，仅在与该项经济活动相关的重要财务和经营决策需要分享控制权的投资方一致 同意存在，则视为与其他方对被投资单位实施共同控制；对一个企业的财务和经营决策有参与决策的权力，但并不能控制或 者与其他方一起共同控制这些政策的制定，则视为投资企业能够对被投资单位施加重大影响。</w:t>
      </w:r>
    </w:p>
    <w:p>
      <w:pPr>
        <w:pStyle w:val="Style29"/>
        <w:keepNext/>
        <w:keepLines/>
        <w:widowControl w:val="0"/>
        <w:shd w:val="clear" w:color="auto" w:fill="auto"/>
        <w:tabs>
          <w:tab w:pos="473" w:val="left"/>
        </w:tabs>
        <w:bidi w:val="0"/>
        <w:spacing w:before="0" w:after="28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w:t>
      </w:r>
      <w:bookmarkEnd w:id="524"/>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522"/>
      <w:bookmarkEnd w:id="523"/>
      <w:bookmarkEnd w:id="525"/>
    </w:p>
    <w:p>
      <w:pPr>
        <w:pStyle w:val="Style24"/>
        <w:keepNext w:val="0"/>
        <w:keepLines w:val="0"/>
        <w:widowControl w:val="0"/>
        <w:shd w:val="clear" w:color="auto" w:fill="auto"/>
        <w:tabs>
          <w:tab w:pos="3091" w:val="left"/>
          <w:tab w:pos="7061" w:val="left"/>
        </w:tabs>
        <w:bidi w:val="0"/>
        <w:spacing w:before="0" w:after="0" w:line="312" w:lineRule="exact"/>
        <w:ind w:left="0" w:right="0" w:firstLine="480"/>
        <w:jc w:val="both"/>
      </w:pPr>
      <w:bookmarkStart w:id="526" w:name="bookmark526"/>
      <w:r>
        <w:rPr>
          <w:color w:val="000000"/>
          <w:spacing w:val="0"/>
          <w:w w:val="100"/>
          <w:position w:val="0"/>
        </w:rPr>
        <w:t>（</w:t>
      </w:r>
      <w:bookmarkEnd w:id="526"/>
      <w:r>
        <w:rPr>
          <w:rFonts w:ascii="Times New Roman" w:eastAsia="Times New Roman" w:hAnsi="Times New Roman" w:cs="Times New Roman"/>
          <w:color w:val="000000"/>
          <w:spacing w:val="0"/>
          <w:w w:val="100"/>
          <w:position w:val="0"/>
        </w:rPr>
        <w:t>1</w:t>
      </w:r>
      <w:r>
        <w:rPr>
          <w:color w:val="000000"/>
          <w:spacing w:val="0"/>
          <w:w w:val="100"/>
          <w:position w:val="0"/>
        </w:rPr>
        <w:t>）可能发生减值资产的认定</w:t>
        <w:tab/>
        <w:t>存在下列迹象的，表明资产可能发生了减值：</w:t>
        <w:tab/>
        <w:t>①资产的市价当期大幅度下跌，</w:t>
      </w:r>
    </w:p>
    <w:p>
      <w:pPr>
        <w:pStyle w:val="Style24"/>
        <w:keepNext w:val="0"/>
        <w:keepLines w:val="0"/>
        <w:widowControl w:val="0"/>
        <w:shd w:val="clear" w:color="auto" w:fill="auto"/>
        <w:tabs>
          <w:tab w:pos="4860" w:val="left"/>
        </w:tabs>
        <w:bidi w:val="0"/>
        <w:spacing w:before="0" w:after="0" w:line="312" w:lineRule="exact"/>
        <w:ind w:left="0" w:right="0" w:firstLine="0"/>
        <w:jc w:val="left"/>
      </w:pPr>
      <w:r>
        <w:rPr>
          <w:color w:val="000000"/>
          <w:spacing w:val="0"/>
          <w:w w:val="100"/>
          <w:position w:val="0"/>
        </w:rPr>
        <w:t>其跌幅明显高于因时间的推移或者正常使用而预计的下跌。</w:t>
        <w:tab/>
        <w:t>②企业经营所处的经济、技术或法律等环境以及资产所处的</w:t>
      </w:r>
    </w:p>
    <w:p>
      <w:pPr>
        <w:pStyle w:val="Style24"/>
        <w:keepNext w:val="0"/>
        <w:keepLines w:val="0"/>
        <w:widowControl w:val="0"/>
        <w:shd w:val="clear" w:color="auto" w:fill="auto"/>
        <w:tabs>
          <w:tab w:pos="7421" w:val="left"/>
        </w:tabs>
        <w:bidi w:val="0"/>
        <w:spacing w:before="0" w:after="140" w:line="312" w:lineRule="exact"/>
        <w:ind w:left="0" w:right="0" w:firstLine="0"/>
        <w:jc w:val="left"/>
      </w:pPr>
      <w:r>
        <w:rPr>
          <w:color w:val="000000"/>
          <w:spacing w:val="0"/>
          <w:w w:val="100"/>
          <w:position w:val="0"/>
        </w:rPr>
        <w:t>市场在当期或将在近期发生重大变化,从而对企业产生不利影响。③市场利率或者其他市场投资回报率在当期已经提高， 从而影响企业计算资产预计未来现金流量现值的折现率，导致资产可收回金额大幅度降低。</w:t>
        <w:tab/>
        <w:t>④有证据表明资产已经陈旧</w:t>
      </w:r>
    </w:p>
    <w:p>
      <w:pPr>
        <w:pStyle w:val="Style24"/>
        <w:keepNext w:val="0"/>
        <w:keepLines w:val="0"/>
        <w:widowControl w:val="0"/>
        <w:shd w:val="clear" w:color="auto" w:fill="auto"/>
        <w:tabs>
          <w:tab w:pos="2222" w:val="left"/>
          <w:tab w:pos="7070" w:val="left"/>
        </w:tabs>
        <w:bidi w:val="0"/>
        <w:spacing w:before="0" w:after="0" w:line="309" w:lineRule="exact"/>
        <w:ind w:left="0" w:right="0" w:firstLine="0"/>
        <w:jc w:val="both"/>
      </w:pPr>
      <w:r>
        <w:rPr>
          <w:color w:val="000000"/>
          <w:spacing w:val="0"/>
          <w:w w:val="100"/>
          <w:position w:val="0"/>
        </w:rPr>
        <w:t>过时或其实体已经损坏。</w:t>
        <w:tab/>
        <w:t>⑤资产已经或者将被闲置、终止使用或者计划提前处置。</w:t>
        <w:tab/>
        <w:t>⑥企业内部报告的证据表明资产</w:t>
      </w:r>
    </w:p>
    <w:p>
      <w:pPr>
        <w:pStyle w:val="Style24"/>
        <w:keepNext w:val="0"/>
        <w:keepLines w:val="0"/>
        <w:widowControl w:val="0"/>
        <w:shd w:val="clear" w:color="auto" w:fill="auto"/>
        <w:tabs>
          <w:tab w:pos="1392" w:val="left"/>
          <w:tab w:pos="5191" w:val="left"/>
          <w:tab w:pos="7771" w:val="left"/>
        </w:tabs>
        <w:bidi w:val="0"/>
        <w:spacing w:before="0" w:after="0" w:line="309" w:lineRule="exact"/>
        <w:ind w:left="0" w:right="0" w:firstLine="0"/>
        <w:jc w:val="both"/>
      </w:pPr>
      <w:r>
        <w:rPr>
          <w:color w:val="000000"/>
          <w:spacing w:val="0"/>
          <w:w w:val="100"/>
          <w:position w:val="0"/>
        </w:rPr>
        <w:t>的经济绩效已经低于或者将低于预期，如资产所创造的净现金流量或者实现的营业利润（或者亏损）远远低于（或者高于） 预计金额等。</w:t>
        <w:tab/>
        <w:t>⑦其他表明资产可能已经发生减值的迹象。</w:t>
        <w:tab/>
        <w:t>（</w:t>
      </w:r>
      <w:r>
        <w:rPr>
          <w:rFonts w:ascii="Times New Roman" w:eastAsia="Times New Roman" w:hAnsi="Times New Roman" w:cs="Times New Roman"/>
          <w:color w:val="000000"/>
          <w:spacing w:val="0"/>
          <w:w w:val="100"/>
          <w:position w:val="0"/>
        </w:rPr>
        <w:t>2</w:t>
      </w:r>
      <w:r>
        <w:rPr>
          <w:color w:val="000000"/>
          <w:spacing w:val="0"/>
          <w:w w:val="100"/>
          <w:position w:val="0"/>
        </w:rPr>
        <w:t>）资产可收回金额的计量</w:t>
        <w:tab/>
        <w:t>①可收回金额根据资产</w:t>
      </w:r>
    </w:p>
    <w:p>
      <w:pPr>
        <w:pStyle w:val="Style24"/>
        <w:keepNext w:val="0"/>
        <w:keepLines w:val="0"/>
        <w:widowControl w:val="0"/>
        <w:shd w:val="clear" w:color="auto" w:fill="auto"/>
        <w:tabs>
          <w:tab w:pos="6499" w:val="left"/>
        </w:tabs>
        <w:bidi w:val="0"/>
        <w:spacing w:before="0" w:after="0" w:line="309" w:lineRule="exact"/>
        <w:ind w:left="0" w:right="0" w:firstLine="0"/>
        <w:jc w:val="both"/>
      </w:pPr>
      <w:r>
        <w:rPr>
          <w:color w:val="000000"/>
          <w:spacing w:val="0"/>
          <w:w w:val="100"/>
          <w:position w:val="0"/>
        </w:rPr>
        <w:t>的公允价值减去处置费用后的净额与资产预计未来现金流量的现值两者之间较高者确定。处置费用包括与资产处置有关的法 律费用、相关税费、搬运费以及为使资产达到可销售状态所发生的直接费用等。</w:t>
        <w:tab/>
        <w:t>②资产的公允价值减去处置费用后的净</w:t>
      </w:r>
    </w:p>
    <w:p>
      <w:pPr>
        <w:pStyle w:val="Style24"/>
        <w:keepNext w:val="0"/>
        <w:keepLines w:val="0"/>
        <w:widowControl w:val="0"/>
        <w:shd w:val="clear" w:color="auto" w:fill="auto"/>
        <w:tabs>
          <w:tab w:pos="2798" w:val="left"/>
          <w:tab w:pos="5861" w:val="left"/>
        </w:tabs>
        <w:bidi w:val="0"/>
        <w:spacing w:before="0" w:after="0" w:line="309" w:lineRule="exact"/>
        <w:ind w:left="0" w:right="0" w:firstLine="0"/>
        <w:jc w:val="both"/>
      </w:pPr>
      <w:r>
        <w:rPr>
          <w:color w:val="000000"/>
          <w:spacing w:val="0"/>
          <w:w w:val="100"/>
          <w:position w:val="0"/>
        </w:rPr>
        <w:t>额，是根据公平交易中销售协议价格减去直接归属于该资产处置费用的金额确定；不存在销售协议但存在活跃市场的，按照 资产的市场价格减去处置费用后的金额确定，资产的市场价格通常根据资产的买方出价确定；在不存在销售协议和资产活跃 市场的情况下，以可获取的最佳信息为基础，估计资产的公允价值减去处置费用后的净额，参考同行业类似资产的最近交易 价格或者结果进行估计；按照上述规定仍然无法可靠估计资产的公允价值减去处置费用后的净额的，以该资产预计未来现金 流量的现值作为其可收回金额。</w:t>
        <w:tab/>
        <w:t>③预计的资产未来现金流量包括：</w:t>
        <w:tab/>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资产持续使用过程中预计产生的现金流入；</w:t>
      </w:r>
    </w:p>
    <w:p>
      <w:pPr>
        <w:pStyle w:val="Style24"/>
        <w:keepNext w:val="0"/>
        <w:keepLines w:val="0"/>
        <w:widowControl w:val="0"/>
        <w:shd w:val="clear" w:color="auto" w:fill="auto"/>
        <w:tabs>
          <w:tab w:pos="7357" w:val="left"/>
        </w:tabs>
        <w:bidi w:val="0"/>
        <w:spacing w:before="0" w:after="0" w:line="309" w:lineRule="exact"/>
        <w:ind w:left="0" w:right="0" w:firstLine="0"/>
        <w:jc w:val="both"/>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为实现资产持续使用过程中产生的现金流入所必需的预计现金流出（包括为使资产达到预定可使用状态所发生的现金流 出）。该现金流出是可直接归属于或者可通过合理而一致的基础分配到资产中的现金流出；</w:t>
        <w:tab/>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资产使用寿命结束时，</w:t>
      </w:r>
    </w:p>
    <w:p>
      <w:pPr>
        <w:pStyle w:val="Style24"/>
        <w:keepNext w:val="0"/>
        <w:keepLines w:val="0"/>
        <w:widowControl w:val="0"/>
        <w:shd w:val="clear" w:color="auto" w:fill="auto"/>
        <w:tabs>
          <w:tab w:pos="5191" w:val="left"/>
          <w:tab w:pos="7357" w:val="left"/>
        </w:tabs>
        <w:bidi w:val="0"/>
        <w:spacing w:before="0" w:after="0" w:line="309" w:lineRule="exact"/>
        <w:ind w:left="0" w:right="0" w:firstLine="0"/>
        <w:jc w:val="both"/>
      </w:pPr>
      <w:r>
        <w:rPr>
          <w:color w:val="000000"/>
          <w:spacing w:val="0"/>
          <w:w w:val="100"/>
          <w:position w:val="0"/>
        </w:rPr>
        <w:t>处置资产所收到或支付的净现金流量。该现金流量是在公平交易中，熟悉情况的交易双方自愿进行交易时，企业预期可从资 产的处置中获取或者支付的、减去预计处置费用后的金额。</w:t>
        <w:tab/>
        <w:t>（</w:t>
      </w:r>
      <w:r>
        <w:rPr>
          <w:rFonts w:ascii="Times New Roman" w:eastAsia="Times New Roman" w:hAnsi="Times New Roman" w:cs="Times New Roman"/>
          <w:color w:val="000000"/>
          <w:spacing w:val="0"/>
          <w:w w:val="100"/>
          <w:position w:val="0"/>
        </w:rPr>
        <w:t>3</w:t>
      </w:r>
      <w:r>
        <w:rPr>
          <w:color w:val="000000"/>
          <w:spacing w:val="0"/>
          <w:w w:val="100"/>
          <w:position w:val="0"/>
        </w:rPr>
        <w:t>）资产减值损失的确定</w:t>
        <w:tab/>
        <w:t>①可收回金额的计量结果表</w:t>
      </w:r>
    </w:p>
    <w:p>
      <w:pPr>
        <w:pStyle w:val="Style24"/>
        <w:keepNext w:val="0"/>
        <w:keepLines w:val="0"/>
        <w:widowControl w:val="0"/>
        <w:shd w:val="clear" w:color="auto" w:fill="auto"/>
        <w:tabs>
          <w:tab w:pos="3437" w:val="left"/>
        </w:tabs>
        <w:bidi w:val="0"/>
        <w:spacing w:before="0" w:after="0" w:line="309" w:lineRule="exact"/>
        <w:ind w:left="0" w:right="0" w:firstLine="0"/>
        <w:jc w:val="both"/>
      </w:pPr>
      <w:r>
        <w:rPr>
          <w:color w:val="000000"/>
          <w:spacing w:val="0"/>
          <w:w w:val="100"/>
          <w:position w:val="0"/>
        </w:rPr>
        <w:t>明，资产的可收回金额低于其账面价值的，将资产的账面价值减记至可收回金额，减记的金额确认为资产减值损失，计入当 期损益，同时计提相应的资产减值准备。</w:t>
        <w:tab/>
        <w:t>②资产减值损失确认后，减值资产的折旧或者摊销费用在未来期间作相应调整,</w:t>
      </w:r>
    </w:p>
    <w:p>
      <w:pPr>
        <w:pStyle w:val="Style24"/>
        <w:keepNext w:val="0"/>
        <w:keepLines w:val="0"/>
        <w:widowControl w:val="0"/>
        <w:shd w:val="clear" w:color="auto" w:fill="auto"/>
        <w:bidi w:val="0"/>
        <w:spacing w:before="0" w:after="360" w:line="309" w:lineRule="exact"/>
        <w:ind w:left="0" w:right="0" w:firstLine="0"/>
        <w:jc w:val="both"/>
      </w:pPr>
      <w:r>
        <w:rPr>
          <w:color w:val="000000"/>
          <w:spacing w:val="0"/>
          <w:w w:val="100"/>
          <w:position w:val="0"/>
        </w:rPr>
        <w:t>以使该资产在剩余使用寿命内，系统地分摊调整后的资产账面价值（扣除预计净残值）。资产减值损失一经确认，在以后会 计期间不得转回，如遇到资产处置、出售、对外投资、以非货币性资产交换方式换出、在债务重组中抵偿债务等情况，同时 符合资产终止确认条件的，应将相关资产减值准备予以转销。</w:t>
      </w:r>
    </w:p>
    <w:p>
      <w:pPr>
        <w:pStyle w:val="Style29"/>
        <w:keepNext/>
        <w:keepLines/>
        <w:widowControl w:val="0"/>
        <w:shd w:val="clear" w:color="auto" w:fill="auto"/>
        <w:tabs>
          <w:tab w:pos="478" w:val="left"/>
        </w:tabs>
        <w:bidi w:val="0"/>
        <w:spacing w:before="0" w:after="260" w:line="240" w:lineRule="auto"/>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527"/>
      <w:bookmarkEnd w:id="528"/>
      <w:bookmarkEnd w:id="530"/>
    </w:p>
    <w:p>
      <w:pPr>
        <w:pStyle w:val="Style24"/>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投资性房地产，是指为赚取租金或资本增值，或两者兼有而持有的房地产。</w:t>
      </w:r>
    </w:p>
    <w:p>
      <w:pPr>
        <w:pStyle w:val="Style24"/>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本公司的投资性房地产是指：（</w:t>
      </w:r>
      <w:r>
        <w:rPr>
          <w:rFonts w:ascii="Times New Roman" w:eastAsia="Times New Roman" w:hAnsi="Times New Roman" w:cs="Times New Roman"/>
          <w:color w:val="000000"/>
          <w:spacing w:val="0"/>
          <w:w w:val="100"/>
          <w:position w:val="0"/>
        </w:rPr>
        <w:t>1</w:t>
      </w:r>
      <w:r>
        <w:rPr>
          <w:color w:val="000000"/>
          <w:spacing w:val="0"/>
          <w:w w:val="100"/>
          <w:position w:val="0"/>
        </w:rPr>
        <w:t>）已出租的土地使用权；（</w:t>
      </w:r>
      <w:r>
        <w:rPr>
          <w:rFonts w:ascii="Times New Roman" w:eastAsia="Times New Roman" w:hAnsi="Times New Roman" w:cs="Times New Roman"/>
          <w:color w:val="000000"/>
          <w:spacing w:val="0"/>
          <w:w w:val="100"/>
          <w:position w:val="0"/>
        </w:rPr>
        <w:t>2</w:t>
      </w:r>
      <w:r>
        <w:rPr>
          <w:color w:val="000000"/>
          <w:spacing w:val="0"/>
          <w:w w:val="100"/>
          <w:position w:val="0"/>
        </w:rPr>
        <w:t>）持有并准备增值后转让的土地使用权；（</w:t>
      </w:r>
      <w:r>
        <w:rPr>
          <w:rFonts w:ascii="Times New Roman" w:eastAsia="Times New Roman" w:hAnsi="Times New Roman" w:cs="Times New Roman"/>
          <w:color w:val="000000"/>
          <w:spacing w:val="0"/>
          <w:w w:val="100"/>
          <w:position w:val="0"/>
        </w:rPr>
        <w:t>3</w:t>
      </w:r>
      <w:r>
        <w:rPr>
          <w:color w:val="000000"/>
          <w:spacing w:val="0"/>
          <w:w w:val="100"/>
          <w:position w:val="0"/>
        </w:rPr>
        <w:t>）已出租的建 筑物。</w:t>
      </w:r>
    </w:p>
    <w:p>
      <w:pPr>
        <w:pStyle w:val="Style24"/>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公司取得的投资性房地产，按照成本进行初始计量。</w:t>
      </w:r>
    </w:p>
    <w:p>
      <w:pPr>
        <w:pStyle w:val="Style24"/>
        <w:keepNext w:val="0"/>
        <w:keepLines w:val="0"/>
        <w:widowControl w:val="0"/>
        <w:shd w:val="clear" w:color="auto" w:fill="auto"/>
        <w:tabs>
          <w:tab w:pos="880" w:val="left"/>
        </w:tabs>
        <w:bidi w:val="0"/>
        <w:spacing w:before="0" w:after="0" w:line="322" w:lineRule="exact"/>
        <w:ind w:left="0" w:right="0" w:firstLine="440"/>
        <w:jc w:val="left"/>
      </w:pPr>
      <w:bookmarkStart w:id="531" w:name="bookmark531"/>
      <w:r>
        <w:rPr>
          <w:color w:val="000000"/>
          <w:spacing w:val="0"/>
          <w:w w:val="100"/>
          <w:position w:val="0"/>
        </w:rPr>
        <w:t>（</w:t>
      </w:r>
      <w:bookmarkEnd w:id="531"/>
      <w:r>
        <w:rPr>
          <w:rFonts w:ascii="Times New Roman" w:eastAsia="Times New Roman" w:hAnsi="Times New Roman" w:cs="Times New Roman"/>
          <w:color w:val="000000"/>
          <w:spacing w:val="0"/>
          <w:w w:val="100"/>
          <w:position w:val="0"/>
        </w:rPr>
        <w:t>1</w:t>
      </w:r>
      <w:r>
        <w:rPr>
          <w:color w:val="000000"/>
          <w:spacing w:val="0"/>
          <w:w w:val="100"/>
          <w:position w:val="0"/>
        </w:rPr>
        <w:t>）</w:t>
        <w:tab/>
        <w:t>外购投资性房地产的成本，包括购买价款、相关税费和可直接归属于该资产的相关支出。</w:t>
      </w:r>
    </w:p>
    <w:p>
      <w:pPr>
        <w:pStyle w:val="Style24"/>
        <w:keepNext w:val="0"/>
        <w:keepLines w:val="0"/>
        <w:widowControl w:val="0"/>
        <w:shd w:val="clear" w:color="auto" w:fill="auto"/>
        <w:tabs>
          <w:tab w:pos="880" w:val="left"/>
        </w:tabs>
        <w:bidi w:val="0"/>
        <w:spacing w:before="0" w:after="0" w:line="309" w:lineRule="exact"/>
        <w:ind w:left="0" w:right="0" w:firstLine="440"/>
        <w:jc w:val="left"/>
      </w:pPr>
      <w:bookmarkStart w:id="532" w:name="bookmark532"/>
      <w:r>
        <w:rPr>
          <w:color w:val="000000"/>
          <w:spacing w:val="0"/>
          <w:w w:val="100"/>
          <w:position w:val="0"/>
        </w:rPr>
        <w:t>（</w:t>
      </w:r>
      <w:bookmarkEnd w:id="532"/>
      <w:r>
        <w:rPr>
          <w:rFonts w:ascii="Times New Roman" w:eastAsia="Times New Roman" w:hAnsi="Times New Roman" w:cs="Times New Roman"/>
          <w:color w:val="000000"/>
          <w:spacing w:val="0"/>
          <w:w w:val="100"/>
          <w:position w:val="0"/>
        </w:rPr>
        <w:t>2</w:t>
      </w:r>
      <w:r>
        <w:rPr>
          <w:color w:val="000000"/>
          <w:spacing w:val="0"/>
          <w:w w:val="100"/>
          <w:position w:val="0"/>
        </w:rPr>
        <w:t>）</w:t>
        <w:tab/>
        <w:t>自行建造投资性房地产的成本，由建造该项资产达到预定可使用状态前所发生的必要支出构成。</w:t>
      </w:r>
    </w:p>
    <w:p>
      <w:pPr>
        <w:pStyle w:val="Style24"/>
        <w:keepNext w:val="0"/>
        <w:keepLines w:val="0"/>
        <w:widowControl w:val="0"/>
        <w:shd w:val="clear" w:color="auto" w:fill="auto"/>
        <w:tabs>
          <w:tab w:pos="880" w:val="left"/>
        </w:tabs>
        <w:bidi w:val="0"/>
        <w:spacing w:before="0" w:after="0" w:line="309" w:lineRule="exact"/>
        <w:ind w:left="0" w:right="0" w:firstLine="440"/>
        <w:jc w:val="left"/>
      </w:pPr>
      <w:bookmarkStart w:id="533" w:name="bookmark533"/>
      <w:r>
        <w:rPr>
          <w:color w:val="000000"/>
          <w:spacing w:val="0"/>
          <w:w w:val="100"/>
          <w:position w:val="0"/>
        </w:rPr>
        <w:t>（</w:t>
      </w:r>
      <w:bookmarkEnd w:id="533"/>
      <w:r>
        <w:rPr>
          <w:rFonts w:ascii="Times New Roman" w:eastAsia="Times New Roman" w:hAnsi="Times New Roman" w:cs="Times New Roman"/>
          <w:color w:val="000000"/>
          <w:spacing w:val="0"/>
          <w:w w:val="100"/>
          <w:position w:val="0"/>
        </w:rPr>
        <w:t>3</w:t>
      </w:r>
      <w:r>
        <w:rPr>
          <w:color w:val="000000"/>
          <w:spacing w:val="0"/>
          <w:w w:val="100"/>
          <w:position w:val="0"/>
        </w:rPr>
        <w:t>）</w:t>
        <w:tab/>
        <w:t>以其他方式取得的投资性房地产的成本，按照相关会计准则的规定确认。</w:t>
      </w:r>
    </w:p>
    <w:p>
      <w:pPr>
        <w:pStyle w:val="Style24"/>
        <w:keepNext w:val="0"/>
        <w:keepLines w:val="0"/>
        <w:widowControl w:val="0"/>
        <w:shd w:val="clear" w:color="auto" w:fill="auto"/>
        <w:bidi w:val="0"/>
        <w:spacing w:before="0" w:after="0" w:line="309" w:lineRule="exact"/>
        <w:ind w:left="0" w:right="0" w:firstLine="440"/>
        <w:jc w:val="left"/>
      </w:pPr>
      <w:r>
        <w:rPr>
          <w:color w:val="000000"/>
          <w:spacing w:val="0"/>
          <w:w w:val="100"/>
          <w:position w:val="0"/>
        </w:rPr>
        <w:t>公司在资产负债表日采用成本模式对投资性房地产进行后续计量。</w:t>
      </w:r>
    </w:p>
    <w:p>
      <w:pPr>
        <w:pStyle w:val="Style24"/>
        <w:keepNext w:val="0"/>
        <w:keepLines w:val="0"/>
        <w:widowControl w:val="0"/>
        <w:pBdr>
          <w:bottom w:val="single" w:sz="4" w:space="0" w:color="auto"/>
        </w:pBdr>
        <w:shd w:val="clear" w:color="auto" w:fill="auto"/>
        <w:tabs>
          <w:tab w:leader="underscore" w:pos="8394" w:val="left"/>
        </w:tabs>
        <w:bidi w:val="0"/>
        <w:spacing w:before="0" w:after="0" w:line="309" w:lineRule="exact"/>
        <w:ind w:left="0" w:right="0" w:firstLine="440"/>
        <w:jc w:val="left"/>
      </w:pPr>
      <w:r>
        <w:rPr>
          <w:color w:val="000000"/>
          <w:spacing w:val="0"/>
          <w:w w:val="100"/>
          <w:position w:val="0"/>
          <w:u w:val="single"/>
        </w:rPr>
        <w:t>本公司对投资性房地产在使用寿命内扣除预计净残值后按年限平均法计提折旧。</w:t>
      </w:r>
      <w:r>
        <w:rPr>
          <w:color w:val="000000"/>
          <w:spacing w:val="0"/>
          <w:w w:val="100"/>
          <w:position w:val="0"/>
        </w:rPr>
        <w:tab/>
      </w:r>
    </w:p>
    <w:p>
      <w:pPr>
        <w:pStyle w:val="Style24"/>
        <w:keepNext w:val="0"/>
        <w:keepLines w:val="0"/>
        <w:widowControl w:val="0"/>
        <w:shd w:val="clear" w:color="auto" w:fill="auto"/>
        <w:tabs>
          <w:tab w:pos="4387" w:val="left"/>
          <w:tab w:pos="7357" w:val="left"/>
        </w:tabs>
        <w:bidi w:val="0"/>
        <w:spacing w:before="0" w:after="120" w:line="309" w:lineRule="exact"/>
        <w:ind w:left="0" w:right="0" w:firstLine="0"/>
        <w:jc w:val="left"/>
      </w:pPr>
      <w:r>
        <w:rPr>
          <w:b/>
          <w:bCs/>
          <w:color w:val="000000"/>
          <w:spacing w:val="0"/>
          <w:w w:val="100"/>
          <w:position w:val="0"/>
          <w:u w:val="single"/>
        </w:rPr>
        <w:t>使用寿命</w:t>
        <w:tab/>
        <w:t>残值率（</w:t>
      </w:r>
      <w:r>
        <w:rPr>
          <w:rFonts w:ascii="Times New Roman" w:eastAsia="Times New Roman" w:hAnsi="Times New Roman" w:cs="Times New Roman"/>
          <w:b/>
          <w:bCs/>
          <w:color w:val="000000"/>
          <w:spacing w:val="0"/>
          <w:w w:val="100"/>
          <w:position w:val="0"/>
          <w:u w:val="single"/>
        </w:rPr>
        <w:t>%</w:t>
      </w:r>
      <w:r>
        <w:rPr>
          <w:b/>
          <w:bCs/>
          <w:color w:val="000000"/>
          <w:spacing w:val="0"/>
          <w:w w:val="100"/>
          <w:position w:val="0"/>
          <w:u w:val="single"/>
        </w:rPr>
        <w:t>）</w:t>
        <w:tab/>
        <w:t>折旧率（</w:t>
      </w:r>
      <w:r>
        <w:rPr>
          <w:rFonts w:ascii="Times New Roman" w:eastAsia="Times New Roman" w:hAnsi="Times New Roman" w:cs="Times New Roman"/>
          <w:b/>
          <w:bCs/>
          <w:color w:val="000000"/>
          <w:spacing w:val="0"/>
          <w:w w:val="100"/>
          <w:position w:val="0"/>
          <w:u w:val="single"/>
        </w:rPr>
        <w:t>%</w:t>
      </w:r>
      <w:r>
        <w:rPr>
          <w:b/>
          <w:bCs/>
          <w:color w:val="000000"/>
          <w:spacing w:val="0"/>
          <w:w w:val="100"/>
          <w:position w:val="0"/>
          <w:u w:val="single"/>
        </w:rPr>
        <w:t>）</w:t>
      </w:r>
    </w:p>
    <w:p>
      <w:pPr>
        <w:pStyle w:val="Style62"/>
        <w:keepNext w:val="0"/>
        <w:keepLines w:val="0"/>
        <w:widowControl w:val="0"/>
        <w:shd w:val="clear" w:color="auto" w:fill="auto"/>
        <w:tabs>
          <w:tab w:pos="5414" w:val="left"/>
          <w:tab w:pos="8045" w:val="left"/>
        </w:tabs>
        <w:bidi w:val="0"/>
        <w:spacing w:before="0" w:after="0"/>
        <w:ind w:left="0" w:right="0" w:firstLine="0"/>
        <w:jc w:val="left"/>
      </w:pPr>
      <w:r>
        <w:rPr>
          <w:color w:val="000000"/>
          <w:spacing w:val="0"/>
          <w:w w:val="100"/>
          <w:position w:val="0"/>
        </w:rPr>
        <w:t xml:space="preserve">20 </w:t>
      </w:r>
      <w:r>
        <w:rPr>
          <w:rFonts w:ascii="SimSun" w:eastAsia="SimSun" w:hAnsi="SimSun" w:cs="SimSun"/>
          <w:color w:val="000000"/>
          <w:spacing w:val="0"/>
          <w:w w:val="100"/>
          <w:position w:val="0"/>
        </w:rPr>
        <w:t>年</w:t>
        <w:tab/>
      </w:r>
      <w:r>
        <w:rPr>
          <w:color w:val="000000"/>
          <w:spacing w:val="0"/>
          <w:w w:val="100"/>
          <w:position w:val="0"/>
        </w:rPr>
        <w:t>5</w:t>
        <w:tab/>
      </w:r>
      <w:r>
        <w:rPr>
          <w:color w:val="000000"/>
          <w:spacing w:val="0"/>
          <w:w w:val="100"/>
          <w:position w:val="0"/>
        </w:rPr>
        <w:t>4.75</w:t>
      </w:r>
    </w:p>
    <w:p>
      <w:pPr>
        <w:pStyle w:val="Style24"/>
        <w:keepNext w:val="0"/>
        <w:keepLines w:val="0"/>
        <w:widowControl w:val="0"/>
        <w:shd w:val="clear" w:color="auto" w:fill="auto"/>
        <w:bidi w:val="0"/>
        <w:spacing w:before="0" w:after="160" w:line="309" w:lineRule="exact"/>
        <w:ind w:left="0" w:right="0" w:firstLine="440"/>
        <w:jc w:val="left"/>
      </w:pPr>
      <w:r>
        <w:rPr>
          <w:color w:val="000000"/>
          <w:spacing w:val="0"/>
          <w:w w:val="100"/>
          <w:position w:val="0"/>
        </w:rPr>
        <w:t>投资性房地产的减值按照</w:t>
      </w:r>
      <w:r>
        <w:rPr>
          <w:rFonts w:ascii="Times New Roman" w:eastAsia="Times New Roman" w:hAnsi="Times New Roman" w:cs="Times New Roman"/>
          <w:color w:val="000000"/>
          <w:spacing w:val="0"/>
          <w:w w:val="100"/>
          <w:position w:val="0"/>
        </w:rPr>
        <w:t>“</w:t>
      </w:r>
      <w:r>
        <w:rPr>
          <w:color w:val="000000"/>
          <w:spacing w:val="0"/>
          <w:w w:val="100"/>
          <w:position w:val="0"/>
        </w:rPr>
        <w:t>四、</w:t>
      </w:r>
      <w:r>
        <w:rPr>
          <w:rFonts w:ascii="Times New Roman" w:eastAsia="Times New Roman" w:hAnsi="Times New Roman" w:cs="Times New Roman"/>
          <w:color w:val="000000"/>
          <w:spacing w:val="0"/>
          <w:w w:val="100"/>
          <w:position w:val="0"/>
        </w:rPr>
        <w:t>15</w:t>
      </w:r>
      <w:r>
        <w:rPr>
          <w:color w:val="000000"/>
          <w:spacing w:val="0"/>
          <w:w w:val="100"/>
          <w:position w:val="0"/>
        </w:rPr>
        <w:t>非金融长期资产减值</w:t>
      </w:r>
      <w:r>
        <w:rPr>
          <w:rFonts w:ascii="Times New Roman" w:eastAsia="Times New Roman" w:hAnsi="Times New Roman" w:cs="Times New Roman"/>
          <w:color w:val="000000"/>
          <w:spacing w:val="0"/>
          <w:w w:val="100"/>
          <w:position w:val="0"/>
        </w:rPr>
        <w:t>”</w:t>
      </w:r>
      <w:r>
        <w:rPr>
          <w:color w:val="000000"/>
          <w:spacing w:val="0"/>
          <w:w w:val="100"/>
          <w:position w:val="0"/>
        </w:rPr>
        <w:t>的核算方法所述的规定处理。</w:t>
      </w:r>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当投资性房地产被处置，或者永久退出使用且预计不能从其处置中取得未来经济利益时，终止确认该项投资性房地产。公司 出售、转让、报废投资性房地产或者发生投资性房地产毁损，将处置收入扣除其账面价值和相关税费后的金额计入当期损益。</w:t>
      </w:r>
    </w:p>
    <w:p>
      <w:pPr>
        <w:pStyle w:val="Style29"/>
        <w:keepNext/>
        <w:keepLines/>
        <w:widowControl w:val="0"/>
        <w:shd w:val="clear" w:color="auto" w:fill="auto"/>
        <w:tabs>
          <w:tab w:pos="478" w:val="left"/>
        </w:tabs>
        <w:bidi w:val="0"/>
        <w:spacing w:before="0" w:after="360" w:line="240" w:lineRule="auto"/>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1</w:t>
      </w:r>
      <w:bookmarkEnd w:id="536"/>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534"/>
      <w:bookmarkEnd w:id="535"/>
      <w:bookmarkEnd w:id="537"/>
    </w:p>
    <w:p>
      <w:pPr>
        <w:pStyle w:val="Style29"/>
        <w:keepNext/>
        <w:keepLines/>
        <w:widowControl w:val="0"/>
        <w:shd w:val="clear" w:color="auto" w:fill="auto"/>
        <w:bidi w:val="0"/>
        <w:spacing w:before="0" w:after="260" w:line="240" w:lineRule="auto"/>
        <w:ind w:left="0" w:right="0" w:firstLine="0"/>
        <w:jc w:val="both"/>
      </w:pPr>
      <w:bookmarkStart w:id="534" w:name="bookmark534"/>
      <w:bookmarkStart w:id="535" w:name="bookmark535"/>
      <w:bookmarkStart w:id="538" w:name="bookmark538"/>
      <w:bookmarkStart w:id="539" w:name="bookmark539"/>
      <w:r>
        <w:rPr>
          <w:color w:val="000000"/>
          <w:spacing w:val="0"/>
          <w:w w:val="100"/>
          <w:position w:val="0"/>
        </w:rPr>
        <w:t>（</w:t>
      </w:r>
      <w:bookmarkEnd w:id="538"/>
      <w:r>
        <w:rPr>
          <w:rFonts w:ascii="Times New Roman" w:eastAsia="Times New Roman" w:hAnsi="Times New Roman" w:cs="Times New Roman"/>
          <w:color w:val="000000"/>
          <w:spacing w:val="0"/>
          <w:w w:val="100"/>
          <w:position w:val="0"/>
        </w:rPr>
        <w:t>1</w:t>
      </w:r>
      <w:r>
        <w:rPr>
          <w:color w:val="000000"/>
          <w:spacing w:val="0"/>
          <w:w w:val="100"/>
          <w:position w:val="0"/>
        </w:rPr>
        <w:t>）固定资产确认条件</w:t>
      </w:r>
      <w:bookmarkEnd w:id="534"/>
      <w:bookmarkEnd w:id="535"/>
      <w:bookmarkEnd w:id="539"/>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本公司的固定资产是指为生产商品、提供劳务、出租或经营管理而持有的、使用寿命超过一个会计年度的有形资产。固 定资产在同时满足下列条件时予以确认：（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 靠地计量。</w:t>
      </w:r>
    </w:p>
    <w:p>
      <w:pPr>
        <w:pStyle w:val="Style29"/>
        <w:keepNext/>
        <w:keepLines/>
        <w:widowControl w:val="0"/>
        <w:shd w:val="clear" w:color="auto" w:fill="auto"/>
        <w:tabs>
          <w:tab w:pos="493" w:val="left"/>
        </w:tabs>
        <w:bidi w:val="0"/>
        <w:spacing w:before="0" w:after="28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w:t>
      </w:r>
      <w:bookmarkEnd w:id="542"/>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540"/>
      <w:bookmarkEnd w:id="541"/>
      <w:bookmarkEnd w:id="543"/>
    </w:p>
    <w:p>
      <w:pPr>
        <w:pStyle w:val="Style24"/>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本公司固定资产按其成本进行初始计量。购买固定资产的价款超过正常信用条件延期支付，实质上具有融资性质的，固 定资产的成本以购买价款的现值为基础确定。实际支付的价款与购买价款的现值之间的差额，除按照《企业会计准则第</w:t>
      </w:r>
      <w:r>
        <w:rPr>
          <w:rFonts w:ascii="Times New Roman" w:eastAsia="Times New Roman" w:hAnsi="Times New Roman" w:cs="Times New Roman"/>
          <w:color w:val="000000"/>
          <w:spacing w:val="0"/>
          <w:w w:val="100"/>
          <w:position w:val="0"/>
        </w:rPr>
        <w:t xml:space="preserve">17 </w:t>
      </w:r>
      <w:r>
        <w:rPr>
          <w:color w:val="000000"/>
          <w:spacing w:val="0"/>
          <w:w w:val="100"/>
          <w:position w:val="0"/>
        </w:rPr>
        <w:t>号</w:t>
      </w:r>
      <w:r>
        <w:rPr>
          <w:color w:val="000000"/>
          <w:spacing w:val="0"/>
          <w:w w:val="100"/>
          <w:position w:val="0"/>
        </w:rPr>
        <w:t>一</w:t>
      </w:r>
      <w:r>
        <w:rPr>
          <w:color w:val="000000"/>
          <w:spacing w:val="0"/>
          <w:w w:val="100"/>
          <w:position w:val="0"/>
        </w:rPr>
        <w:t>借款费用》应予以资本化的以外，在信用期间内计入当期损益。融资租赁的固定资产在租赁期开始日，按租赁开始日租 赁资产的公允价值与最低租赁付款额现值两者中较低者作为租入资产的入账价值,将最低租赁付款款额作为长期应付款的入 帐价值，其差额作为未确认融资费用，在租赁期内各个期间按实际利率法进行分摊。</w:t>
      </w:r>
    </w:p>
    <w:p>
      <w:pPr>
        <w:pStyle w:val="Style29"/>
        <w:keepNext/>
        <w:keepLines/>
        <w:widowControl w:val="0"/>
        <w:shd w:val="clear" w:color="auto" w:fill="auto"/>
        <w:tabs>
          <w:tab w:pos="493" w:val="left"/>
        </w:tabs>
        <w:bidi w:val="0"/>
        <w:spacing w:before="0" w:after="280" w:line="240" w:lineRule="auto"/>
        <w:ind w:left="0" w:right="0" w:firstLine="0"/>
        <w:jc w:val="both"/>
      </w:pPr>
      <w:bookmarkStart w:id="544" w:name="bookmark544"/>
      <w:bookmarkStart w:id="545" w:name="bookmark545"/>
      <w:bookmarkStart w:id="546" w:name="bookmark546"/>
      <w:bookmarkStart w:id="547" w:name="bookmark547"/>
      <w:r>
        <w:rPr>
          <w:color w:val="000000"/>
          <w:spacing w:val="0"/>
          <w:w w:val="100"/>
          <w:position w:val="0"/>
        </w:rPr>
        <w:t>（</w:t>
      </w:r>
      <w:bookmarkEnd w:id="546"/>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544"/>
      <w:bookmarkEnd w:id="545"/>
      <w:bookmarkEnd w:id="547"/>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本公司固定资产折旧采用平均年限法计算，并按各类固定资产类别预计净残值、预计使用寿命，每年年末对固定资产的使用 寿命、预计净残值和折旧方法进行复核，如与预计情况有差异的，则作相应调整。在不考虑减值准备的情况下，按固定资产 的类别、估计的经济使用年限和预计的净残值分别确定折旧年限和年折旧率如下：</w:t>
      </w:r>
    </w:p>
    <w:tbl>
      <w:tblPr>
        <w:tblOverlap w:val="never"/>
        <w:jc w:val="center"/>
        <w:tblLayout w:type="fixed"/>
      </w:tblPr>
      <w:tblGrid>
        <w:gridCol w:w="2520"/>
        <w:gridCol w:w="2107"/>
        <w:gridCol w:w="2218"/>
        <w:gridCol w:w="273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2.11-4.75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8"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widowControl w:val="0"/>
        <w:spacing w:after="279" w:line="1" w:lineRule="exact"/>
      </w:pPr>
    </w:p>
    <w:p>
      <w:pPr>
        <w:pStyle w:val="Style29"/>
        <w:keepNext/>
        <w:keepLines/>
        <w:widowControl w:val="0"/>
        <w:shd w:val="clear" w:color="auto" w:fill="auto"/>
        <w:bidi w:val="0"/>
        <w:spacing w:before="0" w:after="280" w:line="240" w:lineRule="auto"/>
        <w:ind w:left="0" w:right="0" w:firstLine="0"/>
        <w:jc w:val="both"/>
      </w:pPr>
      <w:bookmarkStart w:id="548" w:name="bookmark548"/>
      <w:bookmarkStart w:id="549" w:name="bookmark549"/>
      <w:bookmarkStart w:id="550" w:name="bookmark550"/>
      <w:bookmarkStart w:id="551" w:name="bookmark551"/>
      <w:r>
        <w:rPr>
          <w:color w:val="000000"/>
          <w:spacing w:val="0"/>
          <w:w w:val="100"/>
          <w:position w:val="0"/>
        </w:rPr>
        <w:t>（</w:t>
      </w:r>
      <w:bookmarkEnd w:id="550"/>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548"/>
      <w:bookmarkEnd w:id="549"/>
      <w:bookmarkEnd w:id="551"/>
    </w:p>
    <w:p>
      <w:pPr>
        <w:pStyle w:val="Style24"/>
        <w:keepNext w:val="0"/>
        <w:keepLines w:val="0"/>
        <w:widowControl w:val="0"/>
        <w:shd w:val="clear" w:color="auto" w:fill="auto"/>
        <w:tabs>
          <w:tab w:pos="397" w:val="left"/>
        </w:tabs>
        <w:bidi w:val="0"/>
        <w:spacing w:before="0" w:after="0" w:line="313" w:lineRule="exact"/>
        <w:ind w:left="0" w:right="0" w:firstLine="0"/>
        <w:jc w:val="both"/>
      </w:pPr>
      <w:bookmarkStart w:id="552" w:name="bookmark552"/>
      <w:r>
        <w:rPr>
          <w:rFonts w:ascii="Times New Roman" w:eastAsia="Times New Roman" w:hAnsi="Times New Roman" w:cs="Times New Roman"/>
          <w:color w:val="000000"/>
          <w:spacing w:val="0"/>
          <w:w w:val="100"/>
          <w:position w:val="0"/>
        </w:rPr>
        <w:t>A</w:t>
      </w:r>
      <w:bookmarkEnd w:id="552"/>
      <w:r>
        <w:rPr>
          <w:color w:val="000000"/>
          <w:spacing w:val="0"/>
          <w:w w:val="100"/>
          <w:position w:val="0"/>
        </w:rPr>
        <w:t>、</w:t>
        <w:tab/>
      </w:r>
      <w:r>
        <w:rPr>
          <w:color w:val="000000"/>
          <w:spacing w:val="0"/>
          <w:w w:val="100"/>
          <w:position w:val="0"/>
        </w:rPr>
        <w:t>可能发生减值资产的认定</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存在下列迹象的，表明资产可能发生了减值：</w:t>
      </w:r>
    </w:p>
    <w:p>
      <w:pPr>
        <w:pStyle w:val="Style24"/>
        <w:keepNext w:val="0"/>
        <w:keepLines w:val="0"/>
        <w:widowControl w:val="0"/>
        <w:numPr>
          <w:ilvl w:val="0"/>
          <w:numId w:val="9"/>
        </w:numPr>
        <w:shd w:val="clear" w:color="auto" w:fill="auto"/>
        <w:tabs>
          <w:tab w:pos="373" w:val="left"/>
        </w:tabs>
        <w:bidi w:val="0"/>
        <w:spacing w:before="0" w:after="0" w:line="313" w:lineRule="exact"/>
        <w:ind w:left="0" w:right="0" w:firstLine="0"/>
        <w:jc w:val="both"/>
      </w:pPr>
      <w:bookmarkStart w:id="553" w:name="bookmark553"/>
      <w:bookmarkEnd w:id="553"/>
      <w:r>
        <w:rPr>
          <w:color w:val="000000"/>
          <w:spacing w:val="0"/>
          <w:w w:val="100"/>
          <w:position w:val="0"/>
        </w:rPr>
        <w:t>资产的市价当期大幅度下跌，其跌幅明显高于因时间的推移或者正常使用而预计的下跌。</w:t>
      </w:r>
    </w:p>
    <w:p>
      <w:pPr>
        <w:pStyle w:val="Style24"/>
        <w:keepNext w:val="0"/>
        <w:keepLines w:val="0"/>
        <w:widowControl w:val="0"/>
        <w:numPr>
          <w:ilvl w:val="0"/>
          <w:numId w:val="9"/>
        </w:numPr>
        <w:shd w:val="clear" w:color="auto" w:fill="auto"/>
        <w:tabs>
          <w:tab w:pos="373" w:val="left"/>
        </w:tabs>
        <w:bidi w:val="0"/>
        <w:spacing w:before="0" w:after="0" w:line="313" w:lineRule="exact"/>
        <w:ind w:left="0" w:right="0" w:firstLine="0"/>
        <w:jc w:val="both"/>
      </w:pPr>
      <w:bookmarkStart w:id="554" w:name="bookmark554"/>
      <w:bookmarkEnd w:id="554"/>
      <w:r>
        <w:rPr>
          <w:color w:val="000000"/>
          <w:spacing w:val="0"/>
          <w:w w:val="100"/>
          <w:position w:val="0"/>
        </w:rPr>
        <w:t>企业经营所处的经济、技术或法律等环境以及资产所处的市场在当期或将在近期发生重大变化,从而对企业产生不利影响。</w:t>
      </w:r>
    </w:p>
    <w:p>
      <w:pPr>
        <w:pStyle w:val="Style24"/>
        <w:keepNext w:val="0"/>
        <w:keepLines w:val="0"/>
        <w:widowControl w:val="0"/>
        <w:numPr>
          <w:ilvl w:val="0"/>
          <w:numId w:val="9"/>
        </w:numPr>
        <w:shd w:val="clear" w:color="auto" w:fill="auto"/>
        <w:tabs>
          <w:tab w:pos="373" w:val="left"/>
        </w:tabs>
        <w:bidi w:val="0"/>
        <w:spacing w:before="0" w:after="0" w:line="313" w:lineRule="exact"/>
        <w:ind w:left="0" w:right="0" w:firstLine="0"/>
        <w:jc w:val="both"/>
      </w:pPr>
      <w:bookmarkStart w:id="555" w:name="bookmark555"/>
      <w:bookmarkEnd w:id="555"/>
      <w:r>
        <w:rPr>
          <w:color w:val="000000"/>
          <w:spacing w:val="0"/>
          <w:w w:val="100"/>
          <w:position w:val="0"/>
        </w:rPr>
        <w:t>市场利率或者其他市场投资回报率在当期已经提高，从而影响企业计算资产预计未来现金流量现值的折现率，导致资产可 收回金额大幅度降低。</w:t>
      </w:r>
    </w:p>
    <w:p>
      <w:pPr>
        <w:pStyle w:val="Style24"/>
        <w:keepNext w:val="0"/>
        <w:keepLines w:val="0"/>
        <w:widowControl w:val="0"/>
        <w:numPr>
          <w:ilvl w:val="0"/>
          <w:numId w:val="9"/>
        </w:numPr>
        <w:shd w:val="clear" w:color="auto" w:fill="auto"/>
        <w:tabs>
          <w:tab w:pos="373" w:val="left"/>
        </w:tabs>
        <w:bidi w:val="0"/>
        <w:spacing w:before="0" w:after="0" w:line="313" w:lineRule="exact"/>
        <w:ind w:left="0" w:right="0" w:firstLine="0"/>
        <w:jc w:val="both"/>
      </w:pPr>
      <w:bookmarkStart w:id="556" w:name="bookmark556"/>
      <w:bookmarkEnd w:id="556"/>
      <w:r>
        <w:rPr>
          <w:color w:val="000000"/>
          <w:spacing w:val="0"/>
          <w:w w:val="100"/>
          <w:position w:val="0"/>
        </w:rPr>
        <w:t>有证据表明资产已经陈旧过时或其实体已经损坏。</w:t>
      </w:r>
    </w:p>
    <w:p>
      <w:pPr>
        <w:pStyle w:val="Style24"/>
        <w:keepNext w:val="0"/>
        <w:keepLines w:val="0"/>
        <w:widowControl w:val="0"/>
        <w:numPr>
          <w:ilvl w:val="0"/>
          <w:numId w:val="9"/>
        </w:numPr>
        <w:shd w:val="clear" w:color="auto" w:fill="auto"/>
        <w:tabs>
          <w:tab w:pos="373" w:val="left"/>
        </w:tabs>
        <w:bidi w:val="0"/>
        <w:spacing w:before="0" w:after="0" w:line="313" w:lineRule="exact"/>
        <w:ind w:left="0" w:right="0" w:firstLine="0"/>
        <w:jc w:val="both"/>
      </w:pPr>
      <w:bookmarkStart w:id="557" w:name="bookmark557"/>
      <w:bookmarkEnd w:id="557"/>
      <w:r>
        <w:rPr>
          <w:color w:val="000000"/>
          <w:spacing w:val="0"/>
          <w:w w:val="100"/>
          <w:position w:val="0"/>
        </w:rPr>
        <w:t>资产已经或者将被闲置、终止使用或者计划提前处置。</w:t>
      </w:r>
    </w:p>
    <w:p>
      <w:pPr>
        <w:pStyle w:val="Style24"/>
        <w:keepNext w:val="0"/>
        <w:keepLines w:val="0"/>
        <w:widowControl w:val="0"/>
        <w:numPr>
          <w:ilvl w:val="0"/>
          <w:numId w:val="9"/>
        </w:numPr>
        <w:shd w:val="clear" w:color="auto" w:fill="auto"/>
        <w:tabs>
          <w:tab w:pos="373" w:val="left"/>
        </w:tabs>
        <w:bidi w:val="0"/>
        <w:spacing w:before="0" w:after="0" w:line="313" w:lineRule="exact"/>
        <w:ind w:left="0" w:right="0" w:firstLine="0"/>
        <w:jc w:val="both"/>
      </w:pPr>
      <w:bookmarkStart w:id="558" w:name="bookmark558"/>
      <w:bookmarkEnd w:id="558"/>
      <w:r>
        <w:rPr>
          <w:color w:val="000000"/>
          <w:spacing w:val="0"/>
          <w:w w:val="100"/>
          <w:position w:val="0"/>
        </w:rPr>
        <w:t>企业内部报告的证据表明资产的经济绩效已经低于或者将低于预期，如资产所创造的净现金流量或者实现的营业利润（或 者亏损）远远低于（或者高于）预计金额等。</w:t>
      </w:r>
    </w:p>
    <w:p>
      <w:pPr>
        <w:pStyle w:val="Style24"/>
        <w:keepNext w:val="0"/>
        <w:keepLines w:val="0"/>
        <w:widowControl w:val="0"/>
        <w:numPr>
          <w:ilvl w:val="0"/>
          <w:numId w:val="9"/>
        </w:numPr>
        <w:shd w:val="clear" w:color="auto" w:fill="auto"/>
        <w:tabs>
          <w:tab w:pos="373" w:val="left"/>
        </w:tabs>
        <w:bidi w:val="0"/>
        <w:spacing w:before="0" w:after="0" w:line="313" w:lineRule="exact"/>
        <w:ind w:left="0" w:right="0" w:firstLine="0"/>
        <w:jc w:val="both"/>
      </w:pPr>
      <w:bookmarkStart w:id="559" w:name="bookmark559"/>
      <w:bookmarkEnd w:id="559"/>
      <w:r>
        <w:rPr>
          <w:color w:val="000000"/>
          <w:spacing w:val="0"/>
          <w:w w:val="100"/>
          <w:position w:val="0"/>
        </w:rPr>
        <w:t>其他表明资产可能已经发生减值的迹象。</w:t>
      </w:r>
    </w:p>
    <w:p>
      <w:pPr>
        <w:pStyle w:val="Style24"/>
        <w:keepNext w:val="0"/>
        <w:keepLines w:val="0"/>
        <w:widowControl w:val="0"/>
        <w:shd w:val="clear" w:color="auto" w:fill="auto"/>
        <w:tabs>
          <w:tab w:pos="397" w:val="left"/>
        </w:tabs>
        <w:bidi w:val="0"/>
        <w:spacing w:before="0" w:after="0" w:line="313" w:lineRule="exact"/>
        <w:ind w:left="0" w:right="0" w:firstLine="0"/>
        <w:jc w:val="both"/>
      </w:pPr>
      <w:bookmarkStart w:id="560" w:name="bookmark560"/>
      <w:r>
        <w:rPr>
          <w:rFonts w:ascii="Times New Roman" w:eastAsia="Times New Roman" w:hAnsi="Times New Roman" w:cs="Times New Roman"/>
          <w:color w:val="000000"/>
          <w:spacing w:val="0"/>
          <w:w w:val="100"/>
          <w:position w:val="0"/>
        </w:rPr>
        <w:t>B</w:t>
      </w:r>
      <w:bookmarkEnd w:id="560"/>
      <w:r>
        <w:rPr>
          <w:color w:val="000000"/>
          <w:spacing w:val="0"/>
          <w:w w:val="100"/>
          <w:position w:val="0"/>
        </w:rPr>
        <w:t>、</w:t>
        <w:tab/>
      </w:r>
      <w:r>
        <w:rPr>
          <w:color w:val="000000"/>
          <w:spacing w:val="0"/>
          <w:w w:val="100"/>
          <w:position w:val="0"/>
        </w:rPr>
        <w:t>资产可收回金额的计量</w:t>
      </w:r>
    </w:p>
    <w:p>
      <w:pPr>
        <w:pStyle w:val="Style24"/>
        <w:keepNext w:val="0"/>
        <w:keepLines w:val="0"/>
        <w:widowControl w:val="0"/>
        <w:numPr>
          <w:ilvl w:val="0"/>
          <w:numId w:val="11"/>
        </w:numPr>
        <w:shd w:val="clear" w:color="auto" w:fill="auto"/>
        <w:tabs>
          <w:tab w:pos="373" w:val="left"/>
        </w:tabs>
        <w:bidi w:val="0"/>
        <w:spacing w:before="0" w:after="0" w:line="313" w:lineRule="exact"/>
        <w:ind w:left="0" w:right="0" w:firstLine="0"/>
        <w:jc w:val="both"/>
      </w:pPr>
      <w:bookmarkStart w:id="561" w:name="bookmark561"/>
      <w:bookmarkEnd w:id="561"/>
      <w:r>
        <w:rPr>
          <w:color w:val="000000"/>
          <w:spacing w:val="0"/>
          <w:w w:val="100"/>
          <w:position w:val="0"/>
        </w:rPr>
        <w:t>可收回金额根据资产的公允价值减去处置费用后的净额与资产预计未来现金流量的现值两者之间较高者确定。处置费用包 括与资产处置有关的法律费用、相关税费、搬运费以及为使资产达到可销售状态所发生的直接费用等。</w:t>
      </w:r>
    </w:p>
    <w:p>
      <w:pPr>
        <w:pStyle w:val="Style24"/>
        <w:keepNext w:val="0"/>
        <w:keepLines w:val="0"/>
        <w:widowControl w:val="0"/>
        <w:numPr>
          <w:ilvl w:val="0"/>
          <w:numId w:val="11"/>
        </w:numPr>
        <w:shd w:val="clear" w:color="auto" w:fill="auto"/>
        <w:tabs>
          <w:tab w:pos="373" w:val="left"/>
        </w:tabs>
        <w:bidi w:val="0"/>
        <w:spacing w:before="0" w:after="0" w:line="313" w:lineRule="exact"/>
        <w:ind w:left="0" w:right="0" w:firstLine="0"/>
        <w:jc w:val="both"/>
      </w:pPr>
      <w:bookmarkStart w:id="562" w:name="bookmark562"/>
      <w:bookmarkEnd w:id="562"/>
      <w:r>
        <w:rPr>
          <w:color w:val="000000"/>
          <w:spacing w:val="0"/>
          <w:w w:val="100"/>
          <w:position w:val="0"/>
        </w:rPr>
        <w:t>资产的公允价值减去处置费用后的净额，是根据公平交易中销售协议价格减去直接归属于该资产处置费用的金额确定；不 存在销售协议但存在活跃市场的，按照资产的市场价格减去处置费用后的金额确定，资产的市场价格通常根据资产的买方出 价确定；在不存在销售协议和资产活跃市场的情况下，以可获取的最佳信息为基础，估计资产的公允价值减去处置费用后的 净额，参考同行业类似资产的最近交易价格或者结果进行估计；按照上述规定仍然无法可靠估计资产的公允价值减去处置费 用后的净额的，以该资产预计未来现金流量的现值作为其可收回金额。</w:t>
      </w:r>
    </w:p>
    <w:p>
      <w:pPr>
        <w:pStyle w:val="Style24"/>
        <w:keepNext w:val="0"/>
        <w:keepLines w:val="0"/>
        <w:widowControl w:val="0"/>
        <w:numPr>
          <w:ilvl w:val="0"/>
          <w:numId w:val="11"/>
        </w:numPr>
        <w:shd w:val="clear" w:color="auto" w:fill="auto"/>
        <w:tabs>
          <w:tab w:pos="373" w:val="left"/>
        </w:tabs>
        <w:bidi w:val="0"/>
        <w:spacing w:before="0" w:line="313" w:lineRule="exact"/>
        <w:ind w:left="0" w:right="0" w:firstLine="0"/>
        <w:jc w:val="both"/>
      </w:pPr>
      <w:bookmarkStart w:id="563" w:name="bookmark563"/>
      <w:bookmarkEnd w:id="563"/>
      <w:r>
        <w:rPr>
          <w:color w:val="000000"/>
          <w:spacing w:val="0"/>
          <w:w w:val="100"/>
          <w:position w:val="0"/>
        </w:rPr>
        <w:t>预计的资产未来现金流量包括：</w:t>
      </w:r>
    </w:p>
    <w:p>
      <w:pPr>
        <w:pStyle w:val="Style24"/>
        <w:keepNext w:val="0"/>
        <w:keepLines w:val="0"/>
        <w:widowControl w:val="0"/>
        <w:shd w:val="clear" w:color="auto" w:fill="auto"/>
        <w:tabs>
          <w:tab w:pos="334" w:val="left"/>
        </w:tabs>
        <w:bidi w:val="0"/>
        <w:spacing w:before="0" w:after="0"/>
        <w:ind w:left="0" w:right="0" w:firstLine="0"/>
        <w:jc w:val="both"/>
      </w:pPr>
      <w:bookmarkStart w:id="564" w:name="bookmark564"/>
      <w:r>
        <w:rPr>
          <w:rFonts w:ascii="Times New Roman" w:eastAsia="Times New Roman" w:hAnsi="Times New Roman" w:cs="Times New Roman"/>
          <w:color w:val="000000"/>
          <w:spacing w:val="0"/>
          <w:w w:val="100"/>
          <w:position w:val="0"/>
        </w:rPr>
        <w:t>a</w:t>
      </w:r>
      <w:bookmarkEnd w:id="564"/>
      <w:r>
        <w:rPr>
          <w:rFonts w:ascii="Times New Roman" w:eastAsia="Times New Roman" w:hAnsi="Times New Roman" w:cs="Times New Roman"/>
          <w:color w:val="000000"/>
          <w:spacing w:val="0"/>
          <w:w w:val="100"/>
          <w:position w:val="0"/>
        </w:rPr>
        <w:t>）</w:t>
        <w:tab/>
      </w:r>
      <w:r>
        <w:rPr>
          <w:color w:val="000000"/>
          <w:spacing w:val="0"/>
          <w:w w:val="100"/>
          <w:position w:val="0"/>
        </w:rPr>
        <w:t>资产持续使用过程中预计产生的现金流入；</w:t>
      </w:r>
    </w:p>
    <w:p>
      <w:pPr>
        <w:pStyle w:val="Style24"/>
        <w:keepNext w:val="0"/>
        <w:keepLines w:val="0"/>
        <w:widowControl w:val="0"/>
        <w:shd w:val="clear" w:color="auto" w:fill="auto"/>
        <w:tabs>
          <w:tab w:pos="349" w:val="left"/>
        </w:tabs>
        <w:bidi w:val="0"/>
        <w:spacing w:before="0" w:after="0" w:line="313" w:lineRule="exact"/>
        <w:ind w:left="0" w:right="0" w:firstLine="0"/>
        <w:jc w:val="both"/>
      </w:pPr>
      <w:bookmarkStart w:id="565" w:name="bookmark565"/>
      <w:r>
        <w:rPr>
          <w:rFonts w:ascii="Times New Roman" w:eastAsia="Times New Roman" w:hAnsi="Times New Roman" w:cs="Times New Roman"/>
          <w:color w:val="000000"/>
          <w:spacing w:val="0"/>
          <w:w w:val="100"/>
          <w:position w:val="0"/>
        </w:rPr>
        <w:t>b</w:t>
      </w:r>
      <w:bookmarkEnd w:id="565"/>
      <w:r>
        <w:rPr>
          <w:rFonts w:ascii="Times New Roman" w:eastAsia="Times New Roman" w:hAnsi="Times New Roman" w:cs="Times New Roman"/>
          <w:color w:val="000000"/>
          <w:spacing w:val="0"/>
          <w:w w:val="100"/>
          <w:position w:val="0"/>
        </w:rPr>
        <w:t>）</w:t>
        <w:tab/>
      </w:r>
      <w:r>
        <w:rPr>
          <w:color w:val="000000"/>
          <w:spacing w:val="0"/>
          <w:w w:val="100"/>
          <w:position w:val="0"/>
        </w:rPr>
        <w:t xml:space="preserve">为实现资产持续使用过程中产生的现金流入所必需的预计现金流出（包括为使资产达到预定可使用状态所发生的现金流 </w:t>
      </w:r>
      <w:r>
        <w:rPr>
          <w:color w:val="000000"/>
          <w:spacing w:val="0"/>
          <w:w w:val="100"/>
          <w:position w:val="0"/>
        </w:rPr>
        <w:t>出）。该现金流出是可直接归属于或者可通过合理而一致的基础分配到资产中的现金流出；</w:t>
      </w:r>
    </w:p>
    <w:p>
      <w:pPr>
        <w:pStyle w:val="Style24"/>
        <w:keepNext w:val="0"/>
        <w:keepLines w:val="0"/>
        <w:widowControl w:val="0"/>
        <w:shd w:val="clear" w:color="auto" w:fill="auto"/>
        <w:bidi w:val="0"/>
        <w:spacing w:before="0" w:after="100" w:line="313" w:lineRule="exact"/>
        <w:ind w:left="0" w:right="0" w:firstLine="0"/>
        <w:jc w:val="both"/>
      </w:pPr>
      <w:bookmarkStart w:id="566" w:name="bookmark566"/>
      <w:r>
        <w:rPr>
          <w:rFonts w:ascii="Times New Roman" w:eastAsia="Times New Roman" w:hAnsi="Times New Roman" w:cs="Times New Roman"/>
          <w:color w:val="000000"/>
          <w:spacing w:val="0"/>
          <w:w w:val="100"/>
          <w:position w:val="0"/>
        </w:rPr>
        <w:t>c</w:t>
      </w:r>
      <w:bookmarkEnd w:id="566"/>
      <w:r>
        <w:rPr>
          <w:rFonts w:ascii="Times New Roman" w:eastAsia="Times New Roman" w:hAnsi="Times New Roman" w:cs="Times New Roman"/>
          <w:color w:val="000000"/>
          <w:spacing w:val="0"/>
          <w:w w:val="100"/>
          <w:position w:val="0"/>
        </w:rPr>
        <w:t>）</w:t>
      </w:r>
      <w:r>
        <w:rPr>
          <w:color w:val="000000"/>
          <w:spacing w:val="0"/>
          <w:w w:val="100"/>
          <w:position w:val="0"/>
        </w:rPr>
        <w:t>资产使用寿命结束时，处置资产所收到或支付的净现金流量。该现金流量是在公平交易中，熟悉情况的交易双方自愿进行 交易时，企业预期可从资产的处置中获取或者支付的、减去预计处置费用后的金额。</w:t>
      </w:r>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资产减值损失的确定</w:t>
      </w:r>
    </w:p>
    <w:p>
      <w:pPr>
        <w:pStyle w:val="Style24"/>
        <w:keepNext w:val="0"/>
        <w:keepLines w:val="0"/>
        <w:widowControl w:val="0"/>
        <w:numPr>
          <w:ilvl w:val="0"/>
          <w:numId w:val="13"/>
        </w:numPr>
        <w:shd w:val="clear" w:color="auto" w:fill="auto"/>
        <w:tabs>
          <w:tab w:pos="373" w:val="left"/>
        </w:tabs>
        <w:bidi w:val="0"/>
        <w:spacing w:before="0" w:after="0" w:line="313" w:lineRule="exact"/>
        <w:ind w:left="0" w:right="0" w:firstLine="0"/>
        <w:jc w:val="both"/>
      </w:pPr>
      <w:bookmarkStart w:id="567" w:name="bookmark567"/>
      <w:bookmarkEnd w:id="567"/>
      <w:r>
        <w:rPr>
          <w:color w:val="000000"/>
          <w:spacing w:val="0"/>
          <w:w w:val="100"/>
          <w:position w:val="0"/>
        </w:rPr>
        <w:t>可收回金额的计量结果表明，资产的可收回金额低于其账面价值的，将资产的账面价值减记至可收回金额，减记的金额确 认为资产减值损失，计入当期损益，同时计提相应的资产减值准备。</w:t>
      </w:r>
    </w:p>
    <w:p>
      <w:pPr>
        <w:pStyle w:val="Style24"/>
        <w:keepNext w:val="0"/>
        <w:keepLines w:val="0"/>
        <w:widowControl w:val="0"/>
        <w:numPr>
          <w:ilvl w:val="0"/>
          <w:numId w:val="13"/>
        </w:numPr>
        <w:shd w:val="clear" w:color="auto" w:fill="auto"/>
        <w:tabs>
          <w:tab w:pos="373" w:val="left"/>
        </w:tabs>
        <w:bidi w:val="0"/>
        <w:spacing w:before="0" w:after="0" w:line="313" w:lineRule="exact"/>
        <w:ind w:left="0" w:right="0" w:firstLine="0"/>
        <w:jc w:val="both"/>
      </w:pPr>
      <w:bookmarkStart w:id="568" w:name="bookmark568"/>
      <w:bookmarkEnd w:id="568"/>
      <w:r>
        <w:rPr>
          <w:color w:val="000000"/>
          <w:spacing w:val="0"/>
          <w:w w:val="100"/>
          <w:position w:val="0"/>
        </w:rPr>
        <w:t>资产减值损失确认后，减值资产的折旧或者摊销费用在未来期间作相应调整，以使该资产在剩余使用寿命内，系统地分摊 调整后的资产账面价值（扣除预计净残值）。</w:t>
      </w:r>
    </w:p>
    <w:p>
      <w:pPr>
        <w:pStyle w:val="Style24"/>
        <w:keepNext w:val="0"/>
        <w:keepLines w:val="0"/>
        <w:widowControl w:val="0"/>
        <w:shd w:val="clear" w:color="auto" w:fill="auto"/>
        <w:bidi w:val="0"/>
        <w:spacing w:before="0" w:after="680" w:line="313" w:lineRule="exact"/>
        <w:ind w:left="0" w:right="0" w:firstLine="0"/>
        <w:jc w:val="both"/>
      </w:pPr>
      <w:r>
        <w:rPr>
          <w:color w:val="000000"/>
          <w:spacing w:val="0"/>
          <w:w w:val="100"/>
          <w:position w:val="0"/>
        </w:rPr>
        <w:t>资产减值损失一经确认，在以后会计期间不得转回，如遇到资产处置、出售、对外投资、以非货币性资产交换方式换出、在 债务重组中抵偿债务等情况，同时符合资产终止确认条件的，应将相关资产减值准备予以转销。</w:t>
      </w:r>
    </w:p>
    <w:p>
      <w:pPr>
        <w:pStyle w:val="Style29"/>
        <w:keepNext/>
        <w:keepLines/>
        <w:widowControl w:val="0"/>
        <w:shd w:val="clear" w:color="auto" w:fill="auto"/>
        <w:bidi w:val="0"/>
        <w:spacing w:before="0" w:after="260" w:line="240" w:lineRule="auto"/>
        <w:ind w:left="0" w:right="0" w:firstLine="0"/>
        <w:jc w:val="both"/>
      </w:pPr>
      <w:bookmarkStart w:id="569" w:name="bookmark569"/>
      <w:bookmarkStart w:id="570" w:name="bookmark570"/>
      <w:bookmarkStart w:id="571" w:name="bookmark571"/>
      <w:bookmarkStart w:id="572" w:name="bookmark572"/>
      <w:r>
        <w:rPr>
          <w:color w:val="000000"/>
          <w:spacing w:val="0"/>
          <w:w w:val="100"/>
          <w:position w:val="0"/>
        </w:rPr>
        <w:t>（</w:t>
      </w:r>
      <w:bookmarkEnd w:id="571"/>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569"/>
      <w:bookmarkEnd w:id="570"/>
      <w:bookmarkEnd w:id="572"/>
    </w:p>
    <w:p>
      <w:pPr>
        <w:pStyle w:val="Style24"/>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both"/>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573"/>
      <w:bookmarkEnd w:id="574"/>
      <w:bookmarkEnd w:id="576"/>
    </w:p>
    <w:p>
      <w:pPr>
        <w:pStyle w:val="Style29"/>
        <w:keepNext/>
        <w:keepLines/>
        <w:widowControl w:val="0"/>
        <w:shd w:val="clear" w:color="auto" w:fill="auto"/>
        <w:tabs>
          <w:tab w:pos="493" w:val="left"/>
        </w:tabs>
        <w:bidi w:val="0"/>
        <w:spacing w:before="0" w:after="260" w:line="240" w:lineRule="auto"/>
        <w:ind w:left="0" w:right="0" w:firstLine="0"/>
        <w:jc w:val="both"/>
      </w:pPr>
      <w:bookmarkStart w:id="573" w:name="bookmark573"/>
      <w:bookmarkStart w:id="574" w:name="bookmark574"/>
      <w:bookmarkStart w:id="577" w:name="bookmark577"/>
      <w:bookmarkStart w:id="578" w:name="bookmark578"/>
      <w:r>
        <w:rPr>
          <w:color w:val="000000"/>
          <w:spacing w:val="0"/>
          <w:w w:val="100"/>
          <w:position w:val="0"/>
        </w:rPr>
        <w:t>（</w:t>
      </w:r>
      <w:bookmarkEnd w:id="577"/>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573"/>
      <w:bookmarkEnd w:id="574"/>
      <w:bookmarkEnd w:id="578"/>
    </w:p>
    <w:p>
      <w:pPr>
        <w:pStyle w:val="Style24"/>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本公司在建工程以实际发生金额核算，并于达到预定可使用状态时转作固定资产。</w:t>
      </w:r>
    </w:p>
    <w:p>
      <w:pPr>
        <w:pStyle w:val="Style29"/>
        <w:keepNext/>
        <w:keepLines/>
        <w:widowControl w:val="0"/>
        <w:shd w:val="clear" w:color="auto" w:fill="auto"/>
        <w:tabs>
          <w:tab w:pos="493" w:val="left"/>
        </w:tabs>
        <w:bidi w:val="0"/>
        <w:spacing w:before="0" w:after="260" w:line="240" w:lineRule="auto"/>
        <w:ind w:left="0" w:right="0" w:firstLine="0"/>
        <w:jc w:val="both"/>
      </w:pPr>
      <w:bookmarkStart w:id="579" w:name="bookmark579"/>
      <w:bookmarkStart w:id="580" w:name="bookmark580"/>
      <w:bookmarkStart w:id="581" w:name="bookmark581"/>
      <w:bookmarkStart w:id="582" w:name="bookmark582"/>
      <w:r>
        <w:rPr>
          <w:color w:val="000000"/>
          <w:spacing w:val="0"/>
          <w:w w:val="100"/>
          <w:position w:val="0"/>
        </w:rPr>
        <w:t>（</w:t>
      </w:r>
      <w:bookmarkEnd w:id="581"/>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579"/>
      <w:bookmarkEnd w:id="580"/>
      <w:bookmarkEnd w:id="582"/>
    </w:p>
    <w:p>
      <w:pPr>
        <w:pStyle w:val="Style24"/>
        <w:keepNext w:val="0"/>
        <w:keepLines w:val="0"/>
        <w:widowControl w:val="0"/>
        <w:shd w:val="clear" w:color="auto" w:fill="auto"/>
        <w:bidi w:val="0"/>
        <w:spacing w:before="0" w:after="360" w:line="322" w:lineRule="exact"/>
        <w:ind w:left="0" w:right="0" w:firstLine="0"/>
        <w:jc w:val="both"/>
      </w:pPr>
      <w:r>
        <w:rPr>
          <w:color w:val="000000"/>
          <w:spacing w:val="0"/>
          <w:w w:val="100"/>
          <w:position w:val="0"/>
        </w:rPr>
        <w:t>在建设期或安装期间为该工程所发生的借款利息支出、汇兑损益计入该工程成本。已交付使用的在建工程不能按时办理竣工 决算的，暂估转入固定资产，待正式办理竣工决算后，再按照实际成本调整原来的暂估价值，但不调整原已计提的折旧。</w:t>
      </w:r>
    </w:p>
    <w:p>
      <w:pPr>
        <w:pStyle w:val="Style29"/>
        <w:keepNext/>
        <w:keepLines/>
        <w:widowControl w:val="0"/>
        <w:shd w:val="clear" w:color="auto" w:fill="auto"/>
        <w:tabs>
          <w:tab w:pos="493" w:val="left"/>
        </w:tabs>
        <w:bidi w:val="0"/>
        <w:spacing w:before="0" w:after="260" w:line="240" w:lineRule="auto"/>
        <w:ind w:left="0" w:right="0" w:firstLine="0"/>
        <w:jc w:val="both"/>
      </w:pPr>
      <w:bookmarkStart w:id="583" w:name="bookmark583"/>
      <w:bookmarkStart w:id="584" w:name="bookmark584"/>
      <w:bookmarkStart w:id="585" w:name="bookmark585"/>
      <w:bookmarkStart w:id="586" w:name="bookmark586"/>
      <w:r>
        <w:rPr>
          <w:color w:val="000000"/>
          <w:spacing w:val="0"/>
          <w:w w:val="100"/>
          <w:position w:val="0"/>
        </w:rPr>
        <w:t>（</w:t>
      </w:r>
      <w:bookmarkEnd w:id="585"/>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583"/>
      <w:bookmarkEnd w:id="584"/>
      <w:bookmarkEnd w:id="586"/>
    </w:p>
    <w:p>
      <w:pPr>
        <w:pStyle w:val="Style24"/>
        <w:keepNext w:val="0"/>
        <w:keepLines w:val="0"/>
        <w:widowControl w:val="0"/>
        <w:shd w:val="clear" w:color="auto" w:fill="auto"/>
        <w:tabs>
          <w:tab w:pos="397" w:val="left"/>
        </w:tabs>
        <w:bidi w:val="0"/>
        <w:spacing w:before="0" w:after="0" w:line="311" w:lineRule="exact"/>
        <w:ind w:left="0" w:right="0" w:firstLine="0"/>
        <w:jc w:val="left"/>
      </w:pPr>
      <w:bookmarkStart w:id="587" w:name="bookmark587"/>
      <w:r>
        <w:rPr>
          <w:rFonts w:ascii="Times New Roman" w:eastAsia="Times New Roman" w:hAnsi="Times New Roman" w:cs="Times New Roman"/>
          <w:color w:val="000000"/>
          <w:spacing w:val="0"/>
          <w:w w:val="100"/>
          <w:position w:val="0"/>
        </w:rPr>
        <w:t>A</w:t>
      </w:r>
      <w:bookmarkEnd w:id="587"/>
      <w:r>
        <w:rPr>
          <w:color w:val="000000"/>
          <w:spacing w:val="0"/>
          <w:w w:val="100"/>
          <w:position w:val="0"/>
        </w:rPr>
        <w:t>、</w:t>
        <w:tab/>
      </w:r>
      <w:r>
        <w:rPr>
          <w:color w:val="000000"/>
          <w:spacing w:val="0"/>
          <w:w w:val="100"/>
          <w:position w:val="0"/>
        </w:rPr>
        <w:t>可能发生减值资产的认定</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存在下列迹象的，表明资产可能发生了减值：</w:t>
      </w:r>
    </w:p>
    <w:p>
      <w:pPr>
        <w:pStyle w:val="Style24"/>
        <w:keepNext w:val="0"/>
        <w:keepLines w:val="0"/>
        <w:widowControl w:val="0"/>
        <w:numPr>
          <w:ilvl w:val="0"/>
          <w:numId w:val="15"/>
        </w:numPr>
        <w:shd w:val="clear" w:color="auto" w:fill="auto"/>
        <w:tabs>
          <w:tab w:pos="373" w:val="left"/>
        </w:tabs>
        <w:bidi w:val="0"/>
        <w:spacing w:before="0" w:after="0" w:line="311" w:lineRule="exact"/>
        <w:ind w:left="0" w:right="0" w:firstLine="0"/>
        <w:jc w:val="left"/>
      </w:pPr>
      <w:bookmarkStart w:id="588" w:name="bookmark588"/>
      <w:bookmarkEnd w:id="588"/>
      <w:r>
        <w:rPr>
          <w:color w:val="000000"/>
          <w:spacing w:val="0"/>
          <w:w w:val="100"/>
          <w:position w:val="0"/>
        </w:rPr>
        <w:t>资产的市价当期大幅度下跌，其跌幅明显高于因时间的推移或者正常使用而预计的下跌。</w:t>
      </w:r>
    </w:p>
    <w:p>
      <w:pPr>
        <w:pStyle w:val="Style24"/>
        <w:keepNext w:val="0"/>
        <w:keepLines w:val="0"/>
        <w:widowControl w:val="0"/>
        <w:numPr>
          <w:ilvl w:val="0"/>
          <w:numId w:val="15"/>
        </w:numPr>
        <w:shd w:val="clear" w:color="auto" w:fill="auto"/>
        <w:tabs>
          <w:tab w:pos="373" w:val="left"/>
        </w:tabs>
        <w:bidi w:val="0"/>
        <w:spacing w:before="0" w:after="0" w:line="311" w:lineRule="exact"/>
        <w:ind w:left="0" w:right="0" w:firstLine="0"/>
        <w:jc w:val="left"/>
      </w:pPr>
      <w:bookmarkStart w:id="589" w:name="bookmark589"/>
      <w:bookmarkEnd w:id="589"/>
      <w:r>
        <w:rPr>
          <w:color w:val="000000"/>
          <w:spacing w:val="0"/>
          <w:w w:val="100"/>
          <w:position w:val="0"/>
        </w:rPr>
        <w:t>企业经营所处的经济、技术或法律等环境以及资产所处的市场在当期或将在近期发生重大变化,从而对企业产生不利影响。</w:t>
      </w:r>
    </w:p>
    <w:p>
      <w:pPr>
        <w:pStyle w:val="Style24"/>
        <w:keepNext w:val="0"/>
        <w:keepLines w:val="0"/>
        <w:widowControl w:val="0"/>
        <w:numPr>
          <w:ilvl w:val="0"/>
          <w:numId w:val="15"/>
        </w:numPr>
        <w:shd w:val="clear" w:color="auto" w:fill="auto"/>
        <w:tabs>
          <w:tab w:pos="373" w:val="left"/>
        </w:tabs>
        <w:bidi w:val="0"/>
        <w:spacing w:before="0" w:after="0" w:line="311" w:lineRule="exact"/>
        <w:ind w:left="0" w:right="0" w:firstLine="0"/>
        <w:jc w:val="left"/>
      </w:pPr>
      <w:bookmarkStart w:id="590" w:name="bookmark590"/>
      <w:bookmarkEnd w:id="590"/>
      <w:r>
        <w:rPr>
          <w:color w:val="000000"/>
          <w:spacing w:val="0"/>
          <w:w w:val="100"/>
          <w:position w:val="0"/>
        </w:rPr>
        <w:t>市场利率或者其他市场投资回报率在当期已经提高，从而影响企业计算资产预计未来现金流量现值的折现率，导致资产可 收回金额大幅度降低。</w:t>
      </w:r>
    </w:p>
    <w:p>
      <w:pPr>
        <w:pStyle w:val="Style24"/>
        <w:keepNext w:val="0"/>
        <w:keepLines w:val="0"/>
        <w:widowControl w:val="0"/>
        <w:numPr>
          <w:ilvl w:val="0"/>
          <w:numId w:val="15"/>
        </w:numPr>
        <w:shd w:val="clear" w:color="auto" w:fill="auto"/>
        <w:tabs>
          <w:tab w:pos="373" w:val="left"/>
        </w:tabs>
        <w:bidi w:val="0"/>
        <w:spacing w:before="0" w:after="0" w:line="311" w:lineRule="exact"/>
        <w:ind w:left="0" w:right="0" w:firstLine="0"/>
        <w:jc w:val="left"/>
      </w:pPr>
      <w:bookmarkStart w:id="591" w:name="bookmark591"/>
      <w:bookmarkEnd w:id="591"/>
      <w:r>
        <w:rPr>
          <w:color w:val="000000"/>
          <w:spacing w:val="0"/>
          <w:w w:val="100"/>
          <w:position w:val="0"/>
        </w:rPr>
        <w:t>有证据表明资产已经陈旧过时或其实体已经损坏。</w:t>
      </w:r>
    </w:p>
    <w:p>
      <w:pPr>
        <w:pStyle w:val="Style24"/>
        <w:keepNext w:val="0"/>
        <w:keepLines w:val="0"/>
        <w:widowControl w:val="0"/>
        <w:numPr>
          <w:ilvl w:val="0"/>
          <w:numId w:val="15"/>
        </w:numPr>
        <w:shd w:val="clear" w:color="auto" w:fill="auto"/>
        <w:tabs>
          <w:tab w:pos="373" w:val="left"/>
        </w:tabs>
        <w:bidi w:val="0"/>
        <w:spacing w:before="0" w:after="0" w:line="311" w:lineRule="exact"/>
        <w:ind w:left="0" w:right="0" w:firstLine="0"/>
        <w:jc w:val="left"/>
      </w:pPr>
      <w:bookmarkStart w:id="592" w:name="bookmark592"/>
      <w:bookmarkEnd w:id="592"/>
      <w:r>
        <w:rPr>
          <w:color w:val="000000"/>
          <w:spacing w:val="0"/>
          <w:w w:val="100"/>
          <w:position w:val="0"/>
        </w:rPr>
        <w:t>资产已经或者将被闲置、终止使用或者计划提前处置。</w:t>
      </w:r>
    </w:p>
    <w:p>
      <w:pPr>
        <w:pStyle w:val="Style24"/>
        <w:keepNext w:val="0"/>
        <w:keepLines w:val="0"/>
        <w:widowControl w:val="0"/>
        <w:numPr>
          <w:ilvl w:val="0"/>
          <w:numId w:val="15"/>
        </w:numPr>
        <w:shd w:val="clear" w:color="auto" w:fill="auto"/>
        <w:tabs>
          <w:tab w:pos="373" w:val="left"/>
        </w:tabs>
        <w:bidi w:val="0"/>
        <w:spacing w:before="0" w:after="0" w:line="311" w:lineRule="exact"/>
        <w:ind w:left="0" w:right="0" w:firstLine="0"/>
        <w:jc w:val="left"/>
      </w:pPr>
      <w:bookmarkStart w:id="593" w:name="bookmark593"/>
      <w:bookmarkEnd w:id="593"/>
      <w:r>
        <w:rPr>
          <w:color w:val="000000"/>
          <w:spacing w:val="0"/>
          <w:w w:val="100"/>
          <w:position w:val="0"/>
        </w:rPr>
        <w:t>企业内部报告的证据表明资产的经济绩效已经低于或者将低于预期，如资产所创造的净现金流量或者实现的营业利润（或 者亏损）远远低于（或者高于）预计金额等。</w:t>
      </w:r>
    </w:p>
    <w:p>
      <w:pPr>
        <w:pStyle w:val="Style24"/>
        <w:keepNext w:val="0"/>
        <w:keepLines w:val="0"/>
        <w:widowControl w:val="0"/>
        <w:numPr>
          <w:ilvl w:val="0"/>
          <w:numId w:val="15"/>
        </w:numPr>
        <w:shd w:val="clear" w:color="auto" w:fill="auto"/>
        <w:tabs>
          <w:tab w:pos="373" w:val="left"/>
        </w:tabs>
        <w:bidi w:val="0"/>
        <w:spacing w:before="0" w:after="0" w:line="311" w:lineRule="exact"/>
        <w:ind w:left="0" w:right="0" w:firstLine="0"/>
        <w:jc w:val="left"/>
      </w:pPr>
      <w:bookmarkStart w:id="594" w:name="bookmark594"/>
      <w:bookmarkEnd w:id="594"/>
      <w:r>
        <w:rPr>
          <w:color w:val="000000"/>
          <w:spacing w:val="0"/>
          <w:w w:val="100"/>
          <w:position w:val="0"/>
        </w:rPr>
        <w:t>其他表明资产可能已经发生减值的迹象。</w:t>
      </w:r>
    </w:p>
    <w:p>
      <w:pPr>
        <w:pStyle w:val="Style24"/>
        <w:keepNext w:val="0"/>
        <w:keepLines w:val="0"/>
        <w:widowControl w:val="0"/>
        <w:shd w:val="clear" w:color="auto" w:fill="auto"/>
        <w:tabs>
          <w:tab w:pos="397" w:val="left"/>
        </w:tabs>
        <w:bidi w:val="0"/>
        <w:spacing w:before="0" w:after="0" w:line="311" w:lineRule="exact"/>
        <w:ind w:left="0" w:right="0" w:firstLine="0"/>
        <w:jc w:val="left"/>
      </w:pPr>
      <w:bookmarkStart w:id="595" w:name="bookmark595"/>
      <w:r>
        <w:rPr>
          <w:rFonts w:ascii="Times New Roman" w:eastAsia="Times New Roman" w:hAnsi="Times New Roman" w:cs="Times New Roman"/>
          <w:color w:val="000000"/>
          <w:spacing w:val="0"/>
          <w:w w:val="100"/>
          <w:position w:val="0"/>
        </w:rPr>
        <w:t>B</w:t>
      </w:r>
      <w:bookmarkEnd w:id="595"/>
      <w:r>
        <w:rPr>
          <w:color w:val="000000"/>
          <w:spacing w:val="0"/>
          <w:w w:val="100"/>
          <w:position w:val="0"/>
        </w:rPr>
        <w:t>、</w:t>
        <w:tab/>
      </w:r>
      <w:r>
        <w:rPr>
          <w:color w:val="000000"/>
          <w:spacing w:val="0"/>
          <w:w w:val="100"/>
          <w:position w:val="0"/>
        </w:rPr>
        <w:t>资产可收回金额的计量</w:t>
      </w:r>
    </w:p>
    <w:p>
      <w:pPr>
        <w:pStyle w:val="Style24"/>
        <w:keepNext w:val="0"/>
        <w:keepLines w:val="0"/>
        <w:widowControl w:val="0"/>
        <w:numPr>
          <w:ilvl w:val="0"/>
          <w:numId w:val="17"/>
        </w:numPr>
        <w:shd w:val="clear" w:color="auto" w:fill="auto"/>
        <w:tabs>
          <w:tab w:pos="373" w:val="left"/>
        </w:tabs>
        <w:bidi w:val="0"/>
        <w:spacing w:before="0" w:after="0" w:line="311" w:lineRule="exact"/>
        <w:ind w:left="0" w:right="0" w:firstLine="0"/>
        <w:jc w:val="left"/>
      </w:pPr>
      <w:bookmarkStart w:id="596" w:name="bookmark596"/>
      <w:bookmarkEnd w:id="596"/>
      <w:r>
        <w:rPr>
          <w:color w:val="000000"/>
          <w:spacing w:val="0"/>
          <w:w w:val="100"/>
          <w:position w:val="0"/>
        </w:rPr>
        <w:t>可收回金额根据资产的公允价值减去处置费用后的净额与资产预计未来现金流量的现值两者之间较高者确定。处置费用包 括与资产处置有关的法律费用、相关税费、搬运费以及为使资产达到可销售状态所发生的直接费用等。</w:t>
      </w:r>
    </w:p>
    <w:p>
      <w:pPr>
        <w:pStyle w:val="Style24"/>
        <w:keepNext w:val="0"/>
        <w:keepLines w:val="0"/>
        <w:widowControl w:val="0"/>
        <w:numPr>
          <w:ilvl w:val="0"/>
          <w:numId w:val="17"/>
        </w:numPr>
        <w:shd w:val="clear" w:color="auto" w:fill="auto"/>
        <w:tabs>
          <w:tab w:pos="373" w:val="left"/>
        </w:tabs>
        <w:bidi w:val="0"/>
        <w:spacing w:before="0" w:after="0" w:line="311" w:lineRule="exact"/>
        <w:ind w:left="0" w:right="0" w:firstLine="0"/>
        <w:jc w:val="left"/>
      </w:pPr>
      <w:bookmarkStart w:id="597" w:name="bookmark597"/>
      <w:bookmarkEnd w:id="597"/>
      <w:r>
        <w:rPr>
          <w:color w:val="000000"/>
          <w:spacing w:val="0"/>
          <w:w w:val="100"/>
          <w:position w:val="0"/>
        </w:rPr>
        <w:t xml:space="preserve">资产的公允价值减去处置费用后的净额，是根据公平交易中销售协议价格减去直接归属于该资产处置费用的金额确定；不 存在销售协议但存在活跃市场的，按照资产的市场价格减去处置费用后的金额确定，资产的市场价格通常根据资产的买方出 </w:t>
      </w:r>
      <w:r>
        <w:rPr>
          <w:color w:val="000000"/>
          <w:spacing w:val="0"/>
          <w:w w:val="100"/>
          <w:position w:val="0"/>
        </w:rPr>
        <w:t>价确定；在不存在销售协议和资产活跃市场的情况下，以可获取的最佳信息为基础，估计资产的公允价值减去处置费用后的 净额，参考同行业类似资产的最近交易价格或者结果进行估计；按照上述规定仍然无法可靠估计资产的公允价值减去处置费 用后的净额的，以该资产预计未来现金流量的现值作为其可收回金额。</w:t>
      </w:r>
    </w:p>
    <w:p>
      <w:pPr>
        <w:pStyle w:val="Style24"/>
        <w:keepNext w:val="0"/>
        <w:keepLines w:val="0"/>
        <w:widowControl w:val="0"/>
        <w:numPr>
          <w:ilvl w:val="0"/>
          <w:numId w:val="17"/>
        </w:numPr>
        <w:shd w:val="clear" w:color="auto" w:fill="auto"/>
        <w:bidi w:val="0"/>
        <w:spacing w:before="0" w:after="100" w:line="313" w:lineRule="exact"/>
        <w:ind w:left="0" w:right="0" w:firstLine="0"/>
        <w:jc w:val="both"/>
      </w:pPr>
      <w:bookmarkStart w:id="598" w:name="bookmark598"/>
      <w:bookmarkEnd w:id="598"/>
      <w:r>
        <w:rPr>
          <w:color w:val="000000"/>
          <w:spacing w:val="0"/>
          <w:w w:val="100"/>
          <w:position w:val="0"/>
        </w:rPr>
        <w:t>预计的资产未来现金流量包括：</w:t>
      </w:r>
    </w:p>
    <w:p>
      <w:pPr>
        <w:pStyle w:val="Style24"/>
        <w:keepNext w:val="0"/>
        <w:keepLines w:val="0"/>
        <w:widowControl w:val="0"/>
        <w:shd w:val="clear" w:color="auto" w:fill="auto"/>
        <w:tabs>
          <w:tab w:pos="334" w:val="left"/>
        </w:tabs>
        <w:bidi w:val="0"/>
        <w:spacing w:before="0" w:after="0"/>
        <w:ind w:left="0" w:right="0" w:firstLine="0"/>
        <w:jc w:val="both"/>
      </w:pPr>
      <w:bookmarkStart w:id="599" w:name="bookmark599"/>
      <w:r>
        <w:rPr>
          <w:rFonts w:ascii="Times New Roman" w:eastAsia="Times New Roman" w:hAnsi="Times New Roman" w:cs="Times New Roman"/>
          <w:color w:val="000000"/>
          <w:spacing w:val="0"/>
          <w:w w:val="100"/>
          <w:position w:val="0"/>
        </w:rPr>
        <w:t>a</w:t>
      </w:r>
      <w:bookmarkEnd w:id="599"/>
      <w:r>
        <w:rPr>
          <w:rFonts w:ascii="Times New Roman" w:eastAsia="Times New Roman" w:hAnsi="Times New Roman" w:cs="Times New Roman"/>
          <w:color w:val="000000"/>
          <w:spacing w:val="0"/>
          <w:w w:val="100"/>
          <w:position w:val="0"/>
        </w:rPr>
        <w:t>）</w:t>
        <w:tab/>
      </w:r>
      <w:r>
        <w:rPr>
          <w:color w:val="000000"/>
          <w:spacing w:val="0"/>
          <w:w w:val="100"/>
          <w:position w:val="0"/>
        </w:rPr>
        <w:t>资产持续使用过程中预计产生的现金流入；</w:t>
      </w:r>
    </w:p>
    <w:p>
      <w:pPr>
        <w:pStyle w:val="Style24"/>
        <w:keepNext w:val="0"/>
        <w:keepLines w:val="0"/>
        <w:widowControl w:val="0"/>
        <w:shd w:val="clear" w:color="auto" w:fill="auto"/>
        <w:tabs>
          <w:tab w:pos="349" w:val="left"/>
        </w:tabs>
        <w:bidi w:val="0"/>
        <w:spacing w:before="0" w:after="0" w:line="313" w:lineRule="exact"/>
        <w:ind w:left="0" w:right="0" w:firstLine="0"/>
        <w:jc w:val="both"/>
      </w:pPr>
      <w:bookmarkStart w:id="600" w:name="bookmark600"/>
      <w:r>
        <w:rPr>
          <w:rFonts w:ascii="Times New Roman" w:eastAsia="Times New Roman" w:hAnsi="Times New Roman" w:cs="Times New Roman"/>
          <w:color w:val="000000"/>
          <w:spacing w:val="0"/>
          <w:w w:val="100"/>
          <w:position w:val="0"/>
        </w:rPr>
        <w:t>b</w:t>
      </w:r>
      <w:bookmarkEnd w:id="600"/>
      <w:r>
        <w:rPr>
          <w:rFonts w:ascii="Times New Roman" w:eastAsia="Times New Roman" w:hAnsi="Times New Roman" w:cs="Times New Roman"/>
          <w:color w:val="000000"/>
          <w:spacing w:val="0"/>
          <w:w w:val="100"/>
          <w:position w:val="0"/>
        </w:rPr>
        <w:t>）</w:t>
        <w:tab/>
      </w:r>
      <w:r>
        <w:rPr>
          <w:color w:val="000000"/>
          <w:spacing w:val="0"/>
          <w:w w:val="100"/>
          <w:position w:val="0"/>
        </w:rPr>
        <w:t>为实现资产持续使用过程中产生的现金流入所必需的预计现金流出（包括为使资产达到预定可使用状态所发生的现金流 出）。该现金流出是可直接归属于或者可通过合理而一致的基础分配到资产中的现金流出；</w:t>
      </w:r>
    </w:p>
    <w:p>
      <w:pPr>
        <w:pStyle w:val="Style24"/>
        <w:keepNext w:val="0"/>
        <w:keepLines w:val="0"/>
        <w:widowControl w:val="0"/>
        <w:shd w:val="clear" w:color="auto" w:fill="auto"/>
        <w:tabs>
          <w:tab w:pos="349" w:val="left"/>
        </w:tabs>
        <w:bidi w:val="0"/>
        <w:spacing w:before="0" w:after="100" w:line="313" w:lineRule="exact"/>
        <w:ind w:left="0" w:right="0" w:firstLine="0"/>
        <w:jc w:val="both"/>
      </w:pPr>
      <w:bookmarkStart w:id="601" w:name="bookmark601"/>
      <w:r>
        <w:rPr>
          <w:rFonts w:ascii="Times New Roman" w:eastAsia="Times New Roman" w:hAnsi="Times New Roman" w:cs="Times New Roman"/>
          <w:color w:val="000000"/>
          <w:spacing w:val="0"/>
          <w:w w:val="100"/>
          <w:position w:val="0"/>
        </w:rPr>
        <w:t>c</w:t>
      </w:r>
      <w:bookmarkEnd w:id="601"/>
      <w:r>
        <w:rPr>
          <w:rFonts w:ascii="Times New Roman" w:eastAsia="Times New Roman" w:hAnsi="Times New Roman" w:cs="Times New Roman"/>
          <w:color w:val="000000"/>
          <w:spacing w:val="0"/>
          <w:w w:val="100"/>
          <w:position w:val="0"/>
        </w:rPr>
        <w:t>）</w:t>
        <w:tab/>
      </w:r>
      <w:r>
        <w:rPr>
          <w:color w:val="000000"/>
          <w:spacing w:val="0"/>
          <w:w w:val="100"/>
          <w:position w:val="0"/>
        </w:rPr>
        <w:t>资产使用寿命结束时，处置资产所收到或支付的净现金流量。该现金流量是在公平交易中，熟悉情况的交易双方自愿进行 交易时，企业预期可从资产的处置中获取或者支付的、减去预计处置费用后的金额。</w:t>
      </w:r>
    </w:p>
    <w:p>
      <w:pPr>
        <w:pStyle w:val="Style24"/>
        <w:keepNext w:val="0"/>
        <w:keepLines w:val="0"/>
        <w:widowControl w:val="0"/>
        <w:shd w:val="clear" w:color="auto" w:fill="auto"/>
        <w:bidi w:val="0"/>
        <w:spacing w:before="0" w:after="0"/>
        <w:ind w:left="0" w:right="0" w:firstLine="0"/>
        <w:jc w:val="both"/>
      </w:pPr>
      <w:bookmarkStart w:id="602" w:name="bookmark602"/>
      <w:r>
        <w:rPr>
          <w:rFonts w:ascii="Times New Roman" w:eastAsia="Times New Roman" w:hAnsi="Times New Roman" w:cs="Times New Roman"/>
          <w:color w:val="000000"/>
          <w:spacing w:val="0"/>
          <w:w w:val="100"/>
          <w:position w:val="0"/>
        </w:rPr>
        <w:t>C</w:t>
      </w:r>
      <w:bookmarkEnd w:id="602"/>
      <w:r>
        <w:rPr>
          <w:color w:val="000000"/>
          <w:spacing w:val="0"/>
          <w:w w:val="100"/>
          <w:position w:val="0"/>
        </w:rPr>
        <w:t>、</w:t>
      </w:r>
      <w:r>
        <w:rPr>
          <w:color w:val="000000"/>
          <w:spacing w:val="0"/>
          <w:w w:val="100"/>
          <w:position w:val="0"/>
        </w:rPr>
        <w:t>资产减值损失的确定</w:t>
      </w:r>
    </w:p>
    <w:p>
      <w:pPr>
        <w:pStyle w:val="Style24"/>
        <w:keepNext w:val="0"/>
        <w:keepLines w:val="0"/>
        <w:widowControl w:val="0"/>
        <w:numPr>
          <w:ilvl w:val="0"/>
          <w:numId w:val="19"/>
        </w:numPr>
        <w:shd w:val="clear" w:color="auto" w:fill="auto"/>
        <w:tabs>
          <w:tab w:pos="373" w:val="left"/>
        </w:tabs>
        <w:bidi w:val="0"/>
        <w:spacing w:before="0" w:after="0" w:line="313" w:lineRule="exact"/>
        <w:ind w:left="0" w:right="0" w:firstLine="0"/>
        <w:jc w:val="both"/>
      </w:pPr>
      <w:bookmarkStart w:id="603" w:name="bookmark603"/>
      <w:bookmarkEnd w:id="603"/>
      <w:r>
        <w:rPr>
          <w:color w:val="000000"/>
          <w:spacing w:val="0"/>
          <w:w w:val="100"/>
          <w:position w:val="0"/>
        </w:rPr>
        <w:t>可收回金额的计量结果表明，资产的可收回金额低于其账面价值的，将资产的账面价值减记至可收回金额，减记的金额确 认为资产减值损失，计入当期损益，同时计提相应的资产减值准备。</w:t>
      </w:r>
    </w:p>
    <w:p>
      <w:pPr>
        <w:pStyle w:val="Style24"/>
        <w:keepNext w:val="0"/>
        <w:keepLines w:val="0"/>
        <w:widowControl w:val="0"/>
        <w:numPr>
          <w:ilvl w:val="0"/>
          <w:numId w:val="19"/>
        </w:numPr>
        <w:shd w:val="clear" w:color="auto" w:fill="auto"/>
        <w:tabs>
          <w:tab w:pos="373" w:val="left"/>
        </w:tabs>
        <w:bidi w:val="0"/>
        <w:spacing w:before="0" w:after="0" w:line="313" w:lineRule="exact"/>
        <w:ind w:left="0" w:right="0" w:firstLine="0"/>
        <w:jc w:val="both"/>
      </w:pPr>
      <w:bookmarkStart w:id="604" w:name="bookmark604"/>
      <w:bookmarkEnd w:id="604"/>
      <w:r>
        <w:rPr>
          <w:color w:val="000000"/>
          <w:spacing w:val="0"/>
          <w:w w:val="100"/>
          <w:position w:val="0"/>
        </w:rPr>
        <w:t>资产减值损失确认后，减值资产的折旧或者摊销费用在未来期间作相应调整，以使该资产在剩余使用寿命内，系统地分摊 调整后的资产账面价值（扣除预计净残值）。</w:t>
      </w:r>
    </w:p>
    <w:p>
      <w:pPr>
        <w:pStyle w:val="Style24"/>
        <w:keepNext w:val="0"/>
        <w:keepLines w:val="0"/>
        <w:widowControl w:val="0"/>
        <w:shd w:val="clear" w:color="auto" w:fill="auto"/>
        <w:bidi w:val="0"/>
        <w:spacing w:before="0" w:after="680" w:line="313" w:lineRule="exact"/>
        <w:ind w:left="0" w:right="0" w:firstLine="0"/>
        <w:jc w:val="both"/>
      </w:pPr>
      <w:r>
        <w:rPr>
          <w:color w:val="000000"/>
          <w:spacing w:val="0"/>
          <w:w w:val="100"/>
          <w:position w:val="0"/>
        </w:rPr>
        <w:t>资产减值损失一经确认，在以后会计期间不得转回，如遇到资产处置、出售、对外投资、以非货币性资产交换方式换出、在 债务重组中抵偿债务等情况，同时符合资产终止确认条件的，应将相关资产减值准备予以转销。</w:t>
      </w:r>
    </w:p>
    <w:p>
      <w:pPr>
        <w:pStyle w:val="Style29"/>
        <w:keepNext/>
        <w:keepLines/>
        <w:widowControl w:val="0"/>
        <w:shd w:val="clear" w:color="auto" w:fill="auto"/>
        <w:bidi w:val="0"/>
        <w:spacing w:before="0" w:after="360" w:line="240" w:lineRule="auto"/>
        <w:ind w:left="0" w:right="0" w:firstLine="0"/>
        <w:jc w:val="both"/>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1</w:t>
      </w:r>
      <w:bookmarkEnd w:id="607"/>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605"/>
      <w:bookmarkEnd w:id="606"/>
      <w:bookmarkEnd w:id="608"/>
    </w:p>
    <w:p>
      <w:pPr>
        <w:pStyle w:val="Style29"/>
        <w:keepNext/>
        <w:keepLines/>
        <w:widowControl w:val="0"/>
        <w:shd w:val="clear" w:color="auto" w:fill="auto"/>
        <w:bidi w:val="0"/>
        <w:spacing w:before="0" w:after="280" w:line="240" w:lineRule="auto"/>
        <w:ind w:left="0" w:right="0" w:firstLine="0"/>
        <w:jc w:val="both"/>
      </w:pPr>
      <w:bookmarkStart w:id="605" w:name="bookmark605"/>
      <w:bookmarkStart w:id="606" w:name="bookmark606"/>
      <w:bookmarkStart w:id="609" w:name="bookmark609"/>
      <w:bookmarkStart w:id="610" w:name="bookmark610"/>
      <w:r>
        <w:rPr>
          <w:color w:val="000000"/>
          <w:spacing w:val="0"/>
          <w:w w:val="100"/>
          <w:position w:val="0"/>
        </w:rPr>
        <w:t>（</w:t>
      </w:r>
      <w:bookmarkEnd w:id="609"/>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605"/>
      <w:bookmarkEnd w:id="606"/>
      <w:bookmarkEnd w:id="610"/>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借款费用同时满足下列条件时开始资本化：</w:t>
      </w:r>
    </w:p>
    <w:p>
      <w:pPr>
        <w:pStyle w:val="Style24"/>
        <w:keepNext w:val="0"/>
        <w:keepLines w:val="0"/>
        <w:widowControl w:val="0"/>
        <w:numPr>
          <w:ilvl w:val="0"/>
          <w:numId w:val="21"/>
        </w:numPr>
        <w:shd w:val="clear" w:color="auto" w:fill="auto"/>
        <w:tabs>
          <w:tab w:pos="373" w:val="left"/>
        </w:tabs>
        <w:bidi w:val="0"/>
        <w:spacing w:before="0" w:after="0" w:line="310" w:lineRule="exact"/>
        <w:ind w:left="0" w:right="0" w:firstLine="0"/>
        <w:jc w:val="both"/>
      </w:pPr>
      <w:bookmarkStart w:id="611" w:name="bookmark611"/>
      <w:bookmarkEnd w:id="611"/>
      <w:r>
        <w:rPr>
          <w:color w:val="000000"/>
          <w:spacing w:val="0"/>
          <w:w w:val="100"/>
          <w:position w:val="0"/>
        </w:rPr>
        <w:t>资产支出已经发生，资产支出包括为购建或者生产符合资本化条件的资产而以支付现金、转移非现金资产或者承担带息债 务形式发生的支出；</w:t>
      </w:r>
    </w:p>
    <w:p>
      <w:pPr>
        <w:pStyle w:val="Style24"/>
        <w:keepNext w:val="0"/>
        <w:keepLines w:val="0"/>
        <w:widowControl w:val="0"/>
        <w:numPr>
          <w:ilvl w:val="0"/>
          <w:numId w:val="21"/>
        </w:numPr>
        <w:shd w:val="clear" w:color="auto" w:fill="auto"/>
        <w:tabs>
          <w:tab w:pos="373" w:val="left"/>
        </w:tabs>
        <w:bidi w:val="0"/>
        <w:spacing w:before="0" w:after="0" w:line="310" w:lineRule="exact"/>
        <w:ind w:left="0" w:right="0" w:firstLine="0"/>
        <w:jc w:val="both"/>
      </w:pPr>
      <w:bookmarkStart w:id="612" w:name="bookmark612"/>
      <w:bookmarkEnd w:id="612"/>
      <w:r>
        <w:rPr>
          <w:color w:val="000000"/>
          <w:spacing w:val="0"/>
          <w:w w:val="100"/>
          <w:position w:val="0"/>
        </w:rPr>
        <w:t>借款费用已经发生；</w:t>
      </w:r>
    </w:p>
    <w:p>
      <w:pPr>
        <w:pStyle w:val="Style24"/>
        <w:keepNext w:val="0"/>
        <w:keepLines w:val="0"/>
        <w:widowControl w:val="0"/>
        <w:numPr>
          <w:ilvl w:val="0"/>
          <w:numId w:val="21"/>
        </w:numPr>
        <w:shd w:val="clear" w:color="auto" w:fill="auto"/>
        <w:tabs>
          <w:tab w:pos="373" w:val="left"/>
        </w:tabs>
        <w:bidi w:val="0"/>
        <w:spacing w:before="0" w:after="680" w:line="310" w:lineRule="exact"/>
        <w:ind w:left="0" w:right="0" w:firstLine="0"/>
        <w:jc w:val="both"/>
      </w:pPr>
      <w:bookmarkStart w:id="613" w:name="bookmark613"/>
      <w:bookmarkEnd w:id="613"/>
      <w:r>
        <w:rPr>
          <w:color w:val="000000"/>
          <w:spacing w:val="0"/>
          <w:w w:val="100"/>
          <w:position w:val="0"/>
        </w:rPr>
        <w:t>为使资产达到预定可使用或者可销售状态所必要的购建或者生产活动已经开始。</w:t>
      </w:r>
    </w:p>
    <w:p>
      <w:pPr>
        <w:pStyle w:val="Style29"/>
        <w:keepNext/>
        <w:keepLines/>
        <w:widowControl w:val="0"/>
        <w:shd w:val="clear" w:color="auto" w:fill="auto"/>
        <w:tabs>
          <w:tab w:pos="493" w:val="left"/>
        </w:tabs>
        <w:bidi w:val="0"/>
        <w:spacing w:before="0" w:after="360" w:line="240" w:lineRule="auto"/>
        <w:ind w:left="0" w:right="0" w:firstLine="0"/>
        <w:jc w:val="both"/>
      </w:pPr>
      <w:bookmarkStart w:id="614" w:name="bookmark614"/>
      <w:bookmarkStart w:id="615" w:name="bookmark615"/>
      <w:bookmarkStart w:id="616" w:name="bookmark616"/>
      <w:bookmarkStart w:id="617" w:name="bookmark617"/>
      <w:r>
        <w:rPr>
          <w:color w:val="000000"/>
          <w:spacing w:val="0"/>
          <w:w w:val="100"/>
          <w:position w:val="0"/>
        </w:rPr>
        <w:t>（</w:t>
      </w:r>
      <w:bookmarkEnd w:id="616"/>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14"/>
      <w:bookmarkEnd w:id="615"/>
      <w:bookmarkEnd w:id="617"/>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资本化期间，指从借款费用开始资本化时点到停止资本化时点的期间，借款费用暂停资本化的期间不包括在内。</w:t>
      </w:r>
    </w:p>
    <w:p>
      <w:pPr>
        <w:pStyle w:val="Style29"/>
        <w:keepNext/>
        <w:keepLines/>
        <w:widowControl w:val="0"/>
        <w:shd w:val="clear" w:color="auto" w:fill="auto"/>
        <w:tabs>
          <w:tab w:pos="493" w:val="left"/>
        </w:tabs>
        <w:bidi w:val="0"/>
        <w:spacing w:before="0" w:after="360" w:line="240" w:lineRule="auto"/>
        <w:ind w:left="0" w:right="0" w:firstLine="0"/>
        <w:jc w:val="both"/>
      </w:pPr>
      <w:bookmarkStart w:id="618" w:name="bookmark618"/>
      <w:bookmarkStart w:id="619" w:name="bookmark619"/>
      <w:bookmarkStart w:id="620" w:name="bookmark620"/>
      <w:bookmarkStart w:id="621" w:name="bookmark621"/>
      <w:r>
        <w:rPr>
          <w:color w:val="000000"/>
          <w:spacing w:val="0"/>
          <w:w w:val="100"/>
          <w:position w:val="0"/>
        </w:rPr>
        <w:t>（</w:t>
      </w:r>
      <w:bookmarkEnd w:id="620"/>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18"/>
      <w:bookmarkEnd w:id="619"/>
      <w:bookmarkEnd w:id="621"/>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当符合资本化条件的资产在购建或者生产过程中发生非正常中断、且中断时间连续超过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个月的，借款费用暂停资本化。</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当购建或者生产符合资本化条件的资产达到预定可使用或者可销售状态时，借款费用停止资本化。</w:t>
      </w:r>
    </w:p>
    <w:p>
      <w:pPr>
        <w:pStyle w:val="Style29"/>
        <w:keepNext/>
        <w:keepLines/>
        <w:widowControl w:val="0"/>
        <w:shd w:val="clear" w:color="auto" w:fill="auto"/>
        <w:tabs>
          <w:tab w:pos="493" w:val="left"/>
        </w:tabs>
        <w:bidi w:val="0"/>
        <w:spacing w:before="0" w:after="360" w:line="240" w:lineRule="auto"/>
        <w:ind w:left="0" w:right="0" w:firstLine="0"/>
        <w:jc w:val="both"/>
      </w:pPr>
      <w:bookmarkStart w:id="622" w:name="bookmark622"/>
      <w:bookmarkStart w:id="623" w:name="bookmark623"/>
      <w:bookmarkStart w:id="624" w:name="bookmark624"/>
      <w:bookmarkStart w:id="625" w:name="bookmark625"/>
      <w:r>
        <w:rPr>
          <w:color w:val="000000"/>
          <w:spacing w:val="0"/>
          <w:w w:val="100"/>
          <w:position w:val="0"/>
        </w:rPr>
        <w:t>（</w:t>
      </w:r>
      <w:bookmarkEnd w:id="624"/>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622"/>
      <w:bookmarkEnd w:id="623"/>
      <w:bookmarkEnd w:id="625"/>
    </w:p>
    <w:p>
      <w:pPr>
        <w:pStyle w:val="Style24"/>
        <w:keepNext w:val="0"/>
        <w:keepLines w:val="0"/>
        <w:widowControl w:val="0"/>
        <w:numPr>
          <w:ilvl w:val="0"/>
          <w:numId w:val="23"/>
        </w:numPr>
        <w:shd w:val="clear" w:color="auto" w:fill="auto"/>
        <w:bidi w:val="0"/>
        <w:spacing w:before="0" w:after="0" w:line="240" w:lineRule="auto"/>
        <w:ind w:left="0" w:right="0" w:firstLine="0"/>
        <w:jc w:val="both"/>
      </w:pPr>
      <w:bookmarkStart w:id="626" w:name="bookmark626"/>
      <w:bookmarkEnd w:id="626"/>
      <w:r>
        <w:rPr>
          <w:color w:val="000000"/>
          <w:spacing w:val="0"/>
          <w:w w:val="100"/>
          <w:position w:val="0"/>
        </w:rPr>
        <w:t xml:space="preserve">借款利息的资本化金额：为购建或者生产符合资本化条件的资产而借入专门借款的，每一会计期间的利息资本化金额，不 </w:t>
      </w:r>
      <w:r>
        <w:rPr>
          <w:color w:val="000000"/>
          <w:spacing w:val="0"/>
          <w:w w:val="100"/>
          <w:position w:val="0"/>
        </w:rPr>
        <w:t>超过专门借款当期实际发生的利息费用，减去将尚未动用的借款资金存入银行取得的利息收入或进行暂时性投资取得的投资 收益后的金额。</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为购建或者生产开发符合资本化条件的资产而占用了一般借款的，根据累计资产支出超过专门借款部分的资产支出加权平均 数乘以所占用一般借款的资本化率，计算确定一般借款应予资本化的利息金额。资本化率根据一般借款加权平均利率计算确 定。每一会计期间的利息资本化金额，不超过当期相关借款实际发生的利息金额。</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借款存在折价或溢价的，按照实际利率法确定每一会计期间应摊销的折价或者溢价金额，调整每期利息金额。</w:t>
      </w:r>
    </w:p>
    <w:p>
      <w:pPr>
        <w:pStyle w:val="Style24"/>
        <w:keepNext w:val="0"/>
        <w:keepLines w:val="0"/>
        <w:widowControl w:val="0"/>
        <w:numPr>
          <w:ilvl w:val="0"/>
          <w:numId w:val="23"/>
        </w:numPr>
        <w:shd w:val="clear" w:color="auto" w:fill="auto"/>
        <w:tabs>
          <w:tab w:pos="373" w:val="left"/>
        </w:tabs>
        <w:bidi w:val="0"/>
        <w:spacing w:before="0" w:after="0" w:line="311" w:lineRule="exact"/>
        <w:ind w:left="0" w:right="0" w:firstLine="0"/>
        <w:jc w:val="both"/>
      </w:pPr>
      <w:bookmarkStart w:id="627" w:name="bookmark627"/>
      <w:bookmarkEnd w:id="627"/>
      <w:r>
        <w:rPr>
          <w:color w:val="000000"/>
          <w:spacing w:val="0"/>
          <w:w w:val="100"/>
          <w:position w:val="0"/>
        </w:rPr>
        <w:t>辅助费用：专门借款发生的辅助费用，在所购建或者生产的符合资本化条件的资产达到预定可使用或者可销售状态之前发 生的，应当在发生时根据其发生额予以资本化，计入符合资本化条件的资产成本；在所购建或者生产的符合资本化条件的资 产达到预定可使用或者可销售状态之后发生的，在发生时根据其发生额确认为费用，计入当期损益。</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一般借款发生的辅助费用，在发生时根据其发生额确认为费用，计入当期损益。</w:t>
      </w:r>
    </w:p>
    <w:p>
      <w:pPr>
        <w:pStyle w:val="Style24"/>
        <w:keepNext w:val="0"/>
        <w:keepLines w:val="0"/>
        <w:widowControl w:val="0"/>
        <w:numPr>
          <w:ilvl w:val="0"/>
          <w:numId w:val="23"/>
        </w:numPr>
        <w:shd w:val="clear" w:color="auto" w:fill="auto"/>
        <w:tabs>
          <w:tab w:pos="373" w:val="left"/>
        </w:tabs>
        <w:bidi w:val="0"/>
        <w:spacing w:before="0" w:after="680" w:line="311" w:lineRule="exact"/>
        <w:ind w:left="0" w:right="0" w:firstLine="0"/>
        <w:jc w:val="both"/>
      </w:pPr>
      <w:bookmarkStart w:id="628" w:name="bookmark628"/>
      <w:bookmarkEnd w:id="628"/>
      <w:r>
        <w:rPr>
          <w:color w:val="000000"/>
          <w:spacing w:val="0"/>
          <w:w w:val="100"/>
          <w:position w:val="0"/>
        </w:rPr>
        <w:t>外币专门借款汇兑差额资本化金额的确定：在资本化期间内，外币专门借款本金及利息的汇兑差额，予以资本化，除此之 外的其他外币借款本金及利息所产生的汇兑差额在发生时根据其发生额确认为费用，计入当期损益。</w:t>
      </w:r>
    </w:p>
    <w:p>
      <w:pPr>
        <w:pStyle w:val="Style29"/>
        <w:keepNext/>
        <w:keepLines/>
        <w:widowControl w:val="0"/>
        <w:shd w:val="clear" w:color="auto" w:fill="auto"/>
        <w:tabs>
          <w:tab w:pos="478" w:val="left"/>
        </w:tabs>
        <w:bidi w:val="0"/>
        <w:spacing w:before="0" w:after="280" w:line="240" w:lineRule="auto"/>
        <w:ind w:left="0" w:right="0" w:firstLine="0"/>
        <w:jc w:val="both"/>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1</w:t>
      </w:r>
      <w:bookmarkEnd w:id="631"/>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bookmarkEnd w:id="629"/>
      <w:bookmarkEnd w:id="630"/>
      <w:bookmarkEnd w:id="632"/>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不适用</w:t>
      </w:r>
    </w:p>
    <w:p>
      <w:pPr>
        <w:pStyle w:val="Style29"/>
        <w:keepNext/>
        <w:keepLines/>
        <w:widowControl w:val="0"/>
        <w:shd w:val="clear" w:color="auto" w:fill="auto"/>
        <w:tabs>
          <w:tab w:pos="478" w:val="left"/>
        </w:tabs>
        <w:bidi w:val="0"/>
        <w:spacing w:before="0" w:after="280" w:line="240" w:lineRule="auto"/>
        <w:ind w:left="0" w:right="0" w:firstLine="0"/>
        <w:jc w:val="both"/>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633"/>
      <w:bookmarkEnd w:id="634"/>
      <w:bookmarkEnd w:id="636"/>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不适用</w:t>
      </w:r>
    </w:p>
    <w:p>
      <w:pPr>
        <w:pStyle w:val="Style29"/>
        <w:keepNext/>
        <w:keepLines/>
        <w:widowControl w:val="0"/>
        <w:shd w:val="clear" w:color="auto" w:fill="auto"/>
        <w:tabs>
          <w:tab w:pos="488" w:val="left"/>
        </w:tabs>
        <w:bidi w:val="0"/>
        <w:spacing w:before="0" w:after="360" w:line="240" w:lineRule="auto"/>
        <w:ind w:left="0" w:right="0" w:firstLine="0"/>
        <w:jc w:val="both"/>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637"/>
      <w:bookmarkEnd w:id="638"/>
      <w:bookmarkEnd w:id="640"/>
    </w:p>
    <w:p>
      <w:pPr>
        <w:pStyle w:val="Style29"/>
        <w:keepNext/>
        <w:keepLines/>
        <w:widowControl w:val="0"/>
        <w:shd w:val="clear" w:color="auto" w:fill="auto"/>
        <w:tabs>
          <w:tab w:pos="493" w:val="left"/>
        </w:tabs>
        <w:bidi w:val="0"/>
        <w:spacing w:before="0" w:after="280" w:line="240" w:lineRule="auto"/>
        <w:ind w:left="0" w:right="0" w:firstLine="0"/>
        <w:jc w:val="both"/>
      </w:pPr>
      <w:bookmarkStart w:id="637" w:name="bookmark637"/>
      <w:bookmarkStart w:id="638" w:name="bookmark638"/>
      <w:bookmarkStart w:id="641" w:name="bookmark641"/>
      <w:bookmarkStart w:id="642" w:name="bookmark642"/>
      <w:r>
        <w:rPr>
          <w:color w:val="000000"/>
          <w:spacing w:val="0"/>
          <w:w w:val="100"/>
          <w:position w:val="0"/>
        </w:rPr>
        <w:t>（</w:t>
      </w:r>
      <w:bookmarkEnd w:id="641"/>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637"/>
      <w:bookmarkEnd w:id="638"/>
      <w:bookmarkEnd w:id="642"/>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本公司的无形资产是指企业拥有或控制的没有实物形态的可辨认非货币性资产。包括专利权、非专利技术、商标权、著作权、 土地使用权、特许权等。</w:t>
      </w:r>
    </w:p>
    <w:p>
      <w:pPr>
        <w:pStyle w:val="Style29"/>
        <w:keepNext/>
        <w:keepLines/>
        <w:widowControl w:val="0"/>
        <w:shd w:val="clear" w:color="auto" w:fill="auto"/>
        <w:tabs>
          <w:tab w:pos="493" w:val="left"/>
        </w:tabs>
        <w:bidi w:val="0"/>
        <w:spacing w:before="0" w:after="28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rPr>
        <w:t>（</w:t>
      </w:r>
      <w:bookmarkEnd w:id="645"/>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643"/>
      <w:bookmarkEnd w:id="644"/>
      <w:bookmarkEnd w:id="646"/>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公司于取得无形资产时分析判断其使用寿命，将其分为使用寿命有限的无形资产和使用寿命不确定的无形资产。使用寿命有 限的无形资产，其应摊销金额在使用寿命内按直线法摊销，计入当期损益，本公司至少于每年年度终了，对使用寿命有限的 无形资产的使用寿命及摊销方法进行复核，必要时进行调整。经复核本年末无形资产的使用寿命及摊销方法与以前估计未有 不同。</w:t>
      </w:r>
    </w:p>
    <w:tbl>
      <w:tblPr>
        <w:tblOverlap w:val="never"/>
        <w:jc w:val="center"/>
        <w:tblLayout w:type="fixed"/>
      </w:tblPr>
      <w:tblGrid>
        <w:gridCol w:w="2285"/>
        <w:gridCol w:w="2213"/>
        <w:gridCol w:w="5083"/>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279" w:line="1" w:lineRule="exact"/>
      </w:pPr>
    </w:p>
    <w:p>
      <w:pPr>
        <w:pStyle w:val="Style29"/>
        <w:keepNext/>
        <w:keepLines/>
        <w:widowControl w:val="0"/>
        <w:shd w:val="clear" w:color="auto" w:fill="auto"/>
        <w:tabs>
          <w:tab w:pos="493" w:val="left"/>
        </w:tabs>
        <w:bidi w:val="0"/>
        <w:spacing w:before="0" w:after="280" w:line="240" w:lineRule="auto"/>
        <w:ind w:left="0" w:right="0" w:firstLine="0"/>
        <w:jc w:val="both"/>
      </w:pPr>
      <w:bookmarkStart w:id="647" w:name="bookmark647"/>
      <w:bookmarkStart w:id="648" w:name="bookmark648"/>
      <w:bookmarkStart w:id="649" w:name="bookmark649"/>
      <w:bookmarkStart w:id="650" w:name="bookmark650"/>
      <w:r>
        <w:rPr>
          <w:color w:val="000000"/>
          <w:spacing w:val="0"/>
          <w:w w:val="100"/>
          <w:position w:val="0"/>
        </w:rPr>
        <w:t>（</w:t>
      </w:r>
      <w:bookmarkEnd w:id="649"/>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647"/>
      <w:bookmarkEnd w:id="648"/>
      <w:bookmarkEnd w:id="650"/>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无法预见无形资产为公司带来经济利益期限的，视为使用寿命不确定的无形资产。每年末，对使用寿命不确定的无形资产的 使用寿命进行复核。本年公司无使用寿命不确定的无形资产。</w:t>
      </w:r>
    </w:p>
    <w:p>
      <w:pPr>
        <w:pStyle w:val="Style29"/>
        <w:keepNext/>
        <w:keepLines/>
        <w:widowControl w:val="0"/>
        <w:shd w:val="clear" w:color="auto" w:fill="auto"/>
        <w:tabs>
          <w:tab w:pos="493" w:val="left"/>
        </w:tabs>
        <w:bidi w:val="0"/>
        <w:spacing w:before="0" w:after="360" w:line="240" w:lineRule="auto"/>
        <w:ind w:left="0" w:right="0" w:firstLine="0"/>
        <w:jc w:val="both"/>
      </w:pPr>
      <w:bookmarkStart w:id="651" w:name="bookmark651"/>
      <w:bookmarkStart w:id="652" w:name="bookmark652"/>
      <w:bookmarkStart w:id="653" w:name="bookmark653"/>
      <w:bookmarkStart w:id="654" w:name="bookmark654"/>
      <w:r>
        <w:rPr>
          <w:color w:val="000000"/>
          <w:spacing w:val="0"/>
          <w:w w:val="100"/>
          <w:position w:val="0"/>
        </w:rPr>
        <w:t>（</w:t>
      </w:r>
      <w:bookmarkEnd w:id="653"/>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651"/>
      <w:bookmarkEnd w:id="652"/>
      <w:bookmarkEnd w:id="654"/>
    </w:p>
    <w:p>
      <w:pPr>
        <w:pStyle w:val="Style24"/>
        <w:keepNext w:val="0"/>
        <w:keepLines w:val="0"/>
        <w:widowControl w:val="0"/>
        <w:shd w:val="clear" w:color="auto" w:fill="auto"/>
        <w:bidi w:val="0"/>
        <w:spacing w:before="0" w:after="0" w:line="240" w:lineRule="auto"/>
        <w:ind w:left="0" w:right="0" w:firstLine="0"/>
        <w:jc w:val="both"/>
      </w:pPr>
      <w:bookmarkStart w:id="655" w:name="bookmark655"/>
      <w:r>
        <w:rPr>
          <w:rFonts w:ascii="Times New Roman" w:eastAsia="Times New Roman" w:hAnsi="Times New Roman" w:cs="Times New Roman"/>
          <w:color w:val="000000"/>
          <w:spacing w:val="0"/>
          <w:w w:val="100"/>
          <w:position w:val="0"/>
        </w:rPr>
        <w:t>A</w:t>
      </w:r>
      <w:bookmarkEnd w:id="655"/>
      <w:r>
        <w:rPr>
          <w:color w:val="000000"/>
          <w:spacing w:val="0"/>
          <w:w w:val="100"/>
          <w:position w:val="0"/>
        </w:rPr>
        <w:t>、</w:t>
      </w:r>
      <w:r>
        <w:rPr>
          <w:color w:val="000000"/>
          <w:spacing w:val="0"/>
          <w:w w:val="100"/>
          <w:position w:val="0"/>
        </w:rPr>
        <w:t xml:space="preserve">可能发生减值资产的认定 </w:t>
      </w:r>
      <w:r>
        <w:rPr>
          <w:color w:val="000000"/>
          <w:spacing w:val="0"/>
          <w:w w:val="100"/>
          <w:position w:val="0"/>
        </w:rPr>
        <w:t>存在下列迹象的，表明资产可能发生了减值：</w:t>
      </w:r>
    </w:p>
    <w:p>
      <w:pPr>
        <w:pStyle w:val="Style24"/>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656" w:name="bookmark656"/>
      <w:bookmarkEnd w:id="656"/>
      <w:r>
        <w:rPr>
          <w:color w:val="000000"/>
          <w:spacing w:val="0"/>
          <w:w w:val="100"/>
          <w:position w:val="0"/>
        </w:rPr>
        <w:t>资产的市价当期大幅度下跌，其跌幅明显高于因时间的推移或者正常使用而预计的下跌。</w:t>
      </w:r>
    </w:p>
    <w:p>
      <w:pPr>
        <w:pStyle w:val="Style24"/>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657" w:name="bookmark657"/>
      <w:bookmarkEnd w:id="657"/>
      <w:r>
        <w:rPr>
          <w:color w:val="000000"/>
          <w:spacing w:val="0"/>
          <w:w w:val="100"/>
          <w:position w:val="0"/>
        </w:rPr>
        <w:t>企业经营所处的经济、技术或法律等环境以及资产所处的市场在当期或将在近期发生重大变化,从而对企业产生不利影响。</w:t>
      </w:r>
    </w:p>
    <w:p>
      <w:pPr>
        <w:pStyle w:val="Style24"/>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658" w:name="bookmark658"/>
      <w:bookmarkEnd w:id="658"/>
      <w:r>
        <w:rPr>
          <w:color w:val="000000"/>
          <w:spacing w:val="0"/>
          <w:w w:val="100"/>
          <w:position w:val="0"/>
        </w:rPr>
        <w:t>市场利率或者其他市场投资回报率在当期已经提高，从而影响企业计算资产预计未来现金流量现值的折现率，导致资产可 收回金额大幅度降低。</w:t>
      </w:r>
    </w:p>
    <w:p>
      <w:pPr>
        <w:pStyle w:val="Style24"/>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659" w:name="bookmark659"/>
      <w:bookmarkEnd w:id="659"/>
      <w:r>
        <w:rPr>
          <w:color w:val="000000"/>
          <w:spacing w:val="0"/>
          <w:w w:val="100"/>
          <w:position w:val="0"/>
        </w:rPr>
        <w:t>有证据表明资产已经陈旧过时或其实体已经损坏。</w:t>
      </w:r>
    </w:p>
    <w:p>
      <w:pPr>
        <w:pStyle w:val="Style24"/>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660" w:name="bookmark660"/>
      <w:bookmarkEnd w:id="660"/>
      <w:r>
        <w:rPr>
          <w:color w:val="000000"/>
          <w:spacing w:val="0"/>
          <w:w w:val="100"/>
          <w:position w:val="0"/>
        </w:rPr>
        <w:t>资产已经或者将被闲置、终止使用或者计划提前处置。</w:t>
      </w:r>
    </w:p>
    <w:p>
      <w:pPr>
        <w:pStyle w:val="Style24"/>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661" w:name="bookmark661"/>
      <w:bookmarkEnd w:id="661"/>
      <w:r>
        <w:rPr>
          <w:color w:val="000000"/>
          <w:spacing w:val="0"/>
          <w:w w:val="100"/>
          <w:position w:val="0"/>
        </w:rPr>
        <w:t>企业内部报告的证据表明资产的经济绩效已经低于或者将低于预期，如资产所创造的净现金流量或者实现的营业利润（或 者亏损）远远低于（或者高于）预计金额等。</w:t>
      </w:r>
    </w:p>
    <w:p>
      <w:pPr>
        <w:pStyle w:val="Style24"/>
        <w:keepNext w:val="0"/>
        <w:keepLines w:val="0"/>
        <w:widowControl w:val="0"/>
        <w:numPr>
          <w:ilvl w:val="0"/>
          <w:numId w:val="25"/>
        </w:numPr>
        <w:shd w:val="clear" w:color="auto" w:fill="auto"/>
        <w:tabs>
          <w:tab w:pos="373" w:val="left"/>
        </w:tabs>
        <w:bidi w:val="0"/>
        <w:spacing w:before="0" w:line="312" w:lineRule="exact"/>
        <w:ind w:left="0" w:right="0" w:firstLine="0"/>
        <w:jc w:val="both"/>
      </w:pPr>
      <w:bookmarkStart w:id="662" w:name="bookmark662"/>
      <w:bookmarkEnd w:id="662"/>
      <w:r>
        <w:rPr>
          <w:color w:val="000000"/>
          <w:spacing w:val="0"/>
          <w:w w:val="100"/>
          <w:position w:val="0"/>
        </w:rPr>
        <w:t>其他表明资产可能已经发生减值的迹象。</w:t>
      </w:r>
    </w:p>
    <w:p>
      <w:pPr>
        <w:pStyle w:val="Style24"/>
        <w:keepNext w:val="0"/>
        <w:keepLines w:val="0"/>
        <w:widowControl w:val="0"/>
        <w:shd w:val="clear" w:color="auto" w:fill="auto"/>
        <w:tabs>
          <w:tab w:pos="425" w:val="left"/>
        </w:tabs>
        <w:bidi w:val="0"/>
        <w:spacing w:before="0" w:after="0"/>
        <w:ind w:left="0" w:right="0" w:firstLine="0"/>
        <w:jc w:val="both"/>
      </w:pPr>
      <w:bookmarkStart w:id="663" w:name="bookmark663"/>
      <w:r>
        <w:rPr>
          <w:rFonts w:ascii="Times New Roman" w:eastAsia="Times New Roman" w:hAnsi="Times New Roman" w:cs="Times New Roman"/>
          <w:color w:val="000000"/>
          <w:spacing w:val="0"/>
          <w:w w:val="100"/>
          <w:position w:val="0"/>
        </w:rPr>
        <w:t>B</w:t>
      </w:r>
      <w:bookmarkEnd w:id="663"/>
      <w:r>
        <w:rPr>
          <w:color w:val="000000"/>
          <w:spacing w:val="0"/>
          <w:w w:val="100"/>
          <w:position w:val="0"/>
        </w:rPr>
        <w:t>、</w:t>
        <w:tab/>
      </w:r>
      <w:r>
        <w:rPr>
          <w:color w:val="000000"/>
          <w:spacing w:val="0"/>
          <w:w w:val="100"/>
          <w:position w:val="0"/>
        </w:rPr>
        <w:t>资产可收回金额的计量</w:t>
      </w:r>
    </w:p>
    <w:p>
      <w:pPr>
        <w:pStyle w:val="Style24"/>
        <w:keepNext w:val="0"/>
        <w:keepLines w:val="0"/>
        <w:widowControl w:val="0"/>
        <w:numPr>
          <w:ilvl w:val="0"/>
          <w:numId w:val="27"/>
        </w:numPr>
        <w:shd w:val="clear" w:color="auto" w:fill="auto"/>
        <w:tabs>
          <w:tab w:pos="373" w:val="left"/>
        </w:tabs>
        <w:bidi w:val="0"/>
        <w:spacing w:before="0" w:after="0" w:line="312" w:lineRule="exact"/>
        <w:ind w:left="0" w:right="0" w:firstLine="0"/>
        <w:jc w:val="both"/>
      </w:pPr>
      <w:bookmarkStart w:id="664" w:name="bookmark664"/>
      <w:bookmarkEnd w:id="664"/>
      <w:r>
        <w:rPr>
          <w:color w:val="000000"/>
          <w:spacing w:val="0"/>
          <w:w w:val="100"/>
          <w:position w:val="0"/>
        </w:rPr>
        <w:t>可收回金额根据资产的公允价值减去处置费用后的净额与资产预计未来现金流量的现值两者之间较高者确定。处置费用包 括与资产处置有关的法律费用、相关税费、搬运费以及为使资产达到可销售状态所发生的直接费用等。</w:t>
      </w:r>
    </w:p>
    <w:p>
      <w:pPr>
        <w:pStyle w:val="Style24"/>
        <w:keepNext w:val="0"/>
        <w:keepLines w:val="0"/>
        <w:widowControl w:val="0"/>
        <w:numPr>
          <w:ilvl w:val="0"/>
          <w:numId w:val="27"/>
        </w:numPr>
        <w:shd w:val="clear" w:color="auto" w:fill="auto"/>
        <w:tabs>
          <w:tab w:pos="373" w:val="left"/>
        </w:tabs>
        <w:bidi w:val="0"/>
        <w:spacing w:before="0" w:after="0" w:line="312" w:lineRule="exact"/>
        <w:ind w:left="0" w:right="0" w:firstLine="0"/>
        <w:jc w:val="both"/>
      </w:pPr>
      <w:bookmarkStart w:id="665" w:name="bookmark665"/>
      <w:bookmarkEnd w:id="665"/>
      <w:r>
        <w:rPr>
          <w:color w:val="000000"/>
          <w:spacing w:val="0"/>
          <w:w w:val="100"/>
          <w:position w:val="0"/>
        </w:rPr>
        <w:t>资产的公允价值减去处置费用后的净额，是根据公平交易中销售协议价格减去直接归属于该资产处置费用的金额确定；不 存在销售协议但存在活跃市场的，按照资产的市场价格减去处置费用后的金额确定，资产的市场价格通常根据资产的买方出 价确定；在不存在销售协议和资产活跃市场的情况下，以可获取的最佳信息为基础，估计资产的公允价值减去处置费用后的 净额，参考同行业类似资产的最近交易价格或者结果进行估计；按照上述规定仍然无法可靠估计资产的公允价值减去处置费 用后的净额的，以该资产预计未来现金流量的现值作为其可收回金额。</w:t>
      </w:r>
    </w:p>
    <w:p>
      <w:pPr>
        <w:pStyle w:val="Style24"/>
        <w:keepNext w:val="0"/>
        <w:keepLines w:val="0"/>
        <w:widowControl w:val="0"/>
        <w:numPr>
          <w:ilvl w:val="0"/>
          <w:numId w:val="27"/>
        </w:numPr>
        <w:shd w:val="clear" w:color="auto" w:fill="auto"/>
        <w:tabs>
          <w:tab w:pos="373" w:val="left"/>
        </w:tabs>
        <w:bidi w:val="0"/>
        <w:spacing w:before="0" w:line="312" w:lineRule="exact"/>
        <w:ind w:left="0" w:right="0" w:firstLine="0"/>
        <w:jc w:val="both"/>
      </w:pPr>
      <w:bookmarkStart w:id="666" w:name="bookmark666"/>
      <w:bookmarkEnd w:id="666"/>
      <w:r>
        <w:rPr>
          <w:color w:val="000000"/>
          <w:spacing w:val="0"/>
          <w:w w:val="100"/>
          <w:position w:val="0"/>
        </w:rPr>
        <w:t>预计的资产未来现金流量包括：</w:t>
      </w:r>
    </w:p>
    <w:p>
      <w:pPr>
        <w:pStyle w:val="Style24"/>
        <w:keepNext w:val="0"/>
        <w:keepLines w:val="0"/>
        <w:widowControl w:val="0"/>
        <w:shd w:val="clear" w:color="auto" w:fill="auto"/>
        <w:tabs>
          <w:tab w:pos="334" w:val="left"/>
        </w:tabs>
        <w:bidi w:val="0"/>
        <w:spacing w:before="0" w:after="0"/>
        <w:ind w:left="0" w:right="0" w:firstLine="0"/>
        <w:jc w:val="both"/>
      </w:pPr>
      <w:bookmarkStart w:id="667" w:name="bookmark667"/>
      <w:r>
        <w:rPr>
          <w:rFonts w:ascii="Times New Roman" w:eastAsia="Times New Roman" w:hAnsi="Times New Roman" w:cs="Times New Roman"/>
          <w:color w:val="000000"/>
          <w:spacing w:val="0"/>
          <w:w w:val="100"/>
          <w:position w:val="0"/>
        </w:rPr>
        <w:t>a</w:t>
      </w:r>
      <w:bookmarkEnd w:id="667"/>
      <w:r>
        <w:rPr>
          <w:rFonts w:ascii="Times New Roman" w:eastAsia="Times New Roman" w:hAnsi="Times New Roman" w:cs="Times New Roman"/>
          <w:color w:val="000000"/>
          <w:spacing w:val="0"/>
          <w:w w:val="100"/>
          <w:position w:val="0"/>
        </w:rPr>
        <w:t>）</w:t>
        <w:tab/>
      </w:r>
      <w:r>
        <w:rPr>
          <w:color w:val="000000"/>
          <w:spacing w:val="0"/>
          <w:w w:val="100"/>
          <w:position w:val="0"/>
        </w:rPr>
        <w:t>资产持续使用过程中预计产生的现金流入；</w:t>
      </w:r>
    </w:p>
    <w:p>
      <w:pPr>
        <w:pStyle w:val="Style24"/>
        <w:keepNext w:val="0"/>
        <w:keepLines w:val="0"/>
        <w:widowControl w:val="0"/>
        <w:shd w:val="clear" w:color="auto" w:fill="auto"/>
        <w:tabs>
          <w:tab w:pos="349" w:val="left"/>
        </w:tabs>
        <w:bidi w:val="0"/>
        <w:spacing w:before="0" w:after="0" w:line="312" w:lineRule="exact"/>
        <w:ind w:left="0" w:right="0" w:firstLine="0"/>
        <w:jc w:val="both"/>
      </w:pPr>
      <w:bookmarkStart w:id="668" w:name="bookmark668"/>
      <w:r>
        <w:rPr>
          <w:rFonts w:ascii="Times New Roman" w:eastAsia="Times New Roman" w:hAnsi="Times New Roman" w:cs="Times New Roman"/>
          <w:color w:val="000000"/>
          <w:spacing w:val="0"/>
          <w:w w:val="100"/>
          <w:position w:val="0"/>
        </w:rPr>
        <w:t>b</w:t>
      </w:r>
      <w:bookmarkEnd w:id="668"/>
      <w:r>
        <w:rPr>
          <w:rFonts w:ascii="Times New Roman" w:eastAsia="Times New Roman" w:hAnsi="Times New Roman" w:cs="Times New Roman"/>
          <w:color w:val="000000"/>
          <w:spacing w:val="0"/>
          <w:w w:val="100"/>
          <w:position w:val="0"/>
        </w:rPr>
        <w:t>）</w:t>
        <w:tab/>
      </w:r>
      <w:r>
        <w:rPr>
          <w:color w:val="000000"/>
          <w:spacing w:val="0"/>
          <w:w w:val="100"/>
          <w:position w:val="0"/>
        </w:rPr>
        <w:t>为实现资产持续使用过程中产生的现金流入所必需的预计现金流出（包括为使资产达到预定可使用状态所发生的现金流 出）。该现金流出是可直接归属于或者可通过合理而一致的基础分配到资产中的现金流出；</w:t>
      </w:r>
    </w:p>
    <w:p>
      <w:pPr>
        <w:pStyle w:val="Style24"/>
        <w:keepNext w:val="0"/>
        <w:keepLines w:val="0"/>
        <w:widowControl w:val="0"/>
        <w:shd w:val="clear" w:color="auto" w:fill="auto"/>
        <w:tabs>
          <w:tab w:pos="349" w:val="left"/>
        </w:tabs>
        <w:bidi w:val="0"/>
        <w:spacing w:before="0" w:line="312" w:lineRule="exact"/>
        <w:ind w:left="0" w:right="0" w:firstLine="0"/>
        <w:jc w:val="both"/>
      </w:pPr>
      <w:bookmarkStart w:id="669" w:name="bookmark669"/>
      <w:r>
        <w:rPr>
          <w:rFonts w:ascii="Times New Roman" w:eastAsia="Times New Roman" w:hAnsi="Times New Roman" w:cs="Times New Roman"/>
          <w:color w:val="000000"/>
          <w:spacing w:val="0"/>
          <w:w w:val="100"/>
          <w:position w:val="0"/>
        </w:rPr>
        <w:t>c</w:t>
      </w:r>
      <w:bookmarkEnd w:id="669"/>
      <w:r>
        <w:rPr>
          <w:rFonts w:ascii="Times New Roman" w:eastAsia="Times New Roman" w:hAnsi="Times New Roman" w:cs="Times New Roman"/>
          <w:color w:val="000000"/>
          <w:spacing w:val="0"/>
          <w:w w:val="100"/>
          <w:position w:val="0"/>
        </w:rPr>
        <w:t>）</w:t>
        <w:tab/>
      </w:r>
      <w:r>
        <w:rPr>
          <w:color w:val="000000"/>
          <w:spacing w:val="0"/>
          <w:w w:val="100"/>
          <w:position w:val="0"/>
        </w:rPr>
        <w:t>资产使用寿命结束时，处置资产所收到或支付的净现金流量。该现金流量是在公平交易中，熟悉情况的交易双方自愿进行 交易时，企业预期可从资产的处置中获取或者支付的、减去预计处置费用后的金额。</w:t>
      </w:r>
    </w:p>
    <w:p>
      <w:pPr>
        <w:pStyle w:val="Style24"/>
        <w:keepNext w:val="0"/>
        <w:keepLines w:val="0"/>
        <w:widowControl w:val="0"/>
        <w:shd w:val="clear" w:color="auto" w:fill="auto"/>
        <w:tabs>
          <w:tab w:pos="425" w:val="left"/>
        </w:tabs>
        <w:bidi w:val="0"/>
        <w:spacing w:before="0" w:after="0"/>
        <w:ind w:left="0" w:right="0" w:firstLine="0"/>
        <w:jc w:val="both"/>
      </w:pPr>
      <w:bookmarkStart w:id="670" w:name="bookmark670"/>
      <w:r>
        <w:rPr>
          <w:rFonts w:ascii="Times New Roman" w:eastAsia="Times New Roman" w:hAnsi="Times New Roman" w:cs="Times New Roman"/>
          <w:color w:val="000000"/>
          <w:spacing w:val="0"/>
          <w:w w:val="100"/>
          <w:position w:val="0"/>
        </w:rPr>
        <w:t>C</w:t>
      </w:r>
      <w:bookmarkEnd w:id="670"/>
      <w:r>
        <w:rPr>
          <w:color w:val="000000"/>
          <w:spacing w:val="0"/>
          <w:w w:val="100"/>
          <w:position w:val="0"/>
        </w:rPr>
        <w:t>、</w:t>
        <w:tab/>
      </w:r>
      <w:r>
        <w:rPr>
          <w:color w:val="000000"/>
          <w:spacing w:val="0"/>
          <w:w w:val="100"/>
          <w:position w:val="0"/>
        </w:rPr>
        <w:t>资产减值损失的确定</w:t>
      </w:r>
    </w:p>
    <w:p>
      <w:pPr>
        <w:pStyle w:val="Style24"/>
        <w:keepNext w:val="0"/>
        <w:keepLines w:val="0"/>
        <w:widowControl w:val="0"/>
        <w:numPr>
          <w:ilvl w:val="0"/>
          <w:numId w:val="29"/>
        </w:numPr>
        <w:shd w:val="clear" w:color="auto" w:fill="auto"/>
        <w:tabs>
          <w:tab w:pos="373" w:val="left"/>
        </w:tabs>
        <w:bidi w:val="0"/>
        <w:spacing w:before="0" w:after="0" w:line="312" w:lineRule="exact"/>
        <w:ind w:left="0" w:right="0" w:firstLine="0"/>
        <w:jc w:val="both"/>
      </w:pPr>
      <w:bookmarkStart w:id="671" w:name="bookmark671"/>
      <w:bookmarkEnd w:id="671"/>
      <w:r>
        <w:rPr>
          <w:color w:val="000000"/>
          <w:spacing w:val="0"/>
          <w:w w:val="100"/>
          <w:position w:val="0"/>
        </w:rPr>
        <w:t>可收回金额的计量结果表明，资产的可收回金额低于其账面价值的，将资产的账面价值减记至可收回金额，减记的金额确 认为资产减值损失，计入当期损益，同时计提相应的资产减值准备。</w:t>
      </w:r>
    </w:p>
    <w:p>
      <w:pPr>
        <w:pStyle w:val="Style24"/>
        <w:keepNext w:val="0"/>
        <w:keepLines w:val="0"/>
        <w:widowControl w:val="0"/>
        <w:numPr>
          <w:ilvl w:val="0"/>
          <w:numId w:val="29"/>
        </w:numPr>
        <w:shd w:val="clear" w:color="auto" w:fill="auto"/>
        <w:tabs>
          <w:tab w:pos="373" w:val="left"/>
        </w:tabs>
        <w:bidi w:val="0"/>
        <w:spacing w:before="0" w:after="0" w:line="312" w:lineRule="exact"/>
        <w:ind w:left="0" w:right="0" w:firstLine="0"/>
        <w:jc w:val="both"/>
      </w:pPr>
      <w:bookmarkStart w:id="672" w:name="bookmark672"/>
      <w:bookmarkEnd w:id="672"/>
      <w:r>
        <w:rPr>
          <w:color w:val="000000"/>
          <w:spacing w:val="0"/>
          <w:w w:val="100"/>
          <w:position w:val="0"/>
        </w:rPr>
        <w:t>资产减值损失确认后，减值资产的折旧或者摊销费用在未来期间作相应调整，以使该资产在剩余使用寿命内，系统地分摊 调整后的资产账面价值（扣除预计净残值）。</w:t>
      </w:r>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资产减值损失一经确认，在以后会计期间不得转回，如遇到资产处置、出售、对外投资、以非货币性资产交换方式换出、在 债务重组中抵偿债务等情况，同时符合资产终止确认条件的，应将相关资产减值准备予以转销。</w:t>
      </w:r>
    </w:p>
    <w:p>
      <w:pPr>
        <w:pStyle w:val="Style29"/>
        <w:keepNext/>
        <w:keepLines/>
        <w:widowControl w:val="0"/>
        <w:shd w:val="clear" w:color="auto" w:fill="auto"/>
        <w:tabs>
          <w:tab w:pos="493" w:val="left"/>
        </w:tabs>
        <w:bidi w:val="0"/>
        <w:spacing w:before="0" w:after="28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w:t>
      </w:r>
      <w:bookmarkEnd w:id="675"/>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673"/>
      <w:bookmarkEnd w:id="674"/>
      <w:bookmarkEnd w:id="676"/>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280" w:line="240" w:lineRule="auto"/>
        <w:ind w:left="0" w:right="0" w:firstLine="0"/>
        <w:jc w:val="both"/>
      </w:pPr>
      <w:bookmarkStart w:id="677" w:name="bookmark677"/>
      <w:bookmarkStart w:id="678" w:name="bookmark678"/>
      <w:bookmarkStart w:id="679" w:name="bookmark679"/>
      <w:bookmarkStart w:id="680" w:name="bookmark680"/>
      <w:r>
        <w:rPr>
          <w:color w:val="000000"/>
          <w:spacing w:val="0"/>
          <w:w w:val="100"/>
          <w:position w:val="0"/>
        </w:rPr>
        <w:t>（</w:t>
      </w:r>
      <w:bookmarkEnd w:id="679"/>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677"/>
      <w:bookmarkEnd w:id="678"/>
      <w:bookmarkEnd w:id="680"/>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公司无形项目的支出，除符合无形资产的确认条件构成无形资产成本的部分或非同一控制下企业合并中取得的、不能单独确 认为无形资产、构成购买日确认的商誉的部分外，均应于发生时计入当期损益。</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公司内部研究开发项目的支出，区分研究阶段支出与开发阶段支出，公司内部研究开发项目研究阶段的支出，于发生时计入 当期损益。公司内部研究开发项目开发阶段的支出，同时满足下列各项时，确认为无形资产：</w:t>
      </w:r>
    </w:p>
    <w:p>
      <w:pPr>
        <w:pStyle w:val="Style24"/>
        <w:keepNext w:val="0"/>
        <w:keepLines w:val="0"/>
        <w:widowControl w:val="0"/>
        <w:numPr>
          <w:ilvl w:val="0"/>
          <w:numId w:val="31"/>
        </w:numPr>
        <w:shd w:val="clear" w:color="auto" w:fill="auto"/>
        <w:tabs>
          <w:tab w:pos="373" w:val="left"/>
        </w:tabs>
        <w:bidi w:val="0"/>
        <w:spacing w:before="0" w:after="0" w:line="314" w:lineRule="exact"/>
        <w:ind w:left="0" w:right="0" w:firstLine="0"/>
        <w:jc w:val="both"/>
      </w:pPr>
      <w:bookmarkStart w:id="681" w:name="bookmark681"/>
      <w:bookmarkEnd w:id="681"/>
      <w:r>
        <w:rPr>
          <w:color w:val="000000"/>
          <w:spacing w:val="0"/>
          <w:w w:val="100"/>
          <w:position w:val="0"/>
        </w:rPr>
        <w:t>完成该无形资产以使其能够使用或出售在技术上具有可行性；</w:t>
      </w:r>
    </w:p>
    <w:p>
      <w:pPr>
        <w:pStyle w:val="Style24"/>
        <w:keepNext w:val="0"/>
        <w:keepLines w:val="0"/>
        <w:widowControl w:val="0"/>
        <w:numPr>
          <w:ilvl w:val="0"/>
          <w:numId w:val="31"/>
        </w:numPr>
        <w:shd w:val="clear" w:color="auto" w:fill="auto"/>
        <w:tabs>
          <w:tab w:pos="373" w:val="left"/>
        </w:tabs>
        <w:bidi w:val="0"/>
        <w:spacing w:before="0" w:after="0" w:line="314" w:lineRule="exact"/>
        <w:ind w:left="0" w:right="0" w:firstLine="0"/>
        <w:jc w:val="both"/>
      </w:pPr>
      <w:bookmarkStart w:id="682" w:name="bookmark682"/>
      <w:bookmarkEnd w:id="682"/>
      <w:r>
        <w:rPr>
          <w:color w:val="000000"/>
          <w:spacing w:val="0"/>
          <w:w w:val="100"/>
          <w:position w:val="0"/>
        </w:rPr>
        <w:t>具有完成该无形资产并使用或出售的意图；</w:t>
      </w:r>
    </w:p>
    <w:p>
      <w:pPr>
        <w:pStyle w:val="Style24"/>
        <w:keepNext w:val="0"/>
        <w:keepLines w:val="0"/>
        <w:widowControl w:val="0"/>
        <w:numPr>
          <w:ilvl w:val="0"/>
          <w:numId w:val="31"/>
        </w:numPr>
        <w:shd w:val="clear" w:color="auto" w:fill="auto"/>
        <w:tabs>
          <w:tab w:pos="373" w:val="left"/>
        </w:tabs>
        <w:bidi w:val="0"/>
        <w:spacing w:before="0" w:after="0" w:line="314" w:lineRule="exact"/>
        <w:ind w:left="0" w:right="0" w:firstLine="0"/>
        <w:jc w:val="both"/>
      </w:pPr>
      <w:bookmarkStart w:id="683" w:name="bookmark683"/>
      <w:bookmarkEnd w:id="683"/>
      <w:r>
        <w:rPr>
          <w:color w:val="000000"/>
          <w:spacing w:val="0"/>
          <w:w w:val="100"/>
          <w:position w:val="0"/>
        </w:rPr>
        <w:t xml:space="preserve">无形资产产生未来经济利益的方式，包括能够证明运用该无形资产生产的产品存在市场或无形资产自身存在市场；无形资 </w:t>
      </w:r>
      <w:r>
        <w:rPr>
          <w:color w:val="000000"/>
          <w:spacing w:val="0"/>
          <w:w w:val="100"/>
          <w:position w:val="0"/>
        </w:rPr>
        <w:t>产将在内部使用时，应当证明其有用性；</w:t>
      </w:r>
    </w:p>
    <w:p>
      <w:pPr>
        <w:pStyle w:val="Style24"/>
        <w:keepNext w:val="0"/>
        <w:keepLines w:val="0"/>
        <w:widowControl w:val="0"/>
        <w:numPr>
          <w:ilvl w:val="0"/>
          <w:numId w:val="31"/>
        </w:numPr>
        <w:shd w:val="clear" w:color="auto" w:fill="auto"/>
        <w:tabs>
          <w:tab w:pos="373" w:val="left"/>
        </w:tabs>
        <w:bidi w:val="0"/>
        <w:spacing w:before="0" w:after="0" w:line="317" w:lineRule="exact"/>
        <w:ind w:left="0" w:right="0" w:firstLine="0"/>
        <w:jc w:val="left"/>
      </w:pPr>
      <w:bookmarkStart w:id="684" w:name="bookmark684"/>
      <w:bookmarkEnd w:id="684"/>
      <w:r>
        <w:rPr>
          <w:color w:val="000000"/>
          <w:spacing w:val="0"/>
          <w:w w:val="100"/>
          <w:position w:val="0"/>
        </w:rPr>
        <w:t>有足够的技术、财务资源和其他资源支持，以完成该无形资产的开发，并有能力使用或出售该无形资产；</w:t>
      </w:r>
    </w:p>
    <w:p>
      <w:pPr>
        <w:pStyle w:val="Style24"/>
        <w:keepNext w:val="0"/>
        <w:keepLines w:val="0"/>
        <w:widowControl w:val="0"/>
        <w:numPr>
          <w:ilvl w:val="0"/>
          <w:numId w:val="31"/>
        </w:numPr>
        <w:shd w:val="clear" w:color="auto" w:fill="auto"/>
        <w:tabs>
          <w:tab w:pos="373" w:val="left"/>
        </w:tabs>
        <w:bidi w:val="0"/>
        <w:spacing w:before="0" w:after="0" w:line="317" w:lineRule="exact"/>
        <w:ind w:left="0" w:right="0" w:firstLine="0"/>
        <w:jc w:val="left"/>
      </w:pPr>
      <w:bookmarkStart w:id="685" w:name="bookmark685"/>
      <w:bookmarkEnd w:id="685"/>
      <w:r>
        <w:rPr>
          <w:color w:val="000000"/>
          <w:spacing w:val="0"/>
          <w:w w:val="100"/>
          <w:position w:val="0"/>
        </w:rPr>
        <w:t>归属于该无形资产开发阶段的支出能够可靠计量。</w:t>
      </w:r>
    </w:p>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公司在每年年度终了，对使用寿命有限的无形资产的使用寿命及摊销方法进行复核。无形资产的预计使用寿命及摊销方法与 以前估计不同的，根据该项无形资产的预期消耗方式修改摊销期限和摊销方法。</w:t>
      </w:r>
    </w:p>
    <w:p>
      <w:pPr>
        <w:pStyle w:val="Style29"/>
        <w:keepNext/>
        <w:keepLines/>
        <w:widowControl w:val="0"/>
        <w:shd w:val="clear" w:color="auto" w:fill="auto"/>
        <w:tabs>
          <w:tab w:pos="488" w:val="left"/>
        </w:tabs>
        <w:bidi w:val="0"/>
        <w:spacing w:before="0" w:after="28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2</w:t>
      </w:r>
      <w:bookmarkEnd w:id="688"/>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686"/>
      <w:bookmarkEnd w:id="687"/>
      <w:bookmarkEnd w:id="689"/>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本公司的长期待摊费用是指已经支出，但摊销期限在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年）的各项费用，如以经营租赁方式租入的固定资产发 生的改良支出等。长期待摊费在各费用项目的预计受益期间内分期平均摊销，如果长期待摊费用项目不能使以后会计期间受 益的，将尚未摊销的该项目的摊余价值全部转入当期损益。</w:t>
      </w:r>
    </w:p>
    <w:p>
      <w:pPr>
        <w:pStyle w:val="Style29"/>
        <w:keepNext/>
        <w:keepLines/>
        <w:widowControl w:val="0"/>
        <w:shd w:val="clear" w:color="auto" w:fill="auto"/>
        <w:tabs>
          <w:tab w:pos="488" w:val="left"/>
        </w:tabs>
        <w:bidi w:val="0"/>
        <w:spacing w:before="0" w:after="28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2</w:t>
      </w:r>
      <w:bookmarkEnd w:id="692"/>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690"/>
      <w:bookmarkEnd w:id="691"/>
      <w:bookmarkEnd w:id="693"/>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88" w:val="left"/>
        </w:tabs>
        <w:bidi w:val="0"/>
        <w:spacing w:before="0" w:after="36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2</w:t>
      </w:r>
      <w:bookmarkEnd w:id="696"/>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694"/>
      <w:bookmarkEnd w:id="695"/>
      <w:bookmarkEnd w:id="697"/>
    </w:p>
    <w:p>
      <w:pPr>
        <w:pStyle w:val="Style29"/>
        <w:keepNext/>
        <w:keepLines/>
        <w:widowControl w:val="0"/>
        <w:shd w:val="clear" w:color="auto" w:fill="auto"/>
        <w:tabs>
          <w:tab w:pos="493" w:val="left"/>
        </w:tabs>
        <w:bidi w:val="0"/>
        <w:spacing w:before="0" w:after="280" w:line="240" w:lineRule="auto"/>
        <w:ind w:left="0" w:right="0" w:firstLine="0"/>
        <w:jc w:val="left"/>
      </w:pPr>
      <w:bookmarkStart w:id="694" w:name="bookmark694"/>
      <w:bookmarkStart w:id="695" w:name="bookmark695"/>
      <w:bookmarkStart w:id="698" w:name="bookmark698"/>
      <w:bookmarkStart w:id="699" w:name="bookmark699"/>
      <w:r>
        <w:rPr>
          <w:color w:val="000000"/>
          <w:spacing w:val="0"/>
          <w:w w:val="100"/>
          <w:position w:val="0"/>
        </w:rPr>
        <w:t>（</w:t>
      </w:r>
      <w:bookmarkEnd w:id="698"/>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694"/>
      <w:bookmarkEnd w:id="695"/>
      <w:bookmarkEnd w:id="699"/>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如果与或有事项相关的义务是本公司承担的现时义务，且该义务的履行很可能会导致经济利益流出本公司，以及有关金额能 够可靠地计量，则本公司会确认预计负债。</w:t>
      </w:r>
    </w:p>
    <w:p>
      <w:pPr>
        <w:pStyle w:val="Style29"/>
        <w:keepNext/>
        <w:keepLines/>
        <w:widowControl w:val="0"/>
        <w:shd w:val="clear" w:color="auto" w:fill="auto"/>
        <w:tabs>
          <w:tab w:pos="493" w:val="left"/>
        </w:tabs>
        <w:bidi w:val="0"/>
        <w:spacing w:before="0" w:after="28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rPr>
        <w:t>（</w:t>
      </w:r>
      <w:bookmarkEnd w:id="702"/>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700"/>
      <w:bookmarkEnd w:id="701"/>
      <w:bookmarkEnd w:id="703"/>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对于货币时间价值影响重大的，预计负债以预计未来现金流量折现后的金额确定。</w:t>
      </w:r>
    </w:p>
    <w:p>
      <w:pPr>
        <w:pStyle w:val="Style29"/>
        <w:keepNext/>
        <w:keepLines/>
        <w:widowControl w:val="0"/>
        <w:shd w:val="clear" w:color="auto" w:fill="auto"/>
        <w:tabs>
          <w:tab w:pos="488" w:val="left"/>
        </w:tabs>
        <w:bidi w:val="0"/>
        <w:spacing w:before="0" w:after="36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2</w:t>
      </w:r>
      <w:bookmarkEnd w:id="706"/>
      <w:r>
        <w:rPr>
          <w:rFonts w:ascii="Times New Roman" w:eastAsia="Times New Roman" w:hAnsi="Times New Roman" w:cs="Times New Roman"/>
          <w:color w:val="000000"/>
          <w:spacing w:val="0"/>
          <w:w w:val="100"/>
          <w:position w:val="0"/>
        </w:rPr>
        <w:t>4</w:t>
      </w:r>
      <w:r>
        <w:rPr>
          <w:color w:val="000000"/>
          <w:spacing w:val="0"/>
          <w:w w:val="100"/>
          <w:position w:val="0"/>
        </w:rPr>
        <w:t>、</w:t>
        <w:tab/>
        <w:t>股份支付及权益工具</w:t>
      </w:r>
      <w:bookmarkEnd w:id="704"/>
      <w:bookmarkEnd w:id="705"/>
      <w:bookmarkEnd w:id="707"/>
    </w:p>
    <w:p>
      <w:pPr>
        <w:pStyle w:val="Style29"/>
        <w:keepNext/>
        <w:keepLines/>
        <w:widowControl w:val="0"/>
        <w:shd w:val="clear" w:color="auto" w:fill="auto"/>
        <w:tabs>
          <w:tab w:pos="493" w:val="left"/>
        </w:tabs>
        <w:bidi w:val="0"/>
        <w:spacing w:before="0" w:after="280" w:line="240" w:lineRule="auto"/>
        <w:ind w:left="0" w:right="0" w:firstLine="0"/>
        <w:jc w:val="left"/>
      </w:pPr>
      <w:bookmarkStart w:id="704" w:name="bookmark704"/>
      <w:bookmarkStart w:id="705" w:name="bookmark705"/>
      <w:bookmarkStart w:id="708" w:name="bookmark708"/>
      <w:bookmarkStart w:id="709" w:name="bookmark709"/>
      <w:r>
        <w:rPr>
          <w:color w:val="000000"/>
          <w:spacing w:val="0"/>
          <w:w w:val="100"/>
          <w:position w:val="0"/>
        </w:rPr>
        <w:t>（</w:t>
      </w:r>
      <w:bookmarkEnd w:id="708"/>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704"/>
      <w:bookmarkEnd w:id="705"/>
      <w:bookmarkEnd w:id="709"/>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股份支付，是指为获取职工和其他方提供服务而授予权益工具或者承担以权益工具为基础确定的负债的交易。股份支付分为 以权益结算的股份支付和以现金结算的股份支付。</w:t>
      </w:r>
    </w:p>
    <w:p>
      <w:pPr>
        <w:pStyle w:val="Style29"/>
        <w:keepNext/>
        <w:keepLines/>
        <w:widowControl w:val="0"/>
        <w:shd w:val="clear" w:color="auto" w:fill="auto"/>
        <w:tabs>
          <w:tab w:pos="493" w:val="left"/>
        </w:tabs>
        <w:bidi w:val="0"/>
        <w:spacing w:before="0" w:after="28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w:t>
      </w:r>
      <w:bookmarkEnd w:id="712"/>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10"/>
      <w:bookmarkEnd w:id="711"/>
      <w:bookmarkEnd w:id="713"/>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以权益结算的股份支付换取职工提供服务的，以授予职工权益工具的公允价值计量。以现金结算的股份支付，按照公司承担 的以股份或其他权益工具为基础计算确定的负债的公允价值计量。</w:t>
      </w:r>
    </w:p>
    <w:p>
      <w:pPr>
        <w:pStyle w:val="Style29"/>
        <w:keepNext/>
        <w:keepLines/>
        <w:widowControl w:val="0"/>
        <w:shd w:val="clear" w:color="auto" w:fill="auto"/>
        <w:tabs>
          <w:tab w:pos="493" w:val="left"/>
        </w:tabs>
        <w:bidi w:val="0"/>
        <w:spacing w:before="0" w:after="28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w:t>
      </w:r>
      <w:bookmarkEnd w:id="716"/>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14"/>
      <w:bookmarkEnd w:id="715"/>
      <w:bookmarkEnd w:id="717"/>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6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4</w:t>
      </w:r>
      <w:r>
        <w:rPr>
          <w:color w:val="000000"/>
          <w:spacing w:val="0"/>
          <w:w w:val="100"/>
          <w:position w:val="0"/>
        </w:rPr>
        <w:t>）实施、修改、终止股份支付计划的相关会计处理</w:t>
      </w:r>
      <w:bookmarkEnd w:id="718"/>
      <w:bookmarkEnd w:id="719"/>
      <w:bookmarkEnd w:id="721"/>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授予后立即可行权的换取职工服务或其他方类似服务的以权益结算的股份支付，在授予日按权益工具的公允价值计入相关成 本或费用，相应增加资本公积。完成等待期内的服务或达到规定业绩条件才可行权的换取职工服务或其他方类似服务的以权 益结算的股份支付，在等待期内的每个资产负债表日，以对可行权权益工具数量的最佳估计为基础，按照权益工具授予日的 公允价值，将当期取得的服务计入相关成本或费用和资本公积。</w:t>
      </w:r>
    </w:p>
    <w:p>
      <w:pPr>
        <w:pStyle w:val="Style2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授予后立即可行权的以现金结算的股份支付，在授予日以公司承担负债的公允价值计入相关成本或费用，相应增加负债。完 成等待期内的服务或达到规定业绩条件以后才可行权的以现金结算的股份支付，在等待期内的每个资产负债表日，以对可行 权情况的最佳估计为基础，按照公司承担负债的公允价值金额，将当期取得的服务计入成本或费用和相应的负债。</w:t>
      </w:r>
    </w:p>
    <w:p>
      <w:pPr>
        <w:pStyle w:val="Style29"/>
        <w:keepNext/>
        <w:keepLines/>
        <w:widowControl w:val="0"/>
        <w:shd w:val="clear" w:color="auto" w:fill="auto"/>
        <w:tabs>
          <w:tab w:pos="488" w:val="left"/>
        </w:tabs>
        <w:bidi w:val="0"/>
        <w:spacing w:before="0" w:after="26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bookmarkEnd w:id="722"/>
      <w:bookmarkEnd w:id="723"/>
      <w:bookmarkEnd w:id="725"/>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88" w:val="left"/>
        </w:tabs>
        <w:bidi w:val="0"/>
        <w:spacing w:before="0" w:after="36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2</w:t>
      </w:r>
      <w:bookmarkEnd w:id="728"/>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726"/>
      <w:bookmarkEnd w:id="727"/>
      <w:bookmarkEnd w:id="729"/>
    </w:p>
    <w:p>
      <w:pPr>
        <w:pStyle w:val="Style29"/>
        <w:keepNext/>
        <w:keepLines/>
        <w:widowControl w:val="0"/>
        <w:shd w:val="clear" w:color="auto" w:fill="auto"/>
        <w:tabs>
          <w:tab w:pos="493" w:val="left"/>
        </w:tabs>
        <w:bidi w:val="0"/>
        <w:spacing w:before="0" w:after="260" w:line="240" w:lineRule="auto"/>
        <w:ind w:left="0" w:right="0" w:firstLine="0"/>
        <w:jc w:val="left"/>
      </w:pPr>
      <w:bookmarkStart w:id="726" w:name="bookmark726"/>
      <w:bookmarkStart w:id="727" w:name="bookmark727"/>
      <w:bookmarkStart w:id="730" w:name="bookmark730"/>
      <w:bookmarkStart w:id="731" w:name="bookmark731"/>
      <w:r>
        <w:rPr>
          <w:color w:val="000000"/>
          <w:spacing w:val="0"/>
          <w:w w:val="100"/>
          <w:position w:val="0"/>
        </w:rPr>
        <w:t>（</w:t>
      </w:r>
      <w:bookmarkEnd w:id="730"/>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726"/>
      <w:bookmarkEnd w:id="727"/>
      <w:bookmarkEnd w:id="731"/>
    </w:p>
    <w:p>
      <w:pPr>
        <w:pStyle w:val="Style24"/>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公司已将商品所有权上的主要风险和报酬转移给购货方；企业既没有保留通常与所有权相联系的继续管理权，也没有对 已出售的商品实施有效控制；收入的金额能够可靠地计量；与交易相关的经济利益很可能流入企业；相关的已发生或将发生 的成本能够可靠地计量</w:t>
      </w:r>
    </w:p>
    <w:p>
      <w:pPr>
        <w:pStyle w:val="Style29"/>
        <w:keepNext/>
        <w:keepLines/>
        <w:widowControl w:val="0"/>
        <w:shd w:val="clear" w:color="auto" w:fill="auto"/>
        <w:tabs>
          <w:tab w:pos="493" w:val="left"/>
        </w:tabs>
        <w:bidi w:val="0"/>
        <w:spacing w:before="0" w:after="26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w:t>
      </w:r>
      <w:bookmarkEnd w:id="734"/>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732"/>
      <w:bookmarkEnd w:id="733"/>
      <w:bookmarkEnd w:id="735"/>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相关的经济利益很可能流入公司；收入的金额能够可靠地计量。</w:t>
      </w:r>
    </w:p>
    <w:p>
      <w:pPr>
        <w:pStyle w:val="Style29"/>
        <w:keepNext/>
        <w:keepLines/>
        <w:widowControl w:val="0"/>
        <w:shd w:val="clear" w:color="auto" w:fill="auto"/>
        <w:tabs>
          <w:tab w:pos="493" w:val="left"/>
        </w:tabs>
        <w:bidi w:val="0"/>
        <w:spacing w:before="0" w:after="26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rPr>
        <w:t>（</w:t>
      </w:r>
      <w:bookmarkEnd w:id="738"/>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736"/>
      <w:bookmarkEnd w:id="737"/>
      <w:bookmarkEnd w:id="739"/>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在资产负债表日提供劳务交易的结果能够可靠估计的，应当采用完工百分比法确认提供劳务收入。在资产负债表日提供劳务 交易结果不能够可靠估计的，应当分别下列情况处理：己发生的劳务成本预计能够得到补偿，应按己经发生的劳务成本金额 确认收入，并按相同金额结转成本；己发生的劳务成本预计不能够得到补偿的，应当将己经发生的劳务成本计入当期损益， 不确认提供劳务收入。</w:t>
      </w:r>
    </w:p>
    <w:p>
      <w:pPr>
        <w:pStyle w:val="Style29"/>
        <w:keepNext/>
        <w:keepLines/>
        <w:widowControl w:val="0"/>
        <w:shd w:val="clear" w:color="auto" w:fill="auto"/>
        <w:tabs>
          <w:tab w:pos="493" w:val="left"/>
        </w:tabs>
        <w:bidi w:val="0"/>
        <w:spacing w:before="0" w:after="26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w:t>
      </w:r>
      <w:bookmarkEnd w:id="742"/>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740"/>
      <w:bookmarkEnd w:id="741"/>
      <w:bookmarkEnd w:id="743"/>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88" w:val="left"/>
        </w:tabs>
        <w:bidi w:val="0"/>
        <w:spacing w:before="0" w:after="360" w:line="240" w:lineRule="auto"/>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2</w:t>
      </w:r>
      <w:bookmarkEnd w:id="746"/>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744"/>
      <w:bookmarkEnd w:id="745"/>
      <w:bookmarkEnd w:id="747"/>
    </w:p>
    <w:p>
      <w:pPr>
        <w:pStyle w:val="Style29"/>
        <w:keepNext/>
        <w:keepLines/>
        <w:widowControl w:val="0"/>
        <w:shd w:val="clear" w:color="auto" w:fill="auto"/>
        <w:bidi w:val="0"/>
        <w:spacing w:before="0" w:after="260" w:line="240" w:lineRule="auto"/>
        <w:ind w:left="0" w:right="0" w:firstLine="0"/>
        <w:jc w:val="both"/>
      </w:pPr>
      <w:bookmarkStart w:id="744" w:name="bookmark744"/>
      <w:bookmarkStart w:id="745" w:name="bookmark745"/>
      <w:bookmarkStart w:id="748" w:name="bookmark748"/>
      <w:bookmarkStart w:id="749" w:name="bookmark749"/>
      <w:r>
        <w:rPr>
          <w:color w:val="000000"/>
          <w:spacing w:val="0"/>
          <w:w w:val="100"/>
          <w:position w:val="0"/>
        </w:rPr>
        <w:t>（</w:t>
      </w:r>
      <w:bookmarkEnd w:id="748"/>
      <w:r>
        <w:rPr>
          <w:rFonts w:ascii="Times New Roman" w:eastAsia="Times New Roman" w:hAnsi="Times New Roman" w:cs="Times New Roman"/>
          <w:color w:val="000000"/>
          <w:spacing w:val="0"/>
          <w:w w:val="100"/>
          <w:position w:val="0"/>
        </w:rPr>
        <w:t>1</w:t>
      </w:r>
      <w:r>
        <w:rPr>
          <w:color w:val="000000"/>
          <w:spacing w:val="0"/>
          <w:w w:val="100"/>
          <w:position w:val="0"/>
        </w:rPr>
        <w:t>）类型</w:t>
      </w:r>
      <w:bookmarkEnd w:id="744"/>
      <w:bookmarkEnd w:id="745"/>
      <w:bookmarkEnd w:id="749"/>
    </w:p>
    <w:p>
      <w:pPr>
        <w:pStyle w:val="Style24"/>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与收益相关的政府补助，是指除与资产相关的政府补助之外的政府补助。公司收到的政府补助分为与资产相关的政府补 助和与收益相关的政府补助。</w:t>
      </w:r>
    </w:p>
    <w:p>
      <w:pPr>
        <w:pStyle w:val="Style29"/>
        <w:keepNext/>
        <w:keepLines/>
        <w:widowControl w:val="0"/>
        <w:shd w:val="clear" w:color="auto" w:fill="auto"/>
        <w:bidi w:val="0"/>
        <w:spacing w:before="0" w:after="280" w:line="240" w:lineRule="auto"/>
        <w:ind w:left="0" w:right="0" w:firstLine="0"/>
        <w:jc w:val="left"/>
      </w:pPr>
      <w:bookmarkStart w:id="750" w:name="bookmark750"/>
      <w:bookmarkStart w:id="751" w:name="bookmark751"/>
      <w:bookmarkStart w:id="752" w:name="bookmark752"/>
      <w:bookmarkStart w:id="753" w:name="bookmark753"/>
      <w:r>
        <w:rPr>
          <w:color w:val="000000"/>
          <w:spacing w:val="0"/>
          <w:w w:val="100"/>
          <w:position w:val="0"/>
        </w:rPr>
        <w:t>（</w:t>
      </w:r>
      <w:bookmarkEnd w:id="752"/>
      <w:r>
        <w:rPr>
          <w:rFonts w:ascii="Times New Roman" w:eastAsia="Times New Roman" w:hAnsi="Times New Roman" w:cs="Times New Roman"/>
          <w:color w:val="000000"/>
          <w:spacing w:val="0"/>
          <w:w w:val="100"/>
          <w:position w:val="0"/>
        </w:rPr>
        <w:t>2</w:t>
      </w:r>
      <w:r>
        <w:rPr>
          <w:color w:val="000000"/>
          <w:spacing w:val="0"/>
          <w:w w:val="100"/>
          <w:position w:val="0"/>
        </w:rPr>
        <w:t>）会计政策</w:t>
      </w:r>
      <w:bookmarkEnd w:id="750"/>
      <w:bookmarkEnd w:id="751"/>
      <w:bookmarkEnd w:id="753"/>
    </w:p>
    <w:p>
      <w:pPr>
        <w:pStyle w:val="Style24"/>
        <w:keepNext w:val="0"/>
        <w:keepLines w:val="0"/>
        <w:widowControl w:val="0"/>
        <w:shd w:val="clear" w:color="auto" w:fill="auto"/>
        <w:tabs>
          <w:tab w:pos="397" w:val="left"/>
        </w:tabs>
        <w:bidi w:val="0"/>
        <w:spacing w:before="0" w:after="0" w:line="312" w:lineRule="exact"/>
        <w:ind w:left="0" w:right="0" w:firstLine="0"/>
        <w:jc w:val="left"/>
      </w:pPr>
      <w:bookmarkStart w:id="754" w:name="bookmark754"/>
      <w:r>
        <w:rPr>
          <w:rFonts w:ascii="Times New Roman" w:eastAsia="Times New Roman" w:hAnsi="Times New Roman" w:cs="Times New Roman"/>
          <w:color w:val="000000"/>
          <w:spacing w:val="0"/>
          <w:w w:val="100"/>
          <w:position w:val="0"/>
        </w:rPr>
        <w:t>A</w:t>
      </w:r>
      <w:bookmarkEnd w:id="754"/>
      <w:r>
        <w:rPr>
          <w:color w:val="000000"/>
          <w:spacing w:val="0"/>
          <w:w w:val="100"/>
          <w:position w:val="0"/>
        </w:rPr>
        <w:t>、</w:t>
        <w:tab/>
      </w:r>
      <w:r>
        <w:rPr>
          <w:color w:val="000000"/>
          <w:spacing w:val="0"/>
          <w:w w:val="100"/>
          <w:position w:val="0"/>
        </w:rPr>
        <w:t>政府补助同时满足下列条件时，才能予以确认：</w:t>
      </w:r>
    </w:p>
    <w:p>
      <w:pPr>
        <w:pStyle w:val="Style24"/>
        <w:keepNext w:val="0"/>
        <w:keepLines w:val="0"/>
        <w:widowControl w:val="0"/>
        <w:numPr>
          <w:ilvl w:val="0"/>
          <w:numId w:val="33"/>
        </w:numPr>
        <w:shd w:val="clear" w:color="auto" w:fill="auto"/>
        <w:tabs>
          <w:tab w:pos="373" w:val="left"/>
        </w:tabs>
        <w:bidi w:val="0"/>
        <w:spacing w:before="0" w:after="0" w:line="312" w:lineRule="exact"/>
        <w:ind w:left="0" w:right="0" w:firstLine="0"/>
        <w:jc w:val="left"/>
      </w:pPr>
      <w:bookmarkStart w:id="755" w:name="bookmark755"/>
      <w:bookmarkEnd w:id="755"/>
      <w:r>
        <w:rPr>
          <w:color w:val="000000"/>
          <w:spacing w:val="0"/>
          <w:w w:val="100"/>
          <w:position w:val="0"/>
        </w:rPr>
        <w:t>企业能够满足政府补助所要求的条件；</w:t>
      </w:r>
    </w:p>
    <w:p>
      <w:pPr>
        <w:pStyle w:val="Style24"/>
        <w:keepNext w:val="0"/>
        <w:keepLines w:val="0"/>
        <w:widowControl w:val="0"/>
        <w:numPr>
          <w:ilvl w:val="0"/>
          <w:numId w:val="33"/>
        </w:numPr>
        <w:shd w:val="clear" w:color="auto" w:fill="auto"/>
        <w:tabs>
          <w:tab w:pos="373" w:val="left"/>
        </w:tabs>
        <w:bidi w:val="0"/>
        <w:spacing w:before="0" w:after="0" w:line="312" w:lineRule="exact"/>
        <w:ind w:left="0" w:right="0" w:firstLine="0"/>
        <w:jc w:val="left"/>
      </w:pPr>
      <w:bookmarkStart w:id="756" w:name="bookmark756"/>
      <w:bookmarkEnd w:id="756"/>
      <w:r>
        <w:rPr>
          <w:color w:val="000000"/>
          <w:spacing w:val="0"/>
          <w:w w:val="100"/>
          <w:position w:val="0"/>
        </w:rPr>
        <w:t>企业能够收到政府补助。</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政府补助为货币性资产的，应当按照收到或应收的金额计量，政府补助为非货币性资产的，应当按照公允价值计量；公允价 值不能可靠取得的，按照名义金额计量。</w:t>
      </w:r>
    </w:p>
    <w:p>
      <w:pPr>
        <w:pStyle w:val="Style24"/>
        <w:keepNext w:val="0"/>
        <w:keepLines w:val="0"/>
        <w:widowControl w:val="0"/>
        <w:shd w:val="clear" w:color="auto" w:fill="auto"/>
        <w:tabs>
          <w:tab w:pos="397" w:val="left"/>
        </w:tabs>
        <w:bidi w:val="0"/>
        <w:spacing w:before="0" w:after="0" w:line="312" w:lineRule="exact"/>
        <w:ind w:left="0" w:right="0" w:firstLine="0"/>
        <w:jc w:val="left"/>
      </w:pPr>
      <w:bookmarkStart w:id="757" w:name="bookmark757"/>
      <w:r>
        <w:rPr>
          <w:rFonts w:ascii="Times New Roman" w:eastAsia="Times New Roman" w:hAnsi="Times New Roman" w:cs="Times New Roman"/>
          <w:color w:val="000000"/>
          <w:spacing w:val="0"/>
          <w:w w:val="100"/>
          <w:position w:val="0"/>
        </w:rPr>
        <w:t>B</w:t>
      </w:r>
      <w:bookmarkEnd w:id="757"/>
      <w:r>
        <w:rPr>
          <w:color w:val="000000"/>
          <w:spacing w:val="0"/>
          <w:w w:val="100"/>
          <w:position w:val="0"/>
        </w:rPr>
        <w:t>、</w:t>
        <w:tab/>
      </w:r>
      <w:r>
        <w:rPr>
          <w:color w:val="000000"/>
          <w:spacing w:val="0"/>
          <w:w w:val="100"/>
          <w:position w:val="0"/>
        </w:rPr>
        <w:t>与资产相关的政府补助核算</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确认为递延收益，自相关资产可供使用时起，按照相关资产的预计使用期限，将递延收益平均分摊转入当期损益。</w:t>
      </w:r>
    </w:p>
    <w:p>
      <w:pPr>
        <w:pStyle w:val="Style24"/>
        <w:keepNext w:val="0"/>
        <w:keepLines w:val="0"/>
        <w:widowControl w:val="0"/>
        <w:shd w:val="clear" w:color="auto" w:fill="auto"/>
        <w:tabs>
          <w:tab w:pos="397" w:val="left"/>
        </w:tabs>
        <w:bidi w:val="0"/>
        <w:spacing w:before="0" w:after="0" w:line="312" w:lineRule="exact"/>
        <w:ind w:left="0" w:right="0" w:firstLine="0"/>
        <w:jc w:val="left"/>
      </w:pPr>
      <w:bookmarkStart w:id="758" w:name="bookmark758"/>
      <w:r>
        <w:rPr>
          <w:rFonts w:ascii="Times New Roman" w:eastAsia="Times New Roman" w:hAnsi="Times New Roman" w:cs="Times New Roman"/>
          <w:color w:val="000000"/>
          <w:spacing w:val="0"/>
          <w:w w:val="100"/>
          <w:position w:val="0"/>
        </w:rPr>
        <w:t>C</w:t>
      </w:r>
      <w:bookmarkEnd w:id="758"/>
      <w:r>
        <w:rPr>
          <w:color w:val="000000"/>
          <w:spacing w:val="0"/>
          <w:w w:val="100"/>
          <w:position w:val="0"/>
        </w:rPr>
        <w:t>、</w:t>
        <w:tab/>
      </w:r>
      <w:r>
        <w:rPr>
          <w:color w:val="000000"/>
          <w:spacing w:val="0"/>
          <w:w w:val="100"/>
          <w:position w:val="0"/>
        </w:rPr>
        <w:t>与收益相关的政府补助核算</w:t>
      </w:r>
    </w:p>
    <w:p>
      <w:pPr>
        <w:pStyle w:val="Style24"/>
        <w:keepNext w:val="0"/>
        <w:keepLines w:val="0"/>
        <w:widowControl w:val="0"/>
        <w:numPr>
          <w:ilvl w:val="0"/>
          <w:numId w:val="35"/>
        </w:numPr>
        <w:shd w:val="clear" w:color="auto" w:fill="auto"/>
        <w:tabs>
          <w:tab w:pos="373" w:val="left"/>
        </w:tabs>
        <w:bidi w:val="0"/>
        <w:spacing w:before="0" w:after="0" w:line="312" w:lineRule="exact"/>
        <w:ind w:left="0" w:right="0" w:firstLine="0"/>
        <w:jc w:val="left"/>
      </w:pPr>
      <w:bookmarkStart w:id="759" w:name="bookmark759"/>
      <w:bookmarkEnd w:id="759"/>
      <w:r>
        <w:rPr>
          <w:color w:val="000000"/>
          <w:spacing w:val="0"/>
          <w:w w:val="100"/>
          <w:position w:val="0"/>
        </w:rPr>
        <w:t>用于补偿企业以后期间的相关费用或损失的，确认为递延收益，并在确认相关费用的期间，计入当期损益。</w:t>
      </w:r>
    </w:p>
    <w:p>
      <w:pPr>
        <w:pStyle w:val="Style24"/>
        <w:keepNext w:val="0"/>
        <w:keepLines w:val="0"/>
        <w:widowControl w:val="0"/>
        <w:numPr>
          <w:ilvl w:val="0"/>
          <w:numId w:val="35"/>
        </w:numPr>
        <w:shd w:val="clear" w:color="auto" w:fill="auto"/>
        <w:tabs>
          <w:tab w:pos="373" w:val="left"/>
        </w:tabs>
        <w:bidi w:val="0"/>
        <w:spacing w:before="0" w:after="680" w:line="312" w:lineRule="exact"/>
        <w:ind w:left="0" w:right="0" w:firstLine="0"/>
        <w:jc w:val="left"/>
      </w:pPr>
      <w:bookmarkStart w:id="760" w:name="bookmark760"/>
      <w:bookmarkEnd w:id="760"/>
      <w:r>
        <w:rPr>
          <w:color w:val="000000"/>
          <w:spacing w:val="0"/>
          <w:w w:val="100"/>
          <w:position w:val="0"/>
        </w:rPr>
        <w:t>用于补偿企业已发生的相关费用或损失的，计入当期损益。</w:t>
      </w:r>
    </w:p>
    <w:p>
      <w:pPr>
        <w:pStyle w:val="Style29"/>
        <w:keepNext/>
        <w:keepLines/>
        <w:widowControl w:val="0"/>
        <w:shd w:val="clear" w:color="auto" w:fill="auto"/>
        <w:tabs>
          <w:tab w:pos="488" w:val="left"/>
        </w:tabs>
        <w:bidi w:val="0"/>
        <w:spacing w:before="0" w:after="36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2</w:t>
      </w:r>
      <w:bookmarkEnd w:id="763"/>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761"/>
      <w:bookmarkEnd w:id="762"/>
      <w:bookmarkEnd w:id="764"/>
    </w:p>
    <w:p>
      <w:pPr>
        <w:pStyle w:val="Style29"/>
        <w:keepNext/>
        <w:keepLines/>
        <w:widowControl w:val="0"/>
        <w:shd w:val="clear" w:color="auto" w:fill="auto"/>
        <w:tabs>
          <w:tab w:pos="493" w:val="left"/>
        </w:tabs>
        <w:bidi w:val="0"/>
        <w:spacing w:before="0" w:after="280" w:line="240" w:lineRule="auto"/>
        <w:ind w:left="0" w:right="0" w:firstLine="0"/>
        <w:jc w:val="left"/>
      </w:pPr>
      <w:bookmarkStart w:id="761" w:name="bookmark761"/>
      <w:bookmarkStart w:id="762" w:name="bookmark762"/>
      <w:bookmarkStart w:id="765" w:name="bookmark765"/>
      <w:bookmarkStart w:id="766" w:name="bookmark766"/>
      <w:r>
        <w:rPr>
          <w:color w:val="000000"/>
          <w:spacing w:val="0"/>
          <w:w w:val="100"/>
          <w:position w:val="0"/>
        </w:rPr>
        <w:t>（</w:t>
      </w:r>
      <w:bookmarkEnd w:id="765"/>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761"/>
      <w:bookmarkEnd w:id="762"/>
      <w:bookmarkEnd w:id="766"/>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递延所得税资产根据可抵扣暂时性差异确定。暂时性差异是指资产或负债的账面价值与其计税基础之间的差额，包括能够结 转以后年度的可抵扣亏损和税款抵减。递延所得税资产的确认以很可能取得用来抵扣可抵扣暂时性差异的应纳税所得额为 限。</w:t>
      </w:r>
    </w:p>
    <w:p>
      <w:pPr>
        <w:pStyle w:val="Style29"/>
        <w:keepNext/>
        <w:keepLines/>
        <w:widowControl w:val="0"/>
        <w:shd w:val="clear" w:color="auto" w:fill="auto"/>
        <w:tabs>
          <w:tab w:pos="493" w:val="left"/>
        </w:tabs>
        <w:bidi w:val="0"/>
        <w:spacing w:before="0" w:after="280" w:line="240" w:lineRule="auto"/>
        <w:ind w:left="0" w:right="0" w:firstLine="0"/>
        <w:jc w:val="left"/>
      </w:pPr>
      <w:bookmarkStart w:id="767" w:name="bookmark767"/>
      <w:bookmarkStart w:id="768" w:name="bookmark768"/>
      <w:bookmarkStart w:id="769" w:name="bookmark769"/>
      <w:bookmarkStart w:id="770" w:name="bookmark770"/>
      <w:r>
        <w:rPr>
          <w:color w:val="000000"/>
          <w:spacing w:val="0"/>
          <w:w w:val="100"/>
          <w:position w:val="0"/>
        </w:rPr>
        <w:t>（</w:t>
      </w:r>
      <w:bookmarkEnd w:id="769"/>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767"/>
      <w:bookmarkEnd w:id="768"/>
      <w:bookmarkEnd w:id="770"/>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递延所得税负债根据应纳税暂时性差异确定。</w:t>
      </w:r>
    </w:p>
    <w:p>
      <w:pPr>
        <w:pStyle w:val="Style29"/>
        <w:keepNext/>
        <w:keepLines/>
        <w:widowControl w:val="0"/>
        <w:shd w:val="clear" w:color="auto" w:fill="auto"/>
        <w:tabs>
          <w:tab w:pos="488" w:val="left"/>
        </w:tabs>
        <w:bidi w:val="0"/>
        <w:spacing w:before="0" w:after="36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2</w:t>
      </w:r>
      <w:bookmarkEnd w:id="773"/>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771"/>
      <w:bookmarkEnd w:id="772"/>
      <w:bookmarkEnd w:id="774"/>
    </w:p>
    <w:p>
      <w:pPr>
        <w:pStyle w:val="Style29"/>
        <w:keepNext/>
        <w:keepLines/>
        <w:widowControl w:val="0"/>
        <w:shd w:val="clear" w:color="auto" w:fill="auto"/>
        <w:tabs>
          <w:tab w:pos="493" w:val="left"/>
        </w:tabs>
        <w:bidi w:val="0"/>
        <w:spacing w:before="0" w:after="280" w:line="240" w:lineRule="auto"/>
        <w:ind w:left="0" w:right="0" w:firstLine="0"/>
        <w:jc w:val="left"/>
      </w:pPr>
      <w:bookmarkStart w:id="771" w:name="bookmark771"/>
      <w:bookmarkStart w:id="772" w:name="bookmark772"/>
      <w:bookmarkStart w:id="775" w:name="bookmark775"/>
      <w:bookmarkStart w:id="776" w:name="bookmark776"/>
      <w:r>
        <w:rPr>
          <w:color w:val="000000"/>
          <w:spacing w:val="0"/>
          <w:w w:val="100"/>
          <w:position w:val="0"/>
        </w:rPr>
        <w:t>（</w:t>
      </w:r>
      <w:bookmarkEnd w:id="775"/>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771"/>
      <w:bookmarkEnd w:id="772"/>
      <w:bookmarkEnd w:id="776"/>
    </w:p>
    <w:p>
      <w:pPr>
        <w:pStyle w:val="Style24"/>
        <w:keepNext w:val="0"/>
        <w:keepLines w:val="0"/>
        <w:widowControl w:val="0"/>
        <w:shd w:val="clear" w:color="auto" w:fill="auto"/>
        <w:bidi w:val="0"/>
        <w:spacing w:before="0" w:after="0" w:line="312" w:lineRule="exact"/>
        <w:ind w:left="0" w:right="0" w:firstLine="240"/>
        <w:jc w:val="left"/>
      </w:pPr>
      <w:r>
        <w:rPr>
          <w:color w:val="000000"/>
          <w:spacing w:val="0"/>
          <w:w w:val="100"/>
          <w:position w:val="0"/>
        </w:rPr>
        <w:t>经营租赁租入资产，经营租赁租入资产的租金费用在租赁期内按直线法确认为相关资产成本或费用。或有租金在实际发 生时计入当期损益。经营租赁租入资产的改良支出计入长期待摊费用，在预计使用年限和租赁期限孰短内进行摊销。</w:t>
      </w:r>
    </w:p>
    <w:p>
      <w:pPr>
        <w:pStyle w:val="Style24"/>
        <w:keepNext w:val="0"/>
        <w:keepLines w:val="0"/>
        <w:widowControl w:val="0"/>
        <w:shd w:val="clear" w:color="auto" w:fill="auto"/>
        <w:bidi w:val="0"/>
        <w:spacing w:before="0" w:after="360" w:line="312" w:lineRule="exact"/>
        <w:ind w:left="0" w:right="0" w:firstLine="240"/>
        <w:jc w:val="left"/>
      </w:pPr>
      <w:r>
        <w:rPr>
          <w:color w:val="000000"/>
          <w:spacing w:val="0"/>
          <w:w w:val="100"/>
          <w:position w:val="0"/>
        </w:rPr>
        <w:t>经营租赁租出资产，经营租赁租出资产所产生的租金收入在租赁期内按直线法确认为收入。经营租赁租出资产发生的初 始直接费用，金额较大时应当资本化，在整个租赁期内按照与确认租金收入相同的基础分期计入当期损益；金额较小时，直 接计入当期损益。或有租金在实际发生时计入当期损益。</w:t>
      </w:r>
    </w:p>
    <w:p>
      <w:pPr>
        <w:pStyle w:val="Style29"/>
        <w:keepNext/>
        <w:keepLines/>
        <w:widowControl w:val="0"/>
        <w:shd w:val="clear" w:color="auto" w:fill="auto"/>
        <w:tabs>
          <w:tab w:pos="493" w:val="left"/>
        </w:tabs>
        <w:bidi w:val="0"/>
        <w:spacing w:before="0" w:after="280" w:line="240" w:lineRule="auto"/>
        <w:ind w:left="0" w:right="0" w:firstLine="0"/>
        <w:jc w:val="left"/>
      </w:pPr>
      <w:bookmarkStart w:id="777" w:name="bookmark777"/>
      <w:bookmarkStart w:id="778" w:name="bookmark778"/>
      <w:bookmarkStart w:id="779" w:name="bookmark779"/>
      <w:bookmarkStart w:id="780" w:name="bookmark780"/>
      <w:r>
        <w:rPr>
          <w:color w:val="000000"/>
          <w:spacing w:val="0"/>
          <w:w w:val="100"/>
          <w:position w:val="0"/>
        </w:rPr>
        <w:t>（</w:t>
      </w:r>
      <w:bookmarkEnd w:id="779"/>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777"/>
      <w:bookmarkEnd w:id="778"/>
      <w:bookmarkEnd w:id="780"/>
    </w:p>
    <w:p>
      <w:pPr>
        <w:pStyle w:val="Style24"/>
        <w:keepNext w:val="0"/>
        <w:keepLines w:val="0"/>
        <w:widowControl w:val="0"/>
        <w:shd w:val="clear" w:color="auto" w:fill="auto"/>
        <w:bidi w:val="0"/>
        <w:spacing w:before="0" w:after="0" w:line="313" w:lineRule="exact"/>
        <w:ind w:left="0" w:right="0" w:firstLine="460"/>
        <w:jc w:val="left"/>
      </w:pPr>
      <w:r>
        <w:rPr>
          <w:color w:val="000000"/>
          <w:spacing w:val="0"/>
          <w:w w:val="100"/>
          <w:position w:val="0"/>
        </w:rPr>
        <w:t>融资租赁租入资产，本公司融资租入资产按租赁开始日租赁资产公允价值与最低租赁付款额现值两者中较低者作为租 入资产的入账价值，将最低租赁付款额作为长期应付款的入账价值，其差额作为未确认融资费用。本公司将因融资租赁发生 的初始直接费用计入租入资产价值。对能够合理确定租赁期届满时取得租入资产所有权的，租入资产在使用寿命内计提折旧。 否则，租赁资产在租赁期与租赁资产使用寿命两者中较短的期间内计提折旧。资产负债表日，本公司将与融资租赁相关的长 期应付款减去未确认融资费用的差额，分别以长期负债和一年内到期的长期负债列示。或有租金在实际发生时计入当期损益。</w:t>
      </w:r>
    </w:p>
    <w:p>
      <w:pPr>
        <w:pStyle w:val="Style24"/>
        <w:keepNext w:val="0"/>
        <w:keepLines w:val="0"/>
        <w:widowControl w:val="0"/>
        <w:shd w:val="clear" w:color="auto" w:fill="auto"/>
        <w:bidi w:val="0"/>
        <w:spacing w:before="0" w:after="360" w:line="313" w:lineRule="exact"/>
        <w:ind w:left="0" w:right="0" w:firstLine="460"/>
        <w:jc w:val="left"/>
      </w:pPr>
      <w:r>
        <w:rPr>
          <w:color w:val="000000"/>
          <w:spacing w:val="0"/>
          <w:w w:val="100"/>
          <w:position w:val="0"/>
        </w:rPr>
        <w:t xml:space="preserve">融资租赁租出资产，本公司将租赁开始日最低租赁收款额与初始直接费用之和作为应收融资租赁款的入账价值，同时 记录未担保余值；将最低租赁收款额、初始直接费用及未担保余值之和与其现值之和的差额确认为未实现融资收益。本公司 </w:t>
      </w:r>
      <w:r>
        <w:rPr>
          <w:color w:val="000000"/>
          <w:spacing w:val="0"/>
          <w:w w:val="100"/>
          <w:position w:val="0"/>
        </w:rPr>
        <w:t>采用实际利率法在租赁期内各个期间分配未实现融资收益。资产负债表日，本公司将应收融资租赁款减去未实现融资收益的 差额，分别列入资产负债表中长期应收款以及一年内到期的非流动资产。本公司至少于每年年度终了对未担保余值进行复核， 未担保余值的预计可收回金额低于其账面价值时，确认资产减值损失。如果有迹象表明以前年度据以计提减值的因素发生变 化，使得未担保余值的可收回金额大于其账面价值，其差额在以前年度已确认的资产减值损失金额内转回，转回的资产减值 损失计入当期损益。</w:t>
      </w:r>
    </w:p>
    <w:p>
      <w:pPr>
        <w:pStyle w:val="Style29"/>
        <w:keepNext/>
        <w:keepLines/>
        <w:widowControl w:val="0"/>
        <w:shd w:val="clear" w:color="auto" w:fill="auto"/>
        <w:bidi w:val="0"/>
        <w:spacing w:before="0" w:after="260" w:line="240" w:lineRule="auto"/>
        <w:ind w:left="0" w:right="0" w:firstLine="0"/>
        <w:jc w:val="both"/>
      </w:pPr>
      <w:bookmarkStart w:id="781" w:name="bookmark781"/>
      <w:bookmarkStart w:id="782" w:name="bookmark782"/>
      <w:bookmarkStart w:id="783" w:name="bookmark783"/>
      <w:bookmarkStart w:id="784" w:name="bookmark784"/>
      <w:r>
        <w:rPr>
          <w:color w:val="000000"/>
          <w:spacing w:val="0"/>
          <w:w w:val="100"/>
          <w:position w:val="0"/>
        </w:rPr>
        <w:t>（</w:t>
      </w:r>
      <w:bookmarkEnd w:id="783"/>
      <w:r>
        <w:rPr>
          <w:rFonts w:ascii="Times New Roman" w:eastAsia="Times New Roman" w:hAnsi="Times New Roman" w:cs="Times New Roman"/>
          <w:color w:val="000000"/>
          <w:spacing w:val="0"/>
          <w:w w:val="100"/>
          <w:position w:val="0"/>
        </w:rPr>
        <w:t>3</w:t>
      </w:r>
      <w:r>
        <w:rPr>
          <w:color w:val="000000"/>
          <w:spacing w:val="0"/>
          <w:w w:val="100"/>
          <w:position w:val="0"/>
        </w:rPr>
        <w:t>）售后租回的会计处理</w:t>
      </w:r>
      <w:bookmarkEnd w:id="781"/>
      <w:bookmarkEnd w:id="782"/>
      <w:bookmarkEnd w:id="784"/>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88" w:val="left"/>
        </w:tabs>
        <w:bidi w:val="0"/>
        <w:spacing w:before="0" w:after="360" w:line="240" w:lineRule="auto"/>
        <w:ind w:left="0" w:right="0" w:firstLine="0"/>
        <w:jc w:val="both"/>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3</w:t>
      </w:r>
      <w:bookmarkEnd w:id="787"/>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785"/>
      <w:bookmarkEnd w:id="786"/>
      <w:bookmarkEnd w:id="788"/>
    </w:p>
    <w:p>
      <w:pPr>
        <w:pStyle w:val="Style29"/>
        <w:keepNext/>
        <w:keepLines/>
        <w:widowControl w:val="0"/>
        <w:shd w:val="clear" w:color="auto" w:fill="auto"/>
        <w:tabs>
          <w:tab w:pos="493" w:val="left"/>
        </w:tabs>
        <w:bidi w:val="0"/>
        <w:spacing w:before="0" w:after="260" w:line="240" w:lineRule="auto"/>
        <w:ind w:left="0" w:right="0" w:firstLine="0"/>
        <w:jc w:val="both"/>
      </w:pPr>
      <w:bookmarkStart w:id="785" w:name="bookmark785"/>
      <w:bookmarkStart w:id="786" w:name="bookmark786"/>
      <w:bookmarkStart w:id="789" w:name="bookmark789"/>
      <w:bookmarkStart w:id="790" w:name="bookmark790"/>
      <w:r>
        <w:rPr>
          <w:color w:val="000000"/>
          <w:spacing w:val="0"/>
          <w:w w:val="100"/>
          <w:position w:val="0"/>
        </w:rPr>
        <w:t>（</w:t>
      </w:r>
      <w:bookmarkEnd w:id="789"/>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785"/>
      <w:bookmarkEnd w:id="786"/>
      <w:bookmarkEnd w:id="790"/>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不适用</w:t>
      </w:r>
    </w:p>
    <w:p>
      <w:pPr>
        <w:pStyle w:val="Style29"/>
        <w:keepNext/>
        <w:keepLines/>
        <w:widowControl w:val="0"/>
        <w:shd w:val="clear" w:color="auto" w:fill="auto"/>
        <w:tabs>
          <w:tab w:pos="493" w:val="left"/>
        </w:tabs>
        <w:bidi w:val="0"/>
        <w:spacing w:before="0" w:after="260" w:line="240" w:lineRule="auto"/>
        <w:ind w:left="0" w:right="0" w:firstLine="0"/>
        <w:jc w:val="both"/>
      </w:pPr>
      <w:bookmarkStart w:id="791" w:name="bookmark791"/>
      <w:bookmarkStart w:id="792" w:name="bookmark792"/>
      <w:bookmarkStart w:id="793" w:name="bookmark793"/>
      <w:bookmarkStart w:id="794" w:name="bookmark794"/>
      <w:r>
        <w:rPr>
          <w:color w:val="000000"/>
          <w:spacing w:val="0"/>
          <w:w w:val="100"/>
          <w:position w:val="0"/>
        </w:rPr>
        <w:t>（</w:t>
      </w:r>
      <w:bookmarkEnd w:id="793"/>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791"/>
      <w:bookmarkEnd w:id="792"/>
      <w:bookmarkEnd w:id="794"/>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不适用</w:t>
      </w:r>
    </w:p>
    <w:p>
      <w:pPr>
        <w:pStyle w:val="Style29"/>
        <w:keepNext/>
        <w:keepLines/>
        <w:widowControl w:val="0"/>
        <w:shd w:val="clear" w:color="auto" w:fill="auto"/>
        <w:tabs>
          <w:tab w:pos="488" w:val="left"/>
        </w:tabs>
        <w:bidi w:val="0"/>
        <w:spacing w:before="0" w:after="260" w:line="240" w:lineRule="auto"/>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3</w:t>
      </w:r>
      <w:bookmarkEnd w:id="797"/>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795"/>
      <w:bookmarkEnd w:id="796"/>
      <w:bookmarkEnd w:id="798"/>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不适用</w:t>
      </w:r>
    </w:p>
    <w:p>
      <w:pPr>
        <w:pStyle w:val="Style29"/>
        <w:keepNext/>
        <w:keepLines/>
        <w:widowControl w:val="0"/>
        <w:shd w:val="clear" w:color="auto" w:fill="auto"/>
        <w:tabs>
          <w:tab w:pos="488" w:val="left"/>
        </w:tabs>
        <w:bidi w:val="0"/>
        <w:spacing w:before="0" w:after="260" w:line="240" w:lineRule="auto"/>
        <w:ind w:left="0" w:right="0" w:firstLine="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3</w:t>
      </w:r>
      <w:bookmarkEnd w:id="801"/>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799"/>
      <w:bookmarkEnd w:id="800"/>
      <w:bookmarkEnd w:id="802"/>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不适用</w:t>
      </w:r>
    </w:p>
    <w:p>
      <w:pPr>
        <w:pStyle w:val="Style29"/>
        <w:keepNext/>
        <w:keepLines/>
        <w:widowControl w:val="0"/>
        <w:shd w:val="clear" w:color="auto" w:fill="auto"/>
        <w:tabs>
          <w:tab w:pos="488" w:val="left"/>
        </w:tabs>
        <w:bidi w:val="0"/>
        <w:spacing w:before="0" w:after="260" w:line="240" w:lineRule="auto"/>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3</w:t>
      </w:r>
      <w:bookmarkEnd w:id="805"/>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803"/>
      <w:bookmarkEnd w:id="804"/>
      <w:bookmarkEnd w:id="806"/>
    </w:p>
    <w:p>
      <w:pPr>
        <w:pStyle w:val="Style24"/>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本报告期主要会计政策、会计估计是否变更</w:t>
      </w:r>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本报告期主要会计政策、会计估计未变更。</w:t>
      </w:r>
    </w:p>
    <w:p>
      <w:pPr>
        <w:pStyle w:val="Style29"/>
        <w:keepNext/>
        <w:keepLines/>
        <w:widowControl w:val="0"/>
        <w:shd w:val="clear" w:color="auto" w:fill="auto"/>
        <w:tabs>
          <w:tab w:pos="493" w:val="left"/>
        </w:tabs>
        <w:bidi w:val="0"/>
        <w:spacing w:before="0" w:after="260" w:line="240" w:lineRule="auto"/>
        <w:ind w:left="0" w:right="0" w:firstLine="0"/>
        <w:jc w:val="both"/>
      </w:pPr>
      <w:bookmarkStart w:id="807" w:name="bookmark807"/>
      <w:bookmarkStart w:id="808" w:name="bookmark808"/>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807"/>
      <w:bookmarkEnd w:id="808"/>
      <w:bookmarkEnd w:id="810"/>
    </w:p>
    <w:p>
      <w:pPr>
        <w:pStyle w:val="Style24"/>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本报告期主要会计政策是否变更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本报告期主要会计政策未变更。</w:t>
      </w:r>
    </w:p>
    <w:p>
      <w:pPr>
        <w:pStyle w:val="Style29"/>
        <w:keepNext/>
        <w:keepLines/>
        <w:widowControl w:val="0"/>
        <w:shd w:val="clear" w:color="auto" w:fill="auto"/>
        <w:tabs>
          <w:tab w:pos="493" w:val="left"/>
        </w:tabs>
        <w:bidi w:val="0"/>
        <w:spacing w:before="0" w:after="260" w:line="240" w:lineRule="auto"/>
        <w:ind w:left="0" w:right="0" w:firstLine="0"/>
        <w:jc w:val="both"/>
      </w:pPr>
      <w:bookmarkStart w:id="811" w:name="bookmark811"/>
      <w:bookmarkStart w:id="812" w:name="bookmark812"/>
      <w:bookmarkStart w:id="813" w:name="bookmark813"/>
      <w:bookmarkStart w:id="814" w:name="bookmark814"/>
      <w:r>
        <w:rPr>
          <w:color w:val="000000"/>
          <w:spacing w:val="0"/>
          <w:w w:val="100"/>
          <w:position w:val="0"/>
        </w:rPr>
        <w:t>（</w:t>
      </w:r>
      <w:bookmarkEnd w:id="813"/>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811"/>
      <w:bookmarkEnd w:id="812"/>
      <w:bookmarkEnd w:id="814"/>
    </w:p>
    <w:p>
      <w:pPr>
        <w:pStyle w:val="Style24"/>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本报告期主要会计估计是否变更</w:t>
      </w:r>
    </w:p>
    <w:p>
      <w:pPr>
        <w:pStyle w:val="Style24"/>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本报告期主要会计估计未变更。</w:t>
      </w:r>
    </w:p>
    <w:p>
      <w:pPr>
        <w:pStyle w:val="Style29"/>
        <w:keepNext/>
        <w:keepLines/>
        <w:widowControl w:val="0"/>
        <w:shd w:val="clear" w:color="auto" w:fill="auto"/>
        <w:tabs>
          <w:tab w:pos="488" w:val="left"/>
        </w:tabs>
        <w:bidi w:val="0"/>
        <w:spacing w:before="0" w:after="36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3</w:t>
      </w:r>
      <w:bookmarkEnd w:id="817"/>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815"/>
      <w:bookmarkEnd w:id="816"/>
      <w:bookmarkEnd w:id="818"/>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本报告期是否发现前期会计差错</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本报告期未发现前期会计差错。</w:t>
      </w:r>
    </w:p>
    <w:p>
      <w:pPr>
        <w:pStyle w:val="Style29"/>
        <w:keepNext/>
        <w:keepLines/>
        <w:widowControl w:val="0"/>
        <w:numPr>
          <w:ilvl w:val="0"/>
          <w:numId w:val="37"/>
        </w:numPr>
        <w:shd w:val="clear" w:color="auto" w:fill="auto"/>
        <w:tabs>
          <w:tab w:pos="493" w:val="left"/>
        </w:tabs>
        <w:bidi w:val="0"/>
        <w:spacing w:before="0" w:after="360" w:line="240" w:lineRule="auto"/>
        <w:ind w:left="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追溯重述法</w:t>
      </w:r>
      <w:bookmarkEnd w:id="819"/>
      <w:bookmarkEnd w:id="820"/>
      <w:bookmarkEnd w:id="822"/>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本报告期是否发现采用追溯重述法的前期会计差错</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本报告期未发现采用追溯重述法的前期会计差错。</w:t>
      </w:r>
    </w:p>
    <w:p>
      <w:pPr>
        <w:pStyle w:val="Style29"/>
        <w:keepNext/>
        <w:keepLines/>
        <w:widowControl w:val="0"/>
        <w:numPr>
          <w:ilvl w:val="0"/>
          <w:numId w:val="37"/>
        </w:numPr>
        <w:shd w:val="clear" w:color="auto" w:fill="auto"/>
        <w:tabs>
          <w:tab w:pos="493" w:val="left"/>
        </w:tabs>
        <w:bidi w:val="0"/>
        <w:spacing w:before="0" w:after="360" w:line="240" w:lineRule="auto"/>
        <w:ind w:left="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未来适用法</w:t>
      </w:r>
      <w:bookmarkEnd w:id="823"/>
      <w:bookmarkEnd w:id="824"/>
      <w:bookmarkEnd w:id="826"/>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本报告期是否发现采用未来适用法的前期会计差错</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本报告期未发现采用未来适用法的前期会计差错。</w:t>
      </w:r>
    </w:p>
    <w:p>
      <w:pPr>
        <w:pStyle w:val="Style29"/>
        <w:keepNext/>
        <w:keepLines/>
        <w:widowControl w:val="0"/>
        <w:shd w:val="clear" w:color="auto" w:fill="auto"/>
        <w:tabs>
          <w:tab w:pos="488" w:val="left"/>
        </w:tabs>
        <w:bidi w:val="0"/>
        <w:spacing w:before="0" w:after="36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3</w:t>
      </w:r>
      <w:bookmarkEnd w:id="829"/>
      <w:r>
        <w:rPr>
          <w:rFonts w:ascii="Times New Roman" w:eastAsia="Times New Roman" w:hAnsi="Times New Roman" w:cs="Times New Roman"/>
          <w:color w:val="000000"/>
          <w:spacing w:val="0"/>
          <w:w w:val="100"/>
          <w:position w:val="0"/>
        </w:rPr>
        <w:t>5</w:t>
      </w:r>
      <w:r>
        <w:rPr>
          <w:color w:val="000000"/>
          <w:spacing w:val="0"/>
          <w:w w:val="100"/>
          <w:position w:val="0"/>
        </w:rPr>
        <w:t>、</w:t>
        <w:tab/>
        <w:t>其他主要会计政策、会计估计和财务报表编制方法</w:t>
      </w:r>
      <w:bookmarkEnd w:id="827"/>
      <w:bookmarkEnd w:id="828"/>
      <w:bookmarkEnd w:id="830"/>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831" w:name="bookmark831"/>
      <w:bookmarkStart w:id="832" w:name="bookmark832"/>
      <w:bookmarkStart w:id="833" w:name="bookmark833"/>
      <w:bookmarkStart w:id="834" w:name="bookmark834"/>
      <w:r>
        <w:rPr>
          <w:color w:val="000000"/>
          <w:spacing w:val="0"/>
          <w:w w:val="100"/>
          <w:position w:val="0"/>
          <w:sz w:val="24"/>
          <w:szCs w:val="24"/>
        </w:rPr>
        <w:t>五</w:t>
      </w:r>
      <w:bookmarkEnd w:id="833"/>
      <w:r>
        <w:rPr>
          <w:color w:val="000000"/>
          <w:spacing w:val="0"/>
          <w:w w:val="100"/>
          <w:position w:val="0"/>
          <w:sz w:val="24"/>
          <w:szCs w:val="24"/>
        </w:rPr>
        <w:t>、税项</w:t>
      </w:r>
      <w:bookmarkEnd w:id="831"/>
      <w:bookmarkEnd w:id="832"/>
      <w:bookmarkEnd w:id="834"/>
    </w:p>
    <w:p>
      <w:pPr>
        <w:pStyle w:val="Style29"/>
        <w:keepNext/>
        <w:keepLines/>
        <w:widowControl w:val="0"/>
        <w:shd w:val="clear" w:color="auto" w:fill="auto"/>
        <w:bidi w:val="0"/>
        <w:spacing w:before="0" w:after="320" w:line="240" w:lineRule="auto"/>
        <w:ind w:left="0" w:right="0" w:firstLine="0"/>
        <w:jc w:val="left"/>
      </w:pPr>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835"/>
      <w:bookmarkEnd w:id="836"/>
      <w:bookmarkEnd w:id="837"/>
    </w:p>
    <w:tbl>
      <w:tblPr>
        <w:tblOverlap w:val="never"/>
        <w:jc w:val="center"/>
        <w:tblLayout w:type="fixed"/>
      </w:tblPr>
      <w:tblGrid>
        <w:gridCol w:w="3518"/>
        <w:gridCol w:w="3024"/>
        <w:gridCol w:w="303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产品销售收入的增值额</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软件开发收入、软件服务收入及房屋租 赁收入</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133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月按 实际缴纳流转税的</w:t>
            </w:r>
            <w:r>
              <w:rPr>
                <w:rFonts w:ascii="Times New Roman" w:eastAsia="Times New Roman" w:hAnsi="Times New Roman" w:cs="Times New Roman"/>
                <w:color w:val="000000"/>
                <w:spacing w:val="0"/>
                <w:w w:val="100"/>
                <w:position w:val="0"/>
              </w:rPr>
              <w:t>1%</w:t>
            </w:r>
            <w:r>
              <w:rPr>
                <w:color w:val="000000"/>
                <w:spacing w:val="0"/>
                <w:w w:val="100"/>
                <w:position w:val="0"/>
              </w:rPr>
              <w:t>计缴城市维护建 设税，自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月起按实际缴纳流 转税的</w:t>
            </w:r>
            <w:r>
              <w:rPr>
                <w:rFonts w:ascii="Times New Roman" w:eastAsia="Times New Roman" w:hAnsi="Times New Roman" w:cs="Times New Roman"/>
                <w:color w:val="000000"/>
                <w:spacing w:val="0"/>
                <w:w w:val="100"/>
                <w:position w:val="0"/>
              </w:rPr>
              <w:t>7%</w:t>
            </w:r>
            <w:r>
              <w:rPr>
                <w:color w:val="000000"/>
                <w:spacing w:val="0"/>
                <w:w w:val="100"/>
                <w:position w:val="0"/>
              </w:rPr>
              <w:t>计缴城市维护建设税</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实际缴纳流转税</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1037"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房产原值一次减除</w:t>
            </w:r>
            <w:r>
              <w:rPr>
                <w:rFonts w:ascii="Times New Roman" w:eastAsia="Times New Roman" w:hAnsi="Times New Roman" w:cs="Times New Roman"/>
                <w:color w:val="000000"/>
                <w:spacing w:val="0"/>
                <w:w w:val="100"/>
                <w:position w:val="0"/>
              </w:rPr>
              <w:t>10-30</w:t>
            </w:r>
            <w:r>
              <w:rPr>
                <w:color w:val="000000"/>
                <w:spacing w:val="0"/>
                <w:w w:val="100"/>
                <w:position w:val="0"/>
              </w:rPr>
              <w:t>%后的余额的</w:t>
            </w:r>
          </w:p>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 xml:space="preserve">%计缴房产税或按房产租金收入的 </w:t>
            </w:r>
            <w:r>
              <w:rPr>
                <w:rFonts w:ascii="Times New Roman" w:eastAsia="Times New Roman" w:hAnsi="Times New Roman" w:cs="Times New Roman"/>
                <w:color w:val="000000"/>
                <w:spacing w:val="0"/>
                <w:w w:val="100"/>
                <w:position w:val="0"/>
              </w:rPr>
              <w:t>12</w:t>
            </w:r>
            <w:r>
              <w:rPr>
                <w:color w:val="000000"/>
                <w:spacing w:val="0"/>
                <w:w w:val="100"/>
                <w:position w:val="0"/>
              </w:rPr>
              <w:t>%计缴房产税</w:t>
            </w:r>
          </w:p>
        </w:tc>
        <w:tc>
          <w:tcPr>
            <w:tcBorders>
              <w:top w:val="single" w:sz="4"/>
              <w:left w:val="single" w:sz="4"/>
              <w:bottom w:val="single" w:sz="4"/>
              <w:right w:val="single" w:sz="4"/>
            </w:tcBorders>
            <w:shd w:val="clear" w:color="auto" w:fill="C8EDCC"/>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房产原值一次减除</w:t>
            </w:r>
            <w:r>
              <w:rPr>
                <w:rFonts w:ascii="Times New Roman" w:eastAsia="Times New Roman" w:hAnsi="Times New Roman" w:cs="Times New Roman"/>
                <w:color w:val="000000"/>
                <w:spacing w:val="0"/>
                <w:w w:val="100"/>
                <w:position w:val="0"/>
              </w:rPr>
              <w:t>10-30</w:t>
            </w:r>
            <w:r>
              <w:rPr>
                <w:color w:val="000000"/>
                <w:spacing w:val="0"/>
                <w:w w:val="100"/>
                <w:position w:val="0"/>
              </w:rPr>
              <w:t>%后的余额的</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%计缴房产税或按房产租金收入的</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%计缴房产税</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深圳市赢时胜信息技术股份有限公司北京分公司所得税税率为</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4"/>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深圳市赢时胜信息技术股份有限公司上海分公司所得税税率为</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9"/>
        <w:keepNext/>
        <w:keepLines/>
        <w:widowControl w:val="0"/>
        <w:shd w:val="clear" w:color="auto" w:fill="auto"/>
        <w:bidi w:val="0"/>
        <w:spacing w:before="0" w:after="280" w:line="240" w:lineRule="auto"/>
        <w:ind w:left="0" w:right="0" w:firstLine="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color w:val="000000"/>
          <w:spacing w:val="0"/>
          <w:w w:val="100"/>
          <w:position w:val="0"/>
        </w:rPr>
        <w:t>、税收优惠及批文</w:t>
      </w:r>
      <w:bookmarkEnd w:id="838"/>
      <w:bookmarkEnd w:id="839"/>
      <w:bookmarkEnd w:id="841"/>
    </w:p>
    <w:p>
      <w:pPr>
        <w:pStyle w:val="Style24"/>
        <w:keepNext w:val="0"/>
        <w:keepLines w:val="0"/>
        <w:widowControl w:val="0"/>
        <w:shd w:val="clear" w:color="auto" w:fill="auto"/>
        <w:tabs>
          <w:tab w:pos="380" w:val="left"/>
        </w:tabs>
        <w:bidi w:val="0"/>
        <w:spacing w:before="0" w:after="0" w:line="312" w:lineRule="exact"/>
        <w:ind w:left="0" w:right="0" w:firstLine="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rPr>
        <w:t>1</w:t>
      </w:r>
      <w:r>
        <w:rPr>
          <w:color w:val="000000"/>
          <w:spacing w:val="0"/>
          <w:w w:val="100"/>
          <w:position w:val="0"/>
        </w:rPr>
        <w:t>）</w:t>
        <w:tab/>
        <w:t>增值税</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日，国务院批准财政部、国家税务总局联合印发《营业税改征增值税试点方案》；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日，财政部、 国家税务总局发财税</w:t>
      </w:r>
      <w:r>
        <w:rPr>
          <w:rFonts w:ascii="Times New Roman" w:eastAsia="Times New Roman" w:hAnsi="Times New Roman" w:cs="Times New Roman"/>
          <w:color w:val="000000"/>
          <w:spacing w:val="0"/>
          <w:w w:val="100"/>
          <w:position w:val="0"/>
        </w:rPr>
        <w:t>[2011]111</w:t>
      </w:r>
      <w:r>
        <w:rPr>
          <w:color w:val="000000"/>
          <w:spacing w:val="0"/>
          <w:w w:val="100"/>
          <w:position w:val="0"/>
        </w:rPr>
        <w:t>号《关于在上海市开展交通运输业和部分现代服务业营业税改征增值税试点的通知》，上海 市自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日起完成新旧税制转换，按照此规定，本公司上海分公司服务费收入按</w:t>
      </w:r>
      <w:r>
        <w:rPr>
          <w:rFonts w:ascii="Times New Roman" w:eastAsia="Times New Roman" w:hAnsi="Times New Roman" w:cs="Times New Roman"/>
          <w:color w:val="000000"/>
          <w:spacing w:val="0"/>
          <w:w w:val="100"/>
          <w:position w:val="0"/>
        </w:rPr>
        <w:t>3%</w:t>
      </w:r>
      <w:r>
        <w:rPr>
          <w:color w:val="000000"/>
          <w:spacing w:val="0"/>
          <w:w w:val="100"/>
          <w:position w:val="0"/>
        </w:rPr>
        <w:t xml:space="preserve">计缴增值税，不再缴纳营业税；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日，财政部、国家税务总局发财税〔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71</w:t>
      </w:r>
      <w:r>
        <w:rPr>
          <w:color w:val="000000"/>
          <w:spacing w:val="0"/>
          <w:w w:val="100"/>
          <w:position w:val="0"/>
        </w:rPr>
        <w:t>号《关于在北京等</w:t>
      </w:r>
      <w:r>
        <w:rPr>
          <w:rFonts w:ascii="Times New Roman" w:eastAsia="Times New Roman" w:hAnsi="Times New Roman" w:cs="Times New Roman"/>
          <w:color w:val="000000"/>
          <w:spacing w:val="0"/>
          <w:w w:val="100"/>
          <w:position w:val="0"/>
        </w:rPr>
        <w:t>8</w:t>
      </w:r>
      <w:r>
        <w:rPr>
          <w:color w:val="000000"/>
          <w:spacing w:val="0"/>
          <w:w w:val="100"/>
          <w:position w:val="0"/>
        </w:rPr>
        <w:t>省市开展交通运输业和部分现代服务业营业税 改征增值税试点的通知》，北京市自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日起完成新旧税制转换，按照此规定，本公司北京分公司服务费收入按</w:t>
      </w:r>
      <w:r>
        <w:rPr>
          <w:rFonts w:ascii="Times New Roman" w:eastAsia="Times New Roman" w:hAnsi="Times New Roman" w:cs="Times New Roman"/>
          <w:color w:val="000000"/>
          <w:spacing w:val="0"/>
          <w:w w:val="100"/>
          <w:position w:val="0"/>
        </w:rPr>
        <w:t xml:space="preserve">3% </w:t>
      </w:r>
      <w:r>
        <w:rPr>
          <w:color w:val="000000"/>
          <w:spacing w:val="0"/>
          <w:w w:val="100"/>
          <w:position w:val="0"/>
        </w:rPr>
        <w:t>计缴增值税，不再缴纳营业税；深圳市自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日起完成新旧税制转换，按照此规定，本公司服务费收入和开发费收 入按</w:t>
      </w:r>
      <w:r>
        <w:rPr>
          <w:rFonts w:ascii="Times New Roman" w:eastAsia="Times New Roman" w:hAnsi="Times New Roman" w:cs="Times New Roman"/>
          <w:color w:val="000000"/>
          <w:spacing w:val="0"/>
          <w:w w:val="100"/>
          <w:position w:val="0"/>
        </w:rPr>
        <w:t>6%</w:t>
      </w:r>
      <w:r>
        <w:rPr>
          <w:color w:val="000000"/>
          <w:spacing w:val="0"/>
          <w:w w:val="100"/>
          <w:position w:val="0"/>
        </w:rPr>
        <w:t>计缴增值税。新旧税制转换前享受营业税免税优惠的定制软件开发费收入在完成税制转换后享受继续增值税免税优 惠。</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公司是经国家税务局认定的增值税一般纳税人，根据国务院《关于印发鼓励软件企业和集成电路产业发展若干政策的通知》 （国发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2000]18</w:t>
      </w:r>
      <w:r>
        <w:rPr>
          <w:color w:val="000000"/>
          <w:spacing w:val="0"/>
          <w:w w:val="100"/>
          <w:position w:val="0"/>
        </w:rPr>
        <w:t>号）和财政部、国家税务总局、海关总署《关于鼓励软件产业和集成电路产业发展有关税收问题的通知》（财 税</w:t>
      </w:r>
      <w:r>
        <w:rPr>
          <w:rFonts w:ascii="Times New Roman" w:eastAsia="Times New Roman" w:hAnsi="Times New Roman" w:cs="Times New Roman"/>
          <w:color w:val="000000"/>
          <w:spacing w:val="0"/>
          <w:w w:val="100"/>
          <w:position w:val="0"/>
        </w:rPr>
        <w:t>[2000]25</w:t>
      </w:r>
      <w:r>
        <w:rPr>
          <w:color w:val="000000"/>
          <w:spacing w:val="0"/>
          <w:w w:val="100"/>
          <w:position w:val="0"/>
        </w:rPr>
        <w:t>号）文的规定，自</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日起至</w:t>
      </w:r>
      <w:r>
        <w:rPr>
          <w:rFonts w:ascii="Times New Roman" w:eastAsia="Times New Roman" w:hAnsi="Times New Roman" w:cs="Times New Roman"/>
          <w:color w:val="000000"/>
          <w:spacing w:val="0"/>
          <w:w w:val="100"/>
          <w:position w:val="0"/>
        </w:rPr>
        <w:t>2010</w:t>
      </w:r>
      <w:r>
        <w:rPr>
          <w:color w:val="000000"/>
          <w:spacing w:val="0"/>
          <w:w w:val="100"/>
          <w:position w:val="0"/>
        </w:rPr>
        <w:t>年底，对增值税一般纳税人销售其自行开发生产的软件产品按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 定税率征收增值税后，对其增值税实际税负超过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日，国务院印发《进一步鼓励软件产业和集成电路产业发展若干政策的通知》（国发〔</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号文）；</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日，财政部、国家税务总局印发《关于软件产品增值税政策的通知》（财税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号文）。为扶持软件产业和 集成电路产业发展，通知规定自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日起继续实施软件产品增值税优惠政策。</w:t>
      </w:r>
    </w:p>
    <w:p>
      <w:pPr>
        <w:pStyle w:val="Style24"/>
        <w:keepNext w:val="0"/>
        <w:keepLines w:val="0"/>
        <w:widowControl w:val="0"/>
        <w:shd w:val="clear" w:color="auto" w:fill="auto"/>
        <w:tabs>
          <w:tab w:pos="385" w:val="left"/>
        </w:tabs>
        <w:bidi w:val="0"/>
        <w:spacing w:before="0" w:after="0" w:line="312" w:lineRule="exact"/>
        <w:ind w:left="0" w:right="0" w:firstLine="0"/>
        <w:jc w:val="left"/>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2</w:t>
      </w:r>
      <w:r>
        <w:rPr>
          <w:color w:val="000000"/>
          <w:spacing w:val="0"/>
          <w:w w:val="100"/>
          <w:position w:val="0"/>
        </w:rPr>
        <w:t>）</w:t>
        <w:tab/>
        <w:t>营业税</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依据财政部、国家税务局财税字</w:t>
      </w:r>
      <w:r>
        <w:rPr>
          <w:rFonts w:ascii="Times New Roman" w:eastAsia="Times New Roman" w:hAnsi="Times New Roman" w:cs="Times New Roman"/>
          <w:color w:val="000000"/>
          <w:spacing w:val="0"/>
          <w:w w:val="100"/>
          <w:position w:val="0"/>
        </w:rPr>
        <w:t>[1999]273</w:t>
      </w:r>
      <w:r>
        <w:rPr>
          <w:color w:val="000000"/>
          <w:spacing w:val="0"/>
          <w:w w:val="100"/>
          <w:position w:val="0"/>
        </w:rPr>
        <w:t>号文，自</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日起，对单位和个人（包括外商投资企业、外商投资设立的 研究开发中心、外国企业和外籍个人）从事技术转让、技术开发业务和与之相关的技术咨询、技术服务业务取得的收入，免 征营业税。</w:t>
      </w:r>
    </w:p>
    <w:p>
      <w:pPr>
        <w:pStyle w:val="Style24"/>
        <w:keepNext w:val="0"/>
        <w:keepLines w:val="0"/>
        <w:widowControl w:val="0"/>
        <w:shd w:val="clear" w:color="auto" w:fill="auto"/>
        <w:tabs>
          <w:tab w:pos="385" w:val="left"/>
        </w:tabs>
        <w:bidi w:val="0"/>
        <w:spacing w:before="0" w:after="0" w:line="312" w:lineRule="exact"/>
        <w:ind w:left="0" w:right="0" w:firstLine="0"/>
        <w:jc w:val="left"/>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rPr>
        <w:t>3</w:t>
      </w:r>
      <w:r>
        <w:rPr>
          <w:color w:val="000000"/>
          <w:spacing w:val="0"/>
          <w:w w:val="100"/>
          <w:position w:val="0"/>
        </w:rPr>
        <w:t>）</w:t>
        <w:tab/>
        <w:t>房产税</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根据《深圳经济特区房产税实施办法》，纳税单位新建或购置的新建房屋</w:t>
      </w:r>
      <w:r>
        <w:rPr>
          <w:rFonts w:ascii="Times New Roman" w:eastAsia="Times New Roman" w:hAnsi="Times New Roman" w:cs="Times New Roman"/>
          <w:color w:val="000000"/>
          <w:spacing w:val="0"/>
          <w:w w:val="100"/>
          <w:position w:val="0"/>
        </w:rPr>
        <w:t>（</w:t>
      </w:r>
      <w:r>
        <w:rPr>
          <w:color w:val="000000"/>
          <w:spacing w:val="0"/>
          <w:w w:val="100"/>
          <w:position w:val="0"/>
        </w:rPr>
        <w:t>不包括违章建造的房屋</w:t>
      </w:r>
      <w:r>
        <w:rPr>
          <w:rFonts w:ascii="Times New Roman" w:eastAsia="Times New Roman" w:hAnsi="Times New Roman" w:cs="Times New Roman"/>
          <w:color w:val="000000"/>
          <w:spacing w:val="0"/>
          <w:w w:val="100"/>
          <w:position w:val="0"/>
        </w:rPr>
        <w:t>）</w:t>
      </w:r>
      <w:r>
        <w:rPr>
          <w:color w:val="000000"/>
          <w:spacing w:val="0"/>
          <w:w w:val="100"/>
          <w:position w:val="0"/>
        </w:rPr>
        <w:t>，自建成或购置次月起免 纳房产税三年，智慧广场房产本期不用缴纳房产税。</w:t>
      </w:r>
    </w:p>
    <w:p>
      <w:pPr>
        <w:pStyle w:val="Style24"/>
        <w:keepNext w:val="0"/>
        <w:keepLines w:val="0"/>
        <w:widowControl w:val="0"/>
        <w:shd w:val="clear" w:color="auto" w:fill="auto"/>
        <w:tabs>
          <w:tab w:pos="385" w:val="left"/>
        </w:tabs>
        <w:bidi w:val="0"/>
        <w:spacing w:before="0" w:after="0" w:line="312" w:lineRule="exact"/>
        <w:ind w:left="0" w:right="0" w:firstLine="0"/>
        <w:jc w:val="left"/>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4</w:t>
      </w:r>
      <w:r>
        <w:rPr>
          <w:color w:val="000000"/>
          <w:spacing w:val="0"/>
          <w:w w:val="100"/>
          <w:position w:val="0"/>
        </w:rPr>
        <w:t>）</w:t>
        <w:tab/>
        <w:t>企业所得税</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根据科技部、财政部、国家税务总局于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日出台的《高新技术企业认定管理办法》（国科发火</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2008]172</w:t>
      </w:r>
      <w:r>
        <w:rPr>
          <w:color w:val="000000"/>
          <w:spacing w:val="0"/>
          <w:w w:val="100"/>
          <w:position w:val="0"/>
        </w:rPr>
        <w:t>号）和</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日发布《高新技术企业认定管理工作指引》（国科发火</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2008]362</w:t>
      </w:r>
      <w:r>
        <w:rPr>
          <w:color w:val="000000"/>
          <w:spacing w:val="0"/>
          <w:w w:val="100"/>
          <w:position w:val="0"/>
        </w:rPr>
        <w:t>号）的相关规定，经企业申报、地方初审、专家审 查、公示等程序，公司</w:t>
      </w:r>
      <w:r>
        <w:rPr>
          <w:rFonts w:ascii="Times New Roman" w:eastAsia="Times New Roman" w:hAnsi="Times New Roman" w:cs="Times New Roman"/>
          <w:color w:val="000000"/>
          <w:spacing w:val="0"/>
          <w:w w:val="100"/>
          <w:position w:val="0"/>
        </w:rPr>
        <w:t>2011</w:t>
      </w:r>
      <w:r>
        <w:rPr>
          <w:color w:val="000000"/>
          <w:spacing w:val="0"/>
          <w:w w:val="100"/>
          <w:position w:val="0"/>
        </w:rPr>
        <w:t>年被认定为高新技术企业。公司取得了深圳市科技工贸和信息化委员会、深圳市财政委员会、深 圳市国家税务局和深圳市地方税务局联合颁发的《高新技术企业证书》（证书编号：</w:t>
      </w:r>
      <w:r>
        <w:rPr>
          <w:rFonts w:ascii="Times New Roman" w:eastAsia="Times New Roman" w:hAnsi="Times New Roman" w:cs="Times New Roman"/>
          <w:color w:val="000000"/>
          <w:spacing w:val="0"/>
          <w:w w:val="100"/>
          <w:position w:val="0"/>
        </w:rPr>
        <w:t>GF201144200051</w:t>
      </w:r>
      <w:r>
        <w:rPr>
          <w:color w:val="000000"/>
          <w:spacing w:val="0"/>
          <w:w w:val="100"/>
          <w:position w:val="0"/>
        </w:rPr>
        <w:t>），发证日期为</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日，认定有效期三年。根据《中华人民共和国企业所得税法》的相关规定，公司将自</w:t>
      </w:r>
      <w:r>
        <w:rPr>
          <w:rFonts w:ascii="Times New Roman" w:eastAsia="Times New Roman" w:hAnsi="Times New Roman" w:cs="Times New Roman"/>
          <w:color w:val="000000"/>
          <w:spacing w:val="0"/>
          <w:w w:val="100"/>
          <w:position w:val="0"/>
        </w:rPr>
        <w:t>2011</w:t>
      </w:r>
      <w:r>
        <w:rPr>
          <w:color w:val="000000"/>
          <w:spacing w:val="0"/>
          <w:w w:val="100"/>
          <w:position w:val="0"/>
        </w:rPr>
        <w:t>年（含</w:t>
      </w:r>
      <w:r>
        <w:rPr>
          <w:rFonts w:ascii="Times New Roman" w:eastAsia="Times New Roman" w:hAnsi="Times New Roman" w:cs="Times New Roman"/>
          <w:color w:val="000000"/>
          <w:spacing w:val="0"/>
          <w:w w:val="100"/>
          <w:position w:val="0"/>
        </w:rPr>
        <w:t>2011</w:t>
      </w:r>
      <w:r>
        <w:rPr>
          <w:color w:val="000000"/>
          <w:spacing w:val="0"/>
          <w:w w:val="100"/>
          <w:position w:val="0"/>
        </w:rPr>
        <w:t>年）起连续三 年享受国家关于高新技术企业的相关优惠政策，按此政策，公司</w:t>
      </w:r>
      <w:r>
        <w:rPr>
          <w:rFonts w:ascii="Times New Roman" w:eastAsia="Times New Roman" w:hAnsi="Times New Roman" w:cs="Times New Roman"/>
          <w:color w:val="000000"/>
          <w:spacing w:val="0"/>
          <w:w w:val="100"/>
          <w:position w:val="0"/>
        </w:rPr>
        <w:t>2012</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根据《中华人民共和国企业所得税法》第三十六条和《财政部、国家税务总局关于企业所得税若干优惠政策的通知》（财税 </w:t>
      </w:r>
      <w:r>
        <w:rPr>
          <w:rFonts w:ascii="Times New Roman" w:eastAsia="Times New Roman" w:hAnsi="Times New Roman" w:cs="Times New Roman"/>
          <w:color w:val="000000"/>
          <w:spacing w:val="0"/>
          <w:w w:val="100"/>
          <w:position w:val="0"/>
        </w:rPr>
        <w:t>[2008]1</w:t>
      </w:r>
      <w:r>
        <w:rPr>
          <w:color w:val="000000"/>
          <w:spacing w:val="0"/>
          <w:w w:val="100"/>
          <w:position w:val="0"/>
        </w:rPr>
        <w:t>号）的相关规定，经企业申请、软件行业协会评审、国家主管部门审批，公司</w:t>
      </w:r>
      <w:r>
        <w:rPr>
          <w:rFonts w:ascii="Times New Roman" w:eastAsia="Times New Roman" w:hAnsi="Times New Roman" w:cs="Times New Roman"/>
          <w:color w:val="000000"/>
          <w:spacing w:val="0"/>
          <w:w w:val="100"/>
          <w:position w:val="0"/>
        </w:rPr>
        <w:t>2013</w:t>
      </w:r>
      <w:r>
        <w:rPr>
          <w:color w:val="000000"/>
          <w:spacing w:val="0"/>
          <w:w w:val="100"/>
          <w:position w:val="0"/>
        </w:rPr>
        <w:t>年被认定为国家规划布局内重点 软件企业。公司取得了国家发展和改革委员会、工业和信息化部、财政部、商务部和国家税务总局联合颁发的《国家规划布 局内重点软件企业证书》（证书编号：</w:t>
      </w:r>
      <w:r>
        <w:rPr>
          <w:rFonts w:ascii="Times New Roman" w:eastAsia="Times New Roman" w:hAnsi="Times New Roman" w:cs="Times New Roman"/>
          <w:color w:val="000000"/>
          <w:spacing w:val="0"/>
          <w:w w:val="100"/>
          <w:position w:val="0"/>
        </w:rPr>
        <w:t>R-2013-247</w:t>
      </w:r>
      <w:r>
        <w:rPr>
          <w:color w:val="000000"/>
          <w:spacing w:val="0"/>
          <w:w w:val="100"/>
          <w:position w:val="0"/>
        </w:rPr>
        <w:t>）</w:t>
      </w:r>
      <w:r>
        <w:rPr>
          <w:color w:val="000000"/>
          <w:spacing w:val="0"/>
          <w:w w:val="100"/>
          <w:position w:val="0"/>
        </w:rPr>
        <w:t>，发证日期为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月，认定有效期二年。根据《中华人民共和国企 业所得税法》的相关规定，公司将自</w:t>
      </w:r>
      <w:r>
        <w:rPr>
          <w:rFonts w:ascii="Times New Roman" w:eastAsia="Times New Roman" w:hAnsi="Times New Roman" w:cs="Times New Roman"/>
          <w:color w:val="000000"/>
          <w:spacing w:val="0"/>
          <w:w w:val="100"/>
          <w:position w:val="0"/>
        </w:rPr>
        <w:t>2013</w:t>
      </w:r>
      <w:r>
        <w:rPr>
          <w:color w:val="000000"/>
          <w:spacing w:val="0"/>
          <w:w w:val="100"/>
          <w:position w:val="0"/>
        </w:rPr>
        <w:t>年（含</w:t>
      </w:r>
      <w:r>
        <w:rPr>
          <w:rFonts w:ascii="Times New Roman" w:eastAsia="Times New Roman" w:hAnsi="Times New Roman" w:cs="Times New Roman"/>
          <w:color w:val="000000"/>
          <w:spacing w:val="0"/>
          <w:w w:val="100"/>
          <w:position w:val="0"/>
        </w:rPr>
        <w:t>2013</w:t>
      </w:r>
      <w:r>
        <w:rPr>
          <w:color w:val="000000"/>
          <w:spacing w:val="0"/>
          <w:w w:val="100"/>
          <w:position w:val="0"/>
        </w:rPr>
        <w:t>年）起连续二年享受国家关于规划布局内重点软件企业的相关优惠政策， 按此政策，公司</w:t>
      </w:r>
      <w:r>
        <w:rPr>
          <w:rFonts w:ascii="Times New Roman" w:eastAsia="Times New Roman" w:hAnsi="Times New Roman" w:cs="Times New Roman"/>
          <w:color w:val="000000"/>
          <w:spacing w:val="0"/>
          <w:w w:val="100"/>
          <w:position w:val="0"/>
        </w:rPr>
        <w:t>2013</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rPr>
        <w:t>10%</w:t>
      </w:r>
      <w:r>
        <w:rPr>
          <w:color w:val="000000"/>
          <w:spacing w:val="0"/>
          <w:w w:val="100"/>
          <w:position w:val="0"/>
        </w:rPr>
        <w:t>。</w:t>
      </w:r>
      <w:r>
        <w:br w:type="page"/>
      </w:r>
    </w:p>
    <w:p>
      <w:pPr>
        <w:pStyle w:val="Style29"/>
        <w:keepNext/>
        <w:keepLines/>
        <w:widowControl w:val="0"/>
        <w:shd w:val="clear" w:color="auto" w:fill="auto"/>
        <w:bidi w:val="0"/>
        <w:spacing w:before="0" w:after="360" w:line="240" w:lineRule="auto"/>
        <w:ind w:left="0" w:right="0" w:firstLine="0"/>
        <w:jc w:val="both"/>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3</w:t>
      </w:r>
      <w:bookmarkEnd w:id="848"/>
      <w:r>
        <w:rPr>
          <w:color w:val="000000"/>
          <w:spacing w:val="0"/>
          <w:w w:val="100"/>
          <w:position w:val="0"/>
        </w:rPr>
        <w:t>、其他说明</w:t>
      </w:r>
      <w:bookmarkEnd w:id="846"/>
      <w:bookmarkEnd w:id="847"/>
      <w:bookmarkEnd w:id="849"/>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2"/>
        <w:keepNext/>
        <w:keepLines/>
        <w:widowControl w:val="0"/>
        <w:shd w:val="clear" w:color="auto" w:fill="auto"/>
        <w:bidi w:val="0"/>
        <w:spacing w:before="0" w:after="360" w:line="240" w:lineRule="auto"/>
        <w:ind w:left="0" w:right="0" w:firstLine="0"/>
        <w:jc w:val="both"/>
      </w:pPr>
      <w:bookmarkStart w:id="850" w:name="bookmark850"/>
      <w:bookmarkStart w:id="851" w:name="bookmark851"/>
      <w:bookmarkStart w:id="852" w:name="bookmark852"/>
      <w:bookmarkStart w:id="853" w:name="bookmark853"/>
      <w:r>
        <w:rPr>
          <w:color w:val="000000"/>
          <w:spacing w:val="0"/>
          <w:w w:val="100"/>
          <w:position w:val="0"/>
          <w:sz w:val="24"/>
          <w:szCs w:val="24"/>
        </w:rPr>
        <w:t>六</w:t>
      </w:r>
      <w:bookmarkEnd w:id="852"/>
      <w:r>
        <w:rPr>
          <w:color w:val="000000"/>
          <w:spacing w:val="0"/>
          <w:w w:val="100"/>
          <w:position w:val="0"/>
          <w:sz w:val="24"/>
          <w:szCs w:val="24"/>
        </w:rPr>
        <w:t>、财务报表主要项目注释</w:t>
      </w:r>
      <w:bookmarkEnd w:id="850"/>
      <w:bookmarkEnd w:id="851"/>
      <w:bookmarkEnd w:id="853"/>
    </w:p>
    <w:p>
      <w:pPr>
        <w:pStyle w:val="Style29"/>
        <w:keepNext/>
        <w:keepLines/>
        <w:widowControl w:val="0"/>
        <w:shd w:val="clear" w:color="auto" w:fill="auto"/>
        <w:bidi w:val="0"/>
        <w:spacing w:before="0" w:after="360" w:line="240" w:lineRule="auto"/>
        <w:ind w:left="0" w:right="0" w:firstLine="0"/>
        <w:jc w:val="both"/>
      </w:pPr>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54"/>
      <w:bookmarkEnd w:id="855"/>
      <w:bookmarkEnd w:id="85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24,181.95</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9,933.08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24,181.95</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9,933.08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72,043,281.27</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63,064,472.99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72,043,281.25</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63,060,881.14</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3,591.85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72,067,463.22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63,378,406.07</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699" w:line="1" w:lineRule="exact"/>
      </w:pPr>
    </w:p>
    <w:p>
      <w:pPr>
        <w:pStyle w:val="Style29"/>
        <w:keepNext/>
        <w:keepLines/>
        <w:widowControl w:val="0"/>
        <w:shd w:val="clear" w:color="auto" w:fill="auto"/>
        <w:bidi w:val="0"/>
        <w:spacing w:before="0" w:after="360" w:line="240" w:lineRule="auto"/>
        <w:ind w:left="0" w:right="0" w:firstLine="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color w:val="000000"/>
          <w:spacing w:val="0"/>
          <w:w w:val="100"/>
          <w:position w:val="0"/>
        </w:rPr>
        <w:t>、应收账款</w:t>
      </w:r>
      <w:bookmarkEnd w:id="857"/>
      <w:bookmarkEnd w:id="858"/>
      <w:bookmarkEnd w:id="860"/>
    </w:p>
    <w:p>
      <w:pPr>
        <w:pStyle w:val="Style29"/>
        <w:keepNext/>
        <w:keepLines/>
        <w:widowControl w:val="0"/>
        <w:numPr>
          <w:ilvl w:val="0"/>
          <w:numId w:val="39"/>
        </w:numPr>
        <w:shd w:val="clear" w:color="auto" w:fill="auto"/>
        <w:bidi w:val="0"/>
        <w:spacing w:before="0" w:after="360" w:line="240" w:lineRule="auto"/>
        <w:ind w:left="0" w:right="0" w:firstLine="0"/>
        <w:jc w:val="both"/>
      </w:pPr>
      <w:bookmarkStart w:id="857" w:name="bookmark857"/>
      <w:bookmarkStart w:id="858" w:name="bookmark858"/>
      <w:bookmarkStart w:id="861" w:name="bookmark861"/>
      <w:bookmarkStart w:id="862" w:name="bookmark862"/>
      <w:bookmarkEnd w:id="861"/>
      <w:r>
        <w:rPr>
          <w:color w:val="000000"/>
          <w:spacing w:val="0"/>
          <w:w w:val="100"/>
          <w:position w:val="0"/>
        </w:rPr>
        <w:t>应收账款按种类披露</w:t>
      </w:r>
      <w:bookmarkEnd w:id="857"/>
      <w:bookmarkEnd w:id="858"/>
      <w:bookmarkEnd w:id="86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931"/>
        <w:gridCol w:w="926"/>
        <w:gridCol w:w="931"/>
        <w:gridCol w:w="936"/>
        <w:gridCol w:w="792"/>
        <w:gridCol w:w="922"/>
        <w:gridCol w:w="1070"/>
        <w:gridCol w:w="10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103,996,77</w:t>
            </w:r>
          </w:p>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7,460,066.2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78,391,82</w:t>
            </w:r>
          </w:p>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6,055,374.27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103,996,77</w:t>
            </w:r>
          </w:p>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7,460,066.2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78,391,82</w:t>
            </w:r>
          </w:p>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6,055,374.27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w:t>
            </w:r>
          </w:p>
        </w:tc>
      </w:tr>
    </w:tbl>
    <w:p>
      <w:pPr>
        <w:widowControl w:val="0"/>
        <w:spacing w:line="1" w:lineRule="exact"/>
      </w:pPr>
      <w:r>
        <w:br w:type="page"/>
      </w:r>
    </w:p>
    <w:tbl>
      <w:tblPr>
        <w:tblOverlap w:val="never"/>
        <w:jc w:val="center"/>
        <w:tblLayout w:type="fixed"/>
      </w:tblPr>
      <w:tblGrid>
        <w:gridCol w:w="2002"/>
        <w:gridCol w:w="931"/>
        <w:gridCol w:w="926"/>
        <w:gridCol w:w="931"/>
        <w:gridCol w:w="931"/>
        <w:gridCol w:w="797"/>
        <w:gridCol w:w="926"/>
        <w:gridCol w:w="1066"/>
        <w:gridCol w:w="1070"/>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103,996,77</w:t>
            </w:r>
          </w:p>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5.23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7,460,066.2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78,391,82</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6,055,374.27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应收账款种类的说明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应收账款均为暂未收回的销售货款。</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69"/>
        <w:gridCol w:w="1594"/>
        <w:gridCol w:w="931"/>
        <w:gridCol w:w="1723"/>
        <w:gridCol w:w="1464"/>
        <w:gridCol w:w="926"/>
        <w:gridCol w:w="147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89,506,887.41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4,475,344.37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65,410,491.42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83.43%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3,270,524.57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89,506,887.41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4,475,344.37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65,410,491.42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83.43%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3,270,524.57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11,178,117.29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1,117,811.73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9,960,415.03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996,041.50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2,064,086.33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619,225.90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1,760,156.00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528,046.80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1,247,684.20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1,247,684.20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1,260,761.40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1,260,761.40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103,996,775.23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7,460,066.20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78,391,823.85</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6,055,374.27</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2"/>
        <w:gridCol w:w="3254"/>
        <w:gridCol w:w="326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9"/>
        <w:keepNext/>
        <w:keepLines/>
        <w:widowControl w:val="0"/>
        <w:shd w:val="clear" w:color="auto" w:fill="auto"/>
        <w:bidi w:val="0"/>
        <w:spacing w:before="0" w:after="360" w:line="240" w:lineRule="auto"/>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863"/>
      <w:bookmarkEnd w:id="864"/>
      <w:bookmarkEnd w:id="86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680"/>
        <w:gridCol w:w="1882"/>
        <w:gridCol w:w="1915"/>
        <w:gridCol w:w="1963"/>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4"/>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期末单项金额重大或虽不重大但单独进行减值测试的应收账款坏账准备计提</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理由</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29"/>
        <w:keepNext/>
        <w:keepLines/>
        <w:widowControl w:val="0"/>
        <w:shd w:val="clear" w:color="auto" w:fill="auto"/>
        <w:bidi w:val="0"/>
        <w:spacing w:before="0" w:after="360" w:line="240" w:lineRule="auto"/>
        <w:ind w:left="0" w:right="0" w:firstLine="0"/>
        <w:jc w:val="left"/>
      </w:pPr>
      <w:bookmarkStart w:id="867" w:name="bookmark867"/>
      <w:bookmarkStart w:id="868" w:name="bookmark868"/>
      <w:bookmarkStart w:id="869" w:name="bookmark869"/>
      <w:bookmarkStart w:id="870" w:name="bookmark870"/>
      <w:r>
        <w:rPr>
          <w:color w:val="000000"/>
          <w:spacing w:val="0"/>
          <w:w w:val="100"/>
          <w:position w:val="0"/>
        </w:rPr>
        <w:t>（</w:t>
      </w:r>
      <w:bookmarkEnd w:id="869"/>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867"/>
      <w:bookmarkEnd w:id="868"/>
      <w:bookmarkEnd w:id="87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603"/>
        <w:gridCol w:w="1574"/>
        <w:gridCol w:w="1618"/>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29"/>
        <w:keepNext/>
        <w:keepLines/>
        <w:widowControl w:val="0"/>
        <w:shd w:val="clear" w:color="auto" w:fill="auto"/>
        <w:bidi w:val="0"/>
        <w:spacing w:before="0" w:after="360" w:line="240" w:lineRule="auto"/>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4</w:t>
      </w:r>
      <w:r>
        <w:rPr>
          <w:color w:val="000000"/>
          <w:spacing w:val="0"/>
          <w:w w:val="100"/>
          <w:position w:val="0"/>
        </w:rPr>
        <w:t>）应收账款中金额前五名单位情况</w:t>
      </w:r>
      <w:bookmarkEnd w:id="871"/>
      <w:bookmarkEnd w:id="872"/>
      <w:bookmarkEnd w:id="87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 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12,096,087.68</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中国农业银行股份有限 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5,761,315.41</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恒丰银行股份有限公司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4,410,000.00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包商银行股份有限公司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4,060,000.00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71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深圳市金证科技股份有 限公司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3,616,000.00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29,943,403.09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w:t>
      </w:r>
      <w:bookmarkEnd w:id="877"/>
      <w:r>
        <w:rPr>
          <w:rFonts w:ascii="Times New Roman" w:eastAsia="Times New Roman" w:hAnsi="Times New Roman" w:cs="Times New Roman"/>
          <w:color w:val="000000"/>
          <w:spacing w:val="0"/>
          <w:w w:val="100"/>
          <w:position w:val="0"/>
        </w:rPr>
        <w:t>5</w:t>
      </w:r>
      <w:r>
        <w:rPr>
          <w:color w:val="000000"/>
          <w:spacing w:val="0"/>
          <w:w w:val="100"/>
          <w:position w:val="0"/>
        </w:rPr>
        <w:t>）终止确认的应收款项情况</w:t>
      </w:r>
      <w:bookmarkEnd w:id="875"/>
      <w:bookmarkEnd w:id="876"/>
      <w:bookmarkEnd w:id="87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90"/>
        <w:gridCol w:w="2990"/>
        <w:gridCol w:w="360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w:t>
      </w:r>
      <w:bookmarkEnd w:id="881"/>
      <w:r>
        <w:rPr>
          <w:rFonts w:ascii="Times New Roman" w:eastAsia="Times New Roman" w:hAnsi="Times New Roman" w:cs="Times New Roman"/>
          <w:color w:val="000000"/>
          <w:spacing w:val="0"/>
          <w:w w:val="100"/>
          <w:position w:val="0"/>
        </w:rPr>
        <w:t>6</w:t>
      </w:r>
      <w:r>
        <w:rPr>
          <w:color w:val="000000"/>
          <w:spacing w:val="0"/>
          <w:w w:val="100"/>
          <w:position w:val="0"/>
        </w:rPr>
        <w:t>）以应收款项为标的进行证券化的，列示继续涉入形成的资产、负债的金额</w:t>
      </w:r>
      <w:bookmarkEnd w:id="879"/>
      <w:bookmarkEnd w:id="880"/>
      <w:bookmarkEnd w:id="882"/>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859"/>
        <w:gridCol w:w="572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3</w:t>
      </w:r>
      <w:bookmarkEnd w:id="885"/>
      <w:r>
        <w:rPr>
          <w:color w:val="000000"/>
          <w:spacing w:val="0"/>
          <w:w w:val="100"/>
          <w:position w:val="0"/>
        </w:rPr>
        <w:t>、其他应收款</w:t>
      </w:r>
      <w:bookmarkEnd w:id="883"/>
      <w:bookmarkEnd w:id="884"/>
      <w:bookmarkEnd w:id="886"/>
    </w:p>
    <w:p>
      <w:pPr>
        <w:pStyle w:val="Style29"/>
        <w:keepNext/>
        <w:keepLines/>
        <w:widowControl w:val="0"/>
        <w:numPr>
          <w:ilvl w:val="0"/>
          <w:numId w:val="41"/>
        </w:numPr>
        <w:shd w:val="clear" w:color="auto" w:fill="auto"/>
        <w:bidi w:val="0"/>
        <w:spacing w:before="0" w:line="240" w:lineRule="auto"/>
        <w:ind w:left="0" w:right="0" w:firstLine="0"/>
        <w:jc w:val="left"/>
      </w:pPr>
      <w:bookmarkStart w:id="883" w:name="bookmark883"/>
      <w:bookmarkStart w:id="884" w:name="bookmark884"/>
      <w:bookmarkStart w:id="887" w:name="bookmark887"/>
      <w:bookmarkStart w:id="888" w:name="bookmark888"/>
      <w:bookmarkEnd w:id="887"/>
      <w:r>
        <w:rPr>
          <w:color w:val="000000"/>
          <w:spacing w:val="0"/>
          <w:w w:val="100"/>
          <w:position w:val="0"/>
        </w:rPr>
        <w:t>其他应收款按种类披露</w:t>
      </w:r>
      <w:bookmarkEnd w:id="883"/>
      <w:bookmarkEnd w:id="884"/>
      <w:bookmarkEnd w:id="88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056"/>
        <w:gridCol w:w="792"/>
        <w:gridCol w:w="1061"/>
        <w:gridCol w:w="792"/>
        <w:gridCol w:w="1061"/>
        <w:gridCol w:w="922"/>
        <w:gridCol w:w="1190"/>
        <w:gridCol w:w="80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单项金额重大并单项计 提坏账准备的其他应收 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4,920,693.13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976,068.48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6,596,223.49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2,143,147.91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32.49%</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3,010,377.34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7,931,070.47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976,068.48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6,596,223.49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2,143,147.91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32.49%</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7,931,070.47</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976,068.48</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6,596,223.49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2,143,147.91</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组合中，采用账龄分析法计提坏账准备的其他应收款</w:t>
      </w:r>
    </w:p>
    <w:p>
      <w:pPr>
        <w:pStyle w:val="Style2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48"/>
        <w:gridCol w:w="1843"/>
        <w:gridCol w:w="658"/>
        <w:gridCol w:w="1450"/>
        <w:gridCol w:w="1450"/>
        <w:gridCol w:w="653"/>
        <w:gridCol w:w="168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2,501,362.64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125,068.13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3,425,669.76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171,283.49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2,501,362.64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125,068.13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3,425,669.76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51.94%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171,283.49</w:t>
            </w:r>
          </w:p>
        </w:tc>
      </w:tr>
    </w:tbl>
    <w:p>
      <w:pPr>
        <w:widowControl w:val="0"/>
        <w:spacing w:line="1" w:lineRule="exact"/>
      </w:pPr>
      <w:r>
        <w:br w:type="page"/>
      </w:r>
    </w:p>
    <w:tbl>
      <w:tblPr>
        <w:tblOverlap w:val="never"/>
        <w:jc w:val="center"/>
        <w:tblLayout w:type="fixed"/>
      </w:tblPr>
      <w:tblGrid>
        <w:gridCol w:w="1848"/>
        <w:gridCol w:w="1843"/>
        <w:gridCol w:w="658"/>
        <w:gridCol w:w="1450"/>
        <w:gridCol w:w="1450"/>
        <w:gridCol w:w="653"/>
        <w:gridCol w:w="168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1,731,933.49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173,193.35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724,409.23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72,440.92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781,030.00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234,309.00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673,697.00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673,697.00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1,665,114.50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1,665,114.50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4,920,693.13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976,068.48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6,596,223.49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2,143,147.91</w:t>
            </w:r>
          </w:p>
        </w:tc>
      </w:tr>
    </w:tbl>
    <w:p>
      <w:pPr>
        <w:pStyle w:val="Style24"/>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00" w:line="343"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60"/>
        <w:gridCol w:w="2861"/>
        <w:gridCol w:w="276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3,010,377.34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3,010,377.34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期末单项金额虽不重大但单项计提坏账准备的其他应收款</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889"/>
      <w:bookmarkEnd w:id="890"/>
      <w:bookmarkEnd w:id="89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4"/>
        <w:gridCol w:w="1714"/>
        <w:gridCol w:w="1862"/>
        <w:gridCol w:w="1915"/>
        <w:gridCol w:w="1896"/>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上市费用</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IPO</w:t>
            </w:r>
            <w:r>
              <w:rPr>
                <w:color w:val="000000"/>
                <w:spacing w:val="0"/>
                <w:w w:val="100"/>
                <w:position w:val="0"/>
              </w:rPr>
              <w:t>申请获审核 通过</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347,000.00</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租房押金</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办公场地退租收回租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房押金</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992,317.50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992,317.50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1,339,317.50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9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3"/>
        <w:gridCol w:w="1954"/>
        <w:gridCol w:w="1954"/>
        <w:gridCol w:w="1958"/>
        <w:gridCol w:w="186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29"/>
        <w:keepNext/>
        <w:keepLines/>
        <w:widowControl w:val="0"/>
        <w:shd w:val="clear" w:color="auto" w:fill="auto"/>
        <w:bidi w:val="0"/>
        <w:spacing w:before="0" w:after="360" w:line="240" w:lineRule="auto"/>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）本报告期实际核销的其他应收款情况</w:t>
      </w:r>
      <w:bookmarkEnd w:id="893"/>
      <w:bookmarkEnd w:id="894"/>
      <w:bookmarkEnd w:id="896"/>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29"/>
        <w:keepNext/>
        <w:keepLines/>
        <w:widowControl w:val="0"/>
        <w:numPr>
          <w:ilvl w:val="0"/>
          <w:numId w:val="5"/>
        </w:numPr>
        <w:shd w:val="clear" w:color="auto" w:fill="auto"/>
        <w:bidi w:val="0"/>
        <w:spacing w:before="0" w:after="380" w:line="240" w:lineRule="auto"/>
        <w:ind w:left="0" w:right="0" w:firstLine="0"/>
        <w:jc w:val="left"/>
      </w:pPr>
      <w:bookmarkStart w:id="897" w:name="bookmark897"/>
      <w:bookmarkStart w:id="898" w:name="bookmark898"/>
      <w:bookmarkStart w:id="899" w:name="bookmark899"/>
      <w:bookmarkStart w:id="900" w:name="bookmark900"/>
      <w:bookmarkEnd w:id="899"/>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97"/>
      <w:bookmarkEnd w:id="898"/>
      <w:bookmarkEnd w:id="900"/>
    </w:p>
    <w:p>
      <w:pPr>
        <w:pStyle w:val="Style24"/>
        <w:keepNext w:val="0"/>
        <w:keepLines w:val="0"/>
        <w:widowControl w:val="0"/>
        <w:shd w:val="clear" w:color="auto" w:fill="auto"/>
        <w:bidi w:val="0"/>
        <w:spacing w:before="0" w:line="240" w:lineRule="auto"/>
        <w:ind w:left="8820" w:right="0" w:firstLine="0"/>
        <w:jc w:val="left"/>
      </w:pPr>
      <w:r>
        <w:rPr>
          <w:color w:val="000000"/>
          <w:spacing w:val="0"/>
          <w:w w:val="100"/>
          <w:position w:val="0"/>
        </w:rPr>
        <w:t>单位：元</w:t>
      </w:r>
    </w:p>
    <w:tbl>
      <w:tblPr>
        <w:tblOverlap w:val="never"/>
        <w:jc w:val="center"/>
        <w:tblLayout w:type="fixed"/>
      </w:tblPr>
      <w:tblGrid>
        <w:gridCol w:w="2794"/>
        <w:gridCol w:w="1728"/>
        <w:gridCol w:w="1594"/>
        <w:gridCol w:w="1862"/>
        <w:gridCol w:w="160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299" w:line="1" w:lineRule="exact"/>
      </w:pPr>
    </w:p>
    <w:p>
      <w:pPr>
        <w:pStyle w:val="Style29"/>
        <w:keepNext/>
        <w:keepLines/>
        <w:widowControl w:val="0"/>
        <w:numPr>
          <w:ilvl w:val="0"/>
          <w:numId w:val="5"/>
        </w:numPr>
        <w:shd w:val="clear" w:color="auto" w:fill="auto"/>
        <w:bidi w:val="0"/>
        <w:spacing w:before="0" w:after="380" w:line="240" w:lineRule="auto"/>
        <w:ind w:left="0" w:right="0" w:firstLine="0"/>
        <w:jc w:val="left"/>
      </w:pPr>
      <w:bookmarkStart w:id="901" w:name="bookmark901"/>
      <w:bookmarkStart w:id="902" w:name="bookmark902"/>
      <w:bookmarkStart w:id="903" w:name="bookmark903"/>
      <w:bookmarkStart w:id="904" w:name="bookmark904"/>
      <w:bookmarkEnd w:id="903"/>
      <w:r>
        <w:rPr>
          <w:color w:val="000000"/>
          <w:spacing w:val="0"/>
          <w:w w:val="100"/>
          <w:position w:val="0"/>
        </w:rPr>
        <w:t>金额较大的其他应收款的性质或内容</w:t>
      </w:r>
      <w:bookmarkEnd w:id="901"/>
      <w:bookmarkEnd w:id="902"/>
      <w:bookmarkEnd w:id="90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1915"/>
        <w:gridCol w:w="288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款项的性质或内容</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3,010,377.34</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37.96%</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北京嘉禾国信投资有限公司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1,415,943.66</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上海陆家嘴金融贸易区开发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664,140.00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5,090,461.00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64.18%</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29"/>
        <w:keepNext/>
        <w:keepLines/>
        <w:widowControl w:val="0"/>
        <w:numPr>
          <w:ilvl w:val="0"/>
          <w:numId w:val="5"/>
        </w:numPr>
        <w:shd w:val="clear" w:color="auto" w:fill="auto"/>
        <w:bidi w:val="0"/>
        <w:spacing w:before="0" w:after="380" w:line="240" w:lineRule="auto"/>
        <w:ind w:left="0" w:right="0" w:firstLine="0"/>
        <w:jc w:val="left"/>
      </w:pPr>
      <w:bookmarkStart w:id="905" w:name="bookmark905"/>
      <w:bookmarkStart w:id="906" w:name="bookmark906"/>
      <w:bookmarkStart w:id="907" w:name="bookmark907"/>
      <w:bookmarkStart w:id="908" w:name="bookmark908"/>
      <w:bookmarkEnd w:id="907"/>
      <w:r>
        <w:rPr>
          <w:color w:val="000000"/>
          <w:spacing w:val="0"/>
          <w:w w:val="100"/>
          <w:position w:val="0"/>
        </w:rPr>
        <w:t>其他应收款金额前五名单位情况</w:t>
      </w:r>
      <w:bookmarkEnd w:id="905"/>
      <w:bookmarkEnd w:id="906"/>
      <w:bookmarkEnd w:id="90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9"/>
        <w:keepNext/>
        <w:keepLines/>
        <w:widowControl w:val="0"/>
        <w:numPr>
          <w:ilvl w:val="0"/>
          <w:numId w:val="5"/>
        </w:numPr>
        <w:shd w:val="clear" w:color="auto" w:fill="auto"/>
        <w:bidi w:val="0"/>
        <w:spacing w:before="0" w:after="380" w:line="240" w:lineRule="auto"/>
        <w:ind w:left="0" w:right="0" w:firstLine="0"/>
        <w:jc w:val="left"/>
      </w:pPr>
      <w:bookmarkStart w:id="909" w:name="bookmark909"/>
      <w:bookmarkStart w:id="910" w:name="bookmark910"/>
      <w:bookmarkStart w:id="911" w:name="bookmark911"/>
      <w:bookmarkStart w:id="912" w:name="bookmark912"/>
      <w:bookmarkEnd w:id="911"/>
      <w:r>
        <w:rPr>
          <w:color w:val="000000"/>
          <w:spacing w:val="0"/>
          <w:w w:val="100"/>
          <w:position w:val="0"/>
        </w:rPr>
        <w:t>其他应收关联方账款情况</w:t>
      </w:r>
      <w:bookmarkEnd w:id="909"/>
      <w:bookmarkEnd w:id="910"/>
      <w:bookmarkEnd w:id="912"/>
    </w:p>
    <w:p>
      <w:pPr>
        <w:pStyle w:val="Style24"/>
        <w:keepNext w:val="0"/>
        <w:keepLines w:val="0"/>
        <w:widowControl w:val="0"/>
        <w:shd w:val="clear" w:color="auto" w:fill="auto"/>
        <w:bidi w:val="0"/>
        <w:spacing w:before="0" w:line="240" w:lineRule="auto"/>
        <w:ind w:left="8820" w:right="0" w:firstLine="0"/>
        <w:jc w:val="left"/>
      </w:pPr>
      <w:r>
        <w:rPr>
          <w:color w:val="000000"/>
          <w:spacing w:val="0"/>
          <w:w w:val="100"/>
          <w:position w:val="0"/>
        </w:rPr>
        <w:t>单位：元</w:t>
      </w:r>
    </w:p>
    <w:tbl>
      <w:tblPr>
        <w:tblOverlap w:val="never"/>
        <w:jc w:val="center"/>
        <w:tblLayout w:type="fixed"/>
      </w:tblPr>
      <w:tblGrid>
        <w:gridCol w:w="2280"/>
        <w:gridCol w:w="2429"/>
        <w:gridCol w:w="2448"/>
        <w:gridCol w:w="242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9"/>
        <w:keepNext/>
        <w:keepLines/>
        <w:widowControl w:val="0"/>
        <w:numPr>
          <w:ilvl w:val="0"/>
          <w:numId w:val="5"/>
        </w:numPr>
        <w:shd w:val="clear" w:color="auto" w:fill="auto"/>
        <w:bidi w:val="0"/>
        <w:spacing w:before="0" w:after="380" w:line="240" w:lineRule="auto"/>
        <w:ind w:left="0" w:right="0" w:firstLine="0"/>
        <w:jc w:val="left"/>
      </w:pPr>
      <w:bookmarkStart w:id="913" w:name="bookmark913"/>
      <w:bookmarkStart w:id="914" w:name="bookmark914"/>
      <w:bookmarkStart w:id="915" w:name="bookmark915"/>
      <w:bookmarkStart w:id="916" w:name="bookmark916"/>
      <w:bookmarkEnd w:id="915"/>
      <w:r>
        <w:rPr>
          <w:color w:val="000000"/>
          <w:spacing w:val="0"/>
          <w:w w:val="100"/>
          <w:position w:val="0"/>
        </w:rPr>
        <w:t>终止确认的其他应收款项情况</w:t>
      </w:r>
      <w:bookmarkEnd w:id="913"/>
      <w:bookmarkEnd w:id="914"/>
      <w:bookmarkEnd w:id="916"/>
    </w:p>
    <w:p>
      <w:pPr>
        <w:pStyle w:val="Style24"/>
        <w:keepNext w:val="0"/>
        <w:keepLines w:val="0"/>
        <w:widowControl w:val="0"/>
        <w:shd w:val="clear" w:color="auto" w:fill="auto"/>
        <w:bidi w:val="0"/>
        <w:spacing w:before="0" w:line="240" w:lineRule="auto"/>
        <w:ind w:left="8820" w:right="0" w:firstLine="0"/>
        <w:jc w:val="left"/>
      </w:pPr>
      <w:r>
        <w:rPr>
          <w:color w:val="000000"/>
          <w:spacing w:val="0"/>
          <w:w w:val="100"/>
          <w:position w:val="0"/>
        </w:rPr>
        <w:t>单位：元</w:t>
      </w:r>
    </w:p>
    <w:tbl>
      <w:tblPr>
        <w:tblOverlap w:val="never"/>
        <w:jc w:val="center"/>
        <w:tblLayout w:type="fixed"/>
      </w:tblPr>
      <w:tblGrid>
        <w:gridCol w:w="2990"/>
        <w:gridCol w:w="2990"/>
        <w:gridCol w:w="360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299" w:line="1" w:lineRule="exact"/>
      </w:pPr>
    </w:p>
    <w:p>
      <w:pPr>
        <w:pStyle w:val="Style29"/>
        <w:keepNext/>
        <w:keepLines/>
        <w:widowControl w:val="0"/>
        <w:numPr>
          <w:ilvl w:val="0"/>
          <w:numId w:val="5"/>
        </w:numPr>
        <w:shd w:val="clear" w:color="auto" w:fill="auto"/>
        <w:bidi w:val="0"/>
        <w:spacing w:before="0" w:after="380" w:line="240" w:lineRule="auto"/>
        <w:ind w:left="0" w:right="0" w:firstLine="0"/>
        <w:jc w:val="left"/>
      </w:pPr>
      <w:bookmarkStart w:id="917" w:name="bookmark917"/>
      <w:bookmarkStart w:id="918" w:name="bookmark918"/>
      <w:bookmarkStart w:id="919" w:name="bookmark919"/>
      <w:bookmarkStart w:id="920" w:name="bookmark920"/>
      <w:bookmarkEnd w:id="919"/>
      <w:r>
        <w:rPr>
          <w:color w:val="000000"/>
          <w:spacing w:val="0"/>
          <w:w w:val="100"/>
          <w:position w:val="0"/>
        </w:rPr>
        <w:t>以其他应收款为标的进行证券化的，列示继续涉入形成的资产、负债的金额</w:t>
      </w:r>
      <w:bookmarkEnd w:id="917"/>
      <w:bookmarkEnd w:id="918"/>
      <w:bookmarkEnd w:id="920"/>
    </w:p>
    <w:p>
      <w:pPr>
        <w:pStyle w:val="Style24"/>
        <w:keepNext w:val="0"/>
        <w:keepLines w:val="0"/>
        <w:widowControl w:val="0"/>
        <w:shd w:val="clear" w:color="auto" w:fill="auto"/>
        <w:bidi w:val="0"/>
        <w:spacing w:before="0" w:line="240" w:lineRule="auto"/>
        <w:ind w:left="8820" w:right="0" w:firstLine="0"/>
        <w:jc w:val="left"/>
      </w:pPr>
      <w:r>
        <w:rPr>
          <w:color w:val="000000"/>
          <w:spacing w:val="0"/>
          <w:w w:val="100"/>
          <w:position w:val="0"/>
        </w:rPr>
        <w:t>单位： 元</w:t>
      </w:r>
    </w:p>
    <w:tbl>
      <w:tblPr>
        <w:tblOverlap w:val="never"/>
        <w:jc w:val="center"/>
        <w:tblLayout w:type="fixed"/>
      </w:tblPr>
      <w:tblGrid>
        <w:gridCol w:w="3725"/>
        <w:gridCol w:w="5856"/>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10</w:t>
      </w:r>
      <w:r>
        <w:rPr>
          <w:color w:val="000000"/>
          <w:spacing w:val="0"/>
          <w:w w:val="100"/>
          <w:position w:val="0"/>
        </w:rPr>
        <w:t>）报告期末按应收金额确认的政府补助</w:t>
      </w:r>
      <w:bookmarkEnd w:id="921"/>
      <w:bookmarkEnd w:id="922"/>
      <w:bookmarkEnd w:id="924"/>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262"/>
        <w:gridCol w:w="926"/>
        <w:gridCol w:w="931"/>
        <w:gridCol w:w="1195"/>
        <w:gridCol w:w="1330"/>
        <w:gridCol w:w="1195"/>
        <w:gridCol w:w="1603"/>
      </w:tblGrid>
      <w:tr>
        <w:trPr>
          <w:trHeight w:val="104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未能在预计时点收</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到预计金额的原因</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4</w:t>
      </w:r>
      <w:bookmarkEnd w:id="927"/>
      <w:r>
        <w:rPr>
          <w:color w:val="000000"/>
          <w:spacing w:val="0"/>
          <w:w w:val="100"/>
          <w:position w:val="0"/>
        </w:rPr>
        <w:t>、预付款项</w:t>
      </w:r>
      <w:bookmarkEnd w:id="925"/>
      <w:bookmarkEnd w:id="926"/>
      <w:bookmarkEnd w:id="928"/>
    </w:p>
    <w:p>
      <w:pPr>
        <w:pStyle w:val="Style29"/>
        <w:keepNext/>
        <w:keepLines/>
        <w:widowControl w:val="0"/>
        <w:shd w:val="clear" w:color="auto" w:fill="auto"/>
        <w:bidi w:val="0"/>
        <w:spacing w:before="0" w:after="360" w:line="240" w:lineRule="auto"/>
        <w:ind w:left="0" w:right="0" w:firstLine="0"/>
        <w:jc w:val="left"/>
      </w:pPr>
      <w:bookmarkStart w:id="925" w:name="bookmark925"/>
      <w:bookmarkStart w:id="926" w:name="bookmark926"/>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25"/>
      <w:bookmarkEnd w:id="926"/>
      <w:bookmarkEnd w:id="93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5"/>
        <w:gridCol w:w="3187"/>
        <w:gridCol w:w="1061"/>
        <w:gridCol w:w="3058"/>
        <w:gridCol w:w="107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640,664.38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1,406,042.09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87.17%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3,780.00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12.83%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644,444.38</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1,613,042.09</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预付款项账龄的说明</w:t>
      </w:r>
    </w:p>
    <w:p>
      <w:pPr>
        <w:pStyle w:val="Style29"/>
        <w:keepNext/>
        <w:keepLines/>
        <w:widowControl w:val="0"/>
        <w:shd w:val="clear" w:color="auto" w:fill="auto"/>
        <w:bidi w:val="0"/>
        <w:spacing w:before="0" w:after="360" w:line="240" w:lineRule="auto"/>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931"/>
      <w:bookmarkEnd w:id="932"/>
      <w:bookmarkEnd w:id="93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深圳市福田区住房和建 设局</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539,595.00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交易未完成</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中国联合网络通信有限 公司上海市分公司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57,768.90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交易未完成</w:t>
            </w:r>
          </w:p>
        </w:tc>
      </w:tr>
      <w:tr>
        <w:trPr>
          <w:trHeight w:val="71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北京光电新创通信技术</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交易未完成</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员工宿舍房租</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9,600.00</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未摊销完毕</w:t>
            </w:r>
          </w:p>
        </w:tc>
      </w:tr>
      <w:tr>
        <w:trPr>
          <w:trHeight w:val="1027"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前锦网络信息技术（上 海）有限公司北京分公 司</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5,391.67</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未摊销完毕</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632,355.57</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预付款项主要单位的说明</w:t>
      </w:r>
    </w:p>
    <w:p>
      <w:pPr>
        <w:pStyle w:val="Style29"/>
        <w:keepNext/>
        <w:keepLines/>
        <w:widowControl w:val="0"/>
        <w:shd w:val="clear" w:color="auto" w:fill="auto"/>
        <w:bidi w:val="0"/>
        <w:spacing w:before="0" w:after="360" w:line="240" w:lineRule="auto"/>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35"/>
      <w:bookmarkEnd w:id="936"/>
      <w:bookmarkEnd w:id="93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4"/>
        <w:gridCol w:w="3322"/>
        <w:gridCol w:w="3466"/>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2794"/>
        <w:gridCol w:w="1728"/>
        <w:gridCol w:w="1594"/>
        <w:gridCol w:w="1728"/>
        <w:gridCol w:w="173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both"/>
      </w:pPr>
      <w:bookmarkStart w:id="939" w:name="bookmark939"/>
      <w:bookmarkStart w:id="940" w:name="bookmark940"/>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939"/>
      <w:bookmarkEnd w:id="940"/>
      <w:bookmarkEnd w:id="942"/>
    </w:p>
    <w:p>
      <w:pPr>
        <w:pStyle w:val="Style24"/>
        <w:keepNext w:val="0"/>
        <w:keepLines w:val="0"/>
        <w:widowControl w:val="0"/>
        <w:shd w:val="clear" w:color="auto" w:fill="auto"/>
        <w:bidi w:val="0"/>
        <w:spacing w:before="0" w:after="360" w:line="310" w:lineRule="exact"/>
        <w:ind w:left="0" w:right="0" w:firstLine="0"/>
        <w:jc w:val="both"/>
      </w:pPr>
      <w:r>
        <w:rPr>
          <w:color w:val="000000"/>
          <w:spacing w:val="0"/>
          <w:w w:val="100"/>
          <w:position w:val="0"/>
        </w:rPr>
        <w:t>预付款项期末余额较期初减少</w:t>
      </w:r>
      <w:r>
        <w:rPr>
          <w:rFonts w:ascii="Times New Roman" w:eastAsia="Times New Roman" w:hAnsi="Times New Roman" w:cs="Times New Roman"/>
          <w:color w:val="000000"/>
          <w:spacing w:val="0"/>
          <w:w w:val="100"/>
          <w:position w:val="0"/>
        </w:rPr>
        <w:t>968,597.7</w:t>
      </w:r>
      <w:r>
        <w:rPr>
          <w:rFonts w:ascii="Times New Roman" w:eastAsia="Times New Roman" w:hAnsi="Times New Roman" w:cs="Times New Roman"/>
          <w:color w:val="000000"/>
          <w:spacing w:val="0"/>
          <w:w w:val="100"/>
          <w:position w:val="0"/>
        </w:rPr>
        <w:t>1</w:t>
      </w:r>
      <w:r>
        <w:rPr>
          <w:color w:val="000000"/>
          <w:spacing w:val="0"/>
          <w:w w:val="100"/>
          <w:position w:val="0"/>
        </w:rPr>
        <w:t>元，降幅为</w:t>
      </w:r>
      <w:r>
        <w:rPr>
          <w:rFonts w:ascii="Times New Roman" w:eastAsia="Times New Roman" w:hAnsi="Times New Roman" w:cs="Times New Roman"/>
          <w:color w:val="000000"/>
          <w:spacing w:val="0"/>
          <w:w w:val="100"/>
          <w:position w:val="0"/>
        </w:rPr>
        <w:t>60.05%</w:t>
      </w:r>
      <w:r>
        <w:rPr>
          <w:color w:val="000000"/>
          <w:spacing w:val="0"/>
          <w:w w:val="100"/>
          <w:position w:val="0"/>
        </w:rPr>
        <w:t>,主要原因为：①上期购买北京全唐软件技术有限公司的研发用 软件于本期交付验收，期初余额中的</w:t>
      </w:r>
      <w:r>
        <w:rPr>
          <w:rFonts w:ascii="Times New Roman" w:eastAsia="Times New Roman" w:hAnsi="Times New Roman" w:cs="Times New Roman"/>
          <w:color w:val="000000"/>
          <w:spacing w:val="0"/>
          <w:w w:val="100"/>
          <w:position w:val="0"/>
        </w:rPr>
        <w:t>345,000.00</w:t>
      </w:r>
      <w:r>
        <w:rPr>
          <w:color w:val="000000"/>
          <w:spacing w:val="0"/>
          <w:w w:val="100"/>
          <w:position w:val="0"/>
        </w:rPr>
        <w:t>元转入无形资产核算；②上期预付北京嘉禾国信投资有限公司的房租及物业 费</w:t>
      </w:r>
      <w:r>
        <w:rPr>
          <w:rFonts w:ascii="Times New Roman" w:eastAsia="Times New Roman" w:hAnsi="Times New Roman" w:cs="Times New Roman"/>
          <w:color w:val="000000"/>
          <w:spacing w:val="0"/>
          <w:w w:val="100"/>
          <w:position w:val="0"/>
        </w:rPr>
        <w:t>471,981.22</w:t>
      </w:r>
      <w:r>
        <w:rPr>
          <w:color w:val="000000"/>
          <w:spacing w:val="0"/>
          <w:w w:val="100"/>
          <w:position w:val="0"/>
        </w:rPr>
        <w:t>元于本期全额摊销。</w:t>
      </w:r>
    </w:p>
    <w:p>
      <w:pPr>
        <w:pStyle w:val="Style29"/>
        <w:keepNext/>
        <w:keepLines/>
        <w:widowControl w:val="0"/>
        <w:shd w:val="clear" w:color="auto" w:fill="auto"/>
        <w:bidi w:val="0"/>
        <w:spacing w:before="0" w:after="360" w:line="240" w:lineRule="auto"/>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5</w:t>
      </w:r>
      <w:bookmarkEnd w:id="945"/>
      <w:r>
        <w:rPr>
          <w:color w:val="000000"/>
          <w:spacing w:val="0"/>
          <w:w w:val="100"/>
          <w:position w:val="0"/>
        </w:rPr>
        <w:t>、存货</w:t>
      </w:r>
      <w:bookmarkEnd w:id="943"/>
      <w:bookmarkEnd w:id="944"/>
      <w:bookmarkEnd w:id="946"/>
    </w:p>
    <w:p>
      <w:pPr>
        <w:pStyle w:val="Style29"/>
        <w:keepNext/>
        <w:keepLines/>
        <w:widowControl w:val="0"/>
        <w:shd w:val="clear" w:color="auto" w:fill="auto"/>
        <w:bidi w:val="0"/>
        <w:spacing w:before="0" w:after="360" w:line="240" w:lineRule="auto"/>
        <w:ind w:left="0" w:right="0" w:firstLine="0"/>
        <w:jc w:val="both"/>
      </w:pPr>
      <w:bookmarkStart w:id="943" w:name="bookmark943"/>
      <w:bookmarkStart w:id="944" w:name="bookmark944"/>
      <w:bookmarkStart w:id="947" w:name="bookmark9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43"/>
      <w:bookmarkEnd w:id="944"/>
      <w:bookmarkEnd w:id="94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140"/>
        <w:jc w:val="both"/>
      </w:pPr>
      <w:bookmarkStart w:id="948" w:name="bookmark948"/>
      <w:bookmarkStart w:id="949" w:name="bookmark949"/>
      <w:bookmarkStart w:id="950" w:name="bookmark9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948"/>
      <w:bookmarkEnd w:id="949"/>
      <w:bookmarkEnd w:id="95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653"/>
        <w:gridCol w:w="960"/>
        <w:gridCol w:w="1430"/>
        <w:gridCol w:w="187"/>
        <w:gridCol w:w="1411"/>
        <w:gridCol w:w="797"/>
        <w:gridCol w:w="634"/>
        <w:gridCol w:w="176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926" w:hRule="exact"/>
        </w:trPr>
        <w:tc>
          <w:tcPr>
            <w:gridSpan w:val="9"/>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）存货跌价准备情况</w:t>
            </w:r>
          </w:p>
        </w:tc>
      </w:tr>
      <w:tr>
        <w:trPr>
          <w:trHeight w:val="720"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gridSpan w:val="3"/>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gridSpan w:val="2"/>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存货的说明</w:t>
      </w:r>
    </w:p>
    <w:p>
      <w:pPr>
        <w:pStyle w:val="Style29"/>
        <w:keepNext/>
        <w:keepLines/>
        <w:widowControl w:val="0"/>
        <w:shd w:val="clear" w:color="auto" w:fill="auto"/>
        <w:bidi w:val="0"/>
        <w:spacing w:before="0" w:after="360" w:line="240" w:lineRule="auto"/>
        <w:ind w:left="0" w:right="0" w:firstLine="0"/>
        <w:jc w:val="both"/>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6</w:t>
      </w:r>
      <w:bookmarkEnd w:id="953"/>
      <w:r>
        <w:rPr>
          <w:color w:val="000000"/>
          <w:spacing w:val="0"/>
          <w:w w:val="100"/>
          <w:position w:val="0"/>
        </w:rPr>
        <w:t>、其他流动资产</w:t>
      </w:r>
      <w:bookmarkEnd w:id="951"/>
      <w:bookmarkEnd w:id="952"/>
      <w:bookmarkEnd w:id="95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1"/>
        <w:gridCol w:w="2923"/>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422,950.92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422,950.92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其他流动资产说明</w:t>
      </w:r>
    </w:p>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30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年末其他流动资产为期末留抵进项增值税额，</w:t>
      </w:r>
      <w:r>
        <w:rPr>
          <w:rFonts w:ascii="Times New Roman" w:eastAsia="Times New Roman" w:hAnsi="Times New Roman" w:cs="Times New Roman"/>
          <w:color w:val="000000"/>
          <w:spacing w:val="0"/>
          <w:w w:val="100"/>
          <w:position w:val="0"/>
        </w:rPr>
        <w:t>2013</w:t>
      </w:r>
      <w:r>
        <w:rPr>
          <w:color w:val="000000"/>
          <w:spacing w:val="0"/>
          <w:w w:val="100"/>
          <w:position w:val="0"/>
        </w:rPr>
        <w:t>年度已抵扣。</w:t>
      </w:r>
    </w:p>
    <w:p>
      <w:pPr>
        <w:pStyle w:val="Style29"/>
        <w:keepNext/>
        <w:keepLines/>
        <w:widowControl w:val="0"/>
        <w:shd w:val="clear" w:color="auto" w:fill="auto"/>
        <w:bidi w:val="0"/>
        <w:spacing w:before="0" w:after="36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7</w:t>
      </w:r>
      <w:bookmarkEnd w:id="957"/>
      <w:r>
        <w:rPr>
          <w:color w:val="000000"/>
          <w:spacing w:val="0"/>
          <w:w w:val="100"/>
          <w:position w:val="0"/>
        </w:rPr>
        <w:t>、对合营企业投资和联营企业投资</w:t>
      </w:r>
      <w:bookmarkEnd w:id="955"/>
      <w:bookmarkEnd w:id="956"/>
      <w:bookmarkEnd w:id="958"/>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200"/>
        <w:gridCol w:w="1195"/>
        <w:gridCol w:w="1195"/>
        <w:gridCol w:w="1195"/>
        <w:gridCol w:w="1195"/>
        <w:gridCol w:w="1195"/>
        <w:gridCol w:w="1200"/>
        <w:gridCol w:w="1205"/>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本企业持股比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本企业在被投 资单位表决权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8"/>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29"/>
        <w:keepNext/>
        <w:keepLines/>
        <w:widowControl w:val="0"/>
        <w:shd w:val="clear" w:color="auto" w:fill="auto"/>
        <w:bidi w:val="0"/>
        <w:spacing w:before="0" w:after="36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8</w:t>
      </w:r>
      <w:bookmarkEnd w:id="961"/>
      <w:r>
        <w:rPr>
          <w:color w:val="000000"/>
          <w:spacing w:val="0"/>
          <w:w w:val="100"/>
          <w:position w:val="0"/>
        </w:rPr>
        <w:t>、固定资产</w:t>
      </w:r>
      <w:bookmarkEnd w:id="959"/>
      <w:bookmarkEnd w:id="960"/>
      <w:bookmarkEnd w:id="962"/>
    </w:p>
    <w:p>
      <w:pPr>
        <w:pStyle w:val="Style29"/>
        <w:keepNext/>
        <w:keepLines/>
        <w:widowControl w:val="0"/>
        <w:shd w:val="clear" w:color="auto" w:fill="auto"/>
        <w:bidi w:val="0"/>
        <w:spacing w:before="0" w:after="360" w:line="240" w:lineRule="auto"/>
        <w:ind w:left="0" w:right="0" w:firstLine="0"/>
        <w:jc w:val="left"/>
      </w:pPr>
      <w:bookmarkStart w:id="959" w:name="bookmark959"/>
      <w:bookmarkStart w:id="960" w:name="bookmark960"/>
      <w:bookmarkStart w:id="963" w:name="bookmark9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59"/>
      <w:bookmarkEnd w:id="960"/>
      <w:bookmarkEnd w:id="96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464"/>
        <w:gridCol w:w="1325"/>
        <w:gridCol w:w="1594"/>
        <w:gridCol w:w="1594"/>
        <w:gridCol w:w="147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66,380,285.56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3,049,360.18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1,585,863.66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67,843,782.08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51,431,122.39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51,431,122.39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3,869,831.90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4,427,331.90</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9,863,656.07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1,875,185.94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1,585,863.66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10,152,978.35</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其他设备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1,215,675.20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616,674.24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1,832,349.44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本期新增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12,187,842.57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3,080,071.03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1,504,356.86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13,763,556.74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1,255,510.10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1,193,872.10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2,449,382.20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3,147,533.02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246,826.57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3,394,359.59</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7,260,143.01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1,332,033.55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1,504,356.86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7,087,819.70</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其他设备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524,656.44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307,338.81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831,995.25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54,192,442.99</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54,080,225.34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50,175,612.29</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48,981,740.19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722,298.88</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1,032,972.31</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2,603,513.06</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3,065,158.65</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其他设备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691,018.76</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1,000,354.19</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其他设备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54,192,442.99</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54,080,225.34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50,175,612.29</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48,981,740.19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722,298.88</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1,032,972.31</w:t>
            </w:r>
          </w:p>
        </w:tc>
      </w:tr>
      <w:tr>
        <w:trPr>
          <w:trHeight w:val="408"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2,603,513.06</w:t>
            </w:r>
          </w:p>
        </w:tc>
        <w:tc>
          <w:tcPr>
            <w:gridSpan w:val="3"/>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3,065,158.65</w:t>
            </w:r>
          </w:p>
        </w:tc>
      </w:tr>
    </w:tbl>
    <w:p>
      <w:pPr>
        <w:widowControl w:val="0"/>
        <w:spacing w:line="1" w:lineRule="exact"/>
      </w:pPr>
      <w:r>
        <w:br w:type="page"/>
      </w:r>
    </w:p>
    <w:tbl>
      <w:tblPr>
        <w:tblOverlap w:val="never"/>
        <w:jc w:val="center"/>
        <w:tblLayout w:type="fixed"/>
      </w:tblPr>
      <w:tblGrid>
        <w:gridCol w:w="2131"/>
        <w:gridCol w:w="1464"/>
        <w:gridCol w:w="4512"/>
        <w:gridCol w:w="1474"/>
      </w:tblGrid>
      <w:tr>
        <w:trPr>
          <w:trHeight w:val="418"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691,018.76</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1,000,354.19</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3,080,071.03</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964" w:name="bookmark964"/>
      <w:bookmarkStart w:id="965" w:name="bookmark965"/>
      <w:bookmarkStart w:id="966" w:name="bookmark9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964"/>
      <w:bookmarkEnd w:id="965"/>
      <w:bookmarkEnd w:id="96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797"/>
        <w:gridCol w:w="797"/>
        <w:gridCol w:w="1594"/>
        <w:gridCol w:w="1608"/>
        <w:gridCol w:w="787"/>
        <w:gridCol w:w="778"/>
        <w:gridCol w:w="168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备注</w:t>
            </w:r>
          </w:p>
        </w:tc>
      </w:tr>
      <w:tr>
        <w:trPr>
          <w:trHeight w:val="1277"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)通过融资租赁租入的固定资产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8"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gridSpan w:val="2"/>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39" w:line="1" w:lineRule="exact"/>
      </w:pPr>
    </w:p>
    <w:p>
      <w:pPr>
        <w:pStyle w:val="Style29"/>
        <w:keepNext/>
        <w:keepLines/>
        <w:widowControl w:val="0"/>
        <w:numPr>
          <w:ilvl w:val="0"/>
          <w:numId w:val="43"/>
        </w:numPr>
        <w:shd w:val="clear" w:color="auto" w:fill="auto"/>
        <w:bidi w:val="0"/>
        <w:spacing w:before="0" w:after="380" w:line="240" w:lineRule="auto"/>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通过经营租赁租出的固定资产</w:t>
      </w:r>
      <w:bookmarkEnd w:id="967"/>
      <w:bookmarkEnd w:id="968"/>
      <w:bookmarkEnd w:id="970"/>
    </w:p>
    <w:p>
      <w:pPr>
        <w:pStyle w:val="Style24"/>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39" w:line="1" w:lineRule="exact"/>
      </w:pPr>
    </w:p>
    <w:p>
      <w:pPr>
        <w:pStyle w:val="Style29"/>
        <w:keepNext/>
        <w:keepLines/>
        <w:widowControl w:val="0"/>
        <w:numPr>
          <w:ilvl w:val="0"/>
          <w:numId w:val="43"/>
        </w:numPr>
        <w:shd w:val="clear" w:color="auto" w:fill="auto"/>
        <w:bidi w:val="0"/>
        <w:spacing w:before="0" w:after="380" w:line="240" w:lineRule="auto"/>
        <w:ind w:left="0" w:right="0" w:firstLine="0"/>
        <w:jc w:val="left"/>
      </w:pPr>
      <w:bookmarkStart w:id="971" w:name="bookmark971"/>
      <w:bookmarkStart w:id="972" w:name="bookmark972"/>
      <w:bookmarkStart w:id="973" w:name="bookmark973"/>
      <w:bookmarkStart w:id="974" w:name="bookmark974"/>
      <w:bookmarkEnd w:id="973"/>
      <w:r>
        <w:rPr>
          <w:color w:val="000000"/>
          <w:spacing w:val="0"/>
          <w:w w:val="100"/>
          <w:position w:val="0"/>
        </w:rPr>
        <w:t>期末持有待售的固定资产情况</w:t>
      </w:r>
      <w:bookmarkEnd w:id="971"/>
      <w:bookmarkEnd w:id="972"/>
      <w:bookmarkEnd w:id="974"/>
    </w:p>
    <w:p>
      <w:pPr>
        <w:pStyle w:val="Style24"/>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2227"/>
        <w:gridCol w:w="1718"/>
        <w:gridCol w:w="1877"/>
        <w:gridCol w:w="1872"/>
        <w:gridCol w:w="1886"/>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39" w:line="1" w:lineRule="exact"/>
      </w:pPr>
    </w:p>
    <w:p>
      <w:pPr>
        <w:pStyle w:val="Style29"/>
        <w:keepNext/>
        <w:keepLines/>
        <w:widowControl w:val="0"/>
        <w:numPr>
          <w:ilvl w:val="0"/>
          <w:numId w:val="43"/>
        </w:numPr>
        <w:shd w:val="clear" w:color="auto" w:fill="auto"/>
        <w:bidi w:val="0"/>
        <w:spacing w:before="0" w:line="240" w:lineRule="auto"/>
        <w:ind w:left="0" w:right="0" w:firstLine="0"/>
        <w:jc w:val="left"/>
      </w:pPr>
      <w:bookmarkStart w:id="975" w:name="bookmark975"/>
      <w:bookmarkStart w:id="976" w:name="bookmark976"/>
      <w:bookmarkStart w:id="977" w:name="bookmark977"/>
      <w:bookmarkStart w:id="978" w:name="bookmark978"/>
      <w:bookmarkEnd w:id="977"/>
      <w:r>
        <w:rPr>
          <w:color w:val="000000"/>
          <w:spacing w:val="0"/>
          <w:w w:val="100"/>
          <w:position w:val="0"/>
        </w:rPr>
        <w:t>未办妥产权证书的固定资产情况</w:t>
      </w:r>
      <w:bookmarkEnd w:id="975"/>
      <w:bookmarkEnd w:id="976"/>
      <w:bookmarkEnd w:id="978"/>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固定资产说明</w:t>
      </w:r>
    </w:p>
    <w:p>
      <w:pPr>
        <w:pStyle w:val="Style29"/>
        <w:keepNext/>
        <w:keepLines/>
        <w:widowControl w:val="0"/>
        <w:shd w:val="clear" w:color="auto" w:fill="auto"/>
        <w:bidi w:val="0"/>
        <w:spacing w:before="0" w:line="240" w:lineRule="auto"/>
        <w:ind w:left="0" w:right="0" w:firstLine="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9</w:t>
      </w:r>
      <w:bookmarkEnd w:id="981"/>
      <w:r>
        <w:rPr>
          <w:color w:val="000000"/>
          <w:spacing w:val="0"/>
          <w:w w:val="100"/>
          <w:position w:val="0"/>
        </w:rPr>
        <w:t>、固定资产清理</w:t>
      </w:r>
      <w:bookmarkEnd w:id="979"/>
      <w:bookmarkEnd w:id="980"/>
      <w:bookmarkEnd w:id="98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28"/>
        <w:gridCol w:w="1997"/>
        <w:gridCol w:w="2126"/>
        <w:gridCol w:w="253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rPr>
        <w:t>1</w:t>
      </w:r>
      <w:r>
        <w:rPr>
          <w:color w:val="000000"/>
          <w:spacing w:val="0"/>
          <w:w w:val="100"/>
          <w:position w:val="0"/>
        </w:rPr>
        <w:t>年的固定资产清理进展情况</w:t>
      </w:r>
    </w:p>
    <w:p>
      <w:pPr>
        <w:pStyle w:val="Style29"/>
        <w:keepNext/>
        <w:keepLines/>
        <w:widowControl w:val="0"/>
        <w:shd w:val="clear" w:color="auto" w:fill="auto"/>
        <w:bidi w:val="0"/>
        <w:spacing w:before="0" w:line="240" w:lineRule="auto"/>
        <w:ind w:left="0" w:right="0" w:firstLine="0"/>
        <w:jc w:val="both"/>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1</w:t>
      </w:r>
      <w:bookmarkEnd w:id="985"/>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83"/>
      <w:bookmarkEnd w:id="984"/>
      <w:bookmarkEnd w:id="986"/>
    </w:p>
    <w:p>
      <w:pPr>
        <w:pStyle w:val="Style29"/>
        <w:keepNext/>
        <w:keepLines/>
        <w:widowControl w:val="0"/>
        <w:shd w:val="clear" w:color="auto" w:fill="auto"/>
        <w:bidi w:val="0"/>
        <w:spacing w:before="0" w:line="240" w:lineRule="auto"/>
        <w:ind w:left="0" w:right="0" w:firstLine="0"/>
        <w:jc w:val="both"/>
      </w:pPr>
      <w:bookmarkStart w:id="983" w:name="bookmark983"/>
      <w:bookmarkStart w:id="984" w:name="bookmark984"/>
      <w:bookmarkStart w:id="987" w:name="bookmark98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983"/>
      <w:bookmarkEnd w:id="984"/>
      <w:bookmarkEnd w:id="987"/>
    </w:p>
    <w:p>
      <w:pPr>
        <w:pStyle w:val="Style24"/>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2198"/>
        <w:gridCol w:w="1843"/>
        <w:gridCol w:w="1858"/>
        <w:gridCol w:w="1814"/>
        <w:gridCol w:w="186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widowControl w:val="0"/>
        <w:spacing w:line="1" w:lineRule="exact"/>
      </w:pPr>
      <w:r>
        <w:br w:type="page"/>
      </w:r>
    </w:p>
    <w:tbl>
      <w:tblPr>
        <w:tblOverlap w:val="never"/>
        <w:jc w:val="center"/>
        <w:tblLayout w:type="fixed"/>
      </w:tblPr>
      <w:tblGrid>
        <w:gridCol w:w="2198"/>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1,563,316.70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2,253,316.70</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1,563,316.70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2,253,316.70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1,007,731.69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265,463.20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1,273,194.89</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1,007,731.69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265,463.20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1,273,194.89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555,585.01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424,536.80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980,121.81</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555,585.01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980,121.81</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555,585.01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424,536.80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980,121.81</w:t>
            </w:r>
          </w:p>
        </w:tc>
      </w:tr>
      <w:tr>
        <w:trPr>
          <w:trHeight w:val="413"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555,585.01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980,121.81</w:t>
            </w:r>
          </w:p>
        </w:tc>
      </w:tr>
    </w:tbl>
    <w:p>
      <w:pPr>
        <w:widowControl w:val="0"/>
        <w:spacing w:after="79" w:line="1" w:lineRule="exact"/>
      </w:pPr>
    </w:p>
    <w:p>
      <w:pPr>
        <w:pStyle w:val="Style62"/>
        <w:keepNext w:val="0"/>
        <w:keepLines w:val="0"/>
        <w:widowControl w:val="0"/>
        <w:shd w:val="clear" w:color="auto" w:fill="auto"/>
        <w:bidi w:val="0"/>
        <w:spacing w:before="0" w:after="360" w:line="240" w:lineRule="auto"/>
        <w:ind w:left="0" w:right="0" w:firstLine="0"/>
        <w:jc w:val="left"/>
      </w:pPr>
      <w:r>
        <w:rPr>
          <w:rFonts w:ascii="SimSun" w:eastAsia="SimSun" w:hAnsi="SimSun" w:cs="SimSun"/>
          <w:color w:val="000000"/>
          <w:spacing w:val="0"/>
          <w:w w:val="100"/>
          <w:position w:val="0"/>
        </w:rPr>
        <w:t>本期摊销额</w:t>
      </w:r>
      <w:r>
        <w:rPr>
          <w:color w:val="000000"/>
          <w:spacing w:val="0"/>
          <w:w w:val="100"/>
          <w:position w:val="0"/>
        </w:rPr>
        <w:t>265,463.20</w:t>
      </w:r>
      <w:r>
        <w:rPr>
          <w:rFonts w:ascii="SimSun" w:eastAsia="SimSun" w:hAnsi="SimSun" w:cs="SimSun"/>
          <w:color w:val="000000"/>
          <w:spacing w:val="0"/>
          <w:w w:val="100"/>
          <w:position w:val="0"/>
        </w:rPr>
        <w:t>元。</w:t>
      </w:r>
    </w:p>
    <w:p>
      <w:pPr>
        <w:pStyle w:val="Style29"/>
        <w:keepNext/>
        <w:keepLines/>
        <w:widowControl w:val="0"/>
        <w:shd w:val="clear" w:color="auto" w:fill="auto"/>
        <w:bidi w:val="0"/>
        <w:spacing w:before="0" w:after="360" w:line="240" w:lineRule="auto"/>
        <w:ind w:left="0" w:right="0" w:firstLine="0"/>
        <w:jc w:val="left"/>
      </w:pPr>
      <w:bookmarkStart w:id="988" w:name="bookmark988"/>
      <w:bookmarkStart w:id="989" w:name="bookmark989"/>
      <w:bookmarkStart w:id="990" w:name="bookmark9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988"/>
      <w:bookmarkEnd w:id="989"/>
      <w:bookmarkEnd w:id="99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608"/>
        <w:gridCol w:w="1570"/>
        <w:gridCol w:w="161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本期开发支出占本期研究开发项目支出总额的比例。</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通过公司内部研发形成的无形资产占无形资产期末账面价值的比例。</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rPr>
        <w:t>100</w:t>
      </w:r>
      <w:r>
        <w:rPr>
          <w:color w:val="000000"/>
          <w:spacing w:val="0"/>
          <w:w w:val="100"/>
          <w:position w:val="0"/>
        </w:rPr>
        <w:t>万元以上且以评估值为入账依据的，应披露评估机构名称、评估方法</w:t>
      </w:r>
    </w:p>
    <w:p>
      <w:pPr>
        <w:pStyle w:val="Style29"/>
        <w:keepNext/>
        <w:keepLines/>
        <w:widowControl w:val="0"/>
        <w:shd w:val="clear" w:color="auto" w:fill="auto"/>
        <w:bidi w:val="0"/>
        <w:spacing w:before="0" w:after="36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1</w:t>
      </w:r>
      <w:bookmarkEnd w:id="993"/>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991"/>
      <w:bookmarkEnd w:id="992"/>
      <w:bookmarkEnd w:id="99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140,326.78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1,604,733.20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591,455.18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1,153,604.80</w:t>
            </w: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140,326.78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1,604,733.20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591,455.18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1,153,604.80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长期待摊费用的说明</w:t>
      </w:r>
    </w:p>
    <w:p>
      <w:pPr>
        <w:pStyle w:val="Style32"/>
        <w:keepNext w:val="0"/>
        <w:keepLines w:val="0"/>
        <w:widowControl w:val="0"/>
        <w:shd w:val="clear" w:color="auto" w:fill="auto"/>
        <w:bidi w:val="0"/>
        <w:spacing w:before="0" w:after="280" w:line="326" w:lineRule="exact"/>
        <w:ind w:left="0" w:right="0" w:firstLine="0"/>
        <w:jc w:val="left"/>
      </w:pPr>
      <w:r>
        <w:rPr>
          <w:color w:val="000000"/>
          <w:spacing w:val="0"/>
          <w:w w:val="100"/>
          <w:position w:val="0"/>
        </w:rPr>
        <w:t xml:space="preserve">长期待摊费用期末余额较期初余额增加了 </w:t>
      </w:r>
      <w:r>
        <w:rPr>
          <w:rFonts w:ascii="Times New Roman" w:eastAsia="Times New Roman" w:hAnsi="Times New Roman" w:cs="Times New Roman"/>
          <w:color w:val="000000"/>
          <w:spacing w:val="0"/>
          <w:w w:val="100"/>
          <w:position w:val="0"/>
        </w:rPr>
        <w:t>1,013,278.02</w:t>
      </w:r>
      <w:r>
        <w:rPr>
          <w:color w:val="000000"/>
          <w:spacing w:val="0"/>
          <w:w w:val="100"/>
          <w:position w:val="0"/>
        </w:rPr>
        <w:t>元，主要系北京分公司更换办公场所装修款本期转入 长期待摊费用所致。</w:t>
      </w:r>
    </w:p>
    <w:p>
      <w:pPr>
        <w:pStyle w:val="Style29"/>
        <w:keepNext/>
        <w:keepLines/>
        <w:widowControl w:val="0"/>
        <w:shd w:val="clear" w:color="auto" w:fill="auto"/>
        <w:bidi w:val="0"/>
        <w:spacing w:before="0" w:after="280" w:line="326" w:lineRule="exact"/>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1</w:t>
      </w:r>
      <w:bookmarkEnd w:id="997"/>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w:t>
      </w:r>
      <w:bookmarkEnd w:id="995"/>
      <w:bookmarkEnd w:id="996"/>
      <w:bookmarkEnd w:id="998"/>
    </w:p>
    <w:p>
      <w:pPr>
        <w:pStyle w:val="Style29"/>
        <w:keepNext/>
        <w:keepLines/>
        <w:widowControl w:val="0"/>
        <w:shd w:val="clear" w:color="auto" w:fill="auto"/>
        <w:bidi w:val="0"/>
        <w:spacing w:before="0" w:after="360" w:line="326" w:lineRule="exact"/>
        <w:ind w:left="0" w:right="0" w:firstLine="0"/>
        <w:jc w:val="left"/>
      </w:pPr>
      <w:bookmarkStart w:id="995" w:name="bookmark995"/>
      <w:bookmarkStart w:id="996" w:name="bookmark996"/>
      <w:bookmarkStart w:id="999" w:name="bookmark9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995"/>
      <w:bookmarkEnd w:id="996"/>
      <w:bookmarkEnd w:id="999"/>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bl>
    <w:p>
      <w:pPr>
        <w:widowControl w:val="0"/>
        <w:spacing w:line="1" w:lineRule="exact"/>
      </w:pPr>
      <w:r>
        <w:br w:type="page"/>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843,613.47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1,229,778.33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843,613.47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1,229,778.33</w:t>
            </w:r>
          </w:p>
        </w:tc>
      </w:tr>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23"/>
        <w:gridCol w:w="293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8,436,134.68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8,198,522.18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8,436,134.68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8,198,522.18</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9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应纳税差异和可抵扣差异项目明细</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5722"/>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tabs>
                <w:tab w:pos="2851" w:val="left"/>
              </w:tabs>
              <w:bidi w:val="0"/>
              <w:spacing w:before="0" w:after="0" w:line="240" w:lineRule="auto"/>
              <w:ind w:left="0" w:right="0" w:firstLine="0"/>
              <w:jc w:val="center"/>
            </w:pPr>
            <w:r>
              <w:rPr>
                <w:color w:val="000000"/>
                <w:spacing w:val="0"/>
                <w:w w:val="100"/>
                <w:position w:val="0"/>
              </w:rPr>
              <w:t>期末</w:t>
              <w:tab/>
              <w:t>期初</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1002" w:name="bookmark10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000"/>
      <w:bookmarkEnd w:id="1001"/>
      <w:bookmarkEnd w:id="1002"/>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2"/>
        <w:gridCol w:w="1627"/>
        <w:gridCol w:w="1627"/>
        <w:gridCol w:w="1627"/>
        <w:gridCol w:w="1637"/>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报告期末互抵后的 递延所得税资产或 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843,613.47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1,229,778.33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572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递延所得税资产和递延所得税负债的说明</w:t>
      </w:r>
    </w:p>
    <w:p>
      <w:pPr>
        <w:pStyle w:val="Style29"/>
        <w:keepNext/>
        <w:keepLines/>
        <w:widowControl w:val="0"/>
        <w:shd w:val="clear" w:color="auto" w:fill="auto"/>
        <w:bidi w:val="0"/>
        <w:spacing w:before="0" w:after="36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1</w:t>
      </w:r>
      <w:bookmarkEnd w:id="1005"/>
      <w:r>
        <w:rPr>
          <w:rFonts w:ascii="Times New Roman" w:eastAsia="Times New Roman" w:hAnsi="Times New Roman" w:cs="Times New Roman"/>
          <w:color w:val="000000"/>
          <w:spacing w:val="0"/>
          <w:w w:val="100"/>
          <w:position w:val="0"/>
        </w:rPr>
        <w:t>3</w:t>
      </w:r>
      <w:r>
        <w:rPr>
          <w:color w:val="000000"/>
          <w:spacing w:val="0"/>
          <w:w w:val="100"/>
          <w:position w:val="0"/>
        </w:rPr>
        <w:t>、资产减值准备明细</w:t>
      </w:r>
      <w:bookmarkEnd w:id="1003"/>
      <w:bookmarkEnd w:id="1004"/>
      <w:bookmarkEnd w:id="1006"/>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526"/>
        <w:gridCol w:w="1526"/>
        <w:gridCol w:w="2798"/>
        <w:gridCol w:w="1459"/>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widowControl w:val="0"/>
        <w:spacing w:line="1" w:lineRule="exact"/>
      </w:pPr>
    </w:p>
    <w:tbl>
      <w:tblPr>
        <w:tblOverlap w:val="never"/>
        <w:jc w:val="center"/>
        <w:tblLayout w:type="fixed"/>
      </w:tblPr>
      <w:tblGrid>
        <w:gridCol w:w="2270"/>
        <w:gridCol w:w="1526"/>
        <w:gridCol w:w="1526"/>
        <w:gridCol w:w="1397"/>
        <w:gridCol w:w="1402"/>
        <w:gridCol w:w="145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8,198,522.18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1,576,930.00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1,339,317.50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8,436,134.68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8,198,522.18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1,576,930.00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1,339,317.50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8,436,134.68</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资产减值明细情况的说明</w:t>
      </w:r>
    </w:p>
    <w:p>
      <w:pPr>
        <w:pStyle w:val="Style29"/>
        <w:keepNext/>
        <w:keepLines/>
        <w:widowControl w:val="0"/>
        <w:shd w:val="clear" w:color="auto" w:fill="auto"/>
        <w:bidi w:val="0"/>
        <w:spacing w:before="0" w:after="36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1</w:t>
      </w:r>
      <w:bookmarkEnd w:id="1009"/>
      <w:r>
        <w:rPr>
          <w:rFonts w:ascii="Times New Roman" w:eastAsia="Times New Roman" w:hAnsi="Times New Roman" w:cs="Times New Roman"/>
          <w:color w:val="000000"/>
          <w:spacing w:val="0"/>
          <w:w w:val="100"/>
          <w:position w:val="0"/>
        </w:rPr>
        <w:t>4</w:t>
      </w:r>
      <w:r>
        <w:rPr>
          <w:color w:val="000000"/>
          <w:spacing w:val="0"/>
          <w:w w:val="100"/>
          <w:position w:val="0"/>
        </w:rPr>
        <w:t>、其他非流动资产</w:t>
      </w:r>
      <w:bookmarkEnd w:id="1007"/>
      <w:bookmarkEnd w:id="1008"/>
      <w:bookmarkEnd w:id="101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其他非流动资产的说明</w:t>
      </w:r>
    </w:p>
    <w:p>
      <w:pPr>
        <w:pStyle w:val="Style29"/>
        <w:keepNext/>
        <w:keepLines/>
        <w:widowControl w:val="0"/>
        <w:shd w:val="clear" w:color="auto" w:fill="auto"/>
        <w:bidi w:val="0"/>
        <w:spacing w:before="0" w:after="36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1</w:t>
      </w:r>
      <w:bookmarkEnd w:id="1013"/>
      <w:r>
        <w:rPr>
          <w:rFonts w:ascii="Times New Roman" w:eastAsia="Times New Roman" w:hAnsi="Times New Roman" w:cs="Times New Roman"/>
          <w:color w:val="000000"/>
          <w:spacing w:val="0"/>
          <w:w w:val="100"/>
          <w:position w:val="0"/>
        </w:rPr>
        <w:t>5</w:t>
      </w:r>
      <w:r>
        <w:rPr>
          <w:color w:val="000000"/>
          <w:spacing w:val="0"/>
          <w:w w:val="100"/>
          <w:position w:val="0"/>
        </w:rPr>
        <w:t>、短期借款</w:t>
      </w:r>
      <w:bookmarkEnd w:id="1011"/>
      <w:bookmarkEnd w:id="1012"/>
      <w:bookmarkEnd w:id="1014"/>
    </w:p>
    <w:p>
      <w:pPr>
        <w:pStyle w:val="Style29"/>
        <w:keepNext/>
        <w:keepLines/>
        <w:widowControl w:val="0"/>
        <w:shd w:val="clear" w:color="auto" w:fill="auto"/>
        <w:bidi w:val="0"/>
        <w:spacing w:before="0" w:after="360" w:line="240" w:lineRule="auto"/>
        <w:ind w:left="0" w:right="0" w:firstLine="0"/>
        <w:jc w:val="left"/>
      </w:pPr>
      <w:bookmarkStart w:id="1011" w:name="bookmark1011"/>
      <w:bookmarkStart w:id="1012" w:name="bookmark1012"/>
      <w:bookmarkStart w:id="1015" w:name="bookmark101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11"/>
      <w:bookmarkEnd w:id="1012"/>
      <w:bookmarkEnd w:id="101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5,000,000.00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5,000,000.00</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短期借款分类的说明</w:t>
      </w:r>
    </w:p>
    <w:p>
      <w:pPr>
        <w:pStyle w:val="Style32"/>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日与中国民生银行股份有限公司深圳分行（以下简称：</w:t>
      </w:r>
      <w:r>
        <w:rPr>
          <w:rFonts w:ascii="Times New Roman" w:eastAsia="Times New Roman" w:hAnsi="Times New Roman" w:cs="Times New Roman"/>
          <w:color w:val="000000"/>
          <w:spacing w:val="0"/>
          <w:w w:val="100"/>
          <w:position w:val="0"/>
        </w:rPr>
        <w:t>“</w:t>
      </w:r>
      <w:r>
        <w:rPr>
          <w:color w:val="000000"/>
          <w:spacing w:val="0"/>
          <w:w w:val="100"/>
          <w:position w:val="0"/>
        </w:rPr>
        <w:t>民生银行深圳分行</w:t>
      </w:r>
      <w:r>
        <w:rPr>
          <w:color w:val="000000"/>
          <w:spacing w:val="0"/>
          <w:w w:val="100"/>
          <w:position w:val="0"/>
        </w:rPr>
        <w:t>''）</w:t>
      </w:r>
      <w:r>
        <w:rPr>
          <w:color w:val="000000"/>
          <w:spacing w:val="0"/>
          <w:w w:val="100"/>
          <w:position w:val="0"/>
        </w:rPr>
        <w:t>签订</w:t>
      </w:r>
      <w:r>
        <w:rPr>
          <w:rFonts w:ascii="Times New Roman" w:eastAsia="Times New Roman" w:hAnsi="Times New Roman" w:cs="Times New Roman"/>
          <w:color w:val="000000"/>
          <w:spacing w:val="0"/>
          <w:w w:val="100"/>
          <w:position w:val="0"/>
        </w:rPr>
        <w:t>“</w:t>
      </w:r>
      <w:r>
        <w:rPr>
          <w:color w:val="000000"/>
          <w:spacing w:val="0"/>
          <w:w w:val="100"/>
          <w:position w:val="0"/>
        </w:rPr>
        <w:t>深企 业一部综贷字</w:t>
      </w:r>
      <w:r>
        <w:rPr>
          <w:rFonts w:ascii="Times New Roman" w:eastAsia="Times New Roman" w:hAnsi="Times New Roman" w:cs="Times New Roman"/>
          <w:color w:val="000000"/>
          <w:spacing w:val="0"/>
          <w:w w:val="100"/>
          <w:position w:val="0"/>
        </w:rPr>
        <w:t>010</w:t>
      </w:r>
      <w:r>
        <w:rPr>
          <w:color w:val="000000"/>
          <w:spacing w:val="0"/>
          <w:w w:val="100"/>
          <w:position w:val="0"/>
        </w:rPr>
        <w:t xml:space="preserve">号《流动资金贷款借款合同》，民生银行深圳分行向本公司发放一年期保证借款 </w:t>
      </w:r>
      <w:r>
        <w:rPr>
          <w:rFonts w:ascii="Times New Roman" w:eastAsia="Times New Roman" w:hAnsi="Times New Roman" w:cs="Times New Roman"/>
          <w:color w:val="000000"/>
          <w:spacing w:val="0"/>
          <w:w w:val="100"/>
          <w:position w:val="0"/>
        </w:rPr>
        <w:t>5,000,000.00</w:t>
      </w:r>
      <w:r>
        <w:rPr>
          <w:color w:val="000000"/>
          <w:spacing w:val="0"/>
          <w:w w:val="100"/>
          <w:position w:val="0"/>
        </w:rPr>
        <w:t>元。公司已于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日全额偿还上述贷款本息。</w:t>
      </w:r>
    </w:p>
    <w:p>
      <w:pPr>
        <w:pStyle w:val="Style29"/>
        <w:keepNext/>
        <w:keepLines/>
        <w:widowControl w:val="0"/>
        <w:shd w:val="clear" w:color="auto" w:fill="auto"/>
        <w:bidi w:val="0"/>
        <w:spacing w:before="0" w:after="360" w:line="312" w:lineRule="exact"/>
        <w:ind w:left="0" w:right="0" w:firstLine="0"/>
        <w:jc w:val="left"/>
      </w:pPr>
      <w:bookmarkStart w:id="1016" w:name="bookmark1016"/>
      <w:bookmarkStart w:id="1017" w:name="bookmark1017"/>
      <w:bookmarkStart w:id="1018" w:name="bookmark10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016"/>
      <w:bookmarkEnd w:id="1017"/>
      <w:bookmarkEnd w:id="1018"/>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608"/>
        <w:gridCol w:w="1286"/>
        <w:gridCol w:w="1277"/>
        <w:gridCol w:w="1670"/>
        <w:gridCol w:w="1723"/>
        <w:gridCol w:w="2016"/>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资产负债表日后已偿还金额元。</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短期借款的说明，包括已到期短期借款获展期的，说明展期条件、新的到期日</w:t>
      </w:r>
    </w:p>
    <w:p>
      <w:pPr>
        <w:pStyle w:val="Style29"/>
        <w:keepNext/>
        <w:keepLines/>
        <w:widowControl w:val="0"/>
        <w:shd w:val="clear" w:color="auto" w:fill="auto"/>
        <w:bidi w:val="0"/>
        <w:spacing w:before="0" w:after="36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1</w:t>
      </w:r>
      <w:bookmarkEnd w:id="1021"/>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019"/>
      <w:bookmarkEnd w:id="1020"/>
      <w:bookmarkEnd w:id="1022"/>
    </w:p>
    <w:p>
      <w:pPr>
        <w:pStyle w:val="Style29"/>
        <w:keepNext/>
        <w:keepLines/>
        <w:widowControl w:val="0"/>
        <w:shd w:val="clear" w:color="auto" w:fill="auto"/>
        <w:bidi w:val="0"/>
        <w:spacing w:before="0" w:after="360" w:line="240" w:lineRule="auto"/>
        <w:ind w:left="0" w:right="0" w:firstLine="0"/>
        <w:jc w:val="left"/>
      </w:pPr>
      <w:bookmarkStart w:id="1019" w:name="bookmark1019"/>
      <w:bookmarkStart w:id="1020" w:name="bookmark1020"/>
      <w:bookmarkStart w:id="1023" w:name="bookmark10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019"/>
      <w:bookmarkEnd w:id="1020"/>
      <w:bookmarkEnd w:id="102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1,169,452.69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1,103,414.53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1,169,452.69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1,103,414.53</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24"/>
      <w:bookmarkEnd w:id="1025"/>
      <w:bookmarkEnd w:id="102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18"/>
        <w:gridCol w:w="3067"/>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w:t>
      </w:r>
      <w:bookmarkEnd w:id="1029"/>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）账龄超过一年的大额应付账款情况的说明</w:t>
      </w:r>
      <w:bookmarkEnd w:id="1027"/>
      <w:bookmarkEnd w:id="1028"/>
      <w:bookmarkEnd w:id="1030"/>
    </w:p>
    <w:p>
      <w:pPr>
        <w:pStyle w:val="Style29"/>
        <w:keepNext/>
        <w:keepLines/>
        <w:widowControl w:val="0"/>
        <w:shd w:val="clear" w:color="auto" w:fill="auto"/>
        <w:bidi w:val="0"/>
        <w:spacing w:before="0" w:after="360" w:line="240" w:lineRule="auto"/>
        <w:ind w:left="0" w:right="0" w:firstLine="0"/>
        <w:jc w:val="left"/>
      </w:pPr>
      <w:bookmarkStart w:id="1027" w:name="bookmark1027"/>
      <w:bookmarkStart w:id="1028" w:name="bookmark1028"/>
      <w:bookmarkStart w:id="1031" w:name="bookmark1031"/>
      <w:bookmarkStart w:id="1032" w:name="bookmark1032"/>
      <w:r>
        <w:rPr>
          <w:rFonts w:ascii="Times New Roman" w:eastAsia="Times New Roman" w:hAnsi="Times New Roman" w:cs="Times New Roman"/>
          <w:color w:val="000000"/>
          <w:spacing w:val="0"/>
          <w:w w:val="100"/>
          <w:position w:val="0"/>
        </w:rPr>
        <w:t>1</w:t>
      </w:r>
      <w:bookmarkEnd w:id="1031"/>
      <w:r>
        <w:rPr>
          <w:rFonts w:ascii="Times New Roman" w:eastAsia="Times New Roman" w:hAnsi="Times New Roman" w:cs="Times New Roman"/>
          <w:color w:val="000000"/>
          <w:spacing w:val="0"/>
          <w:w w:val="100"/>
          <w:position w:val="0"/>
        </w:rPr>
        <w:t>7</w:t>
      </w:r>
      <w:r>
        <w:rPr>
          <w:color w:val="000000"/>
          <w:spacing w:val="0"/>
          <w:w w:val="100"/>
          <w:position w:val="0"/>
        </w:rPr>
        <w:t>、预收账款</w:t>
      </w:r>
      <w:bookmarkEnd w:id="1027"/>
      <w:bookmarkEnd w:id="1028"/>
      <w:bookmarkEnd w:id="1032"/>
    </w:p>
    <w:p>
      <w:pPr>
        <w:pStyle w:val="Style29"/>
        <w:keepNext/>
        <w:keepLines/>
        <w:widowControl w:val="0"/>
        <w:shd w:val="clear" w:color="auto" w:fill="auto"/>
        <w:bidi w:val="0"/>
        <w:spacing w:before="0" w:after="360" w:line="240" w:lineRule="auto"/>
        <w:ind w:left="0" w:right="0" w:firstLine="0"/>
        <w:jc w:val="left"/>
      </w:pPr>
      <w:bookmarkStart w:id="1027" w:name="bookmark1027"/>
      <w:bookmarkStart w:id="1028" w:name="bookmark1028"/>
      <w:bookmarkStart w:id="1033" w:name="bookmark10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027"/>
      <w:bookmarkEnd w:id="1028"/>
      <w:bookmarkEnd w:id="103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4,221,403.22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1,666,922.71</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47,500.03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4,268,903.25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1,666,922.71</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1034" w:name="bookmark1034"/>
      <w:bookmarkStart w:id="1035" w:name="bookmark1035"/>
      <w:bookmarkStart w:id="1036" w:name="bookmark10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34"/>
      <w:bookmarkEnd w:id="1035"/>
      <w:bookmarkEnd w:id="103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w:t>
      </w:r>
      <w:bookmarkEnd w:id="1039"/>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）账龄超过一年的大额预收账款情况的说明</w:t>
      </w:r>
      <w:bookmarkEnd w:id="1037"/>
      <w:bookmarkEnd w:id="1038"/>
      <w:bookmarkEnd w:id="1040"/>
    </w:p>
    <w:p>
      <w:pPr>
        <w:pStyle w:val="Style32"/>
        <w:keepNext w:val="0"/>
        <w:keepLines w:val="0"/>
        <w:widowControl w:val="0"/>
        <w:shd w:val="clear" w:color="auto" w:fill="auto"/>
        <w:bidi w:val="0"/>
        <w:spacing w:before="0" w:after="300" w:line="322" w:lineRule="exact"/>
        <w:ind w:left="0" w:right="0" w:firstLine="0"/>
        <w:jc w:val="left"/>
      </w:pPr>
      <w:r>
        <w:rPr>
          <w:color w:val="000000"/>
          <w:spacing w:val="0"/>
          <w:w w:val="100"/>
          <w:position w:val="0"/>
        </w:rPr>
        <w:t>期末账龄超过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年的大额预收款项金额为</w:t>
      </w:r>
      <w:r>
        <w:rPr>
          <w:rFonts w:ascii="Times New Roman" w:eastAsia="Times New Roman" w:hAnsi="Times New Roman" w:cs="Times New Roman"/>
          <w:color w:val="000000"/>
          <w:spacing w:val="0"/>
          <w:w w:val="100"/>
          <w:position w:val="0"/>
        </w:rPr>
        <w:t>47,500.03</w:t>
      </w:r>
      <w:r>
        <w:rPr>
          <w:color w:val="000000"/>
          <w:spacing w:val="0"/>
          <w:w w:val="100"/>
          <w:position w:val="0"/>
        </w:rPr>
        <w:t>元，未结转的原因为公司与客户签订的服务合同分期确 认收入，余额为预收款项。</w:t>
      </w:r>
    </w:p>
    <w:p>
      <w:pPr>
        <w:pStyle w:val="Style29"/>
        <w:keepNext/>
        <w:keepLines/>
        <w:widowControl w:val="0"/>
        <w:shd w:val="clear" w:color="auto" w:fill="auto"/>
        <w:bidi w:val="0"/>
        <w:spacing w:before="0" w:after="360" w:line="322" w:lineRule="exact"/>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w:t>
      </w:r>
      <w:bookmarkEnd w:id="1043"/>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041"/>
      <w:bookmarkEnd w:id="1042"/>
      <w:bookmarkEnd w:id="104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58"/>
        <w:gridCol w:w="1992"/>
        <w:gridCol w:w="2261"/>
        <w:gridCol w:w="186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5,174,648.43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85,677,814.61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83,250,880.12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7,601,582.92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2,187,439.78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2,187,439.78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354,612.83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6,732,593.80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6,581,513.34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505,693.29</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124,144.49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2,365,191.25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2,314,421.64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174,914.10</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204,914.40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3,843,223.32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3,753,574.12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294,563.60</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10,658.61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237,668.07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234,412.53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13,914.15</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115,170.14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112,271.67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9,025.67</w:t>
            </w:r>
          </w:p>
        </w:tc>
      </w:tr>
      <w:tr>
        <w:trPr>
          <w:trHeight w:val="413"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8,768.13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171,341.02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166,833.38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13,275.77</w:t>
            </w:r>
          </w:p>
        </w:tc>
      </w:tr>
    </w:tbl>
    <w:p>
      <w:pPr>
        <w:widowControl w:val="0"/>
        <w:spacing w:line="1" w:lineRule="exact"/>
      </w:pPr>
      <w:r>
        <w:br w:type="page"/>
      </w:r>
    </w:p>
    <w:tbl>
      <w:tblPr>
        <w:tblOverlap w:val="never"/>
        <w:jc w:val="center"/>
        <w:tblLayout w:type="fixed"/>
      </w:tblPr>
      <w:tblGrid>
        <w:gridCol w:w="1603"/>
        <w:gridCol w:w="1858"/>
        <w:gridCol w:w="1992"/>
        <w:gridCol w:w="2261"/>
        <w:gridCol w:w="186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1,479,044.76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1,439,013.76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40,031.00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2,098,312.47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2,098,312.47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5,529,261.26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98,175,205.42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95,557,159.47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8,147,307.21</w:t>
            </w:r>
          </w:p>
        </w:tc>
      </w:tr>
    </w:tbl>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应付职工薪酬中属于拖欠性质的金额元。</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工会经费和职工教育经费金额元，非货币性福利金额元，因解除劳动关系给予补偿元。 应付职工薪酬预计发放时间、金额等安排</w:t>
      </w:r>
    </w:p>
    <w:p>
      <w:pPr>
        <w:pStyle w:val="Style32"/>
        <w:keepNext w:val="0"/>
        <w:keepLines w:val="0"/>
        <w:widowControl w:val="0"/>
        <w:shd w:val="clear" w:color="auto" w:fill="auto"/>
        <w:bidi w:val="0"/>
        <w:spacing w:before="0" w:line="355" w:lineRule="exact"/>
        <w:ind w:left="0" w:right="0" w:firstLine="0"/>
        <w:jc w:val="left"/>
      </w:pPr>
      <w:r>
        <w:rPr>
          <w:color w:val="000000"/>
          <w:spacing w:val="0"/>
          <w:w w:val="100"/>
          <w:position w:val="0"/>
        </w:rPr>
        <w:t>应付职工薪酬期末余额主要为基本工资和绩效工资，已于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月发放。</w:t>
      </w:r>
    </w:p>
    <w:p>
      <w:pPr>
        <w:pStyle w:val="Style29"/>
        <w:keepNext/>
        <w:keepLines/>
        <w:widowControl w:val="0"/>
        <w:shd w:val="clear" w:color="auto" w:fill="auto"/>
        <w:bidi w:val="0"/>
        <w:spacing w:before="0" w:after="240" w:line="372"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1</w:t>
      </w:r>
      <w:bookmarkEnd w:id="1047"/>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045"/>
      <w:bookmarkEnd w:id="1046"/>
      <w:bookmarkEnd w:id="104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3"/>
        <w:gridCol w:w="2789"/>
        <w:gridCol w:w="2669"/>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2,783,843.53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2,164.20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2,482,900.45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2,277,670.41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5,961,922.80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64,620.13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113,959.39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242,691.72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164,975.36</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425.85</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6,130.40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6,130.40</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203,297.14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147,785.48</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12,177.17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11,526.19</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112,729.89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79,324.28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5,706,158.77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8,968,950.20</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29"/>
        <w:keepNext/>
        <w:keepLines/>
        <w:widowControl w:val="0"/>
        <w:shd w:val="clear" w:color="auto" w:fill="auto"/>
        <w:bidi w:val="0"/>
        <w:spacing w:before="0" w:after="36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2</w:t>
      </w:r>
      <w:bookmarkEnd w:id="1051"/>
      <w:r>
        <w:rPr>
          <w:rFonts w:ascii="Times New Roman" w:eastAsia="Times New Roman" w:hAnsi="Times New Roman" w:cs="Times New Roman"/>
          <w:color w:val="000000"/>
          <w:spacing w:val="0"/>
          <w:w w:val="100"/>
          <w:position w:val="0"/>
        </w:rPr>
        <w:t>0</w:t>
      </w:r>
      <w:r>
        <w:rPr>
          <w:color w:val="000000"/>
          <w:spacing w:val="0"/>
          <w:w w:val="100"/>
          <w:position w:val="0"/>
        </w:rPr>
        <w:t>、应付利息</w:t>
      </w:r>
      <w:bookmarkEnd w:id="1049"/>
      <w:bookmarkEnd w:id="1050"/>
      <w:bookmarkEnd w:id="105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23"/>
        <w:gridCol w:w="2789"/>
        <w:gridCol w:w="2669"/>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28,094.69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41,255.77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28,094.69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41,255.77</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应付利息说明</w:t>
      </w:r>
    </w:p>
    <w:p>
      <w:pPr>
        <w:pStyle w:val="Style29"/>
        <w:keepNext/>
        <w:keepLines/>
        <w:widowControl w:val="0"/>
        <w:shd w:val="clear" w:color="auto" w:fill="auto"/>
        <w:bidi w:val="0"/>
        <w:spacing w:before="0" w:after="36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2</w:t>
      </w:r>
      <w:bookmarkEnd w:id="1055"/>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053"/>
      <w:bookmarkEnd w:id="1054"/>
      <w:bookmarkEnd w:id="105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4"/>
        <w:gridCol w:w="1997"/>
        <w:gridCol w:w="2122"/>
        <w:gridCol w:w="2669"/>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超过一年未支付原因</w:t>
            </w:r>
          </w:p>
        </w:tc>
      </w:tr>
    </w:tbl>
    <w:p>
      <w:pPr>
        <w:widowControl w:val="0"/>
        <w:spacing w:line="1" w:lineRule="exact"/>
      </w:pPr>
      <w:r>
        <w:br w:type="page"/>
      </w:r>
    </w:p>
    <w:tbl>
      <w:tblPr>
        <w:tblOverlap w:val="never"/>
        <w:jc w:val="center"/>
        <w:tblLayout w:type="fixed"/>
      </w:tblPr>
      <w:tblGrid>
        <w:gridCol w:w="2794"/>
        <w:gridCol w:w="1997"/>
        <w:gridCol w:w="2122"/>
        <w:gridCol w:w="2669"/>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应付股利的说明</w:t>
      </w:r>
    </w:p>
    <w:p>
      <w:pPr>
        <w:pStyle w:val="Style29"/>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2</w:t>
      </w:r>
      <w:bookmarkEnd w:id="1059"/>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057"/>
      <w:bookmarkEnd w:id="1058"/>
      <w:bookmarkEnd w:id="1060"/>
    </w:p>
    <w:p>
      <w:pPr>
        <w:pStyle w:val="Style29"/>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61" w:name="bookmark10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057"/>
      <w:bookmarkEnd w:id="1058"/>
      <w:bookmarkEnd w:id="106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625,282.90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587,419.67</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127,723.65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60,318.00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753,006.55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647,737.67</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140"/>
        <w:jc w:val="left"/>
      </w:pPr>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62"/>
      <w:bookmarkEnd w:id="1063"/>
      <w:bookmarkEnd w:id="106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3058"/>
        <w:gridCol w:w="2798"/>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期初数</w:t>
            </w:r>
          </w:p>
        </w:tc>
      </w:tr>
    </w:tbl>
    <w:p>
      <w:pPr>
        <w:widowControl w:val="0"/>
        <w:spacing w:after="339" w:line="1" w:lineRule="exact"/>
      </w:pPr>
    </w:p>
    <w:p>
      <w:pPr>
        <w:pStyle w:val="Style29"/>
        <w:keepNext/>
        <w:keepLines/>
        <w:widowControl w:val="0"/>
        <w:numPr>
          <w:ilvl w:val="0"/>
          <w:numId w:val="45"/>
        </w:numPr>
        <w:shd w:val="clear" w:color="auto" w:fill="auto"/>
        <w:tabs>
          <w:tab w:pos="493" w:val="left"/>
        </w:tabs>
        <w:bidi w:val="0"/>
        <w:spacing w:before="0" w:line="240" w:lineRule="auto"/>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账龄超过一年的大额其他应付款情况的说明</w:t>
      </w:r>
      <w:bookmarkEnd w:id="1065"/>
      <w:bookmarkEnd w:id="1066"/>
      <w:bookmarkEnd w:id="1068"/>
    </w:p>
    <w:p>
      <w:pPr>
        <w:pStyle w:val="Style29"/>
        <w:keepNext/>
        <w:keepLines/>
        <w:widowControl w:val="0"/>
        <w:numPr>
          <w:ilvl w:val="0"/>
          <w:numId w:val="45"/>
        </w:numPr>
        <w:shd w:val="clear" w:color="auto" w:fill="auto"/>
        <w:tabs>
          <w:tab w:pos="493" w:val="left"/>
        </w:tabs>
        <w:bidi w:val="0"/>
        <w:spacing w:before="0" w:line="240" w:lineRule="auto"/>
        <w:ind w:left="0" w:right="0" w:firstLine="0"/>
        <w:jc w:val="left"/>
      </w:pPr>
      <w:bookmarkStart w:id="1065" w:name="bookmark1065"/>
      <w:bookmarkStart w:id="1066" w:name="bookmark1066"/>
      <w:bookmarkStart w:id="1069" w:name="bookmark1069"/>
      <w:bookmarkStart w:id="1070" w:name="bookmark1070"/>
      <w:bookmarkEnd w:id="1069"/>
      <w:r>
        <w:rPr>
          <w:color w:val="000000"/>
          <w:spacing w:val="0"/>
          <w:w w:val="100"/>
          <w:position w:val="0"/>
        </w:rPr>
        <w:t>金额较大的其他应付款说明内容</w:t>
      </w:r>
      <w:bookmarkEnd w:id="1065"/>
      <w:bookmarkEnd w:id="1066"/>
      <w:bookmarkEnd w:id="1070"/>
    </w:p>
    <w:p>
      <w:pPr>
        <w:pStyle w:val="Style29"/>
        <w:keepNext/>
        <w:keepLines/>
        <w:widowControl w:val="0"/>
        <w:shd w:val="clear" w:color="auto" w:fill="auto"/>
        <w:bidi w:val="0"/>
        <w:spacing w:before="0" w:line="240" w:lineRule="auto"/>
        <w:ind w:left="0" w:right="0" w:firstLine="0"/>
        <w:jc w:val="left"/>
      </w:pPr>
      <w:bookmarkStart w:id="1065" w:name="bookmark1065"/>
      <w:bookmarkStart w:id="1066" w:name="bookmark1066"/>
      <w:bookmarkStart w:id="1071" w:name="bookmark1071"/>
      <w:bookmarkStart w:id="1072" w:name="bookmark1072"/>
      <w:r>
        <w:rPr>
          <w:rFonts w:ascii="Times New Roman" w:eastAsia="Times New Roman" w:hAnsi="Times New Roman" w:cs="Times New Roman"/>
          <w:color w:val="000000"/>
          <w:spacing w:val="0"/>
          <w:w w:val="100"/>
          <w:position w:val="0"/>
        </w:rPr>
        <w:t>2</w:t>
      </w:r>
      <w:bookmarkEnd w:id="1071"/>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1065"/>
      <w:bookmarkEnd w:id="1066"/>
      <w:bookmarkEnd w:id="107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62"/>
        <w:gridCol w:w="1872"/>
        <w:gridCol w:w="1838"/>
        <w:gridCol w:w="201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预计负债说明</w:t>
      </w:r>
    </w:p>
    <w:p>
      <w:pPr>
        <w:pStyle w:val="Style29"/>
        <w:keepNext/>
        <w:keepLines/>
        <w:widowControl w:val="0"/>
        <w:shd w:val="clear" w:color="auto" w:fill="auto"/>
        <w:bidi w:val="0"/>
        <w:spacing w:before="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2</w:t>
      </w:r>
      <w:bookmarkEnd w:id="1075"/>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073"/>
      <w:bookmarkEnd w:id="1074"/>
      <w:bookmarkEnd w:id="1076"/>
    </w:p>
    <w:p>
      <w:pPr>
        <w:pStyle w:val="Style29"/>
        <w:keepNext/>
        <w:keepLines/>
        <w:widowControl w:val="0"/>
        <w:shd w:val="clear" w:color="auto" w:fill="auto"/>
        <w:bidi w:val="0"/>
        <w:spacing w:before="0" w:line="240" w:lineRule="auto"/>
        <w:ind w:left="0" w:right="0" w:firstLine="140"/>
        <w:jc w:val="left"/>
      </w:pPr>
      <w:bookmarkStart w:id="1073" w:name="bookmark1073"/>
      <w:bookmarkStart w:id="1074" w:name="bookmark1074"/>
      <w:bookmarkStart w:id="1077" w:name="bookmark1077"/>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073"/>
      <w:bookmarkEnd w:id="1074"/>
      <w:bookmarkEnd w:id="107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789"/>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1,584,521.76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1,483,588.00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1,584,521.76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1,483,588.00</w:t>
            </w:r>
          </w:p>
        </w:tc>
      </w:tr>
    </w:tbl>
    <w:p>
      <w:pPr>
        <w:pStyle w:val="Style29"/>
        <w:keepNext/>
        <w:keepLines/>
        <w:widowControl w:val="0"/>
        <w:shd w:val="clear" w:color="auto" w:fill="auto"/>
        <w:bidi w:val="0"/>
        <w:spacing w:before="0" w:after="380" w:line="240" w:lineRule="auto"/>
        <w:ind w:left="0" w:right="0" w:firstLine="0"/>
        <w:jc w:val="left"/>
      </w:pPr>
      <w:bookmarkStart w:id="1078" w:name="bookmark1078"/>
      <w:bookmarkStart w:id="1079" w:name="bookmark1079"/>
      <w:bookmarkStart w:id="1080" w:name="bookmark10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078"/>
      <w:bookmarkEnd w:id="1079"/>
      <w:bookmarkEnd w:id="1080"/>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一年内到期的长期借款</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789"/>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1,584,521.76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1,483,588.00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1,584,521.76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1,483,588.00</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一年内到期的长期借款中属于逾期借款获得展期的金额元。</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金额前五名的一年内到期的长期借款</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一年内到期的长期借款中的逾期借款</w:t>
      </w:r>
    </w:p>
    <w:p>
      <w:pPr>
        <w:pStyle w:val="Style24"/>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逾期未偿还原因</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资产负债表日后已偿还的金额</w:t>
      </w:r>
      <w:r>
        <w:rPr>
          <w:rFonts w:ascii="Times New Roman" w:eastAsia="Times New Roman" w:hAnsi="Times New Roman" w:cs="Times New Roman"/>
          <w:color w:val="000000"/>
          <w:spacing w:val="0"/>
          <w:w w:val="100"/>
          <w:position w:val="0"/>
        </w:rPr>
        <w:t>386,407.36</w:t>
      </w:r>
      <w:r>
        <w:rPr>
          <w:color w:val="000000"/>
          <w:spacing w:val="0"/>
          <w:w w:val="100"/>
          <w:position w:val="0"/>
        </w:rPr>
        <w:t>元。</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一年内到期的长期借款说明</w:t>
      </w:r>
    </w:p>
    <w:p>
      <w:pPr>
        <w:pStyle w:val="Style32"/>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日与交通银行股份有限公司深圳车公庙支行签订编号</w:t>
      </w:r>
      <w:r>
        <w:rPr>
          <w:rFonts w:ascii="Times New Roman" w:eastAsia="Times New Roman" w:hAnsi="Times New Roman" w:cs="Times New Roman"/>
          <w:color w:val="000000"/>
          <w:spacing w:val="0"/>
          <w:w w:val="100"/>
          <w:position w:val="0"/>
        </w:rPr>
        <w:t>443027G001</w:t>
      </w:r>
      <w:r>
        <w:rPr>
          <w:color w:val="000000"/>
          <w:spacing w:val="0"/>
          <w:w w:val="100"/>
          <w:position w:val="0"/>
        </w:rPr>
        <w:t>《小企业固定资产贷 款合同》，按照贷款合同中还款计划表的约定，</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日需归还银行借款本金 </w:t>
      </w:r>
      <w:r>
        <w:rPr>
          <w:rFonts w:ascii="Times New Roman" w:eastAsia="Times New Roman" w:hAnsi="Times New Roman" w:cs="Times New Roman"/>
          <w:color w:val="000000"/>
          <w:spacing w:val="0"/>
          <w:w w:val="100"/>
          <w:position w:val="0"/>
        </w:rPr>
        <w:t>1,584,521.76</w:t>
      </w:r>
      <w:r>
        <w:rPr>
          <w:color w:val="000000"/>
          <w:spacing w:val="0"/>
          <w:w w:val="100"/>
          <w:position w:val="0"/>
        </w:rPr>
        <w:t>元。</w:t>
      </w:r>
    </w:p>
    <w:p>
      <w:pPr>
        <w:pStyle w:val="Style29"/>
        <w:keepNext/>
        <w:keepLines/>
        <w:widowControl w:val="0"/>
        <w:numPr>
          <w:ilvl w:val="0"/>
          <w:numId w:val="47"/>
        </w:numPr>
        <w:shd w:val="clear" w:color="auto" w:fill="auto"/>
        <w:tabs>
          <w:tab w:pos="493" w:val="left"/>
        </w:tabs>
        <w:bidi w:val="0"/>
        <w:spacing w:before="0" w:after="380" w:line="312" w:lineRule="exact"/>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一年内到期的应付债券</w:t>
      </w:r>
      <w:bookmarkEnd w:id="1081"/>
      <w:bookmarkEnd w:id="1082"/>
      <w:bookmarkEnd w:id="1084"/>
    </w:p>
    <w:p>
      <w:pPr>
        <w:pStyle w:val="Style24"/>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960"/>
        <w:gridCol w:w="955"/>
        <w:gridCol w:w="960"/>
        <w:gridCol w:w="955"/>
        <w:gridCol w:w="960"/>
        <w:gridCol w:w="955"/>
        <w:gridCol w:w="955"/>
        <w:gridCol w:w="960"/>
        <w:gridCol w:w="955"/>
        <w:gridCol w:w="965"/>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一年内到期的应付债券说明</w:t>
      </w:r>
    </w:p>
    <w:p>
      <w:pPr>
        <w:pStyle w:val="Style29"/>
        <w:keepNext/>
        <w:keepLines/>
        <w:widowControl w:val="0"/>
        <w:numPr>
          <w:ilvl w:val="0"/>
          <w:numId w:val="47"/>
        </w:numPr>
        <w:shd w:val="clear" w:color="auto" w:fill="auto"/>
        <w:bidi w:val="0"/>
        <w:spacing w:before="0" w:after="380" w:line="240" w:lineRule="auto"/>
        <w:ind w:left="0" w:right="0" w:firstLine="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一年内到期的长期应付款</w:t>
      </w:r>
      <w:bookmarkEnd w:id="1085"/>
      <w:bookmarkEnd w:id="1086"/>
      <w:bookmarkEnd w:id="1088"/>
    </w:p>
    <w:p>
      <w:pPr>
        <w:pStyle w:val="Style24"/>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1368"/>
        <w:gridCol w:w="1368"/>
        <w:gridCol w:w="1368"/>
        <w:gridCol w:w="1368"/>
        <w:gridCol w:w="1368"/>
        <w:gridCol w:w="1363"/>
        <w:gridCol w:w="138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一年内到期的长期应付款的说明</w:t>
      </w:r>
    </w:p>
    <w:p>
      <w:pPr>
        <w:pStyle w:val="Style29"/>
        <w:keepNext/>
        <w:keepLines/>
        <w:widowControl w:val="0"/>
        <w:shd w:val="clear" w:color="auto" w:fill="auto"/>
        <w:bidi w:val="0"/>
        <w:spacing w:before="0" w:after="38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2</w:t>
      </w:r>
      <w:bookmarkEnd w:id="1091"/>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089"/>
      <w:bookmarkEnd w:id="1090"/>
      <w:bookmarkEnd w:id="109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其他流动负债说明</w:t>
      </w:r>
    </w:p>
    <w:p>
      <w:pPr>
        <w:pStyle w:val="Style29"/>
        <w:keepNext/>
        <w:keepLines/>
        <w:widowControl w:val="0"/>
        <w:shd w:val="clear" w:color="auto" w:fill="auto"/>
        <w:bidi w:val="0"/>
        <w:spacing w:before="0" w:after="36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2</w:t>
      </w:r>
      <w:bookmarkEnd w:id="1095"/>
      <w:r>
        <w:rPr>
          <w:rFonts w:ascii="Times New Roman" w:eastAsia="Times New Roman" w:hAnsi="Times New Roman" w:cs="Times New Roman"/>
          <w:color w:val="000000"/>
          <w:spacing w:val="0"/>
          <w:w w:val="100"/>
          <w:position w:val="0"/>
        </w:rPr>
        <w:t>6</w:t>
      </w:r>
      <w:r>
        <w:rPr>
          <w:color w:val="000000"/>
          <w:spacing w:val="0"/>
          <w:w w:val="100"/>
          <w:position w:val="0"/>
        </w:rPr>
        <w:t>、长期借款</w:t>
      </w:r>
      <w:bookmarkEnd w:id="1093"/>
      <w:bookmarkEnd w:id="1094"/>
      <w:bookmarkEnd w:id="1096"/>
    </w:p>
    <w:p>
      <w:pPr>
        <w:pStyle w:val="Style29"/>
        <w:keepNext/>
        <w:keepLines/>
        <w:widowControl w:val="0"/>
        <w:shd w:val="clear" w:color="auto" w:fill="auto"/>
        <w:bidi w:val="0"/>
        <w:spacing w:before="0" w:after="360" w:line="240" w:lineRule="auto"/>
        <w:ind w:left="0" w:right="0" w:firstLine="0"/>
        <w:jc w:val="left"/>
      </w:pPr>
      <w:bookmarkStart w:id="1093" w:name="bookmark1093"/>
      <w:bookmarkStart w:id="1094" w:name="bookmark1094"/>
      <w:bookmarkStart w:id="1097" w:name="bookmark10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093"/>
      <w:bookmarkEnd w:id="1094"/>
      <w:bookmarkEnd w:id="109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18"/>
        <w:gridCol w:w="306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12,453,072.86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14,037,594.62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12,453,072.86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14,037,594.62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32"/>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日与交通银行股份有限公司深圳车公庙支行签订编号</w:t>
      </w:r>
      <w:r>
        <w:rPr>
          <w:rFonts w:ascii="Times New Roman" w:eastAsia="Times New Roman" w:hAnsi="Times New Roman" w:cs="Times New Roman"/>
          <w:color w:val="000000"/>
          <w:spacing w:val="0"/>
          <w:w w:val="100"/>
          <w:position w:val="0"/>
        </w:rPr>
        <w:t>443027G001</w:t>
      </w:r>
      <w:r>
        <w:rPr>
          <w:color w:val="000000"/>
          <w:spacing w:val="0"/>
          <w:w w:val="100"/>
          <w:position w:val="0"/>
        </w:rPr>
        <w:t>的《小企业固定资产 贷款合同》，合同约定借款</w:t>
      </w:r>
      <w:r>
        <w:rPr>
          <w:rFonts w:ascii="Times New Roman" w:eastAsia="Times New Roman" w:hAnsi="Times New Roman" w:cs="Times New Roman"/>
          <w:color w:val="000000"/>
          <w:spacing w:val="0"/>
          <w:w w:val="100"/>
          <w:position w:val="0"/>
        </w:rPr>
        <w:t>18,000,000.00</w:t>
      </w:r>
      <w:r>
        <w:rPr>
          <w:color w:val="000000"/>
          <w:spacing w:val="0"/>
          <w:w w:val="100"/>
          <w:position w:val="0"/>
        </w:rPr>
        <w:t>元用于购买深圳市南山区沙河街道办事处侨香路智慧广场</w:t>
      </w:r>
      <w:r>
        <w:rPr>
          <w:rFonts w:ascii="Times New Roman" w:eastAsia="Times New Roman" w:hAnsi="Times New Roman" w:cs="Times New Roman"/>
          <w:color w:val="000000"/>
          <w:spacing w:val="0"/>
          <w:w w:val="100"/>
          <w:position w:val="0"/>
        </w:rPr>
        <w:t>B</w:t>
      </w:r>
      <w:r>
        <w:rPr>
          <w:color w:val="000000"/>
          <w:spacing w:val="0"/>
          <w:w w:val="100"/>
          <w:position w:val="0"/>
        </w:rPr>
        <w:t>栋</w:t>
      </w:r>
      <w:r>
        <w:rPr>
          <w:rFonts w:ascii="Times New Roman" w:eastAsia="Times New Roman" w:hAnsi="Times New Roman" w:cs="Times New Roman"/>
          <w:color w:val="000000"/>
          <w:spacing w:val="0"/>
          <w:w w:val="100"/>
          <w:position w:val="0"/>
        </w:rPr>
        <w:t xml:space="preserve">11 </w:t>
      </w:r>
      <w:r>
        <w:rPr>
          <w:color w:val="000000"/>
          <w:spacing w:val="0"/>
          <w:w w:val="100"/>
          <w:position w:val="0"/>
        </w:rPr>
        <w:t>层</w:t>
      </w:r>
      <w:r>
        <w:rPr>
          <w:rFonts w:ascii="Times New Roman" w:eastAsia="Times New Roman" w:hAnsi="Times New Roman" w:cs="Times New Roman"/>
          <w:color w:val="000000"/>
          <w:spacing w:val="0"/>
          <w:w w:val="100"/>
          <w:position w:val="0"/>
        </w:rPr>
        <w:t>1101</w:t>
      </w:r>
      <w:r>
        <w:rPr>
          <w:color w:val="000000"/>
          <w:spacing w:val="0"/>
          <w:w w:val="100"/>
          <w:position w:val="0"/>
        </w:rPr>
        <w:t>号房产，由实际控制人唐球先生、鄢建红女士为上述贷款提供连带责任担保，担保情况详见本附注 八、</w:t>
      </w:r>
      <w:r>
        <w:rPr>
          <w:rFonts w:ascii="Times New Roman" w:eastAsia="Times New Roman" w:hAnsi="Times New Roman" w:cs="Times New Roman"/>
          <w:color w:val="000000"/>
          <w:spacing w:val="0"/>
          <w:w w:val="100"/>
          <w:position w:val="0"/>
        </w:rPr>
        <w:t xml:space="preserve">5. </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）关联方担保。上述借款本期重分类至一年内到期非流动负债</w:t>
      </w:r>
      <w:r>
        <w:rPr>
          <w:rFonts w:ascii="Times New Roman" w:eastAsia="Times New Roman" w:hAnsi="Times New Roman" w:cs="Times New Roman"/>
          <w:color w:val="000000"/>
          <w:spacing w:val="0"/>
          <w:w w:val="100"/>
          <w:position w:val="0"/>
        </w:rPr>
        <w:t>1,584,521.76</w:t>
      </w:r>
      <w:r>
        <w:rPr>
          <w:color w:val="000000"/>
          <w:spacing w:val="0"/>
          <w:w w:val="100"/>
          <w:position w:val="0"/>
        </w:rPr>
        <w:t>元。</w:t>
      </w:r>
    </w:p>
    <w:p>
      <w:pPr>
        <w:pStyle w:val="Style29"/>
        <w:keepNext/>
        <w:keepLines/>
        <w:widowControl w:val="0"/>
        <w:shd w:val="clear" w:color="auto" w:fill="auto"/>
        <w:bidi w:val="0"/>
        <w:spacing w:before="0" w:after="360" w:line="314" w:lineRule="exact"/>
        <w:ind w:left="0" w:right="0" w:firstLine="0"/>
        <w:jc w:val="left"/>
      </w:pPr>
      <w:bookmarkStart w:id="1098" w:name="bookmark1098"/>
      <w:bookmarkStart w:id="1099" w:name="bookmark1099"/>
      <w:bookmarkStart w:id="1100" w:name="bookmark11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098"/>
      <w:bookmarkEnd w:id="1099"/>
      <w:bookmarkEnd w:id="1100"/>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长期借款说明，因逾期借款获得展期形成的长期借款，应说明获得展期的条件、本金、利息、预计还款安排等</w:t>
      </w:r>
    </w:p>
    <w:p>
      <w:pPr>
        <w:pStyle w:val="Style29"/>
        <w:keepNext/>
        <w:keepLines/>
        <w:widowControl w:val="0"/>
        <w:shd w:val="clear" w:color="auto" w:fill="auto"/>
        <w:bidi w:val="0"/>
        <w:spacing w:before="0" w:after="360" w:line="240" w:lineRule="auto"/>
        <w:ind w:left="0" w:right="0" w:firstLine="0"/>
        <w:jc w:val="both"/>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2</w:t>
      </w:r>
      <w:bookmarkEnd w:id="1103"/>
      <w:r>
        <w:rPr>
          <w:rFonts w:ascii="Times New Roman" w:eastAsia="Times New Roman" w:hAnsi="Times New Roman" w:cs="Times New Roman"/>
          <w:color w:val="000000"/>
          <w:spacing w:val="0"/>
          <w:w w:val="100"/>
          <w:position w:val="0"/>
        </w:rPr>
        <w:t>7</w:t>
      </w:r>
      <w:r>
        <w:rPr>
          <w:color w:val="000000"/>
          <w:spacing w:val="0"/>
          <w:w w:val="100"/>
          <w:position w:val="0"/>
        </w:rPr>
        <w:t>、其他非流动负债</w:t>
      </w:r>
      <w:bookmarkEnd w:id="1101"/>
      <w:bookmarkEnd w:id="1102"/>
      <w:bookmarkEnd w:id="110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2789"/>
        <w:gridCol w:w="306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其他非流动负债说明说明</w:t>
      </w:r>
    </w:p>
    <w:p>
      <w:pPr>
        <w:pStyle w:val="Style24"/>
        <w:keepNext w:val="0"/>
        <w:keepLines w:val="0"/>
        <w:widowControl w:val="0"/>
        <w:shd w:val="clear" w:color="auto" w:fill="auto"/>
        <w:bidi w:val="0"/>
        <w:spacing w:before="0" w:after="100" w:line="314"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月，公司与深圳市科技创新委员会</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科创委</w:t>
      </w:r>
      <w:r>
        <w:rPr>
          <w:rFonts w:ascii="Times New Roman" w:eastAsia="Times New Roman" w:hAnsi="Times New Roman" w:cs="Times New Roman"/>
          <w:color w:val="000000"/>
          <w:spacing w:val="0"/>
          <w:w w:val="100"/>
          <w:position w:val="0"/>
        </w:rPr>
        <w:t>”）</w:t>
      </w:r>
      <w:r>
        <w:rPr>
          <w:color w:val="000000"/>
          <w:spacing w:val="0"/>
          <w:w w:val="100"/>
          <w:position w:val="0"/>
        </w:rPr>
        <w:t>签署了《深圳市战略新兴产业发展专项资金项目合 同书》。合同约定</w:t>
      </w:r>
      <w:r>
        <w:rPr>
          <w:rFonts w:ascii="Times New Roman" w:eastAsia="Times New Roman" w:hAnsi="Times New Roman" w:cs="Times New Roman"/>
          <w:color w:val="000000"/>
          <w:spacing w:val="0"/>
          <w:w w:val="100"/>
          <w:position w:val="0"/>
        </w:rPr>
        <w:t>:</w:t>
      </w:r>
      <w:r>
        <w:rPr>
          <w:color w:val="000000"/>
          <w:spacing w:val="0"/>
          <w:w w:val="100"/>
          <w:position w:val="0"/>
        </w:rPr>
        <w:t>双方为完成深发改【</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1065</w:t>
      </w:r>
      <w:r>
        <w:rPr>
          <w:color w:val="000000"/>
          <w:spacing w:val="0"/>
          <w:w w:val="100"/>
          <w:position w:val="0"/>
        </w:rPr>
        <w:t>号文件下达的深圳市战略性新兴产业发展专项资金项目</w:t>
      </w:r>
      <w:r>
        <w:rPr>
          <w:color w:val="000000"/>
          <w:spacing w:val="0"/>
          <w:w w:val="100"/>
          <w:position w:val="0"/>
        </w:rPr>
        <w:t>，</w:t>
      </w:r>
      <w:r>
        <w:rPr>
          <w:color w:val="000000"/>
          <w:spacing w:val="0"/>
          <w:w w:val="100"/>
          <w:position w:val="0"/>
        </w:rPr>
        <w:t>科创委资助给公 司战略性新兴产业发展专项资金人民币</w:t>
      </w:r>
      <w:r>
        <w:rPr>
          <w:rFonts w:ascii="Times New Roman" w:eastAsia="Times New Roman" w:hAnsi="Times New Roman" w:cs="Times New Roman"/>
          <w:color w:val="000000"/>
          <w:spacing w:val="0"/>
          <w:w w:val="100"/>
          <w:position w:val="0"/>
        </w:rPr>
        <w:t>1,500,000.00</w:t>
      </w:r>
      <w:r>
        <w:rPr>
          <w:color w:val="000000"/>
          <w:spacing w:val="0"/>
          <w:w w:val="100"/>
          <w:position w:val="0"/>
        </w:rPr>
        <w:t>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日止，该项目资金已符合政府补助的确认条件， 转入营业外收入。</w:t>
      </w:r>
    </w:p>
    <w:p>
      <w:pPr>
        <w:pStyle w:val="Style24"/>
        <w:keepNext w:val="0"/>
        <w:keepLines w:val="0"/>
        <w:widowControl w:val="0"/>
        <w:shd w:val="clear" w:color="auto" w:fill="auto"/>
        <w:bidi w:val="0"/>
        <w:spacing w:before="0" w:after="360" w:line="312" w:lineRule="exact"/>
        <w:ind w:left="0" w:right="0" w:firstLine="300"/>
        <w:jc w:val="both"/>
      </w:pP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月，公司与深圳市福田区科技创新局（以下简称：</w:t>
      </w:r>
      <w:r>
        <w:rPr>
          <w:rFonts w:ascii="Times New Roman" w:eastAsia="Times New Roman" w:hAnsi="Times New Roman" w:cs="Times New Roman"/>
          <w:color w:val="000000"/>
          <w:spacing w:val="0"/>
          <w:w w:val="100"/>
          <w:position w:val="0"/>
        </w:rPr>
        <w:t>“</w:t>
      </w:r>
      <w:r>
        <w:rPr>
          <w:color w:val="000000"/>
          <w:spacing w:val="0"/>
          <w:w w:val="100"/>
          <w:position w:val="0"/>
        </w:rPr>
        <w:t>科创局</w:t>
      </w:r>
      <w:r>
        <w:rPr>
          <w:rFonts w:ascii="Times New Roman" w:eastAsia="Times New Roman" w:hAnsi="Times New Roman" w:cs="Times New Roman"/>
          <w:color w:val="000000"/>
          <w:spacing w:val="0"/>
          <w:w w:val="100"/>
          <w:position w:val="0"/>
        </w:rPr>
        <w:t>”</w:t>
      </w:r>
      <w:r>
        <w:rPr>
          <w:color w:val="000000"/>
          <w:spacing w:val="0"/>
          <w:w w:val="100"/>
          <w:position w:val="0"/>
        </w:rPr>
        <w:t>）签署了《福田区产业发展专项资金科技发展分 项项目资金使用合同》。合同约定：科创局同意资助公司承担的</w:t>
      </w:r>
      <w:r>
        <w:rPr>
          <w:rFonts w:ascii="Times New Roman" w:eastAsia="Times New Roman" w:hAnsi="Times New Roman" w:cs="Times New Roman"/>
          <w:color w:val="000000"/>
          <w:spacing w:val="0"/>
          <w:w w:val="100"/>
          <w:position w:val="0"/>
        </w:rPr>
        <w:t>2012</w:t>
      </w:r>
      <w:r>
        <w:rPr>
          <w:color w:val="000000"/>
          <w:spacing w:val="0"/>
          <w:w w:val="100"/>
          <w:position w:val="0"/>
        </w:rPr>
        <w:t>年福田区产业发展专项资金科技发展分项项目，资助金 额</w:t>
      </w:r>
      <w:r>
        <w:rPr>
          <w:rFonts w:ascii="Times New Roman" w:eastAsia="Times New Roman" w:hAnsi="Times New Roman" w:cs="Times New Roman"/>
          <w:color w:val="000000"/>
          <w:spacing w:val="0"/>
          <w:w w:val="100"/>
          <w:position w:val="0"/>
        </w:rPr>
        <w:t>450,000.00</w:t>
      </w:r>
      <w:r>
        <w:rPr>
          <w:color w:val="000000"/>
          <w:spacing w:val="0"/>
          <w:w w:val="100"/>
          <w:position w:val="0"/>
        </w:rPr>
        <w:t>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日止，该项目资金尚未验收符合政府补助的确认条件。</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涉及政府补助的负债项目</w:t>
      </w:r>
    </w:p>
    <w:p>
      <w:pPr>
        <w:pStyle w:val="Style24"/>
        <w:keepNext w:val="0"/>
        <w:keepLines w:val="0"/>
        <w:widowControl w:val="0"/>
        <w:shd w:val="clear" w:color="auto" w:fill="auto"/>
        <w:bidi w:val="0"/>
        <w:spacing w:before="0" w:after="320" w:line="314" w:lineRule="exact"/>
        <w:ind w:left="0" w:right="0" w:firstLine="0"/>
        <w:jc w:val="right"/>
      </w:pPr>
      <w:r>
        <w:rPr>
          <w:color w:val="000000"/>
          <w:spacing w:val="0"/>
          <w:w w:val="100"/>
          <w:position w:val="0"/>
        </w:rPr>
        <w:t>单位： 元</w:t>
      </w:r>
      <w:r>
        <w:br w:type="page"/>
      </w:r>
    </w:p>
    <w:tbl>
      <w:tblPr>
        <w:tblOverlap w:val="never"/>
        <w:jc w:val="center"/>
        <w:tblLayout w:type="fixed"/>
      </w:tblPr>
      <w:tblGrid>
        <w:gridCol w:w="1661"/>
        <w:gridCol w:w="1406"/>
        <w:gridCol w:w="1238"/>
        <w:gridCol w:w="1435"/>
        <w:gridCol w:w="1152"/>
        <w:gridCol w:w="1114"/>
        <w:gridCol w:w="1574"/>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本期新增补助</w:t>
            </w:r>
          </w:p>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1027"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深圳市战略新兴产 业发展专项资金项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福田区产业发展专</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项资金科技发展分</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项资金项目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期末金额与期初金额比较减少</w:t>
      </w:r>
      <w:r>
        <w:rPr>
          <w:rFonts w:ascii="Times New Roman" w:eastAsia="Times New Roman" w:hAnsi="Times New Roman" w:cs="Times New Roman"/>
          <w:color w:val="000000"/>
          <w:spacing w:val="0"/>
          <w:w w:val="100"/>
          <w:position w:val="0"/>
        </w:rPr>
        <w:t>1,050,000.00</w:t>
      </w:r>
      <w:r>
        <w:rPr>
          <w:color w:val="000000"/>
          <w:spacing w:val="0"/>
          <w:w w:val="100"/>
          <w:position w:val="0"/>
        </w:rPr>
        <w:t>元，降幅为</w:t>
      </w:r>
      <w:r>
        <w:rPr>
          <w:rFonts w:ascii="Times New Roman" w:eastAsia="Times New Roman" w:hAnsi="Times New Roman" w:cs="Times New Roman"/>
          <w:color w:val="000000"/>
          <w:spacing w:val="0"/>
          <w:w w:val="100"/>
          <w:position w:val="0"/>
        </w:rPr>
        <w:t>70%</w:t>
      </w:r>
      <w:r>
        <w:rPr>
          <w:color w:val="000000"/>
          <w:spacing w:val="0"/>
          <w:w w:val="100"/>
          <w:position w:val="0"/>
        </w:rPr>
        <w:t>，变动原因为深圳市战略新兴专业发展专项资金项目已验收，科 创委资助给公司的专项资金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,500,000.00</w:t>
      </w:r>
      <w:r>
        <w:rPr>
          <w:color w:val="000000"/>
          <w:spacing w:val="0"/>
          <w:w w:val="100"/>
          <w:position w:val="0"/>
        </w:rPr>
        <w:t>元全额结转至营业外收入。</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2</w:t>
      </w:r>
      <w:bookmarkEnd w:id="1107"/>
      <w:r>
        <w:rPr>
          <w:rFonts w:ascii="Times New Roman" w:eastAsia="Times New Roman" w:hAnsi="Times New Roman" w:cs="Times New Roman"/>
          <w:color w:val="000000"/>
          <w:spacing w:val="0"/>
          <w:w w:val="100"/>
          <w:position w:val="0"/>
        </w:rPr>
        <w:t>8</w:t>
      </w:r>
      <w:r>
        <w:rPr>
          <w:color w:val="000000"/>
          <w:spacing w:val="0"/>
          <w:w w:val="100"/>
          <w:position w:val="0"/>
        </w:rPr>
        <w:t>、股本</w:t>
      </w:r>
      <w:bookmarkEnd w:id="1105"/>
      <w:bookmarkEnd w:id="1106"/>
      <w:bookmarkEnd w:id="1108"/>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45,000,000.00</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3</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年的股份有限公司，设立前的年份只需说明净资产情况；有限责任公司整体变更为股份公司应说明公司设立时的验资情况</w:t>
      </w:r>
    </w:p>
    <w:p>
      <w:pPr>
        <w:pStyle w:val="Style29"/>
        <w:keepNext/>
        <w:keepLines/>
        <w:widowControl w:val="0"/>
        <w:shd w:val="clear" w:color="auto" w:fill="auto"/>
        <w:tabs>
          <w:tab w:pos="488" w:val="left"/>
        </w:tabs>
        <w:bidi w:val="0"/>
        <w:spacing w:before="0" w:after="36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2</w:t>
      </w:r>
      <w:bookmarkEnd w:id="1111"/>
      <w:r>
        <w:rPr>
          <w:rFonts w:ascii="Times New Roman" w:eastAsia="Times New Roman" w:hAnsi="Times New Roman" w:cs="Times New Roman"/>
          <w:color w:val="000000"/>
          <w:spacing w:val="0"/>
          <w:w w:val="100"/>
          <w:position w:val="0"/>
        </w:rPr>
        <w:t>9</w:t>
      </w:r>
      <w:r>
        <w:rPr>
          <w:color w:val="000000"/>
          <w:spacing w:val="0"/>
          <w:w w:val="100"/>
          <w:position w:val="0"/>
        </w:rPr>
        <w:t>、</w:t>
        <w:tab/>
        <w:t>库存股</w:t>
      </w:r>
      <w:bookmarkEnd w:id="1109"/>
      <w:bookmarkEnd w:id="1110"/>
      <w:bookmarkEnd w:id="1112"/>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库存股情况说明</w:t>
      </w:r>
    </w:p>
    <w:p>
      <w:pPr>
        <w:pStyle w:val="Style29"/>
        <w:keepNext/>
        <w:keepLines/>
        <w:widowControl w:val="0"/>
        <w:shd w:val="clear" w:color="auto" w:fill="auto"/>
        <w:tabs>
          <w:tab w:pos="488" w:val="left"/>
        </w:tabs>
        <w:bidi w:val="0"/>
        <w:spacing w:before="0" w:after="36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3</w:t>
      </w:r>
      <w:bookmarkEnd w:id="1115"/>
      <w:r>
        <w:rPr>
          <w:rFonts w:ascii="Times New Roman" w:eastAsia="Times New Roman" w:hAnsi="Times New Roman" w:cs="Times New Roman"/>
          <w:color w:val="000000"/>
          <w:spacing w:val="0"/>
          <w:w w:val="100"/>
          <w:position w:val="0"/>
        </w:rPr>
        <w:t>0</w:t>
      </w:r>
      <w:r>
        <w:rPr>
          <w:color w:val="000000"/>
          <w:spacing w:val="0"/>
          <w:w w:val="100"/>
          <w:position w:val="0"/>
        </w:rPr>
        <w:t>、</w:t>
        <w:tab/>
        <w:t>专项储备</w:t>
      </w:r>
      <w:bookmarkEnd w:id="1113"/>
      <w:bookmarkEnd w:id="1114"/>
      <w:bookmarkEnd w:id="1116"/>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专项储备情况说明</w:t>
      </w:r>
    </w:p>
    <w:p>
      <w:pPr>
        <w:pStyle w:val="Style29"/>
        <w:keepNext/>
        <w:keepLines/>
        <w:widowControl w:val="0"/>
        <w:shd w:val="clear" w:color="auto" w:fill="auto"/>
        <w:tabs>
          <w:tab w:pos="488" w:val="left"/>
        </w:tabs>
        <w:bidi w:val="0"/>
        <w:spacing w:before="0" w:after="36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3</w:t>
      </w:r>
      <w:bookmarkEnd w:id="1119"/>
      <w:r>
        <w:rPr>
          <w:rFonts w:ascii="Times New Roman" w:eastAsia="Times New Roman" w:hAnsi="Times New Roman" w:cs="Times New Roman"/>
          <w:color w:val="000000"/>
          <w:spacing w:val="0"/>
          <w:w w:val="100"/>
          <w:position w:val="0"/>
        </w:rPr>
        <w:t>1</w:t>
      </w:r>
      <w:r>
        <w:rPr>
          <w:color w:val="000000"/>
          <w:spacing w:val="0"/>
          <w:w w:val="100"/>
          <w:position w:val="0"/>
        </w:rPr>
        <w:t>、</w:t>
        <w:tab/>
        <w:t>资本公积</w:t>
      </w:r>
      <w:bookmarkEnd w:id="1117"/>
      <w:bookmarkEnd w:id="1118"/>
      <w:bookmarkEnd w:id="112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10,587,464.99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10,587,464.99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10,587,464.99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10,587,464.99</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资本公积说明</w:t>
      </w:r>
    </w:p>
    <w:p>
      <w:pPr>
        <w:pStyle w:val="Style29"/>
        <w:keepNext/>
        <w:keepLines/>
        <w:widowControl w:val="0"/>
        <w:shd w:val="clear" w:color="auto" w:fill="auto"/>
        <w:bidi w:val="0"/>
        <w:spacing w:before="0" w:after="36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3</w:t>
      </w:r>
      <w:bookmarkEnd w:id="1123"/>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121"/>
      <w:bookmarkEnd w:id="1122"/>
      <w:bookmarkEnd w:id="112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1862"/>
        <w:gridCol w:w="1992"/>
        <w:gridCol w:w="1728"/>
        <w:gridCol w:w="1603"/>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bl>
    <w:p>
      <w:pPr>
        <w:widowControl w:val="0"/>
        <w:spacing w:line="1" w:lineRule="exact"/>
      </w:pP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10,275,586.76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4,035,733.37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14,311,320.13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10,275,586.76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4,035,733.37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14,311,320.13</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盈余公积说明，用盈余公积转增股本、弥补亏损、分派股利的，应说明有关决议</w:t>
      </w:r>
    </w:p>
    <w:p>
      <w:pPr>
        <w:pStyle w:val="Style29"/>
        <w:keepNext/>
        <w:keepLines/>
        <w:widowControl w:val="0"/>
        <w:shd w:val="clear" w:color="auto" w:fill="auto"/>
        <w:tabs>
          <w:tab w:pos="488" w:val="left"/>
        </w:tabs>
        <w:bidi w:val="0"/>
        <w:spacing w:before="0" w:after="36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3</w:t>
      </w:r>
      <w:bookmarkEnd w:id="1127"/>
      <w:r>
        <w:rPr>
          <w:rFonts w:ascii="Times New Roman" w:eastAsia="Times New Roman" w:hAnsi="Times New Roman" w:cs="Times New Roman"/>
          <w:color w:val="000000"/>
          <w:spacing w:val="0"/>
          <w:w w:val="100"/>
          <w:position w:val="0"/>
        </w:rPr>
        <w:t>3</w:t>
      </w:r>
      <w:r>
        <w:rPr>
          <w:color w:val="000000"/>
          <w:spacing w:val="0"/>
          <w:w w:val="100"/>
          <w:position w:val="0"/>
        </w:rPr>
        <w:t>、</w:t>
        <w:tab/>
        <w:t>一般风险准备</w:t>
      </w:r>
      <w:bookmarkEnd w:id="1125"/>
      <w:bookmarkEnd w:id="1126"/>
      <w:bookmarkEnd w:id="1128"/>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一般风险准备情况说明</w:t>
      </w:r>
    </w:p>
    <w:p>
      <w:pPr>
        <w:pStyle w:val="Style29"/>
        <w:keepNext/>
        <w:keepLines/>
        <w:widowControl w:val="0"/>
        <w:shd w:val="clear" w:color="auto" w:fill="auto"/>
        <w:tabs>
          <w:tab w:pos="488" w:val="left"/>
        </w:tabs>
        <w:bidi w:val="0"/>
        <w:spacing w:before="0" w:after="36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3</w:t>
      </w:r>
      <w:bookmarkEnd w:id="1131"/>
      <w:r>
        <w:rPr>
          <w:rFonts w:ascii="Times New Roman" w:eastAsia="Times New Roman" w:hAnsi="Times New Roman" w:cs="Times New Roman"/>
          <w:color w:val="000000"/>
          <w:spacing w:val="0"/>
          <w:w w:val="100"/>
          <w:position w:val="0"/>
        </w:rPr>
        <w:t>4</w:t>
      </w:r>
      <w:r>
        <w:rPr>
          <w:color w:val="000000"/>
          <w:spacing w:val="0"/>
          <w:w w:val="100"/>
          <w:position w:val="0"/>
        </w:rPr>
        <w:t>、</w:t>
        <w:tab/>
        <w:t>未分配利润</w:t>
      </w:r>
      <w:bookmarkEnd w:id="1129"/>
      <w:bookmarkEnd w:id="1130"/>
      <w:bookmarkEnd w:id="113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92,480,280.84</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92,480,280.84</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40,357,333.67</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4,035,733.37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128,801,881.14</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调整年初未分配利润明细：</w:t>
      </w:r>
    </w:p>
    <w:p>
      <w:pPr>
        <w:pStyle w:val="Style24"/>
        <w:keepNext w:val="0"/>
        <w:keepLines w:val="0"/>
        <w:widowControl w:val="0"/>
        <w:shd w:val="clear" w:color="auto" w:fill="auto"/>
        <w:tabs>
          <w:tab w:pos="330" w:val="left"/>
        </w:tabs>
        <w:bidi w:val="0"/>
        <w:spacing w:before="0" w:after="0" w:line="312" w:lineRule="exact"/>
        <w:ind w:left="0" w:right="0" w:firstLine="0"/>
        <w:jc w:val="both"/>
      </w:pPr>
      <w:bookmarkStart w:id="1133" w:name="bookmark1133"/>
      <w:r>
        <w:rPr>
          <w:rFonts w:ascii="Times New Roman" w:eastAsia="Times New Roman" w:hAnsi="Times New Roman" w:cs="Times New Roman"/>
          <w:color w:val="000000"/>
          <w:spacing w:val="0"/>
          <w:w w:val="100"/>
          <w:position w:val="0"/>
        </w:rPr>
        <w:t>1</w:t>
      </w:r>
      <w:bookmarkEnd w:id="1133"/>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、由于《企业会计准则》及其相关新规定进行追溯调整，影响年初未分配利润元。</w:t>
      </w:r>
    </w:p>
    <w:p>
      <w:pPr>
        <w:pStyle w:val="Style24"/>
        <w:keepNext w:val="0"/>
        <w:keepLines w:val="0"/>
        <w:widowControl w:val="0"/>
        <w:shd w:val="clear" w:color="auto" w:fill="auto"/>
        <w:tabs>
          <w:tab w:pos="349" w:val="left"/>
        </w:tabs>
        <w:bidi w:val="0"/>
        <w:spacing w:before="0" w:after="0" w:line="312" w:lineRule="exact"/>
        <w:ind w:left="0" w:right="0" w:firstLine="0"/>
        <w:jc w:val="both"/>
      </w:pPr>
      <w:bookmarkStart w:id="1134" w:name="bookmark1134"/>
      <w:r>
        <w:rPr>
          <w:rFonts w:ascii="Times New Roman" w:eastAsia="Times New Roman" w:hAnsi="Times New Roman" w:cs="Times New Roman"/>
          <w:color w:val="000000"/>
          <w:spacing w:val="0"/>
          <w:w w:val="100"/>
          <w:position w:val="0"/>
        </w:rPr>
        <w:t>2</w:t>
      </w:r>
      <w:bookmarkEnd w:id="1134"/>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、由于会计政策变更，影响年初未分配利润元。</w:t>
      </w:r>
    </w:p>
    <w:p>
      <w:pPr>
        <w:pStyle w:val="Style24"/>
        <w:keepNext w:val="0"/>
        <w:keepLines w:val="0"/>
        <w:widowControl w:val="0"/>
        <w:shd w:val="clear" w:color="auto" w:fill="auto"/>
        <w:tabs>
          <w:tab w:pos="349" w:val="left"/>
        </w:tabs>
        <w:bidi w:val="0"/>
        <w:spacing w:before="0" w:after="0" w:line="312" w:lineRule="exact"/>
        <w:ind w:left="0" w:right="0" w:firstLine="0"/>
        <w:jc w:val="both"/>
      </w:pPr>
      <w:bookmarkStart w:id="1135" w:name="bookmark1135"/>
      <w:r>
        <w:rPr>
          <w:rFonts w:ascii="Times New Roman" w:eastAsia="Times New Roman" w:hAnsi="Times New Roman" w:cs="Times New Roman"/>
          <w:color w:val="000000"/>
          <w:spacing w:val="0"/>
          <w:w w:val="100"/>
          <w:position w:val="0"/>
        </w:rPr>
        <w:t>3</w:t>
      </w:r>
      <w:bookmarkEnd w:id="1135"/>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、由于重大会计差错更正，影响年初未分配利润元。</w:t>
      </w:r>
    </w:p>
    <w:p>
      <w:pPr>
        <w:pStyle w:val="Style24"/>
        <w:keepNext w:val="0"/>
        <w:keepLines w:val="0"/>
        <w:widowControl w:val="0"/>
        <w:shd w:val="clear" w:color="auto" w:fill="auto"/>
        <w:tabs>
          <w:tab w:pos="349" w:val="left"/>
        </w:tabs>
        <w:bidi w:val="0"/>
        <w:spacing w:before="0" w:after="0" w:line="312" w:lineRule="exact"/>
        <w:ind w:left="0" w:right="0" w:firstLine="0"/>
        <w:jc w:val="both"/>
      </w:pPr>
      <w:bookmarkStart w:id="1136" w:name="bookmark1136"/>
      <w:r>
        <w:rPr>
          <w:rFonts w:ascii="Times New Roman" w:eastAsia="Times New Roman" w:hAnsi="Times New Roman" w:cs="Times New Roman"/>
          <w:color w:val="000000"/>
          <w:spacing w:val="0"/>
          <w:w w:val="100"/>
          <w:position w:val="0"/>
        </w:rPr>
        <w:t>4</w:t>
      </w:r>
      <w:bookmarkEnd w:id="1136"/>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、由于同一控制导致的合并范围变更，影响年初未分配利润元。</w:t>
      </w:r>
    </w:p>
    <w:p>
      <w:pPr>
        <w:pStyle w:val="Style24"/>
        <w:keepNext w:val="0"/>
        <w:keepLines w:val="0"/>
        <w:widowControl w:val="0"/>
        <w:shd w:val="clear" w:color="auto" w:fill="auto"/>
        <w:tabs>
          <w:tab w:pos="349" w:val="left"/>
        </w:tabs>
        <w:bidi w:val="0"/>
        <w:spacing w:before="0" w:after="0" w:line="312" w:lineRule="exact"/>
        <w:ind w:left="0" w:right="0" w:firstLine="0"/>
        <w:jc w:val="both"/>
      </w:pPr>
      <w:bookmarkStart w:id="1137" w:name="bookmark1137"/>
      <w:r>
        <w:rPr>
          <w:rFonts w:ascii="Times New Roman" w:eastAsia="Times New Roman" w:hAnsi="Times New Roman" w:cs="Times New Roman"/>
          <w:color w:val="000000"/>
          <w:spacing w:val="0"/>
          <w:w w:val="100"/>
          <w:position w:val="0"/>
        </w:rPr>
        <w:t>5</w:t>
      </w:r>
      <w:bookmarkEnd w:id="1137"/>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、其他调整合计影响年初未分配利润元。</w:t>
      </w:r>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29"/>
        <w:keepNext/>
        <w:keepLines/>
        <w:widowControl w:val="0"/>
        <w:shd w:val="clear" w:color="auto" w:fill="auto"/>
        <w:bidi w:val="0"/>
        <w:spacing w:before="0" w:after="360" w:line="240" w:lineRule="auto"/>
        <w:ind w:left="0" w:right="0" w:firstLine="0"/>
        <w:jc w:val="both"/>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3</w:t>
      </w:r>
      <w:bookmarkEnd w:id="1140"/>
      <w:r>
        <w:rPr>
          <w:rFonts w:ascii="Times New Roman" w:eastAsia="Times New Roman" w:hAnsi="Times New Roman" w:cs="Times New Roman"/>
          <w:color w:val="000000"/>
          <w:spacing w:val="0"/>
          <w:w w:val="100"/>
          <w:position w:val="0"/>
        </w:rPr>
        <w:t>5</w:t>
      </w:r>
      <w:r>
        <w:rPr>
          <w:color w:val="000000"/>
          <w:spacing w:val="0"/>
          <w:w w:val="100"/>
          <w:position w:val="0"/>
        </w:rPr>
        <w:t>、营业收入、营业成本</w:t>
      </w:r>
      <w:bookmarkEnd w:id="1138"/>
      <w:bookmarkEnd w:id="1139"/>
      <w:bookmarkEnd w:id="1141"/>
    </w:p>
    <w:p>
      <w:pPr>
        <w:pStyle w:val="Style29"/>
        <w:keepNext/>
        <w:keepLines/>
        <w:widowControl w:val="0"/>
        <w:shd w:val="clear" w:color="auto" w:fill="auto"/>
        <w:bidi w:val="0"/>
        <w:spacing w:before="0" w:after="360" w:line="240" w:lineRule="auto"/>
        <w:ind w:left="0" w:right="0" w:firstLine="0"/>
        <w:jc w:val="both"/>
      </w:pPr>
      <w:bookmarkStart w:id="1138" w:name="bookmark1138"/>
      <w:bookmarkStart w:id="1139" w:name="bookmark1139"/>
      <w:bookmarkStart w:id="1142" w:name="bookmark11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138"/>
      <w:bookmarkEnd w:id="1139"/>
      <w:bookmarkEnd w:id="114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167,688,211.87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143,509,283.81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519,408.00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407,709.00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36,207,303.07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26,156,515.98</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140"/>
        <w:jc w:val="left"/>
      </w:pPr>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43"/>
      <w:bookmarkEnd w:id="1144"/>
      <w:bookmarkEnd w:id="1145"/>
    </w:p>
    <w:p>
      <w:pPr>
        <w:pStyle w:val="Style2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定制软件开发和销售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116,330,157.73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24,602,689.95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97,651,563.82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19,204,370.82</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服务费收入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51,358,054.14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11,465,949.16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45,857,719.99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6,798,620.93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167,688,211.87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36,068,639.11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143,509,283.81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26,002,991.75</w:t>
            </w:r>
          </w:p>
        </w:tc>
      </w:tr>
    </w:tbl>
    <w:p>
      <w:pPr>
        <w:widowControl w:val="0"/>
        <w:spacing w:after="299" w:line="1" w:lineRule="exact"/>
      </w:pPr>
    </w:p>
    <w:p>
      <w:pPr>
        <w:pStyle w:val="Style29"/>
        <w:keepNext/>
        <w:keepLines/>
        <w:widowControl w:val="0"/>
        <w:numPr>
          <w:ilvl w:val="0"/>
          <w:numId w:val="49"/>
        </w:numPr>
        <w:shd w:val="clear" w:color="auto" w:fill="auto"/>
        <w:bidi w:val="0"/>
        <w:spacing w:before="0" w:after="380" w:line="240" w:lineRule="auto"/>
        <w:ind w:left="0" w:right="0" w:firstLine="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主营业务(分产品)</w:t>
      </w:r>
      <w:bookmarkEnd w:id="1146"/>
      <w:bookmarkEnd w:id="1147"/>
      <w:bookmarkEnd w:id="114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定制软件开发和销售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116,330,157.73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24,602,689.95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97,651,563.82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19,204,370.82</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服务费收入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51,358,054.14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11,465,949.16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45,857,719.99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6,798,620.93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167,688,211.87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36,068,639.11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143,509,283.81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26,002,991.75</w:t>
            </w:r>
          </w:p>
        </w:tc>
      </w:tr>
    </w:tbl>
    <w:p>
      <w:pPr>
        <w:widowControl w:val="0"/>
        <w:spacing w:after="299" w:line="1" w:lineRule="exact"/>
      </w:pPr>
    </w:p>
    <w:p>
      <w:pPr>
        <w:pStyle w:val="Style29"/>
        <w:keepNext/>
        <w:keepLines/>
        <w:widowControl w:val="0"/>
        <w:numPr>
          <w:ilvl w:val="0"/>
          <w:numId w:val="49"/>
        </w:numPr>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主营业务(分地区)</w:t>
      </w:r>
      <w:bookmarkEnd w:id="1150"/>
      <w:bookmarkEnd w:id="1151"/>
      <w:bookmarkEnd w:id="115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华北大区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71,271,245.72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15,318,601.46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60,862,272.70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11,257,855.03</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华东大区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49,223,303.84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12,543,256.82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49,555,117.34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7,277,805.27</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华南大区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47,193,662.31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8,206,780.83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33,091,893.77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7,467,331.45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167,688,211.87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36,068,639.11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143,509,283.81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26,002,991.75</w:t>
            </w:r>
          </w:p>
        </w:tc>
      </w:tr>
    </w:tbl>
    <w:p>
      <w:pPr>
        <w:widowControl w:val="0"/>
        <w:spacing w:after="299" w:line="1" w:lineRule="exact"/>
      </w:pPr>
    </w:p>
    <w:p>
      <w:pPr>
        <w:pStyle w:val="Style29"/>
        <w:keepNext/>
        <w:keepLines/>
        <w:widowControl w:val="0"/>
        <w:numPr>
          <w:ilvl w:val="0"/>
          <w:numId w:val="49"/>
        </w:numPr>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公司来自前五名客户的营业收入情况</w:t>
      </w:r>
      <w:bookmarkEnd w:id="1154"/>
      <w:bookmarkEnd w:id="1155"/>
      <w:bookmarkEnd w:id="115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97"/>
        <w:gridCol w:w="2846"/>
        <w:gridCol w:w="413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15,585,084.72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11,639,301.63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8,962,264.16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恒丰银行股份有限公司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6,300,000.00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包商银行股份有限公司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5,800,000.00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48,286,650.51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r>
        <w:br w:type="page"/>
      </w:r>
    </w:p>
    <w:p>
      <w:pPr>
        <w:pStyle w:val="Style29"/>
        <w:keepNext/>
        <w:keepLines/>
        <w:widowControl w:val="0"/>
        <w:shd w:val="clear" w:color="auto" w:fill="auto"/>
        <w:bidi w:val="0"/>
        <w:spacing w:before="0" w:after="36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3</w:t>
      </w:r>
      <w:bookmarkEnd w:id="1160"/>
      <w:r>
        <w:rPr>
          <w:rFonts w:ascii="Times New Roman" w:eastAsia="Times New Roman" w:hAnsi="Times New Roman" w:cs="Times New Roman"/>
          <w:color w:val="000000"/>
          <w:spacing w:val="0"/>
          <w:w w:val="100"/>
          <w:position w:val="0"/>
        </w:rPr>
        <w:t>6</w:t>
      </w:r>
      <w:r>
        <w:rPr>
          <w:color w:val="000000"/>
          <w:spacing w:val="0"/>
          <w:w w:val="100"/>
          <w:position w:val="0"/>
        </w:rPr>
        <w:t>、合同项目收入</w:t>
      </w:r>
      <w:bookmarkEnd w:id="1158"/>
      <w:bookmarkEnd w:id="1159"/>
      <w:bookmarkEnd w:id="116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603"/>
        <w:gridCol w:w="1565"/>
        <w:gridCol w:w="1622"/>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累计已确认毛利（亏 损以号表示）</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累计已确认毛利（亏 损以号表示）</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合同项目的说明</w:t>
      </w:r>
    </w:p>
    <w:p>
      <w:pPr>
        <w:pStyle w:val="Style29"/>
        <w:keepNext/>
        <w:keepLines/>
        <w:widowControl w:val="0"/>
        <w:shd w:val="clear" w:color="auto" w:fill="auto"/>
        <w:bidi w:val="0"/>
        <w:spacing w:before="0" w:after="36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3</w:t>
      </w:r>
      <w:bookmarkEnd w:id="1164"/>
      <w:r>
        <w:rPr>
          <w:rFonts w:ascii="Times New Roman" w:eastAsia="Times New Roman" w:hAnsi="Times New Roman" w:cs="Times New Roman"/>
          <w:color w:val="000000"/>
          <w:spacing w:val="0"/>
          <w:w w:val="100"/>
          <w:position w:val="0"/>
        </w:rPr>
        <w:t>7</w:t>
      </w:r>
      <w:r>
        <w:rPr>
          <w:color w:val="000000"/>
          <w:spacing w:val="0"/>
          <w:w w:val="100"/>
          <w:position w:val="0"/>
        </w:rPr>
        <w:t>、营业税金及附加</w:t>
      </w:r>
      <w:bookmarkEnd w:id="1162"/>
      <w:bookmarkEnd w:id="1163"/>
      <w:bookmarkEnd w:id="116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2"/>
        <w:gridCol w:w="1858"/>
        <w:gridCol w:w="293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25,970.40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1,417,697.15</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其他营业收入</w:t>
            </w: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295,049.40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218,652.50</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增值税、营业税</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210,749.57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156,180.36</w:t>
            </w:r>
          </w:p>
        </w:tc>
        <w:tc>
          <w:tcPr>
            <w:tcBorders>
              <w:top w:val="single" w:sz="4"/>
              <w:left w:val="single" w:sz="4"/>
              <w:righ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增值税、营业税</w:t>
            </w: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531,769.37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1,792,530.01</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营业税金及附加的说明</w:t>
      </w:r>
    </w:p>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本期营业税金及附加较上期减少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260,760.64</w:t>
      </w:r>
      <w:r>
        <w:rPr>
          <w:color w:val="000000"/>
          <w:spacing w:val="0"/>
          <w:w w:val="100"/>
          <w:position w:val="0"/>
        </w:rPr>
        <w:t>元，下降</w:t>
      </w:r>
      <w:r>
        <w:rPr>
          <w:rFonts w:ascii="Times New Roman" w:eastAsia="Times New Roman" w:hAnsi="Times New Roman" w:cs="Times New Roman"/>
          <w:color w:val="000000"/>
          <w:spacing w:val="0"/>
          <w:w w:val="100"/>
          <w:position w:val="0"/>
        </w:rPr>
        <w:t>70.33%</w:t>
      </w:r>
      <w:r>
        <w:rPr>
          <w:color w:val="000000"/>
          <w:spacing w:val="0"/>
          <w:w w:val="100"/>
          <w:position w:val="0"/>
        </w:rPr>
        <w:t>，主要系本期营业税较上期大幅减少。营业税减少的原因为上 海、北京、深圳三地分别自从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月起开始实行</w:t>
      </w:r>
      <w:r>
        <w:rPr>
          <w:rFonts w:ascii="Times New Roman" w:eastAsia="Times New Roman" w:hAnsi="Times New Roman" w:cs="Times New Roman"/>
          <w:color w:val="000000"/>
          <w:spacing w:val="0"/>
          <w:w w:val="100"/>
          <w:position w:val="0"/>
        </w:rPr>
        <w:t>“</w:t>
      </w:r>
      <w:r>
        <w:rPr>
          <w:color w:val="000000"/>
          <w:spacing w:val="0"/>
          <w:w w:val="100"/>
          <w:position w:val="0"/>
        </w:rPr>
        <w:t>营改增</w:t>
      </w:r>
      <w:r>
        <w:rPr>
          <w:rFonts w:ascii="Times New Roman" w:eastAsia="Times New Roman" w:hAnsi="Times New Roman" w:cs="Times New Roman"/>
          <w:color w:val="000000"/>
          <w:spacing w:val="0"/>
          <w:w w:val="100"/>
          <w:position w:val="0"/>
        </w:rPr>
        <w:t>”</w:t>
      </w:r>
      <w:r>
        <w:rPr>
          <w:color w:val="000000"/>
          <w:spacing w:val="0"/>
          <w:w w:val="100"/>
          <w:position w:val="0"/>
        </w:rPr>
        <w:t>政策，公司定制软件收入和服务费收入自相应月份开始 不再缴纳营业税。</w:t>
      </w:r>
    </w:p>
    <w:p>
      <w:pPr>
        <w:pStyle w:val="Style29"/>
        <w:keepNext/>
        <w:keepLines/>
        <w:widowControl w:val="0"/>
        <w:shd w:val="clear" w:color="auto" w:fill="auto"/>
        <w:bidi w:val="0"/>
        <w:spacing w:before="0" w:after="36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3</w:t>
      </w:r>
      <w:bookmarkEnd w:id="1168"/>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166"/>
      <w:bookmarkEnd w:id="1167"/>
      <w:bookmarkEnd w:id="116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工资、福利费及社保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4,255,406.18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2,851,666.43</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64,276.00</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差旅费及业务费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1,052,189.52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512,549.10</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330,951.26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128,539.59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5,638,546.96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3,557,031.12</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3</w:t>
      </w:r>
      <w:bookmarkEnd w:id="1172"/>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170"/>
      <w:bookmarkEnd w:id="1171"/>
      <w:bookmarkEnd w:id="117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63,723,542.02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49,005,212.84</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工资、福利费及社保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8,756,395.48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8,226,245.60</w:t>
            </w:r>
          </w:p>
        </w:tc>
      </w:tr>
      <w:tr>
        <w:trPr>
          <w:trHeight w:val="408"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766,152.90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840,936.13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5,363,728.49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2,702,474.82</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2,151,077.93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1,024,504.98</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4,117,750.87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5,054,705.80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84,878,647.69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66,854,080.17</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4</w:t>
      </w:r>
      <w:bookmarkEnd w:id="1176"/>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174"/>
      <w:bookmarkEnd w:id="1175"/>
      <w:bookmarkEnd w:id="117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988,727.42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1,266,799.67</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-407,698.59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-283,580.01</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5,682.44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194.89</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13,437.86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17,150.29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600,149.13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1,000,564.84</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4</w:t>
      </w:r>
      <w:bookmarkEnd w:id="1180"/>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178"/>
      <w:bookmarkEnd w:id="1179"/>
      <w:bookmarkEnd w:id="118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公允价值变动收益的说明</w:t>
      </w:r>
    </w:p>
    <w:p>
      <w:pPr>
        <w:pStyle w:val="Style29"/>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4</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182"/>
      <w:bookmarkEnd w:id="1183"/>
      <w:bookmarkEnd w:id="1185"/>
    </w:p>
    <w:p>
      <w:pPr>
        <w:pStyle w:val="Style29"/>
        <w:keepNext/>
        <w:keepLines/>
        <w:widowControl w:val="0"/>
        <w:shd w:val="clear" w:color="auto" w:fill="auto"/>
        <w:bidi w:val="0"/>
        <w:spacing w:before="0" w:line="240" w:lineRule="auto"/>
        <w:ind w:left="0" w:right="0" w:firstLine="140"/>
        <w:jc w:val="left"/>
      </w:pPr>
      <w:bookmarkStart w:id="1182" w:name="bookmark1182"/>
      <w:bookmarkStart w:id="1183" w:name="bookmark1183"/>
      <w:bookmarkStart w:id="1186" w:name="bookmark1186"/>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182"/>
      <w:bookmarkEnd w:id="1183"/>
      <w:bookmarkEnd w:id="118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2789"/>
        <w:gridCol w:w="293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140"/>
        <w:jc w:val="left"/>
      </w:pPr>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187"/>
      <w:bookmarkEnd w:id="1188"/>
      <w:bookmarkEnd w:id="118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28"/>
        <w:gridCol w:w="1997"/>
        <w:gridCol w:w="1723"/>
        <w:gridCol w:w="29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127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)按权益法核算的长期股权投资收益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spacing w:lineRule="exact" w:line="1"/>
        <w:rPr>
          <w:sz w:val="2"/>
          <w:szCs w:val="2"/>
        </w:rPr>
      </w:pPr>
      <w:r>
        <w:br w:type="page"/>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29"/>
        <w:keepNext/>
        <w:keepLines/>
        <w:widowControl w:val="0"/>
        <w:shd w:val="clear" w:color="auto" w:fill="auto"/>
        <w:bidi w:val="0"/>
        <w:spacing w:before="0" w:after="36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4</w:t>
      </w:r>
      <w:bookmarkEnd w:id="1192"/>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190"/>
      <w:bookmarkEnd w:id="1191"/>
      <w:bookmarkEnd w:id="119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525"/>
        <w:gridCol w:w="279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237,612.50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2,699,763.09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237,612.50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2,699,763.09</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4</w:t>
      </w:r>
      <w:bookmarkEnd w:id="119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194"/>
      <w:bookmarkEnd w:id="1195"/>
      <w:bookmarkEnd w:id="1197"/>
    </w:p>
    <w:p>
      <w:pPr>
        <w:pStyle w:val="Style29"/>
        <w:keepNext/>
        <w:keepLines/>
        <w:widowControl w:val="0"/>
        <w:shd w:val="clear" w:color="auto" w:fill="auto"/>
        <w:bidi w:val="0"/>
        <w:spacing w:before="0" w:after="360" w:line="240" w:lineRule="auto"/>
        <w:ind w:left="0" w:right="0" w:firstLine="0"/>
        <w:jc w:val="left"/>
      </w:pPr>
      <w:bookmarkStart w:id="1194" w:name="bookmark1194"/>
      <w:bookmarkStart w:id="1195" w:name="bookmark1195"/>
      <w:bookmarkStart w:id="1198" w:name="bookmark11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194"/>
      <w:bookmarkEnd w:id="1195"/>
      <w:bookmarkEnd w:id="119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98"/>
        <w:gridCol w:w="1954"/>
        <w:gridCol w:w="2160"/>
        <w:gridCol w:w="2170"/>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4,045.95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4,045.95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2,434,002.22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1,303,000.00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2,434,002.22</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1,412,021.44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496,341.92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77,879.62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113,171.63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77,879.62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3,923,903.28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1,916,559.50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2,511,881.84</w:t>
            </w:r>
          </w:p>
        </w:tc>
      </w:tr>
    </w:tbl>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营业外收入说明</w:t>
      </w:r>
    </w:p>
    <w:p>
      <w:pPr>
        <w:pStyle w:val="Style24"/>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本期营业外收入较上期增加</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,007,343.78</w:t>
      </w:r>
      <w:r>
        <w:rPr>
          <w:color w:val="000000"/>
          <w:spacing w:val="0"/>
          <w:w w:val="100"/>
          <w:position w:val="0"/>
        </w:rPr>
        <w:t>元，增长幅度为</w:t>
      </w:r>
      <w:r>
        <w:rPr>
          <w:rFonts w:ascii="Times New Roman" w:eastAsia="Times New Roman" w:hAnsi="Times New Roman" w:cs="Times New Roman"/>
          <w:color w:val="000000"/>
          <w:spacing w:val="0"/>
          <w:w w:val="100"/>
          <w:position w:val="0"/>
        </w:rPr>
        <w:t>104.74%</w:t>
      </w:r>
      <w:r>
        <w:rPr>
          <w:color w:val="000000"/>
          <w:spacing w:val="0"/>
          <w:w w:val="100"/>
          <w:position w:val="0"/>
        </w:rPr>
        <w:t>,主要原因为深圳市战略新兴专业发展专项资金项目已通过 验收，政府专项补助资金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,500,000.00</w:t>
      </w:r>
      <w:r>
        <w:rPr>
          <w:color w:val="000000"/>
          <w:spacing w:val="0"/>
          <w:w w:val="100"/>
          <w:position w:val="0"/>
        </w:rPr>
        <w:t>元结转至营业外收入。</w:t>
      </w:r>
    </w:p>
    <w:p>
      <w:pPr>
        <w:pStyle w:val="Style29"/>
        <w:keepNext/>
        <w:keepLines/>
        <w:widowControl w:val="0"/>
        <w:shd w:val="clear" w:color="auto" w:fill="auto"/>
        <w:bidi w:val="0"/>
        <w:spacing w:before="0" w:after="360" w:line="240" w:lineRule="auto"/>
        <w:ind w:left="0" w:right="0" w:firstLine="0"/>
        <w:jc w:val="both"/>
      </w:pPr>
      <w:bookmarkStart w:id="1199" w:name="bookmark1199"/>
      <w:bookmarkStart w:id="1200" w:name="bookmark1200"/>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199"/>
      <w:bookmarkEnd w:id="1200"/>
      <w:bookmarkEnd w:id="120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1339"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深圳市经济贸易和信息 化委员会深圳市财政委 员会</w:t>
            </w:r>
            <w:r>
              <w:rPr>
                <w:rFonts w:ascii="Times New Roman" w:eastAsia="Times New Roman" w:hAnsi="Times New Roman" w:cs="Times New Roman"/>
                <w:color w:val="000000"/>
                <w:spacing w:val="0"/>
                <w:w w:val="100"/>
                <w:position w:val="0"/>
              </w:rPr>
              <w:t>“</w:t>
            </w:r>
            <w:r>
              <w:rPr>
                <w:color w:val="000000"/>
                <w:spacing w:val="0"/>
                <w:w w:val="100"/>
                <w:position w:val="0"/>
              </w:rPr>
              <w:t>深经贸信息秘书</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字</w:t>
            </w:r>
            <w:r>
              <w:rPr>
                <w:rFonts w:ascii="Times New Roman" w:eastAsia="Times New Roman" w:hAnsi="Times New Roman" w:cs="Times New Roman"/>
                <w:color w:val="000000"/>
                <w:spacing w:val="0"/>
                <w:w w:val="100"/>
                <w:position w:val="0"/>
              </w:rPr>
              <w:t xml:space="preserve">[2012]1291 </w:t>
            </w:r>
            <w:r>
              <w:rPr>
                <w:color w:val="000000"/>
                <w:spacing w:val="0"/>
                <w:w w:val="100"/>
                <w:position w:val="0"/>
              </w:rPr>
              <w:t>号</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福府办（</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16</w:t>
            </w:r>
            <w:r>
              <w:rPr>
                <w:color w:val="000000"/>
                <w:spacing w:val="0"/>
                <w:w w:val="100"/>
                <w:position w:val="0"/>
              </w:rPr>
              <w:t>号</w:t>
            </w:r>
            <w:r>
              <w:rPr>
                <w:rFonts w:ascii="Times New Roman" w:eastAsia="Times New Roman" w:hAnsi="Times New Roman" w:cs="Times New Roman"/>
                <w:color w:val="000000"/>
                <w:spacing w:val="0"/>
                <w:w w:val="100"/>
                <w:position w:val="0"/>
              </w:rPr>
              <w:t xml:space="preserve">” </w:t>
            </w:r>
            <w:r>
              <w:rPr>
                <w:color w:val="000000"/>
                <w:spacing w:val="0"/>
                <w:w w:val="100"/>
                <w:position w:val="0"/>
              </w:rPr>
              <w:t>深圳市福田区产业发展 专项资金管理暂行办法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深圳市软件行业协会补 贴款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深圳市福田区财政局国 库科产业专项资金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9"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深财法（</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41</w:t>
            </w:r>
            <w:r>
              <w:rPr>
                <w:color w:val="000000"/>
                <w:spacing w:val="0"/>
                <w:w w:val="100"/>
                <w:position w:val="0"/>
              </w:rPr>
              <w:t>号： 关于《深圳市营业税改 征增值税试点过渡期财 政扶持政策》的通知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77,802.22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上海市浦东新区陆家嘴 软件园区高新技术企业 税收优惠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深圳市战略新兴产业发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展专项资金项目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2,434,002.22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1,303,000.00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4</w:t>
      </w:r>
      <w:bookmarkEnd w:id="120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202"/>
      <w:bookmarkEnd w:id="1203"/>
      <w:bookmarkEnd w:id="120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0"/>
        <w:gridCol w:w="192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 的金额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72,206.80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126,373.17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72,206.80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72,206.80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126,373.17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72,206.80</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1,279.91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73,486.71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128,014.57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73,486.71</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营业外支出说明</w:t>
      </w:r>
    </w:p>
    <w:p>
      <w:pPr>
        <w:pStyle w:val="Style29"/>
        <w:keepNext/>
        <w:keepLines/>
        <w:widowControl w:val="0"/>
        <w:shd w:val="clear" w:color="auto" w:fill="auto"/>
        <w:bidi w:val="0"/>
        <w:spacing w:before="0" w:after="36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4</w:t>
      </w:r>
      <w:bookmarkEnd w:id="120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206"/>
      <w:bookmarkEnd w:id="1207"/>
      <w:bookmarkEnd w:id="120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661"/>
        <w:gridCol w:w="2520"/>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3,220,509.19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6,867,122.62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386,164.86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-402,039.47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3,606,674.05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6,465,083.15</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4</w:t>
      </w:r>
      <w:bookmarkEnd w:id="1212"/>
      <w:r>
        <w:rPr>
          <w:rFonts w:ascii="Times New Roman" w:eastAsia="Times New Roman" w:hAnsi="Times New Roman" w:cs="Times New Roman"/>
          <w:color w:val="000000"/>
          <w:spacing w:val="0"/>
          <w:w w:val="100"/>
          <w:position w:val="0"/>
        </w:rPr>
        <w:t>7</w:t>
      </w:r>
      <w:r>
        <w:rPr>
          <w:color w:val="000000"/>
          <w:spacing w:val="0"/>
          <w:w w:val="100"/>
          <w:position w:val="0"/>
        </w:rPr>
        <w:t>、基本每股收益和稀释每股收益的计算过程</w:t>
      </w:r>
      <w:bookmarkEnd w:id="1210"/>
      <w:bookmarkEnd w:id="1211"/>
      <w:bookmarkEnd w:id="1213"/>
    </w:p>
    <w:p>
      <w:pPr>
        <w:pStyle w:val="Style24"/>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基本每股收益以归属于母公司普通股股东的合并净利润除以母公司发行在外普通股的加权平均数计算，稀释每股收益 以根据稀释性潜在普通股调整后的归属于母公司普通股股东的合并净利润除以调整后的母公司发行在外普通股的加权平均 数计算。报告期本公司无稀释性的潜在普通股，因此稀释每股收益与基本每股收益相同。基本每股收益和稀释每股收益计算 如下：</w:t>
      </w:r>
    </w:p>
    <w:p>
      <w:pPr>
        <w:pStyle w:val="Style24"/>
        <w:keepNext w:val="0"/>
        <w:keepLines w:val="0"/>
        <w:widowControl w:val="0"/>
        <w:pBdr>
          <w:top w:val="single" w:sz="4" w:space="0" w:color="auto"/>
        </w:pBdr>
        <w:shd w:val="clear" w:color="auto" w:fill="auto"/>
        <w:tabs>
          <w:tab w:pos="4898" w:val="left"/>
          <w:tab w:pos="6299" w:val="left"/>
          <w:tab w:pos="7715" w:val="left"/>
        </w:tabs>
        <w:bidi w:val="0"/>
        <w:spacing w:before="0" w:after="300" w:line="312" w:lineRule="exact"/>
        <w:ind w:left="1960" w:right="0" w:firstLine="0"/>
        <w:jc w:val="left"/>
      </w:pPr>
      <w:r>
        <w:rPr>
          <w:b/>
          <w:bCs/>
          <w:color w:val="000000"/>
          <w:spacing w:val="0"/>
          <w:w w:val="100"/>
          <w:position w:val="0"/>
        </w:rPr>
        <w:t>项目</w:t>
        <w:tab/>
        <w:t>序号</w:t>
        <w:tab/>
        <w:t>本期金额</w:t>
        <w:tab/>
        <w:t>上期金额~</w:t>
      </w:r>
      <w:r>
        <w:br w:type="page"/>
      </w:r>
    </w:p>
    <w:tbl>
      <w:tblPr>
        <w:tblOverlap w:val="never"/>
        <w:jc w:val="left"/>
        <w:tblLayout w:type="fixed"/>
      </w:tblPr>
      <w:tblGrid>
        <w:gridCol w:w="4248"/>
        <w:gridCol w:w="1867"/>
        <w:gridCol w:w="1488"/>
        <w:gridCol w:w="1253"/>
      </w:tblGrid>
      <w:tr>
        <w:trPr>
          <w:trHeight w:val="36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归属于母公司股东的净利润</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40,357,333.67</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37,179,969.38</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归属于母公司所有者的非经常性损益（税后）</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2,194,430.65</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1,098,128.73</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归属于母公司股东、扣除非经常性损益后的净利润</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3=1-2</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38,162,903.02</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36,081,840.65</w:t>
            </w:r>
          </w:p>
        </w:tc>
      </w:tr>
      <w:tr>
        <w:trPr>
          <w:trHeight w:val="35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45,000,000.00</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45,000,000.00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公积金转增股本或股票股利分配等增加股份数</w:t>
            </w:r>
            <w:r>
              <w:rPr>
                <w:color w:val="000000"/>
                <w:spacing w:val="0"/>
                <w:w w:val="100"/>
                <w:position w:val="0"/>
                <w:sz w:val="18"/>
                <w:szCs w:val="18"/>
              </w:rPr>
              <w:t>（I）</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发行新股或债转股等增加股份数</w:t>
            </w:r>
            <w:r>
              <w:rPr>
                <w:color w:val="000000"/>
                <w:spacing w:val="0"/>
                <w:w w:val="100"/>
                <w:position w:val="0"/>
                <w:sz w:val="18"/>
                <w:szCs w:val="18"/>
              </w:rPr>
              <w:t>（II）</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w:t>
            </w:r>
            <w:r>
              <w:rPr>
                <w:color w:val="000000"/>
                <w:spacing w:val="0"/>
                <w:w w:val="100"/>
                <w:position w:val="0"/>
                <w:sz w:val="18"/>
                <w:szCs w:val="18"/>
              </w:rPr>
              <w:t>（II）</w:t>
            </w:r>
            <w:r>
              <w:rPr>
                <w:color w:val="000000"/>
                <w:spacing w:val="0"/>
                <w:w w:val="100"/>
                <w:position w:val="0"/>
              </w:rPr>
              <w:t>下一月份起至报告期期末的月份数</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报告期因回购或缩股等减少股份数</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减少股份下一月份起至报告期期末的月份数</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66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11=4+5+6x7</w:t>
            </w:r>
          </w:p>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-10-8x9-10</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45,000,000.00</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45,000,000.00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12=1-11</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0.90</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扣除非经常性损益（税后）后的基本每股收益</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13=3-11</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0.85</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w:t>
            </w:r>
          </w:p>
        </w:tc>
      </w:tr>
      <w:tr>
        <w:trPr>
          <w:trHeight w:val="3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已确认为费用的稀释性潜在普通股利息</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转换费用</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认股权证、期权行权增加股份数</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18=[1+ </w:t>
            </w:r>
            <w:r>
              <w:rPr>
                <w:color w:val="000000"/>
                <w:spacing w:val="0"/>
                <w:w w:val="100"/>
                <w:position w:val="0"/>
              </w:rPr>
              <w:t>(</w:t>
            </w:r>
            <w:r>
              <w:rPr>
                <w:rFonts w:ascii="Times New Roman" w:eastAsia="Times New Roman" w:hAnsi="Times New Roman" w:cs="Times New Roman"/>
                <w:color w:val="000000"/>
                <w:spacing w:val="0"/>
                <w:w w:val="100"/>
                <w:position w:val="0"/>
              </w:rPr>
              <w:t>14-15</w:t>
            </w:r>
            <w:r>
              <w:rPr>
                <w:color w:val="000000"/>
                <w:spacing w:val="0"/>
                <w:w w:val="100"/>
                <w:position w:val="0"/>
              </w:rPr>
              <w:t xml:space="preserve">) </w:t>
            </w:r>
            <w:r>
              <w:rPr>
                <w:rFonts w:ascii="Times New Roman" w:eastAsia="Times New Roman" w:hAnsi="Times New Roman" w:cs="Times New Roman"/>
                <w:color w:val="000000"/>
                <w:spacing w:val="0"/>
                <w:w w:val="100"/>
                <w:position w:val="0"/>
              </w:rPr>
              <w:t>x</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1-16</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rPr>
              <w:t>11+17</w:t>
            </w:r>
            <w:r>
              <w:rPr>
                <w:color w:val="000000"/>
                <w:spacing w:val="0"/>
                <w:w w:val="100"/>
                <w:position w:val="0"/>
              </w:rPr>
              <w:t>)</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0.90</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r>
      <w:tr>
        <w:trPr>
          <w:trHeight w:val="30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扣除非经常性损益（税后）后稀释每股收益</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w:t>
            </w:r>
            <w:r>
              <w:rPr>
                <w:color w:val="000000"/>
                <w:spacing w:val="0"/>
                <w:w w:val="100"/>
                <w:position w:val="0"/>
              </w:rPr>
              <w:t>(</w:t>
            </w:r>
            <w:r>
              <w:rPr>
                <w:rFonts w:ascii="Times New Roman" w:eastAsia="Times New Roman" w:hAnsi="Times New Roman" w:cs="Times New Roman"/>
                <w:color w:val="000000"/>
                <w:spacing w:val="0"/>
                <w:w w:val="100"/>
                <w:position w:val="0"/>
              </w:rPr>
              <w:t>14-15</w:t>
            </w:r>
            <w:r>
              <w:rPr>
                <w:color w:val="000000"/>
                <w:spacing w:val="0"/>
                <w:w w:val="100"/>
                <w:position w:val="0"/>
              </w:rPr>
              <w:t>)</w:t>
            </w:r>
            <w:r>
              <w:rPr>
                <w:rFonts w:ascii="Times New Roman" w:eastAsia="Times New Roman" w:hAnsi="Times New Roman" w:cs="Times New Roman"/>
                <w:color w:val="000000"/>
                <w:spacing w:val="0"/>
                <w:w w:val="100"/>
                <w:position w:val="0"/>
              </w:rPr>
              <w:t>x</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0.85</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w:t>
            </w:r>
          </w:p>
        </w:tc>
      </w:tr>
    </w:tbl>
    <w:p>
      <w:pPr>
        <w:pStyle w:val="Style36"/>
        <w:keepNext w:val="0"/>
        <w:keepLines w:val="0"/>
        <w:widowControl w:val="0"/>
        <w:shd w:val="clear" w:color="auto" w:fill="auto"/>
        <w:bidi w:val="0"/>
        <w:spacing w:before="0" w:after="0" w:line="240" w:lineRule="auto"/>
        <w:ind w:left="4358" w:right="0" w:firstLine="0"/>
        <w:jc w:val="left"/>
      </w:pPr>
      <w:r>
        <w:rPr>
          <w:rFonts w:ascii="Times New Roman" w:eastAsia="Times New Roman" w:hAnsi="Times New Roman" w:cs="Times New Roman"/>
          <w:color w:val="000000"/>
          <w:spacing w:val="0"/>
          <w:w w:val="100"/>
          <w:position w:val="0"/>
        </w:rPr>
        <w:t>(1-16</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11+17</w:t>
      </w:r>
      <w:r>
        <w:rPr>
          <w:color w:val="000000"/>
          <w:spacing w:val="0"/>
          <w:w w:val="100"/>
          <w:position w:val="0"/>
        </w:rPr>
        <w:t>)</w:t>
      </w:r>
    </w:p>
    <w:p>
      <w:pPr>
        <w:widowControl w:val="0"/>
        <w:spacing w:after="639" w:line="1" w:lineRule="exact"/>
      </w:pPr>
    </w:p>
    <w:p>
      <w:pPr>
        <w:pStyle w:val="Style29"/>
        <w:keepNext/>
        <w:keepLines/>
        <w:widowControl w:val="0"/>
        <w:shd w:val="clear" w:color="auto" w:fill="auto"/>
        <w:bidi w:val="0"/>
        <w:spacing w:before="0" w:after="36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4</w:t>
      </w:r>
      <w:bookmarkEnd w:id="1216"/>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214"/>
      <w:bookmarkEnd w:id="1215"/>
      <w:bookmarkEnd w:id="121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2525"/>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其他综合收益说明</w:t>
      </w:r>
    </w:p>
    <w:p>
      <w:pPr>
        <w:pStyle w:val="Style29"/>
        <w:keepNext/>
        <w:keepLines/>
        <w:widowControl w:val="0"/>
        <w:shd w:val="clear" w:color="auto" w:fill="auto"/>
        <w:bidi w:val="0"/>
        <w:spacing w:before="0" w:after="36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4</w:t>
      </w:r>
      <w:bookmarkEnd w:id="1220"/>
      <w:r>
        <w:rPr>
          <w:rFonts w:ascii="Times New Roman" w:eastAsia="Times New Roman" w:hAnsi="Times New Roman" w:cs="Times New Roman"/>
          <w:color w:val="000000"/>
          <w:spacing w:val="0"/>
          <w:w w:val="100"/>
          <w:position w:val="0"/>
        </w:rPr>
        <w:t>9</w:t>
      </w:r>
      <w:r>
        <w:rPr>
          <w:color w:val="000000"/>
          <w:spacing w:val="0"/>
          <w:w w:val="100"/>
          <w:position w:val="0"/>
        </w:rPr>
        <w:t>、现金流量表附注</w:t>
      </w:r>
      <w:bookmarkEnd w:id="1218"/>
      <w:bookmarkEnd w:id="1219"/>
      <w:bookmarkEnd w:id="1221"/>
    </w:p>
    <w:p>
      <w:pPr>
        <w:pStyle w:val="Style29"/>
        <w:keepNext/>
        <w:keepLines/>
        <w:widowControl w:val="0"/>
        <w:shd w:val="clear" w:color="auto" w:fill="auto"/>
        <w:bidi w:val="0"/>
        <w:spacing w:before="0" w:after="360" w:line="240" w:lineRule="auto"/>
        <w:ind w:left="0" w:right="0" w:firstLine="140"/>
        <w:jc w:val="left"/>
      </w:pPr>
      <w:bookmarkStart w:id="1218" w:name="bookmark1218"/>
      <w:bookmarkStart w:id="1219" w:name="bookmark1219"/>
      <w:bookmarkStart w:id="1222" w:name="bookmark1222"/>
      <w:r>
        <w:rPr>
          <w:color w:val="000000"/>
          <w:spacing w:val="0"/>
          <w:w w:val="100"/>
          <w:position w:val="0"/>
        </w:rPr>
        <w:t>⑴收到的其他与经营活动有关的现金</w:t>
      </w:r>
      <w:bookmarkEnd w:id="1218"/>
      <w:bookmarkEnd w:id="1219"/>
      <w:bookmarkEnd w:id="122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收财政补贴款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1,384,002.22</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407,698.59</w:t>
            </w:r>
          </w:p>
        </w:tc>
      </w:tr>
      <w:tr>
        <w:trPr>
          <w:trHeight w:val="413"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608,466.20</w:t>
            </w:r>
          </w:p>
        </w:tc>
      </w:tr>
    </w:tbl>
    <w:p>
      <w:pPr>
        <w:widowControl w:val="0"/>
        <w:spacing w:line="1" w:lineRule="exact"/>
      </w:pPr>
      <w:r>
        <w:br w:type="page"/>
      </w:r>
    </w:p>
    <w:tbl>
      <w:tblPr>
        <w:tblOverlap w:val="never"/>
        <w:jc w:val="center"/>
        <w:tblLayout w:type="fixed"/>
      </w:tblPr>
      <w:tblGrid>
        <w:gridCol w:w="5587"/>
        <w:gridCol w:w="399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2,400,167.01</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29"/>
        <w:keepNext/>
        <w:keepLines/>
        <w:widowControl w:val="0"/>
        <w:shd w:val="clear" w:color="auto" w:fill="auto"/>
        <w:bidi w:val="0"/>
        <w:spacing w:before="0" w:after="360" w:line="240" w:lineRule="auto"/>
        <w:ind w:left="0" w:right="0" w:firstLine="0"/>
        <w:jc w:val="left"/>
      </w:pPr>
      <w:bookmarkStart w:id="1223" w:name="bookmark1223"/>
      <w:bookmarkStart w:id="1224" w:name="bookmark1224"/>
      <w:bookmarkStart w:id="1225" w:name="bookmark12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23"/>
      <w:bookmarkEnd w:id="1224"/>
      <w:bookmarkEnd w:id="122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房租物业管理及水电费用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9,890,697.52</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6,459,856.91</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2,499,358.83</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3,832,878.70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22,682,791.96</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29"/>
        <w:keepNext/>
        <w:keepLines/>
        <w:widowControl w:val="0"/>
        <w:shd w:val="clear" w:color="auto" w:fill="auto"/>
        <w:bidi w:val="0"/>
        <w:spacing w:before="0" w:after="36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226"/>
      <w:bookmarkEnd w:id="1227"/>
      <w:bookmarkEnd w:id="122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29"/>
        <w:keepNext/>
        <w:keepLines/>
        <w:widowControl w:val="0"/>
        <w:shd w:val="clear" w:color="auto" w:fill="auto"/>
        <w:bidi w:val="0"/>
        <w:spacing w:before="0" w:after="36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230"/>
      <w:bookmarkEnd w:id="1231"/>
      <w:bookmarkEnd w:id="123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29"/>
        <w:keepNext/>
        <w:keepLines/>
        <w:widowControl w:val="0"/>
        <w:shd w:val="clear" w:color="auto" w:fill="auto"/>
        <w:bidi w:val="0"/>
        <w:spacing w:before="0" w:after="36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234"/>
      <w:bookmarkEnd w:id="1235"/>
      <w:bookmarkEnd w:id="123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29"/>
        <w:keepNext/>
        <w:keepLines/>
        <w:widowControl w:val="0"/>
        <w:shd w:val="clear" w:color="auto" w:fill="auto"/>
        <w:bidi w:val="0"/>
        <w:spacing w:before="0" w:after="36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238"/>
      <w:bookmarkEnd w:id="1239"/>
      <w:bookmarkEnd w:id="124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line="1" w:lineRule="exact"/>
      </w:pPr>
      <w:r>
        <w:br w:type="page"/>
      </w:r>
    </w:p>
    <w:tbl>
      <w:tblPr>
        <w:tblOverlap w:val="never"/>
        <w:jc w:val="center"/>
        <w:tblLayout w:type="fixed"/>
      </w:tblPr>
      <w:tblGrid>
        <w:gridCol w:w="5587"/>
        <w:gridCol w:w="399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5</w:t>
      </w:r>
      <w:bookmarkEnd w:id="1244"/>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242"/>
      <w:bookmarkEnd w:id="1243"/>
      <w:bookmarkEnd w:id="1245"/>
    </w:p>
    <w:p>
      <w:pPr>
        <w:pStyle w:val="Style29"/>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6" w:name="bookmark12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42"/>
      <w:bookmarkEnd w:id="1243"/>
      <w:bookmarkEnd w:id="124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40,357,333.67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37,179,969.38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237,612.50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2,699,763.09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3,080,071.03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2,669,938.45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265,463.20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120,906.50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591,455.18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755,996.82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0"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72,206.80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122,327.22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994,409.86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1,266,994.56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386,164.86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-402,039.47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-25,726,360.65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-21,906,877.43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1,802,656.70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3,728,013.92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22,061,013.15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26,234,993.04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72,067,463.22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63,074,406.07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63,074,406.07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40,110,648.61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8,993,057.15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22,963,757.46</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140"/>
        <w:jc w:val="left"/>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247"/>
      <w:bookmarkEnd w:id="1248"/>
      <w:bookmarkEnd w:id="124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.处置子公司及其他营业单位收到的现金净额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p>
      <w:pPr>
        <w:pStyle w:val="Style29"/>
        <w:keepNext/>
        <w:keepLines/>
        <w:widowControl w:val="0"/>
        <w:numPr>
          <w:ilvl w:val="0"/>
          <w:numId w:val="51"/>
        </w:numPr>
        <w:shd w:val="clear" w:color="auto" w:fill="auto"/>
        <w:bidi w:val="0"/>
        <w:spacing w:before="0" w:line="240" w:lineRule="auto"/>
        <w:ind w:left="0" w:right="0" w:firstLine="14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现金和现金等价物的构成</w:t>
      </w:r>
      <w:bookmarkEnd w:id="1250"/>
      <w:bookmarkEnd w:id="1251"/>
      <w:bookmarkEnd w:id="125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0"/>
        <w:gridCol w:w="266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72,067,463.22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63,074,406.07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24,181.95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9,933.08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72,043,281.27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63,064,472.99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72,067,463.22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63,074,406.07</w:t>
            </w:r>
          </w:p>
        </w:tc>
      </w:tr>
    </w:tbl>
    <w:p>
      <w:pPr>
        <w:widowControl w:val="0"/>
        <w:spacing w:after="79" w:line="1" w:lineRule="exact"/>
      </w:pP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现金流量表补充资料的说明</w:t>
      </w:r>
    </w:p>
    <w:p>
      <w:pPr>
        <w:pStyle w:val="Style29"/>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5</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、所有者权益变动表项目注释</w:t>
      </w:r>
      <w:bookmarkEnd w:id="1254"/>
      <w:bookmarkEnd w:id="1255"/>
      <w:bookmarkEnd w:id="1257"/>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项目名称及调整金额、由同一控制下企业合并产生的追溯调整等事项</w:t>
      </w:r>
    </w:p>
    <w:p>
      <w:pPr>
        <w:pStyle w:val="Style22"/>
        <w:keepNext/>
        <w:keepLines/>
        <w:widowControl w:val="0"/>
        <w:shd w:val="clear" w:color="auto" w:fill="auto"/>
        <w:bidi w:val="0"/>
        <w:spacing w:before="0" w:after="34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sz w:val="24"/>
          <w:szCs w:val="24"/>
        </w:rPr>
        <w:t>七</w:t>
      </w:r>
      <w:bookmarkEnd w:id="1260"/>
      <w:r>
        <w:rPr>
          <w:color w:val="000000"/>
          <w:spacing w:val="0"/>
          <w:w w:val="100"/>
          <w:position w:val="0"/>
          <w:sz w:val="24"/>
          <w:szCs w:val="24"/>
        </w:rPr>
        <w:t>、资产证券化业务的会计处理</w:t>
      </w:r>
      <w:bookmarkEnd w:id="1258"/>
      <w:bookmarkEnd w:id="1259"/>
      <w:bookmarkEnd w:id="1261"/>
    </w:p>
    <w:p>
      <w:pPr>
        <w:pStyle w:val="Style29"/>
        <w:keepNext/>
        <w:keepLines/>
        <w:widowControl w:val="0"/>
        <w:shd w:val="clear" w:color="auto" w:fill="auto"/>
        <w:tabs>
          <w:tab w:pos="373" w:val="left"/>
        </w:tabs>
        <w:bidi w:val="0"/>
        <w:spacing w:before="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color w:val="000000"/>
          <w:spacing w:val="0"/>
          <w:w w:val="100"/>
          <w:position w:val="0"/>
        </w:rPr>
        <w:t>、</w:t>
        <w:tab/>
        <w:t>说明资产证券化业务的主要交易安排及其会计处理、破产隔离条款</w:t>
      </w:r>
      <w:bookmarkEnd w:id="1262"/>
      <w:bookmarkEnd w:id="1263"/>
      <w:bookmarkEnd w:id="1265"/>
    </w:p>
    <w:p>
      <w:pPr>
        <w:pStyle w:val="Style29"/>
        <w:keepNext/>
        <w:keepLines/>
        <w:widowControl w:val="0"/>
        <w:shd w:val="clear" w:color="auto" w:fill="auto"/>
        <w:tabs>
          <w:tab w:pos="382" w:val="left"/>
        </w:tabs>
        <w:bidi w:val="0"/>
        <w:spacing w:before="0" w:line="240" w:lineRule="auto"/>
        <w:ind w:left="0" w:right="0" w:firstLine="0"/>
        <w:jc w:val="left"/>
      </w:pPr>
      <w:bookmarkStart w:id="1262" w:name="bookmark1262"/>
      <w:bookmarkStart w:id="1263" w:name="bookmark1263"/>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color w:val="000000"/>
          <w:spacing w:val="0"/>
          <w:w w:val="100"/>
          <w:position w:val="0"/>
        </w:rPr>
        <w:t>、</w:t>
        <w:tab/>
        <w:t>公司不具有控制权但实质上承担其风险的特殊目的主体情况</w:t>
      </w:r>
      <w:bookmarkEnd w:id="1262"/>
      <w:bookmarkEnd w:id="1263"/>
      <w:bookmarkEnd w:id="1267"/>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both"/>
      </w:pPr>
      <w:bookmarkStart w:id="1268" w:name="bookmark1268"/>
      <w:bookmarkStart w:id="1269" w:name="bookmark1269"/>
      <w:bookmarkStart w:id="1270" w:name="bookmark1270"/>
      <w:bookmarkStart w:id="1271" w:name="bookmark1271"/>
      <w:r>
        <w:rPr>
          <w:color w:val="000000"/>
          <w:spacing w:val="0"/>
          <w:w w:val="100"/>
          <w:position w:val="0"/>
          <w:sz w:val="24"/>
          <w:szCs w:val="24"/>
        </w:rPr>
        <w:t>八</w:t>
      </w:r>
      <w:bookmarkEnd w:id="1270"/>
      <w:r>
        <w:rPr>
          <w:color w:val="000000"/>
          <w:spacing w:val="0"/>
          <w:w w:val="100"/>
          <w:position w:val="0"/>
          <w:sz w:val="24"/>
          <w:szCs w:val="24"/>
        </w:rPr>
        <w:t>、关联方及关联交易</w:t>
      </w:r>
      <w:bookmarkEnd w:id="1268"/>
      <w:bookmarkEnd w:id="1269"/>
      <w:bookmarkEnd w:id="1271"/>
    </w:p>
    <w:p>
      <w:pPr>
        <w:pStyle w:val="Style29"/>
        <w:keepNext/>
        <w:keepLines/>
        <w:widowControl w:val="0"/>
        <w:shd w:val="clear" w:color="auto" w:fill="auto"/>
        <w:bidi w:val="0"/>
        <w:spacing w:before="0" w:after="140" w:line="240" w:lineRule="auto"/>
        <w:ind w:left="0" w:right="0" w:firstLine="0"/>
        <w:jc w:val="both"/>
      </w:pPr>
      <w:r>
        <mc:AlternateContent>
          <mc:Choice Requires="wps">
            <w:drawing>
              <wp:anchor distT="114300" distB="0" distL="0" distR="0" simplePos="0" relativeHeight="125829403" behindDoc="0" locked="0" layoutInCell="1" allowOverlap="1">
                <wp:simplePos x="0" y="0"/>
                <wp:positionH relativeFrom="page">
                  <wp:posOffset>718820</wp:posOffset>
                </wp:positionH>
                <wp:positionV relativeFrom="paragraph">
                  <wp:posOffset>368300</wp:posOffset>
                </wp:positionV>
                <wp:extent cx="6080760" cy="859790"/>
                <wp:wrapTopAndBottom/>
                <wp:docPr id="43" name="Shape 43"/>
                <a:graphic xmlns:a="http://schemas.openxmlformats.org/drawingml/2006/main">
                  <a:graphicData uri="http://schemas.microsoft.com/office/word/2010/wordprocessingShape">
                    <wps:wsp>
                      <wps:cNvSpPr txBox="1"/>
                      <wps:spPr>
                        <a:xfrm>
                          <a:ext cx="6080760" cy="859790"/>
                        </a:xfrm>
                        <a:prstGeom prst="rect"/>
                        <a:noFill/>
                      </wps:spPr>
                      <wps:txbx>
                        <w:txbxContent>
                          <w:tbl>
                            <w:tblPr>
                              <w:tblOverlap w:val="never"/>
                              <w:jc w:val="left"/>
                              <w:tblLayout w:type="fixed"/>
                            </w:tblPr>
                            <w:tblGrid>
                              <w:gridCol w:w="878"/>
                              <w:gridCol w:w="869"/>
                              <w:gridCol w:w="869"/>
                              <w:gridCol w:w="869"/>
                              <w:gridCol w:w="874"/>
                              <w:gridCol w:w="869"/>
                              <w:gridCol w:w="869"/>
                              <w:gridCol w:w="869"/>
                              <w:gridCol w:w="874"/>
                              <w:gridCol w:w="869"/>
                              <w:gridCol w:w="869"/>
                            </w:tblGrid>
                            <w:tr>
                              <w:trPr>
                                <w:tblHeader/>
                                <w:trHeight w:val="13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母公司对 本企业的 持股比例</w:t>
                                  </w:r>
                                </w:p>
                                <w:p>
                                  <w:pPr>
                                    <w:pStyle w:val="Style1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本企业最 终控制方</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bl>
                          <w:p>
                            <w:pPr>
                              <w:widowControl w:val="0"/>
                              <w:spacing w:line="1" w:lineRule="exact"/>
                            </w:pPr>
                          </w:p>
                        </w:txbxContent>
                      </wps:txbx>
                      <wps:bodyPr lIns="0" tIns="0" rIns="0" bIns="0">
                        <a:noAutoFit/>
                      </wps:bodyPr>
                    </wps:wsp>
                  </a:graphicData>
                </a:graphic>
              </wp:anchor>
            </w:drawing>
          </mc:Choice>
          <mc:Fallback>
            <w:pict>
              <v:shape id="_x0000_s1069" type="#_x0000_t202" style="position:absolute;margin-left:56.600000000000001pt;margin-top:29.pt;width:478.80000000000001pt;height:67.700000000000003pt;z-index:-125829350;mso-wrap-distance-left:0;mso-wrap-distance-top:9.pt;mso-wrap-distance-right:0;mso-position-horizontal-relative:page" filled="f" stroked="f">
                <v:textbox inset="0,0,0,0">
                  <w:txbxContent>
                    <w:tbl>
                      <w:tblPr>
                        <w:tblOverlap w:val="never"/>
                        <w:jc w:val="left"/>
                        <w:tblLayout w:type="fixed"/>
                      </w:tblPr>
                      <w:tblGrid>
                        <w:gridCol w:w="878"/>
                        <w:gridCol w:w="869"/>
                        <w:gridCol w:w="869"/>
                        <w:gridCol w:w="869"/>
                        <w:gridCol w:w="874"/>
                        <w:gridCol w:w="869"/>
                        <w:gridCol w:w="869"/>
                        <w:gridCol w:w="869"/>
                        <w:gridCol w:w="874"/>
                        <w:gridCol w:w="869"/>
                        <w:gridCol w:w="869"/>
                      </w:tblGrid>
                      <w:tr>
                        <w:trPr>
                          <w:tblHeader/>
                          <w:trHeight w:val="135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母公司对 本企业的 持股比例</w:t>
                            </w:r>
                          </w:p>
                          <w:p>
                            <w:pPr>
                              <w:pStyle w:val="Style1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本企业最 终控制方</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bl>
                    <w:p>
                      <w:pPr>
                        <w:widowControl w:val="0"/>
                        <w:spacing w:line="1" w:lineRule="exact"/>
                      </w:pPr>
                    </w:p>
                  </w:txbxContent>
                </v:textbox>
                <w10:wrap type="topAndBottom" anchorx="page"/>
              </v:shape>
            </w:pict>
          </mc:Fallback>
        </mc:AlternateContent>
      </w:r>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272"/>
      <w:bookmarkEnd w:id="1273"/>
      <w:bookmarkEnd w:id="1274"/>
    </w:p>
    <w:p>
      <w:pPr>
        <w:pStyle w:val="Style62"/>
        <w:keepNext w:val="0"/>
        <w:keepLines w:val="0"/>
        <w:widowControl w:val="0"/>
        <w:pBdr>
          <w:top w:val="single" w:sz="0" w:space="0" w:color="D3D3D3"/>
          <w:left w:val="single" w:sz="0" w:space="0" w:color="D3D3D3"/>
          <w:bottom w:val="single" w:sz="0" w:space="0" w:color="D3D3D3"/>
          <w:right w:val="single" w:sz="0" w:space="0" w:color="D3D3D3"/>
        </w:pBdr>
        <w:shd w:val="clear" w:color="auto" w:fill="D3D3D3"/>
        <w:tabs>
          <w:tab w:pos="739" w:val="left"/>
        </w:tabs>
        <w:bidi w:val="0"/>
        <w:spacing w:before="0" w:after="180" w:line="240" w:lineRule="auto"/>
        <w:ind w:left="0" w:right="0" w:firstLine="0"/>
        <w:jc w:val="center"/>
      </w:pPr>
      <w:r>
        <w:rPr>
          <w:color w:val="000000"/>
          <w:spacing w:val="0"/>
          <w:w w:val="100"/>
          <w:position w:val="0"/>
        </w:rPr>
        <w:t>(%)</w:t>
        <w:tab/>
      </w:r>
      <w:r>
        <w:rPr>
          <w:rFonts w:ascii="SimSun" w:eastAsia="SimSun" w:hAnsi="SimSun" w:cs="SimSun"/>
          <w:color w:val="000000"/>
          <w:spacing w:val="0"/>
          <w:w w:val="100"/>
          <w:position w:val="0"/>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本企业的母公司情况的说明</w:t>
      </w:r>
    </w:p>
    <w:p>
      <w:pPr>
        <w:pStyle w:val="Style29"/>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275"/>
      <w:bookmarkEnd w:id="1276"/>
      <w:bookmarkEnd w:id="1277"/>
    </w:p>
    <w:tbl>
      <w:tblPr>
        <w:tblOverlap w:val="never"/>
        <w:jc w:val="center"/>
        <w:tblLayout w:type="fixed"/>
      </w:tblPr>
      <w:tblGrid>
        <w:gridCol w:w="960"/>
        <w:gridCol w:w="955"/>
        <w:gridCol w:w="960"/>
        <w:gridCol w:w="955"/>
        <w:gridCol w:w="955"/>
        <w:gridCol w:w="960"/>
        <w:gridCol w:w="960"/>
        <w:gridCol w:w="955"/>
        <w:gridCol w:w="955"/>
        <w:gridCol w:w="96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持股比例</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表决权比例</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组织机构代</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926" w:hRule="exact"/>
        </w:trPr>
        <w:tc>
          <w:tcPr>
            <w:gridSpan w:val="10"/>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、本企业的合营和联营企业情况</w:t>
            </w:r>
          </w:p>
        </w:tc>
      </w:tr>
      <w:tr>
        <w:trPr>
          <w:trHeight w:val="68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本企业持股</w:t>
            </w:r>
          </w:p>
        </w:tc>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本企业在被 投资单位表</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w:t>
            </w:r>
          </w:p>
        </w:tc>
      </w:tr>
    </w:tbl>
    <w:p>
      <w:pPr>
        <w:widowControl w:val="0"/>
        <w:spacing w:line="1" w:lineRule="exact"/>
      </w:pPr>
      <w:r>
        <w:br w:type="page"/>
      </w:r>
    </w:p>
    <w:tbl>
      <w:tblPr>
        <w:tblOverlap w:val="never"/>
        <w:jc w:val="center"/>
        <w:tblLayout w:type="fixed"/>
      </w:tblPr>
      <w:tblGrid>
        <w:gridCol w:w="955"/>
        <w:gridCol w:w="955"/>
        <w:gridCol w:w="960"/>
        <w:gridCol w:w="955"/>
        <w:gridCol w:w="955"/>
        <w:gridCol w:w="960"/>
        <w:gridCol w:w="960"/>
        <w:gridCol w:w="955"/>
        <w:gridCol w:w="960"/>
        <w:gridCol w:w="965"/>
      </w:tblGrid>
      <w:tr>
        <w:trPr>
          <w:trHeight w:val="68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位名称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决权比例</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403" w:hRule="exact"/>
        </w:trPr>
        <w:tc>
          <w:tcPr>
            <w:gridSpan w:val="10"/>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0"/>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4</w:t>
      </w:r>
      <w:bookmarkEnd w:id="1280"/>
      <w:r>
        <w:rPr>
          <w:color w:val="000000"/>
          <w:spacing w:val="0"/>
          <w:w w:val="100"/>
          <w:position w:val="0"/>
        </w:rPr>
        <w:t>、本企业的其他关联方情况</w:t>
      </w:r>
      <w:bookmarkEnd w:id="1278"/>
      <w:bookmarkEnd w:id="1279"/>
      <w:bookmarkEnd w:id="1281"/>
    </w:p>
    <w:tbl>
      <w:tblPr>
        <w:tblOverlap w:val="never"/>
        <w:jc w:val="center"/>
        <w:tblLayout w:type="fixed"/>
      </w:tblPr>
      <w:tblGrid>
        <w:gridCol w:w="3192"/>
        <w:gridCol w:w="3187"/>
        <w:gridCol w:w="3202"/>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本企业的其他关联方情况的说明</w:t>
      </w:r>
    </w:p>
    <w:p>
      <w:pPr>
        <w:pStyle w:val="Style29"/>
        <w:keepNext/>
        <w:keepLines/>
        <w:widowControl w:val="0"/>
        <w:shd w:val="clear" w:color="auto" w:fill="auto"/>
        <w:bidi w:val="0"/>
        <w:spacing w:before="0" w:after="32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5</w:t>
      </w:r>
      <w:bookmarkEnd w:id="1284"/>
      <w:r>
        <w:rPr>
          <w:color w:val="000000"/>
          <w:spacing w:val="0"/>
          <w:w w:val="100"/>
          <w:position w:val="0"/>
        </w:rPr>
        <w:t>、关联方交易</w:t>
      </w:r>
      <w:bookmarkEnd w:id="1282"/>
      <w:bookmarkEnd w:id="1283"/>
      <w:bookmarkEnd w:id="1285"/>
    </w:p>
    <w:p>
      <w:pPr>
        <w:pStyle w:val="Style29"/>
        <w:keepNext/>
        <w:keepLines/>
        <w:widowControl w:val="0"/>
        <w:shd w:val="clear" w:color="auto" w:fill="auto"/>
        <w:bidi w:val="0"/>
        <w:spacing w:before="0" w:after="360" w:line="240" w:lineRule="auto"/>
        <w:ind w:left="0" w:right="0" w:firstLine="0"/>
        <w:jc w:val="left"/>
      </w:pPr>
      <w:bookmarkStart w:id="1282" w:name="bookmark1282"/>
      <w:bookmarkStart w:id="1283" w:name="bookmark1283"/>
      <w:bookmarkStart w:id="1286" w:name="bookmark12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282"/>
      <w:bookmarkEnd w:id="1283"/>
      <w:bookmarkEnd w:id="1286"/>
    </w:p>
    <w:p>
      <w:pPr>
        <w:pStyle w:val="Style24"/>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723"/>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出售商品、提供劳务情况表</w:t>
      </w:r>
    </w:p>
    <w:p>
      <w:pPr>
        <w:pStyle w:val="Style24"/>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723"/>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both"/>
      </w:pPr>
      <w:bookmarkStart w:id="1287" w:name="bookmark1287"/>
      <w:bookmarkStart w:id="1288" w:name="bookmark1288"/>
      <w:bookmarkStart w:id="1289" w:name="bookmark12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287"/>
      <w:bookmarkEnd w:id="1288"/>
      <w:bookmarkEnd w:id="1289"/>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68"/>
        <w:gridCol w:w="1363"/>
        <w:gridCol w:w="1373"/>
        <w:gridCol w:w="1368"/>
        <w:gridCol w:w="1373"/>
        <w:gridCol w:w="1368"/>
        <w:gridCol w:w="1426"/>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w:t>
            </w:r>
          </w:p>
        </w:tc>
      </w:tr>
      <w:tr>
        <w:trPr>
          <w:trHeight w:val="754" w:hRule="exact"/>
        </w:trPr>
        <w:tc>
          <w:tcPr>
            <w:gridSpan w:val="7"/>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出包资产类</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r>
        <w:br w:type="page"/>
      </w:r>
    </w:p>
    <w:p>
      <w:pPr>
        <w:pStyle w:val="Style29"/>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290"/>
      <w:bookmarkEnd w:id="1291"/>
      <w:bookmarkEnd w:id="1293"/>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公司出租情况表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73"/>
        <w:gridCol w:w="1368"/>
        <w:gridCol w:w="1368"/>
        <w:gridCol w:w="1373"/>
        <w:gridCol w:w="1421"/>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租赁收益定价依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租赁收益</w:t>
            </w:r>
          </w:p>
        </w:tc>
      </w:tr>
      <w:tr>
        <w:trPr>
          <w:trHeight w:val="754" w:hRule="exact"/>
        </w:trPr>
        <w:tc>
          <w:tcPr>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租赁费定价依据</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19" w:line="1" w:lineRule="exact"/>
      </w:pPr>
    </w:p>
    <w:p>
      <w:pPr>
        <w:pStyle w:val="Style29"/>
        <w:keepNext/>
        <w:keepLines/>
        <w:widowControl w:val="0"/>
        <w:shd w:val="clear" w:color="auto" w:fill="auto"/>
        <w:bidi w:val="0"/>
        <w:spacing w:before="0" w:after="380" w:line="240" w:lineRule="auto"/>
        <w:ind w:left="0" w:right="0" w:firstLine="14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w:t>
      </w:r>
      <w:bookmarkEnd w:id="1296"/>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294"/>
      <w:bookmarkEnd w:id="1295"/>
      <w:bookmarkEnd w:id="129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84"/>
        <w:gridCol w:w="1613"/>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 完毕</w:t>
            </w:r>
          </w:p>
        </w:tc>
      </w:tr>
      <w:tr>
        <w:trPr>
          <w:trHeight w:val="1037"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唐球、鄢建红</w:t>
            </w:r>
          </w:p>
        </w:tc>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交通银行股份有限 公司深圳车公庙支 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4"/>
        <w:keepNext w:val="0"/>
        <w:keepLines w:val="0"/>
        <w:widowControl w:val="0"/>
        <w:shd w:val="clear" w:color="auto" w:fill="auto"/>
        <w:bidi w:val="0"/>
        <w:spacing w:before="0" w:after="800" w:line="319"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日，公司为购买深圳市中核兴业实业有限公司开发的智慧广场</w:t>
      </w:r>
      <w:r>
        <w:rPr>
          <w:rFonts w:ascii="Times New Roman" w:eastAsia="Times New Roman" w:hAnsi="Times New Roman" w:cs="Times New Roman"/>
          <w:color w:val="000000"/>
          <w:spacing w:val="0"/>
          <w:w w:val="100"/>
          <w:position w:val="0"/>
        </w:rPr>
        <w:t>B</w:t>
      </w:r>
      <w:r>
        <w:rPr>
          <w:color w:val="000000"/>
          <w:spacing w:val="0"/>
          <w:w w:val="100"/>
          <w:position w:val="0"/>
        </w:rPr>
        <w:t>栋</w:t>
      </w:r>
      <w:r>
        <w:rPr>
          <w:rFonts w:ascii="Times New Roman" w:eastAsia="Times New Roman" w:hAnsi="Times New Roman" w:cs="Times New Roman"/>
          <w:color w:val="000000"/>
          <w:spacing w:val="0"/>
          <w:w w:val="100"/>
          <w:position w:val="0"/>
        </w:rPr>
        <w:t>11</w:t>
      </w:r>
      <w:r>
        <w:rPr>
          <w:color w:val="000000"/>
          <w:spacing w:val="0"/>
          <w:w w:val="100"/>
          <w:position w:val="0"/>
        </w:rPr>
        <w:t>层</w:t>
      </w:r>
      <w:r>
        <w:rPr>
          <w:rFonts w:ascii="Times New Roman" w:eastAsia="Times New Roman" w:hAnsi="Times New Roman" w:cs="Times New Roman"/>
          <w:color w:val="000000"/>
          <w:spacing w:val="0"/>
          <w:w w:val="100"/>
          <w:position w:val="0"/>
        </w:rPr>
        <w:t>1101</w:t>
      </w:r>
      <w:r>
        <w:rPr>
          <w:color w:val="000000"/>
          <w:spacing w:val="0"/>
          <w:w w:val="100"/>
          <w:position w:val="0"/>
        </w:rPr>
        <w:t>号房产，向交通银行股份有限 公司深圳车公庙支行申请</w:t>
      </w:r>
      <w:r>
        <w:rPr>
          <w:rFonts w:ascii="Times New Roman" w:eastAsia="Times New Roman" w:hAnsi="Times New Roman" w:cs="Times New Roman"/>
          <w:color w:val="000000"/>
          <w:spacing w:val="0"/>
          <w:w w:val="100"/>
          <w:position w:val="0"/>
        </w:rPr>
        <w:t>18,000,000.00</w:t>
      </w:r>
      <w:r>
        <w:rPr>
          <w:color w:val="000000"/>
          <w:spacing w:val="0"/>
          <w:w w:val="100"/>
          <w:position w:val="0"/>
        </w:rPr>
        <w:t>元的贷款，贷款期限自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日止。</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日，唐球、 鄢建红与交通银行股份有限公司深圳车公庙支行签订《保证合同》，为上述贷款提供连带责任担保。</w:t>
      </w:r>
    </w:p>
    <w:p>
      <w:pPr>
        <w:pStyle w:val="Style29"/>
        <w:keepNext/>
        <w:keepLines/>
        <w:widowControl w:val="0"/>
        <w:shd w:val="clear" w:color="auto" w:fill="auto"/>
        <w:bidi w:val="0"/>
        <w:spacing w:before="0" w:after="380" w:line="240" w:lineRule="auto"/>
        <w:ind w:left="0" w:right="0" w:firstLine="14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298"/>
      <w:bookmarkEnd w:id="1299"/>
      <w:bookmarkEnd w:id="1301"/>
    </w:p>
    <w:p>
      <w:pPr>
        <w:widowControl w:val="0"/>
        <w:jc w:val="center"/>
        <w:rPr>
          <w:sz w:val="2"/>
          <w:szCs w:val="2"/>
        </w:rPr>
      </w:pPr>
      <w:r>
        <w:drawing>
          <wp:inline>
            <wp:extent cx="6120130" cy="951230"/>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5"/>
                    <a:stretch/>
                  </pic:blipFill>
                  <pic:spPr>
                    <a:xfrm>
                      <a:ext cx="6120130" cy="951230"/>
                    </a:xfrm>
                    <a:prstGeom prst="rect"/>
                  </pic:spPr>
                </pic:pic>
              </a:graphicData>
            </a:graphic>
          </wp:inline>
        </w:drawing>
      </w:r>
    </w:p>
    <w:p>
      <w:pPr>
        <w:widowControl w:val="0"/>
        <w:spacing w:after="319" w:line="1" w:lineRule="exact"/>
      </w:pPr>
    </w:p>
    <w:p>
      <w:pPr>
        <w:pStyle w:val="Style29"/>
        <w:keepNext/>
        <w:keepLines/>
        <w:widowControl w:val="0"/>
        <w:shd w:val="clear" w:color="auto" w:fill="auto"/>
        <w:bidi w:val="0"/>
        <w:spacing w:before="0" w:after="380" w:line="240" w:lineRule="auto"/>
        <w:ind w:left="0" w:right="0" w:firstLine="14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302"/>
      <w:bookmarkEnd w:id="1303"/>
      <w:bookmarkEnd w:id="1305"/>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34"/>
        <w:gridCol w:w="931"/>
        <w:gridCol w:w="1459"/>
        <w:gridCol w:w="1330"/>
        <w:gridCol w:w="1464"/>
        <w:gridCol w:w="797"/>
        <w:gridCol w:w="1459"/>
        <w:gridCol w:w="80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关联交易定价原</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bl>
    <w:p>
      <w:pPr>
        <w:pStyle w:val="Style29"/>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306"/>
      <w:bookmarkEnd w:id="1307"/>
      <w:bookmarkEnd w:id="1309"/>
    </w:p>
    <w:p>
      <w:pPr>
        <w:pStyle w:val="Style29"/>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10" w:name="bookmark1310"/>
      <w:bookmarkStart w:id="1311" w:name="bookmark1311"/>
      <w:r>
        <w:rPr>
          <w:rFonts w:ascii="Times New Roman" w:eastAsia="Times New Roman" w:hAnsi="Times New Roman" w:cs="Times New Roman"/>
          <w:color w:val="000000"/>
          <w:spacing w:val="0"/>
          <w:w w:val="100"/>
          <w:position w:val="0"/>
        </w:rPr>
        <w:t>6</w:t>
      </w:r>
      <w:bookmarkEnd w:id="1310"/>
      <w:r>
        <w:rPr>
          <w:color w:val="000000"/>
          <w:spacing w:val="0"/>
          <w:w w:val="100"/>
          <w:position w:val="0"/>
        </w:rPr>
        <w:t>、关联方应收应付款项</w:t>
      </w:r>
      <w:bookmarkEnd w:id="1306"/>
      <w:bookmarkEnd w:id="1307"/>
      <w:bookmarkEnd w:id="131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上市公司应收关联方款项</w:t>
      </w:r>
    </w:p>
    <w:p>
      <w:pPr>
        <w:pStyle w:val="Style24"/>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059"/>
        <w:gridCol w:w="1670"/>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9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2256"/>
        <w:gridCol w:w="2261"/>
        <w:gridCol w:w="226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03"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其它应付款</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27,771.90</w:t>
            </w:r>
          </w:p>
        </w:tc>
      </w:tr>
      <w:tr>
        <w:trPr>
          <w:trHeight w:val="398" w:hRule="exact"/>
        </w:trPr>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其它应付款</w:t>
            </w:r>
          </w:p>
        </w:tc>
        <w:tc>
          <w:tcPr>
            <w:tcBorders>
              <w:top w:val="single" w:sz="4"/>
              <w:left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3,280.00</w:t>
            </w:r>
          </w:p>
        </w:tc>
      </w:tr>
      <w:tr>
        <w:trPr>
          <w:trHeight w:val="413" w:hRule="exact"/>
        </w:trPr>
        <w:tc>
          <w:tcPr>
            <w:tcBorders>
              <w:top w:val="single" w:sz="4"/>
              <w:left w:val="single" w:sz="4"/>
              <w:bottom w:val="single" w:sz="4"/>
            </w:tcBorders>
            <w:shd w:val="clear" w:color="auto" w:fill="C8EDCC"/>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31,051.90</w:t>
            </w:r>
          </w:p>
        </w:tc>
      </w:tr>
    </w:tbl>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sz w:val="24"/>
          <w:szCs w:val="24"/>
        </w:rPr>
        <w:t>九</w:t>
      </w:r>
      <w:bookmarkEnd w:id="1314"/>
      <w:r>
        <w:rPr>
          <w:color w:val="000000"/>
          <w:spacing w:val="0"/>
          <w:w w:val="100"/>
          <w:position w:val="0"/>
          <w:sz w:val="24"/>
          <w:szCs w:val="24"/>
        </w:rPr>
        <w:t>、股份支付</w:t>
      </w:r>
      <w:bookmarkEnd w:id="1312"/>
      <w:bookmarkEnd w:id="1313"/>
      <w:bookmarkEnd w:id="1315"/>
    </w:p>
    <w:p>
      <w:pPr>
        <w:pStyle w:val="Style29"/>
        <w:keepNext/>
        <w:keepLines/>
        <w:widowControl w:val="0"/>
        <w:shd w:val="clear" w:color="auto" w:fill="auto"/>
        <w:tabs>
          <w:tab w:pos="373" w:val="left"/>
        </w:tabs>
        <w:bidi w:val="0"/>
        <w:spacing w:before="0" w:after="36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bookmarkEnd w:id="1318"/>
      <w:r>
        <w:rPr>
          <w:color w:val="000000"/>
          <w:spacing w:val="0"/>
          <w:w w:val="100"/>
          <w:position w:val="0"/>
        </w:rPr>
        <w:t>、</w:t>
        <w:tab/>
        <w:t>股份支付总体情况</w:t>
      </w:r>
      <w:bookmarkEnd w:id="1316"/>
      <w:bookmarkEnd w:id="1317"/>
      <w:bookmarkEnd w:id="1319"/>
    </w:p>
    <w:p>
      <w:pPr>
        <w:pStyle w:val="Style24"/>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 元</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股份支付情况的说明</w:t>
      </w:r>
    </w:p>
    <w:p>
      <w:pPr>
        <w:pStyle w:val="Style29"/>
        <w:keepNext/>
        <w:keepLines/>
        <w:widowControl w:val="0"/>
        <w:shd w:val="clear" w:color="auto" w:fill="auto"/>
        <w:tabs>
          <w:tab w:pos="382" w:val="left"/>
        </w:tabs>
        <w:bidi w:val="0"/>
        <w:spacing w:before="0" w:after="36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color w:val="000000"/>
          <w:spacing w:val="0"/>
          <w:w w:val="100"/>
          <w:position w:val="0"/>
        </w:rPr>
        <w:t>、</w:t>
        <w:tab/>
        <w:t>以权益结算的股份支付情况</w:t>
      </w:r>
      <w:bookmarkEnd w:id="1320"/>
      <w:bookmarkEnd w:id="1321"/>
      <w:bookmarkEnd w:id="1323"/>
    </w:p>
    <w:p>
      <w:pPr>
        <w:pStyle w:val="Style24"/>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 元</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以权益结算的股份支付的说明</w:t>
      </w:r>
    </w:p>
    <w:p>
      <w:pPr>
        <w:pStyle w:val="Style29"/>
        <w:keepNext/>
        <w:keepLines/>
        <w:widowControl w:val="0"/>
        <w:shd w:val="clear" w:color="auto" w:fill="auto"/>
        <w:tabs>
          <w:tab w:pos="382" w:val="left"/>
        </w:tabs>
        <w:bidi w:val="0"/>
        <w:spacing w:before="0" w:after="36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3</w:t>
      </w:r>
      <w:bookmarkEnd w:id="1326"/>
      <w:r>
        <w:rPr>
          <w:color w:val="000000"/>
          <w:spacing w:val="0"/>
          <w:w w:val="100"/>
          <w:position w:val="0"/>
        </w:rPr>
        <w:t>、</w:t>
        <w:tab/>
        <w:t>以现金结算的股份支付情况</w:t>
      </w:r>
      <w:bookmarkEnd w:id="1324"/>
      <w:bookmarkEnd w:id="1325"/>
      <w:bookmarkEnd w:id="1327"/>
    </w:p>
    <w:p>
      <w:pPr>
        <w:pStyle w:val="Style24"/>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 元</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以现金结算的股份支付的说明</w:t>
      </w:r>
    </w:p>
    <w:p>
      <w:pPr>
        <w:pStyle w:val="Style29"/>
        <w:keepNext/>
        <w:keepLines/>
        <w:widowControl w:val="0"/>
        <w:shd w:val="clear" w:color="auto" w:fill="auto"/>
        <w:tabs>
          <w:tab w:pos="382" w:val="left"/>
        </w:tabs>
        <w:bidi w:val="0"/>
        <w:spacing w:before="0" w:after="36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4</w:t>
      </w:r>
      <w:bookmarkEnd w:id="1330"/>
      <w:r>
        <w:rPr>
          <w:color w:val="000000"/>
          <w:spacing w:val="0"/>
          <w:w w:val="100"/>
          <w:position w:val="0"/>
        </w:rPr>
        <w:t>、</w:t>
        <w:tab/>
        <w:t>以股份支付服务情况</w:t>
      </w:r>
      <w:bookmarkEnd w:id="1328"/>
      <w:bookmarkEnd w:id="1329"/>
      <w:bookmarkEnd w:id="1331"/>
    </w:p>
    <w:p>
      <w:pPr>
        <w:pStyle w:val="Style24"/>
        <w:keepNext w:val="0"/>
        <w:keepLines w:val="0"/>
        <w:widowControl w:val="0"/>
        <w:shd w:val="clear" w:color="auto" w:fill="auto"/>
        <w:bidi w:val="0"/>
        <w:spacing w:before="0" w:after="360" w:line="240" w:lineRule="auto"/>
        <w:ind w:left="8840" w:right="0" w:firstLine="0"/>
        <w:jc w:val="left"/>
        <w:sectPr>
          <w:footnotePr>
            <w:pos w:val="pageBottom"/>
            <w:numFmt w:val="decimal"/>
            <w:numRestart w:val="continuous"/>
          </w:footnotePr>
          <w:pgSz w:w="11900" w:h="16840"/>
          <w:pgMar w:top="1383" w:right="1053" w:bottom="1421" w:left="1065" w:header="0" w:footer="3" w:gutter="0"/>
          <w:cols w:space="720"/>
          <w:noEndnote/>
          <w:rtlGutter w:val="0"/>
          <w:docGrid w:linePitch="360"/>
        </w:sectPr>
      </w:pPr>
      <w:r>
        <w:rPr>
          <w:color w:val="000000"/>
          <w:spacing w:val="0"/>
          <w:w w:val="100"/>
          <w:position w:val="0"/>
        </w:rPr>
        <w:t>单位： 元</w:t>
      </w:r>
    </w:p>
    <w:p>
      <w:pPr>
        <w:pStyle w:val="Style29"/>
        <w:keepNext/>
        <w:keepLines/>
        <w:widowControl w:val="0"/>
        <w:shd w:val="clear" w:color="auto" w:fill="auto"/>
        <w:bidi w:val="0"/>
        <w:spacing w:before="0" w:after="36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5</w:t>
      </w:r>
      <w:bookmarkEnd w:id="1334"/>
      <w:r>
        <w:rPr>
          <w:color w:val="000000"/>
          <w:spacing w:val="0"/>
          <w:w w:val="100"/>
          <w:position w:val="0"/>
        </w:rPr>
        <w:t>、股份支付的修改、终止情况</w:t>
      </w:r>
      <w:bookmarkEnd w:id="1332"/>
      <w:bookmarkEnd w:id="1333"/>
      <w:bookmarkEnd w:id="1335"/>
    </w:p>
    <w:p>
      <w:pPr>
        <w:pStyle w:val="Style22"/>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r>
        <w:rPr>
          <w:color w:val="000000"/>
          <w:spacing w:val="0"/>
          <w:w w:val="100"/>
          <w:position w:val="0"/>
          <w:sz w:val="24"/>
          <w:szCs w:val="24"/>
        </w:rPr>
        <w:t>十、或有事项</w:t>
      </w:r>
      <w:bookmarkEnd w:id="1336"/>
      <w:bookmarkEnd w:id="1337"/>
      <w:bookmarkEnd w:id="1338"/>
    </w:p>
    <w:p>
      <w:pPr>
        <w:pStyle w:val="Style29"/>
        <w:keepNext/>
        <w:keepLines/>
        <w:widowControl w:val="0"/>
        <w:shd w:val="clear" w:color="auto" w:fill="auto"/>
        <w:tabs>
          <w:tab w:pos="373" w:val="left"/>
        </w:tabs>
        <w:bidi w:val="0"/>
        <w:spacing w:before="0" w:after="32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1</w:t>
      </w:r>
      <w:bookmarkEnd w:id="1341"/>
      <w:r>
        <w:rPr>
          <w:color w:val="000000"/>
          <w:spacing w:val="0"/>
          <w:w w:val="100"/>
          <w:position w:val="0"/>
        </w:rPr>
        <w:t>、</w:t>
        <w:tab/>
        <w:t>未决诉讼或仲裁形成的或有负债及其财务影响</w:t>
      </w:r>
      <w:bookmarkEnd w:id="1339"/>
      <w:bookmarkEnd w:id="1340"/>
      <w:bookmarkEnd w:id="1342"/>
    </w:p>
    <w:p>
      <w:pPr>
        <w:pStyle w:val="Style29"/>
        <w:keepNext/>
        <w:keepLines/>
        <w:widowControl w:val="0"/>
        <w:shd w:val="clear" w:color="auto" w:fill="auto"/>
        <w:tabs>
          <w:tab w:pos="382" w:val="left"/>
        </w:tabs>
        <w:bidi w:val="0"/>
        <w:spacing w:before="0" w:after="360" w:line="240" w:lineRule="auto"/>
        <w:ind w:left="0" w:right="0" w:firstLine="0"/>
        <w:jc w:val="left"/>
      </w:pPr>
      <w:bookmarkStart w:id="1339" w:name="bookmark1339"/>
      <w:bookmarkStart w:id="1340" w:name="bookmark1340"/>
      <w:bookmarkStart w:id="1343" w:name="bookmark1343"/>
      <w:bookmarkStart w:id="1344" w:name="bookmark1344"/>
      <w:r>
        <w:rPr>
          <w:rFonts w:ascii="Times New Roman" w:eastAsia="Times New Roman" w:hAnsi="Times New Roman" w:cs="Times New Roman"/>
          <w:color w:val="000000"/>
          <w:spacing w:val="0"/>
          <w:w w:val="100"/>
          <w:position w:val="0"/>
        </w:rPr>
        <w:t>2</w:t>
      </w:r>
      <w:bookmarkEnd w:id="1343"/>
      <w:r>
        <w:rPr>
          <w:color w:val="000000"/>
          <w:spacing w:val="0"/>
          <w:w w:val="100"/>
          <w:position w:val="0"/>
        </w:rPr>
        <w:t>、</w:t>
        <w:tab/>
        <w:t>为其他单位提供债务担保形成的或有负债及其财务影响</w:t>
      </w:r>
      <w:bookmarkEnd w:id="1339"/>
      <w:bookmarkEnd w:id="1340"/>
      <w:bookmarkEnd w:id="1344"/>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其他或有负债及其财务影响</w:t>
      </w:r>
    </w:p>
    <w:p>
      <w:pPr>
        <w:pStyle w:val="Style22"/>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r>
        <w:rPr>
          <w:color w:val="000000"/>
          <w:spacing w:val="0"/>
          <w:w w:val="100"/>
          <w:position w:val="0"/>
          <w:sz w:val="24"/>
          <w:szCs w:val="24"/>
        </w:rPr>
        <w:t>十一、承诺事项</w:t>
      </w:r>
      <w:bookmarkEnd w:id="1345"/>
      <w:bookmarkEnd w:id="1346"/>
      <w:bookmarkEnd w:id="1347"/>
    </w:p>
    <w:p>
      <w:pPr>
        <w:pStyle w:val="Style29"/>
        <w:keepNext/>
        <w:keepLines/>
        <w:widowControl w:val="0"/>
        <w:shd w:val="clear" w:color="auto" w:fill="auto"/>
        <w:tabs>
          <w:tab w:pos="373" w:val="left"/>
        </w:tabs>
        <w:bidi w:val="0"/>
        <w:spacing w:before="0" w:after="32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1</w:t>
      </w:r>
      <w:bookmarkEnd w:id="1350"/>
      <w:r>
        <w:rPr>
          <w:color w:val="000000"/>
          <w:spacing w:val="0"/>
          <w:w w:val="100"/>
          <w:position w:val="0"/>
        </w:rPr>
        <w:t>、</w:t>
        <w:tab/>
        <w:t>重大承诺事项</w:t>
      </w:r>
      <w:bookmarkEnd w:id="1348"/>
      <w:bookmarkEnd w:id="1349"/>
      <w:bookmarkEnd w:id="1351"/>
    </w:p>
    <w:p>
      <w:pPr>
        <w:pStyle w:val="Style29"/>
        <w:keepNext/>
        <w:keepLines/>
        <w:widowControl w:val="0"/>
        <w:shd w:val="clear" w:color="auto" w:fill="auto"/>
        <w:tabs>
          <w:tab w:pos="382" w:val="left"/>
        </w:tabs>
        <w:bidi w:val="0"/>
        <w:spacing w:before="0" w:after="320" w:line="240" w:lineRule="auto"/>
        <w:ind w:left="0" w:right="0" w:firstLine="0"/>
        <w:jc w:val="left"/>
      </w:pPr>
      <w:bookmarkStart w:id="1348" w:name="bookmark1348"/>
      <w:bookmarkStart w:id="1349" w:name="bookmark1349"/>
      <w:bookmarkStart w:id="1352" w:name="bookmark1352"/>
      <w:bookmarkStart w:id="1353" w:name="bookmark1353"/>
      <w:r>
        <w:rPr>
          <w:rFonts w:ascii="Times New Roman" w:eastAsia="Times New Roman" w:hAnsi="Times New Roman" w:cs="Times New Roman"/>
          <w:color w:val="000000"/>
          <w:spacing w:val="0"/>
          <w:w w:val="100"/>
          <w:position w:val="0"/>
        </w:rPr>
        <w:t>2</w:t>
      </w:r>
      <w:bookmarkEnd w:id="1352"/>
      <w:r>
        <w:rPr>
          <w:color w:val="000000"/>
          <w:spacing w:val="0"/>
          <w:w w:val="100"/>
          <w:position w:val="0"/>
        </w:rPr>
        <w:t>、</w:t>
        <w:tab/>
        <w:t>前期承诺履行情况</w:t>
      </w:r>
      <w:bookmarkEnd w:id="1348"/>
      <w:bookmarkEnd w:id="1349"/>
      <w:bookmarkEnd w:id="1353"/>
    </w:p>
    <w:p>
      <w:pPr>
        <w:pStyle w:val="Style22"/>
        <w:keepNext/>
        <w:keepLines/>
        <w:widowControl w:val="0"/>
        <w:shd w:val="clear" w:color="auto" w:fill="auto"/>
        <w:bidi w:val="0"/>
        <w:spacing w:before="0" w:after="360" w:line="240" w:lineRule="auto"/>
        <w:ind w:left="0" w:right="0" w:firstLine="0"/>
        <w:jc w:val="left"/>
      </w:pPr>
      <w:bookmarkStart w:id="1354" w:name="bookmark1354"/>
      <w:bookmarkStart w:id="1355" w:name="bookmark1355"/>
      <w:bookmarkStart w:id="1356" w:name="bookmark1356"/>
      <w:r>
        <w:rPr>
          <w:color w:val="000000"/>
          <w:spacing w:val="0"/>
          <w:w w:val="100"/>
          <w:position w:val="0"/>
          <w:sz w:val="24"/>
          <w:szCs w:val="24"/>
        </w:rPr>
        <w:t>十二、资产负债表日后事项</w:t>
      </w:r>
      <w:bookmarkEnd w:id="1354"/>
      <w:bookmarkEnd w:id="1355"/>
      <w:bookmarkEnd w:id="1356"/>
    </w:p>
    <w:p>
      <w:pPr>
        <w:pStyle w:val="Style29"/>
        <w:keepNext/>
        <w:keepLines/>
        <w:widowControl w:val="0"/>
        <w:shd w:val="clear" w:color="auto" w:fill="auto"/>
        <w:bidi w:val="0"/>
        <w:spacing w:before="0" w:after="360" w:line="240" w:lineRule="auto"/>
        <w:ind w:left="0" w:right="0" w:firstLine="0"/>
        <w:jc w:val="left"/>
      </w:pPr>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357"/>
      <w:bookmarkEnd w:id="1358"/>
      <w:bookmarkEnd w:id="135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19" w:line="1" w:lineRule="exact"/>
      </w:pPr>
    </w:p>
    <w:p>
      <w:pPr>
        <w:pStyle w:val="Style29"/>
        <w:keepNext/>
        <w:keepLines/>
        <w:widowControl w:val="0"/>
        <w:shd w:val="clear" w:color="auto" w:fill="auto"/>
        <w:tabs>
          <w:tab w:pos="382" w:val="left"/>
        </w:tabs>
        <w:bidi w:val="0"/>
        <w:spacing w:before="0" w:after="32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bookmarkEnd w:id="1362"/>
      <w:r>
        <w:rPr>
          <w:color w:val="000000"/>
          <w:spacing w:val="0"/>
          <w:w w:val="100"/>
          <w:position w:val="0"/>
        </w:rPr>
        <w:t>、</w:t>
        <w:tab/>
        <w:t>资产负债表日后利润分配情况说明</w:t>
      </w:r>
      <w:bookmarkEnd w:id="1360"/>
      <w:bookmarkEnd w:id="1361"/>
      <w:bookmarkEnd w:id="1363"/>
    </w:p>
    <w:p>
      <w:pPr>
        <w:pStyle w:val="Style24"/>
        <w:keepNext w:val="0"/>
        <w:keepLines w:val="0"/>
        <w:widowControl w:val="0"/>
        <w:shd w:val="clear" w:color="auto" w:fill="auto"/>
        <w:bidi w:val="0"/>
        <w:spacing w:before="0" w:after="360" w:line="312" w:lineRule="exact"/>
        <w:ind w:left="0" w:right="0" w:firstLine="0"/>
        <w:jc w:val="right"/>
      </w:pPr>
      <w:r>
        <w:rPr>
          <w:color w:val="000000"/>
          <w:spacing w:val="0"/>
          <w:w w:val="100"/>
          <w:position w:val="0"/>
        </w:rPr>
        <w:t>单位：元</w:t>
      </w:r>
    </w:p>
    <w:p>
      <w:pPr>
        <w:pStyle w:val="Style29"/>
        <w:keepNext/>
        <w:keepLines/>
        <w:widowControl w:val="0"/>
        <w:shd w:val="clear" w:color="auto" w:fill="auto"/>
        <w:tabs>
          <w:tab w:pos="382" w:val="left"/>
        </w:tabs>
        <w:bidi w:val="0"/>
        <w:spacing w:before="0" w:after="32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3</w:t>
      </w:r>
      <w:bookmarkEnd w:id="1366"/>
      <w:r>
        <w:rPr>
          <w:color w:val="000000"/>
          <w:spacing w:val="0"/>
          <w:w w:val="100"/>
          <w:position w:val="0"/>
        </w:rPr>
        <w:t>、</w:t>
        <w:tab/>
        <w:t>其他资产负债表日后事项说明</w:t>
      </w:r>
      <w:bookmarkEnd w:id="1364"/>
      <w:bookmarkEnd w:id="1365"/>
      <w:bookmarkEnd w:id="1367"/>
    </w:p>
    <w:p>
      <w:pPr>
        <w:pStyle w:val="Style24"/>
        <w:keepNext w:val="0"/>
        <w:keepLines w:val="0"/>
        <w:widowControl w:val="0"/>
        <w:shd w:val="clear" w:color="auto" w:fill="auto"/>
        <w:tabs>
          <w:tab w:pos="728" w:val="left"/>
        </w:tabs>
        <w:bidi w:val="0"/>
        <w:spacing w:before="0" w:after="100" w:line="312" w:lineRule="exact"/>
        <w:ind w:left="0" w:right="0" w:firstLine="440"/>
        <w:jc w:val="both"/>
      </w:pPr>
      <w:bookmarkStart w:id="1368" w:name="bookmark1368"/>
      <w:r>
        <w:rPr>
          <w:rFonts w:ascii="Times New Roman" w:eastAsia="Times New Roman" w:hAnsi="Times New Roman" w:cs="Times New Roman"/>
          <w:color w:val="000000"/>
          <w:spacing w:val="0"/>
          <w:w w:val="100"/>
          <w:position w:val="0"/>
        </w:rPr>
        <w:t>1</w:t>
      </w:r>
      <w:bookmarkEnd w:id="1368"/>
      <w:r>
        <w:rPr>
          <w:rFonts w:ascii="Times New Roman" w:eastAsia="Times New Roman" w:hAnsi="Times New Roman" w:cs="Times New Roman"/>
          <w:color w:val="000000"/>
          <w:spacing w:val="0"/>
          <w:w w:val="100"/>
          <w:position w:val="0"/>
        </w:rPr>
        <w:t>、</w:t>
        <w:tab/>
      </w: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日召开第二届董事会第五次会议，会议审议通过了公司以自有资金购买位于湖南省长沙市五一大 道与湘江中路交汇处万达总部国际</w:t>
      </w:r>
      <w:r>
        <w:rPr>
          <w:rFonts w:ascii="Times New Roman" w:eastAsia="Times New Roman" w:hAnsi="Times New Roman" w:cs="Times New Roman"/>
          <w:color w:val="000000"/>
          <w:spacing w:val="0"/>
          <w:w w:val="100"/>
          <w:position w:val="0"/>
        </w:rPr>
        <w:t>C2-40</w:t>
      </w:r>
      <w:r>
        <w:rPr>
          <w:color w:val="000000"/>
          <w:spacing w:val="0"/>
          <w:w w:val="100"/>
          <w:position w:val="0"/>
        </w:rPr>
        <w:t>层(</w:t>
      </w:r>
      <w:r>
        <w:rPr>
          <w:rFonts w:ascii="Times New Roman" w:eastAsia="Times New Roman" w:hAnsi="Times New Roman" w:cs="Times New Roman"/>
          <w:color w:val="000000"/>
          <w:spacing w:val="0"/>
          <w:w w:val="100"/>
          <w:position w:val="0"/>
        </w:rPr>
        <w:t>4001-4012</w:t>
      </w:r>
      <w:r>
        <w:rPr>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41</w:t>
      </w:r>
      <w:r>
        <w:rPr>
          <w:color w:val="000000"/>
          <w:spacing w:val="0"/>
          <w:w w:val="100"/>
          <w:position w:val="0"/>
        </w:rPr>
        <w:t>层(</w:t>
      </w:r>
      <w:r>
        <w:rPr>
          <w:rFonts w:ascii="Times New Roman" w:eastAsia="Times New Roman" w:hAnsi="Times New Roman" w:cs="Times New Roman"/>
          <w:color w:val="000000"/>
          <w:spacing w:val="0"/>
          <w:w w:val="100"/>
          <w:position w:val="0"/>
        </w:rPr>
        <w:t>4101-4126</w:t>
      </w:r>
      <w:r>
        <w:rPr>
          <w:color w:val="000000"/>
          <w:spacing w:val="0"/>
          <w:w w:val="100"/>
          <w:position w:val="0"/>
        </w:rPr>
        <w:t>)</w:t>
      </w:r>
      <w:r>
        <w:rPr>
          <w:color w:val="000000"/>
          <w:spacing w:val="0"/>
          <w:w w:val="100"/>
          <w:position w:val="0"/>
        </w:rPr>
        <w:t>房屋作为办公用房的议案。本次购买的房 屋建筑面积不超过</w:t>
      </w:r>
      <w:r>
        <w:rPr>
          <w:rFonts w:ascii="Times New Roman" w:eastAsia="Times New Roman" w:hAnsi="Times New Roman" w:cs="Times New Roman"/>
          <w:color w:val="000000"/>
          <w:spacing w:val="0"/>
          <w:w w:val="100"/>
          <w:position w:val="0"/>
        </w:rPr>
        <w:t>3,000</w:t>
      </w:r>
      <w:r>
        <w:rPr>
          <w:color w:val="000000"/>
          <w:spacing w:val="0"/>
          <w:w w:val="100"/>
          <w:position w:val="0"/>
        </w:rPr>
        <w:t>平方米，房屋总价格不超过</w:t>
      </w:r>
      <w:r>
        <w:rPr>
          <w:rFonts w:ascii="Times New Roman" w:eastAsia="Times New Roman" w:hAnsi="Times New Roman" w:cs="Times New Roman"/>
          <w:color w:val="000000"/>
          <w:spacing w:val="0"/>
          <w:w w:val="100"/>
          <w:position w:val="0"/>
        </w:rPr>
        <w:t>5,000</w:t>
      </w:r>
      <w:r>
        <w:rPr>
          <w:color w:val="000000"/>
          <w:spacing w:val="0"/>
          <w:w w:val="100"/>
          <w:position w:val="0"/>
        </w:rPr>
        <w:t>万元人民币。</w:t>
      </w:r>
    </w:p>
    <w:p>
      <w:pPr>
        <w:pStyle w:val="Style24"/>
        <w:keepNext w:val="0"/>
        <w:keepLines w:val="0"/>
        <w:widowControl w:val="0"/>
        <w:shd w:val="clear" w:color="auto" w:fill="auto"/>
        <w:tabs>
          <w:tab w:pos="733" w:val="left"/>
        </w:tabs>
        <w:bidi w:val="0"/>
        <w:spacing w:before="0" w:after="100" w:line="312" w:lineRule="exact"/>
        <w:ind w:left="0" w:right="0" w:firstLine="440"/>
        <w:jc w:val="both"/>
      </w:pPr>
      <w:bookmarkStart w:id="1369" w:name="bookmark1369"/>
      <w:r>
        <w:rPr>
          <w:rFonts w:ascii="Times New Roman" w:eastAsia="Times New Roman" w:hAnsi="Times New Roman" w:cs="Times New Roman"/>
          <w:color w:val="000000"/>
          <w:spacing w:val="0"/>
          <w:w w:val="100"/>
          <w:position w:val="0"/>
        </w:rPr>
        <w:t>2</w:t>
      </w:r>
      <w:bookmarkEnd w:id="1369"/>
      <w:r>
        <w:rPr>
          <w:color w:val="000000"/>
          <w:spacing w:val="0"/>
          <w:w w:val="100"/>
          <w:position w:val="0"/>
        </w:rPr>
        <w:t>、</w:t>
        <w:tab/>
        <w:t>经</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日召开的第二届董事会第六次会议审议通过，本公司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年度利润分配预案为：以截止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日总股本</w:t>
      </w:r>
      <w:r>
        <w:rPr>
          <w:rFonts w:ascii="Times New Roman" w:eastAsia="Times New Roman" w:hAnsi="Times New Roman" w:cs="Times New Roman"/>
          <w:color w:val="000000"/>
          <w:spacing w:val="0"/>
          <w:w w:val="100"/>
          <w:position w:val="0"/>
        </w:rPr>
        <w:t>5535</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元(含税)，合计派发股利</w:t>
      </w:r>
      <w:r>
        <w:rPr>
          <w:rFonts w:ascii="Times New Roman" w:eastAsia="Times New Roman" w:hAnsi="Times New Roman" w:cs="Times New Roman"/>
          <w:color w:val="000000"/>
          <w:spacing w:val="0"/>
          <w:w w:val="100"/>
          <w:position w:val="0"/>
        </w:rPr>
        <w:t>1,107</w:t>
      </w:r>
      <w:r>
        <w:rPr>
          <w:color w:val="000000"/>
          <w:spacing w:val="0"/>
          <w:w w:val="100"/>
          <w:position w:val="0"/>
        </w:rPr>
        <w:t>万元。</w:t>
      </w:r>
    </w:p>
    <w:p>
      <w:pPr>
        <w:pStyle w:val="Style24"/>
        <w:keepNext w:val="0"/>
        <w:keepLines w:val="0"/>
        <w:widowControl w:val="0"/>
        <w:shd w:val="clear" w:color="auto" w:fill="auto"/>
        <w:tabs>
          <w:tab w:pos="771" w:val="left"/>
        </w:tabs>
        <w:bidi w:val="0"/>
        <w:spacing w:before="0" w:after="320" w:line="312" w:lineRule="exact"/>
        <w:ind w:left="0" w:right="0" w:firstLine="440"/>
        <w:jc w:val="both"/>
      </w:pPr>
      <w:bookmarkStart w:id="1370" w:name="bookmark1370"/>
      <w:r>
        <w:rPr>
          <w:rFonts w:ascii="Times New Roman" w:eastAsia="Times New Roman" w:hAnsi="Times New Roman" w:cs="Times New Roman"/>
          <w:color w:val="000000"/>
          <w:spacing w:val="0"/>
          <w:w w:val="100"/>
          <w:position w:val="0"/>
        </w:rPr>
        <w:t>3</w:t>
      </w:r>
      <w:bookmarkEnd w:id="1370"/>
      <w:r>
        <w:rPr>
          <w:color w:val="000000"/>
          <w:spacing w:val="0"/>
          <w:w w:val="100"/>
          <w:position w:val="0"/>
        </w:rPr>
        <w:t>、</w:t>
        <w:tab/>
        <w:t>根据公司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年第四次临时股东大会通过的发行人民币普通股股票及上市决议，以及</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日中国证券监督管理委员会证监许可</w:t>
      </w:r>
      <w:r>
        <w:rPr>
          <w:rFonts w:ascii="Times New Roman" w:eastAsia="Times New Roman" w:hAnsi="Times New Roman" w:cs="Times New Roman"/>
          <w:color w:val="000000"/>
          <w:spacing w:val="0"/>
          <w:w w:val="100"/>
          <w:position w:val="0"/>
        </w:rPr>
        <w:t>[2014]28</w:t>
      </w:r>
      <w:r>
        <w:rPr>
          <w:color w:val="000000"/>
          <w:spacing w:val="0"/>
          <w:w w:val="100"/>
          <w:position w:val="0"/>
        </w:rPr>
        <w:t>号文的核准，公司首次公开发行</w:t>
      </w:r>
      <w:r>
        <w:rPr>
          <w:rFonts w:ascii="Times New Roman" w:eastAsia="Times New Roman" w:hAnsi="Times New Roman" w:cs="Times New Roman"/>
          <w:color w:val="000000"/>
          <w:spacing w:val="0"/>
          <w:w w:val="100"/>
          <w:position w:val="0"/>
        </w:rPr>
        <w:t>1,385</w:t>
      </w:r>
      <w:r>
        <w:rPr>
          <w:color w:val="000000"/>
          <w:spacing w:val="0"/>
          <w:w w:val="100"/>
          <w:position w:val="0"/>
        </w:rPr>
        <w:t>万股人民币普通股股票，其中，公 开发行新股</w:t>
      </w:r>
      <w:r>
        <w:rPr>
          <w:rFonts w:ascii="Times New Roman" w:eastAsia="Times New Roman" w:hAnsi="Times New Roman" w:cs="Times New Roman"/>
          <w:color w:val="000000"/>
          <w:spacing w:val="0"/>
          <w:w w:val="100"/>
          <w:position w:val="0"/>
        </w:rPr>
        <w:t>1,035</w:t>
      </w:r>
      <w:r>
        <w:rPr>
          <w:color w:val="000000"/>
          <w:spacing w:val="0"/>
          <w:w w:val="100"/>
          <w:position w:val="0"/>
        </w:rPr>
        <w:t>万股，鄢建兵在内的</w:t>
      </w:r>
      <w:r>
        <w:rPr>
          <w:rFonts w:ascii="Times New Roman" w:eastAsia="Times New Roman" w:hAnsi="Times New Roman" w:cs="Times New Roman"/>
          <w:color w:val="000000"/>
          <w:spacing w:val="0"/>
          <w:w w:val="100"/>
          <w:position w:val="0"/>
        </w:rPr>
        <w:t>10</w:t>
      </w:r>
      <w:r>
        <w:rPr>
          <w:color w:val="000000"/>
          <w:spacing w:val="0"/>
          <w:w w:val="100"/>
          <w:position w:val="0"/>
        </w:rPr>
        <w:t>位公司股东公开发售股份</w:t>
      </w:r>
      <w:r>
        <w:rPr>
          <w:rFonts w:ascii="Times New Roman" w:eastAsia="Times New Roman" w:hAnsi="Times New Roman" w:cs="Times New Roman"/>
          <w:color w:val="000000"/>
          <w:spacing w:val="0"/>
          <w:w w:val="100"/>
          <w:position w:val="0"/>
        </w:rPr>
        <w:t>350</w:t>
      </w:r>
      <w:r>
        <w:rPr>
          <w:color w:val="000000"/>
          <w:spacing w:val="0"/>
          <w:w w:val="100"/>
          <w:position w:val="0"/>
        </w:rPr>
        <w:t>万股。公司新股发行价格为每股人民币</w:t>
      </w:r>
      <w:r>
        <w:rPr>
          <w:rFonts w:ascii="Times New Roman" w:eastAsia="Times New Roman" w:hAnsi="Times New Roman" w:cs="Times New Roman"/>
          <w:color w:val="000000"/>
          <w:spacing w:val="0"/>
          <w:w w:val="100"/>
          <w:position w:val="0"/>
        </w:rPr>
        <w:t>21.58</w:t>
      </w:r>
      <w:r>
        <w:rPr>
          <w:color w:val="000000"/>
          <w:spacing w:val="0"/>
          <w:w w:val="100"/>
          <w:position w:val="0"/>
        </w:rPr>
        <w:t>元，募集资 金总额为人民币</w:t>
      </w:r>
      <w:r>
        <w:rPr>
          <w:rFonts w:ascii="Times New Roman" w:eastAsia="Times New Roman" w:hAnsi="Times New Roman" w:cs="Times New Roman"/>
          <w:color w:val="000000"/>
          <w:spacing w:val="0"/>
          <w:w w:val="100"/>
          <w:position w:val="0"/>
        </w:rPr>
        <w:t>223,353,000.00</w:t>
      </w:r>
      <w:r>
        <w:rPr>
          <w:color w:val="000000"/>
          <w:spacing w:val="0"/>
          <w:w w:val="100"/>
          <w:position w:val="0"/>
        </w:rPr>
        <w:t>元，扣除本次发行费用人民币</w:t>
      </w:r>
      <w:r>
        <w:rPr>
          <w:rFonts w:ascii="Times New Roman" w:eastAsia="Times New Roman" w:hAnsi="Times New Roman" w:cs="Times New Roman"/>
          <w:color w:val="000000"/>
          <w:spacing w:val="0"/>
          <w:w w:val="100"/>
          <w:position w:val="0"/>
        </w:rPr>
        <w:t>30,516,395.77</w:t>
      </w:r>
      <w:r>
        <w:rPr>
          <w:color w:val="000000"/>
          <w:spacing w:val="0"/>
          <w:w w:val="100"/>
          <w:position w:val="0"/>
        </w:rPr>
        <w:t>元，募集资金净额为人民币</w:t>
      </w:r>
      <w:r>
        <w:rPr>
          <w:rFonts w:ascii="Times New Roman" w:eastAsia="Times New Roman" w:hAnsi="Times New Roman" w:cs="Times New Roman"/>
          <w:color w:val="000000"/>
          <w:spacing w:val="0"/>
          <w:w w:val="100"/>
          <w:position w:val="0"/>
        </w:rPr>
        <w:t>192,836,604.23</w:t>
      </w:r>
      <w:r>
        <w:rPr>
          <w:color w:val="000000"/>
          <w:spacing w:val="0"/>
          <w:w w:val="100"/>
          <w:position w:val="0"/>
        </w:rPr>
        <w:t>元。截 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日，公司已收到上述募集资金。</w:t>
      </w:r>
    </w:p>
    <w:p>
      <w:pPr>
        <w:pStyle w:val="Style22"/>
        <w:keepNext/>
        <w:keepLines/>
        <w:widowControl w:val="0"/>
        <w:shd w:val="clear" w:color="auto" w:fill="auto"/>
        <w:bidi w:val="0"/>
        <w:spacing w:before="0" w:after="340" w:line="240" w:lineRule="auto"/>
        <w:ind w:left="0" w:right="0" w:firstLine="0"/>
        <w:jc w:val="left"/>
      </w:pPr>
      <w:bookmarkStart w:id="1371" w:name="bookmark1371"/>
      <w:bookmarkStart w:id="1372" w:name="bookmark1372"/>
      <w:bookmarkStart w:id="1373" w:name="bookmark1373"/>
      <w:r>
        <w:rPr>
          <w:color w:val="000000"/>
          <w:spacing w:val="0"/>
          <w:w w:val="100"/>
          <w:position w:val="0"/>
          <w:sz w:val="24"/>
          <w:szCs w:val="24"/>
        </w:rPr>
        <w:t>十三、其他重要事项</w:t>
      </w:r>
      <w:bookmarkEnd w:id="1371"/>
      <w:bookmarkEnd w:id="1372"/>
      <w:bookmarkEnd w:id="1373"/>
    </w:p>
    <w:p>
      <w:pPr>
        <w:pStyle w:val="Style32"/>
        <w:keepNext w:val="0"/>
        <w:keepLines w:val="0"/>
        <w:widowControl w:val="0"/>
        <w:shd w:val="clear" w:color="auto" w:fill="auto"/>
        <w:tabs>
          <w:tab w:pos="373" w:val="left"/>
        </w:tabs>
        <w:bidi w:val="0"/>
        <w:spacing w:before="0" w:after="340" w:line="240" w:lineRule="auto"/>
        <w:ind w:left="0" w:right="0" w:firstLine="0"/>
        <w:jc w:val="left"/>
      </w:pPr>
      <w:bookmarkStart w:id="1374" w:name="bookmark1374"/>
      <w:r>
        <w:rPr>
          <w:rFonts w:ascii="Times New Roman" w:eastAsia="Times New Roman" w:hAnsi="Times New Roman" w:cs="Times New Roman"/>
          <w:b/>
          <w:bCs/>
          <w:color w:val="000000"/>
          <w:spacing w:val="0"/>
          <w:w w:val="100"/>
          <w:position w:val="0"/>
        </w:rPr>
        <w:t>1</w:t>
      </w:r>
      <w:bookmarkEnd w:id="1374"/>
      <w:r>
        <w:rPr>
          <w:b/>
          <w:bCs/>
          <w:color w:val="000000"/>
          <w:spacing w:val="0"/>
          <w:w w:val="100"/>
          <w:position w:val="0"/>
        </w:rPr>
        <w:t>、</w:t>
        <w:tab/>
        <w:t>非货币性资产交换</w:t>
      </w:r>
    </w:p>
    <w:p>
      <w:pPr>
        <w:pStyle w:val="Style32"/>
        <w:keepNext w:val="0"/>
        <w:keepLines w:val="0"/>
        <w:widowControl w:val="0"/>
        <w:shd w:val="clear" w:color="auto" w:fill="auto"/>
        <w:tabs>
          <w:tab w:pos="382" w:val="left"/>
        </w:tabs>
        <w:bidi w:val="0"/>
        <w:spacing w:before="0" w:after="340" w:line="240" w:lineRule="auto"/>
        <w:ind w:left="0" w:right="0" w:firstLine="0"/>
        <w:jc w:val="left"/>
      </w:pPr>
      <w:bookmarkStart w:id="1375" w:name="bookmark1375"/>
      <w:r>
        <w:rPr>
          <w:rFonts w:ascii="Times New Roman" w:eastAsia="Times New Roman" w:hAnsi="Times New Roman" w:cs="Times New Roman"/>
          <w:b/>
          <w:bCs/>
          <w:color w:val="000000"/>
          <w:spacing w:val="0"/>
          <w:w w:val="100"/>
          <w:position w:val="0"/>
        </w:rPr>
        <w:t>2</w:t>
      </w:r>
      <w:bookmarkEnd w:id="1375"/>
      <w:r>
        <w:rPr>
          <w:b/>
          <w:bCs/>
          <w:color w:val="000000"/>
          <w:spacing w:val="0"/>
          <w:w w:val="100"/>
          <w:position w:val="0"/>
        </w:rPr>
        <w:t>、</w:t>
        <w:tab/>
        <w:t>债务重组</w:t>
      </w:r>
    </w:p>
    <w:p>
      <w:pPr>
        <w:pStyle w:val="Style32"/>
        <w:keepNext w:val="0"/>
        <w:keepLines w:val="0"/>
        <w:widowControl w:val="0"/>
        <w:shd w:val="clear" w:color="auto" w:fill="auto"/>
        <w:tabs>
          <w:tab w:pos="382" w:val="left"/>
        </w:tabs>
        <w:bidi w:val="0"/>
        <w:spacing w:before="0" w:after="340" w:line="240" w:lineRule="auto"/>
        <w:ind w:left="0" w:right="0" w:firstLine="0"/>
        <w:jc w:val="left"/>
      </w:pPr>
      <w:bookmarkStart w:id="1376" w:name="bookmark1376"/>
      <w:r>
        <w:rPr>
          <w:rFonts w:ascii="Times New Roman" w:eastAsia="Times New Roman" w:hAnsi="Times New Roman" w:cs="Times New Roman"/>
          <w:b/>
          <w:bCs/>
          <w:color w:val="000000"/>
          <w:spacing w:val="0"/>
          <w:w w:val="100"/>
          <w:position w:val="0"/>
        </w:rPr>
        <w:t>3</w:t>
      </w:r>
      <w:bookmarkEnd w:id="1376"/>
      <w:r>
        <w:rPr>
          <w:b/>
          <w:bCs/>
          <w:color w:val="000000"/>
          <w:spacing w:val="0"/>
          <w:w w:val="100"/>
          <w:position w:val="0"/>
        </w:rPr>
        <w:t>、</w:t>
        <w:tab/>
        <w:t>企业合并</w:t>
      </w:r>
    </w:p>
    <w:p>
      <w:pPr>
        <w:pStyle w:val="Style32"/>
        <w:keepNext w:val="0"/>
        <w:keepLines w:val="0"/>
        <w:widowControl w:val="0"/>
        <w:shd w:val="clear" w:color="auto" w:fill="auto"/>
        <w:tabs>
          <w:tab w:pos="382" w:val="left"/>
        </w:tabs>
        <w:bidi w:val="0"/>
        <w:spacing w:before="0" w:after="340" w:line="240" w:lineRule="auto"/>
        <w:ind w:left="0" w:right="0" w:firstLine="0"/>
        <w:jc w:val="left"/>
      </w:pPr>
      <w:bookmarkStart w:id="1377" w:name="bookmark1377"/>
      <w:r>
        <w:rPr>
          <w:rFonts w:ascii="Times New Roman" w:eastAsia="Times New Roman" w:hAnsi="Times New Roman" w:cs="Times New Roman"/>
          <w:b/>
          <w:bCs/>
          <w:color w:val="000000"/>
          <w:spacing w:val="0"/>
          <w:w w:val="100"/>
          <w:position w:val="0"/>
        </w:rPr>
        <w:t>4</w:t>
      </w:r>
      <w:bookmarkEnd w:id="1377"/>
      <w:r>
        <w:rPr>
          <w:b/>
          <w:bCs/>
          <w:color w:val="000000"/>
          <w:spacing w:val="0"/>
          <w:w w:val="100"/>
          <w:position w:val="0"/>
        </w:rPr>
        <w:t>、</w:t>
        <w:tab/>
        <w:t>租赁</w:t>
      </w:r>
    </w:p>
    <w:p>
      <w:pPr>
        <w:pStyle w:val="Style32"/>
        <w:keepNext w:val="0"/>
        <w:keepLines w:val="0"/>
        <w:widowControl w:val="0"/>
        <w:shd w:val="clear" w:color="auto" w:fill="auto"/>
        <w:tabs>
          <w:tab w:pos="382" w:val="left"/>
        </w:tabs>
        <w:bidi w:val="0"/>
        <w:spacing w:before="0" w:after="340" w:line="240" w:lineRule="auto"/>
        <w:ind w:left="0" w:right="0" w:firstLine="0"/>
        <w:jc w:val="left"/>
      </w:pPr>
      <w:bookmarkStart w:id="1378" w:name="bookmark1378"/>
      <w:r>
        <w:rPr>
          <w:rFonts w:ascii="Times New Roman" w:eastAsia="Times New Roman" w:hAnsi="Times New Roman" w:cs="Times New Roman"/>
          <w:b/>
          <w:bCs/>
          <w:color w:val="000000"/>
          <w:spacing w:val="0"/>
          <w:w w:val="100"/>
          <w:position w:val="0"/>
        </w:rPr>
        <w:t>5</w:t>
      </w:r>
      <w:bookmarkEnd w:id="1378"/>
      <w:r>
        <w:rPr>
          <w:b/>
          <w:bCs/>
          <w:color w:val="000000"/>
          <w:spacing w:val="0"/>
          <w:w w:val="100"/>
          <w:position w:val="0"/>
        </w:rPr>
        <w:t>、</w:t>
        <w:tab/>
        <w:t>期末发行在外的、可转换为股份的金融工具</w:t>
      </w:r>
    </w:p>
    <w:p>
      <w:pPr>
        <w:pStyle w:val="Style32"/>
        <w:keepNext w:val="0"/>
        <w:keepLines w:val="0"/>
        <w:widowControl w:val="0"/>
        <w:shd w:val="clear" w:color="auto" w:fill="auto"/>
        <w:tabs>
          <w:tab w:pos="382" w:val="left"/>
        </w:tabs>
        <w:bidi w:val="0"/>
        <w:spacing w:before="0" w:after="340" w:line="240" w:lineRule="auto"/>
        <w:ind w:left="0" w:right="0" w:firstLine="0"/>
        <w:jc w:val="left"/>
      </w:pPr>
      <w:bookmarkStart w:id="1379" w:name="bookmark1379"/>
      <w:r>
        <w:rPr>
          <w:rFonts w:ascii="Times New Roman" w:eastAsia="Times New Roman" w:hAnsi="Times New Roman" w:cs="Times New Roman"/>
          <w:b/>
          <w:bCs/>
          <w:color w:val="000000"/>
          <w:spacing w:val="0"/>
          <w:w w:val="100"/>
          <w:position w:val="0"/>
        </w:rPr>
        <w:t>6</w:t>
      </w:r>
      <w:bookmarkEnd w:id="1379"/>
      <w:r>
        <w:rPr>
          <w:b/>
          <w:bCs/>
          <w:color w:val="000000"/>
          <w:spacing w:val="0"/>
          <w:w w:val="100"/>
          <w:position w:val="0"/>
        </w:rPr>
        <w:t>、</w:t>
        <w:tab/>
        <w:t>年金计划主要内容及重大变化</w:t>
      </w:r>
    </w:p>
    <w:p>
      <w:pPr>
        <w:pStyle w:val="Style32"/>
        <w:keepNext w:val="0"/>
        <w:keepLines w:val="0"/>
        <w:widowControl w:val="0"/>
        <w:shd w:val="clear" w:color="auto" w:fill="auto"/>
        <w:tabs>
          <w:tab w:pos="382" w:val="left"/>
        </w:tabs>
        <w:bidi w:val="0"/>
        <w:spacing w:before="0" w:after="340" w:line="240" w:lineRule="auto"/>
        <w:ind w:left="0" w:right="0" w:firstLine="0"/>
        <w:jc w:val="left"/>
      </w:pPr>
      <w:bookmarkStart w:id="1380" w:name="bookmark1380"/>
      <w:r>
        <w:rPr>
          <w:rFonts w:ascii="Times New Roman" w:eastAsia="Times New Roman" w:hAnsi="Times New Roman" w:cs="Times New Roman"/>
          <w:b/>
          <w:bCs/>
          <w:color w:val="000000"/>
          <w:spacing w:val="0"/>
          <w:w w:val="100"/>
          <w:position w:val="0"/>
        </w:rPr>
        <w:t>7</w:t>
      </w:r>
      <w:bookmarkEnd w:id="1380"/>
      <w:r>
        <w:rPr>
          <w:b/>
          <w:bCs/>
          <w:color w:val="000000"/>
          <w:spacing w:val="0"/>
          <w:w w:val="100"/>
          <w:position w:val="0"/>
        </w:rPr>
        <w:t>、</w:t>
        <w:tab/>
        <w:t>其他</w:t>
      </w:r>
    </w:p>
    <w:p>
      <w:pPr>
        <w:pStyle w:val="Style22"/>
        <w:keepNext/>
        <w:keepLines/>
        <w:widowControl w:val="0"/>
        <w:shd w:val="clear" w:color="auto" w:fill="auto"/>
        <w:bidi w:val="0"/>
        <w:spacing w:before="0" w:after="340" w:line="240" w:lineRule="auto"/>
        <w:ind w:left="0" w:right="0" w:firstLine="0"/>
        <w:jc w:val="left"/>
      </w:pPr>
      <w:bookmarkStart w:id="1381" w:name="bookmark1381"/>
      <w:bookmarkStart w:id="1382" w:name="bookmark1382"/>
      <w:bookmarkStart w:id="1383" w:name="bookmark1383"/>
      <w:r>
        <w:rPr>
          <w:color w:val="000000"/>
          <w:spacing w:val="0"/>
          <w:w w:val="100"/>
          <w:position w:val="0"/>
          <w:sz w:val="24"/>
          <w:szCs w:val="24"/>
        </w:rPr>
        <w:t>十四、补充资料</w:t>
      </w:r>
      <w:bookmarkEnd w:id="1381"/>
      <w:bookmarkEnd w:id="1382"/>
      <w:bookmarkEnd w:id="1383"/>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、当期非经常性损益明细表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4"/>
        <w:gridCol w:w="2232"/>
        <w:gridCol w:w="251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-72,206.80</w:t>
            </w: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2,434,002.22</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76,599.71</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243,964.48</w:t>
            </w: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2,194,430.65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计入当期损益的政府补助为经常性损益项目，应说明逐项披露认定理由。</w:t>
      </w:r>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、境内外会计准则下会计数据差异</w:t>
      </w:r>
    </w:p>
    <w:p>
      <w:pPr>
        <w:pStyle w:val="Style32"/>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）同时按照国际会计准则与按中国会计准则披露的财务报告中净利润和净资产差异情况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40,357,333.67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37,179,969.38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198,700,666.26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158,343,332.59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140"/>
        <w:jc w:val="left"/>
      </w:pPr>
      <w:bookmarkStart w:id="1384" w:name="bookmark1384"/>
      <w:bookmarkStart w:id="1385" w:name="bookmark1385"/>
      <w:bookmarkStart w:id="1386" w:name="bookmark13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1384"/>
      <w:bookmarkEnd w:id="1385"/>
      <w:bookmarkEnd w:id="138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40,357,333.67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37,179,969.38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198,700,666.26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158,343,332.59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1387"/>
      <w:bookmarkEnd w:id="1388"/>
      <w:bookmarkEnd w:id="1390"/>
    </w:p>
    <w:p>
      <w:pPr>
        <w:pStyle w:val="Style29"/>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91" w:name="bookmark1391"/>
      <w:bookmarkStart w:id="1392" w:name="bookmark1392"/>
      <w:r>
        <w:rPr>
          <w:rFonts w:ascii="Times New Roman" w:eastAsia="Times New Roman" w:hAnsi="Times New Roman" w:cs="Times New Roman"/>
          <w:color w:val="000000"/>
          <w:spacing w:val="0"/>
          <w:w w:val="100"/>
          <w:position w:val="0"/>
        </w:rPr>
        <w:t>3</w:t>
      </w:r>
      <w:bookmarkEnd w:id="1391"/>
      <w:r>
        <w:rPr>
          <w:color w:val="000000"/>
          <w:spacing w:val="0"/>
          <w:w w:val="100"/>
          <w:position w:val="0"/>
        </w:rPr>
        <w:t>、净资产收益率及每股收益</w:t>
      </w:r>
      <w:bookmarkEnd w:id="1387"/>
      <w:bookmarkEnd w:id="1388"/>
      <w:bookmarkEnd w:id="1392"/>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2184"/>
        <w:gridCol w:w="1901"/>
        <w:gridCol w:w="195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21.38%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4</w:t>
      </w:r>
      <w:bookmarkEnd w:id="1395"/>
      <w:r>
        <w:rPr>
          <w:color w:val="000000"/>
          <w:spacing w:val="0"/>
          <w:w w:val="100"/>
          <w:position w:val="0"/>
        </w:rPr>
        <w:t>、公司主要会计报表项目的异常情况及原因的说明</w:t>
      </w:r>
      <w:bookmarkEnd w:id="1393"/>
      <w:bookmarkEnd w:id="1394"/>
      <w:bookmarkEnd w:id="1396"/>
    </w:p>
    <w:p>
      <w:pPr>
        <w:pStyle w:val="Style24"/>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55" w:right="1107" w:bottom="1978" w:left="1107" w:header="0" w:footer="3" w:gutter="0"/>
          <w:cols w:space="720"/>
          <w:noEndnote/>
          <w:rtlGutter w:val="0"/>
          <w:docGrid w:linePitch="360"/>
        </w:sectPr>
      </w:pPr>
      <w:r>
        <w:rPr>
          <w:color w:val="000000"/>
          <w:spacing w:val="0"/>
          <w:w w:val="100"/>
          <w:position w:val="0"/>
        </w:rPr>
        <w:t>无</w:t>
      </w:r>
    </w:p>
    <w:p>
      <w:pPr>
        <w:pStyle w:val="Style8"/>
        <w:keepNext/>
        <w:keepLines/>
        <w:widowControl w:val="0"/>
        <w:shd w:val="clear" w:color="auto" w:fill="auto"/>
        <w:bidi w:val="0"/>
        <w:spacing w:before="0" w:line="240" w:lineRule="auto"/>
        <w:ind w:left="0" w:right="0" w:firstLine="0"/>
        <w:jc w:val="center"/>
      </w:pPr>
      <w:bookmarkStart w:id="1397" w:name="bookmark1397"/>
      <w:bookmarkStart w:id="1398" w:name="bookmark1398"/>
      <w:bookmarkStart w:id="1399" w:name="bookmark1399"/>
      <w:r>
        <w:rPr>
          <w:color w:val="000000"/>
          <w:spacing w:val="0"/>
          <w:w w:val="100"/>
          <w:position w:val="0"/>
        </w:rPr>
        <w:t>第十节备查文件目录</w:t>
      </w:r>
      <w:bookmarkEnd w:id="1397"/>
      <w:bookmarkEnd w:id="1398"/>
      <w:bookmarkEnd w:id="1399"/>
    </w:p>
    <w:p>
      <w:pPr>
        <w:pStyle w:val="Style24"/>
        <w:keepNext w:val="0"/>
        <w:keepLines w:val="0"/>
        <w:widowControl w:val="0"/>
        <w:shd w:val="clear" w:color="auto" w:fill="auto"/>
        <w:tabs>
          <w:tab w:pos="435" w:val="left"/>
        </w:tabs>
        <w:bidi w:val="0"/>
        <w:spacing w:before="0" w:after="100" w:line="240" w:lineRule="auto"/>
        <w:ind w:left="0" w:right="0" w:firstLine="0"/>
        <w:jc w:val="left"/>
      </w:pPr>
      <w:bookmarkStart w:id="1400" w:name="bookmark1400"/>
      <w:r>
        <w:rPr>
          <w:color w:val="000000"/>
          <w:spacing w:val="0"/>
          <w:w w:val="100"/>
          <w:position w:val="0"/>
        </w:rPr>
        <w:t>一</w:t>
      </w:r>
      <w:bookmarkEnd w:id="1400"/>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年年度报告》文本原件；</w:t>
      </w:r>
    </w:p>
    <w:p>
      <w:pPr>
        <w:pStyle w:val="Style24"/>
        <w:keepNext w:val="0"/>
        <w:keepLines w:val="0"/>
        <w:widowControl w:val="0"/>
        <w:shd w:val="clear" w:color="auto" w:fill="auto"/>
        <w:tabs>
          <w:tab w:pos="435" w:val="left"/>
        </w:tabs>
        <w:bidi w:val="0"/>
        <w:spacing w:before="0" w:after="100" w:line="240" w:lineRule="auto"/>
        <w:ind w:left="0" w:right="0" w:firstLine="0"/>
        <w:jc w:val="left"/>
      </w:pPr>
      <w:bookmarkStart w:id="1401" w:name="bookmark1401"/>
      <w:r>
        <w:rPr>
          <w:color w:val="000000"/>
          <w:spacing w:val="0"/>
          <w:w w:val="100"/>
          <w:position w:val="0"/>
        </w:rPr>
        <w:t>二</w:t>
      </w:r>
      <w:bookmarkEnd w:id="1401"/>
      <w:r>
        <w:rPr>
          <w:color w:val="000000"/>
          <w:spacing w:val="0"/>
          <w:w w:val="100"/>
          <w:position w:val="0"/>
        </w:rPr>
        <w:t>、</w:t>
        <w:tab/>
        <w:t>载有法定代表人、财务负责人、会计机构负责人签名并盖章的财务报告文本；</w:t>
      </w:r>
    </w:p>
    <w:p>
      <w:pPr>
        <w:pStyle w:val="Style24"/>
        <w:keepNext w:val="0"/>
        <w:keepLines w:val="0"/>
        <w:widowControl w:val="0"/>
        <w:shd w:val="clear" w:color="auto" w:fill="auto"/>
        <w:tabs>
          <w:tab w:pos="435" w:val="left"/>
        </w:tabs>
        <w:bidi w:val="0"/>
        <w:spacing w:before="0" w:after="100" w:line="240" w:lineRule="auto"/>
        <w:ind w:left="0" w:right="0" w:firstLine="0"/>
        <w:jc w:val="left"/>
      </w:pPr>
      <w:bookmarkStart w:id="1402" w:name="bookmark1402"/>
      <w:r>
        <w:rPr>
          <w:color w:val="000000"/>
          <w:spacing w:val="0"/>
          <w:w w:val="100"/>
          <w:position w:val="0"/>
        </w:rPr>
        <w:t>三</w:t>
      </w:r>
      <w:bookmarkEnd w:id="1402"/>
      <w:r>
        <w:rPr>
          <w:color w:val="000000"/>
          <w:spacing w:val="0"/>
          <w:w w:val="100"/>
          <w:position w:val="0"/>
        </w:rPr>
        <w:t>、</w:t>
        <w:tab/>
        <w:t>载有会计师事务所盖章、注册会计师签名并盖章的审计报告文本；</w:t>
      </w:r>
    </w:p>
    <w:p>
      <w:pPr>
        <w:pStyle w:val="Style24"/>
        <w:keepNext w:val="0"/>
        <w:keepLines w:val="0"/>
        <w:widowControl w:val="0"/>
        <w:shd w:val="clear" w:color="auto" w:fill="auto"/>
        <w:tabs>
          <w:tab w:pos="435" w:val="left"/>
        </w:tabs>
        <w:bidi w:val="0"/>
        <w:spacing w:before="0" w:after="100" w:line="240" w:lineRule="auto"/>
        <w:ind w:left="0" w:right="0" w:firstLine="0"/>
        <w:jc w:val="left"/>
      </w:pPr>
      <w:bookmarkStart w:id="1403" w:name="bookmark1403"/>
      <w:r>
        <w:rPr>
          <w:color w:val="000000"/>
          <w:spacing w:val="0"/>
          <w:w w:val="100"/>
          <w:position w:val="0"/>
        </w:rPr>
        <w:t>四</w:t>
      </w:r>
      <w:bookmarkEnd w:id="1403"/>
      <w:r>
        <w:rPr>
          <w:color w:val="000000"/>
          <w:spacing w:val="0"/>
          <w:w w:val="100"/>
          <w:position w:val="0"/>
        </w:rPr>
        <w:t>、</w:t>
        <w:tab/>
        <w:t>报告期内公司在中国证监会指定创业板信息披露媒体上公开披露过的所有文件及公告原稿;</w:t>
      </w:r>
    </w:p>
    <w:p>
      <w:pPr>
        <w:pStyle w:val="Style24"/>
        <w:keepNext w:val="0"/>
        <w:keepLines w:val="0"/>
        <w:widowControl w:val="0"/>
        <w:shd w:val="clear" w:color="auto" w:fill="auto"/>
        <w:tabs>
          <w:tab w:pos="435" w:val="left"/>
        </w:tabs>
        <w:bidi w:val="0"/>
        <w:spacing w:before="0" w:after="100" w:line="240" w:lineRule="auto"/>
        <w:ind w:left="0" w:right="0" w:firstLine="0"/>
        <w:jc w:val="left"/>
      </w:pPr>
      <w:bookmarkStart w:id="1404" w:name="bookmark1404"/>
      <w:r>
        <w:rPr>
          <w:color w:val="000000"/>
          <w:spacing w:val="0"/>
          <w:w w:val="100"/>
          <w:position w:val="0"/>
        </w:rPr>
        <w:t>五</w:t>
      </w:r>
      <w:bookmarkEnd w:id="1404"/>
      <w:r>
        <w:rPr>
          <w:color w:val="000000"/>
          <w:spacing w:val="0"/>
          <w:w w:val="100"/>
          <w:position w:val="0"/>
        </w:rPr>
        <w:t>、</w:t>
        <w:tab/>
        <w:t>其他备查文件。</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以上备查文件的备置地点：公司证券事务部</w:t>
      </w:r>
    </w:p>
    <w:sectPr>
      <w:footnotePr>
        <w:pos w:val="pageBottom"/>
        <w:numFmt w:val="decimal"/>
        <w:numRestart w:val="continuous"/>
      </w:footnotePr>
      <w:pgSz w:w="11900" w:h="16840"/>
      <w:pgMar w:top="1974" w:right="1107" w:bottom="1974"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85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6719570</wp:posOffset>
              </wp:positionH>
              <wp:positionV relativeFrom="page">
                <wp:posOffset>9955530</wp:posOffset>
              </wp:positionV>
              <wp:extent cx="100330" cy="79375"/>
              <wp:wrapNone/>
              <wp:docPr id="10" name="Shape 1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9.10000000000002pt;margin-top:783.89999999999998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4043680</wp:posOffset>
              </wp:positionH>
              <wp:positionV relativeFrom="page">
                <wp:posOffset>478790</wp:posOffset>
              </wp:positionV>
              <wp:extent cx="2792095" cy="106680"/>
              <wp:wrapNone/>
              <wp:docPr id="2" name="Shape 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18.40000000000003pt;margin-top:37.700000000000003pt;width:219.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4031615</wp:posOffset>
              </wp:positionH>
              <wp:positionV relativeFrom="page">
                <wp:posOffset>561340</wp:posOffset>
              </wp:positionV>
              <wp:extent cx="2792095" cy="106680"/>
              <wp:wrapNone/>
              <wp:docPr id="7" name="Shape 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3" type="#_x0000_t202" style="position:absolute;margin-left:317.44999999999999pt;margin-top:44.200000000000003pt;width:219.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99999999999999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4">
    <w:name w:val="正文文本 (2)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目录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其他_"/>
    <w:basedOn w:val="DefaultParagraphFont"/>
    <w:link w:val="Style19"/>
    <w:rPr>
      <w:rFonts w:ascii="SimSun" w:eastAsia="SimSun" w:hAnsi="SimSun" w:cs="SimSun"/>
      <w:b w:val="0"/>
      <w:bCs w:val="0"/>
      <w:i w:val="0"/>
      <w:iCs w:val="0"/>
      <w:smallCaps w:val="0"/>
      <w:strike w:val="0"/>
      <w:sz w:val="18"/>
      <w:szCs w:val="18"/>
      <w:u w:val="none"/>
      <w:shd w:val="clear" w:color="auto" w:fill="auto"/>
    </w:rPr>
  </w:style>
  <w:style w:type="character" w:customStyle="1" w:styleId="CharStyle23">
    <w:name w:val="标题 #3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正文文本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标题 #4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正文文本 (3)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7">
    <w:name w:val="表格标题_"/>
    <w:basedOn w:val="DefaultParagraphFont"/>
    <w:link w:val="Style36"/>
    <w:rPr>
      <w:rFonts w:ascii="SimSun" w:eastAsia="SimSun" w:hAnsi="SimSun" w:cs="SimSun"/>
      <w:b w:val="0"/>
      <w:bCs w:val="0"/>
      <w:i w:val="0"/>
      <w:iCs w:val="0"/>
      <w:smallCaps w:val="0"/>
      <w:strike w:val="0"/>
      <w:sz w:val="18"/>
      <w:szCs w:val="18"/>
      <w:u w:val="none"/>
      <w:shd w:val="clear" w:color="auto" w:fill="auto"/>
    </w:rPr>
  </w:style>
  <w:style w:type="character" w:customStyle="1" w:styleId="CharStyle44">
    <w:name w:val="图片标题_"/>
    <w:basedOn w:val="DefaultParagraphFont"/>
    <w:link w:val="Style43"/>
    <w:rPr>
      <w:rFonts w:ascii="SimSun" w:eastAsia="SimSun" w:hAnsi="SimSun" w:cs="SimSun"/>
      <w:b w:val="0"/>
      <w:bCs w:val="0"/>
      <w:i w:val="0"/>
      <w:iCs w:val="0"/>
      <w:smallCaps w:val="0"/>
      <w:strike w:val="0"/>
      <w:color w:val="141E31"/>
      <w:sz w:val="13"/>
      <w:szCs w:val="13"/>
      <w:u w:val="single"/>
      <w:shd w:val="clear" w:color="auto" w:fill="auto"/>
    </w:rPr>
  </w:style>
  <w:style w:type="character" w:customStyle="1" w:styleId="CharStyle63">
    <w:name w:val="正文文本 (7)_"/>
    <w:basedOn w:val="DefaultParagraphFont"/>
    <w:link w:val="Style62"/>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730" w:after="100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spacing w:after="598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3">
    <w:name w:val="正文文本 (2)"/>
    <w:basedOn w:val="Normal"/>
    <w:link w:val="CharStyle14"/>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目录"/>
    <w:basedOn w:val="Normal"/>
    <w:link w:val="CharStyle17"/>
    <w:pPr>
      <w:widowControl w:val="0"/>
      <w:shd w:val="clear" w:color="auto" w:fill="auto"/>
      <w:spacing w:after="300"/>
    </w:pPr>
    <w:rPr>
      <w:rFonts w:ascii="SimSun" w:eastAsia="SimSun" w:hAnsi="SimSun" w:cs="SimSun"/>
      <w:b/>
      <w:bCs/>
      <w:i w:val="0"/>
      <w:iCs w:val="0"/>
      <w:smallCaps w:val="0"/>
      <w:strike w:val="0"/>
      <w:sz w:val="28"/>
      <w:szCs w:val="28"/>
      <w:u w:val="none"/>
      <w:shd w:val="clear" w:color="auto" w:fill="auto"/>
    </w:rPr>
  </w:style>
  <w:style w:type="paragraph" w:customStyle="1" w:styleId="Style19">
    <w:name w:val="其他"/>
    <w:basedOn w:val="Normal"/>
    <w:link w:val="CharStyle2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2">
    <w:name w:val="标题 #3"/>
    <w:basedOn w:val="Normal"/>
    <w:link w:val="CharStyle23"/>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24">
    <w:name w:val="正文文本"/>
    <w:basedOn w:val="Normal"/>
    <w:link w:val="CharStyle25"/>
    <w:pPr>
      <w:widowControl w:val="0"/>
      <w:shd w:val="clear" w:color="auto" w:fill="auto"/>
      <w:spacing w:after="80" w:line="36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标题 #4"/>
    <w:basedOn w:val="Normal"/>
    <w:link w:val="CharStyle30"/>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2">
    <w:name w:val="正文文本 (3)"/>
    <w:basedOn w:val="Normal"/>
    <w:link w:val="CharStyle33"/>
    <w:pPr>
      <w:widowControl w:val="0"/>
      <w:shd w:val="clear" w:color="auto" w:fill="auto"/>
      <w:spacing w:after="360"/>
    </w:pPr>
    <w:rPr>
      <w:rFonts w:ascii="SimSun" w:eastAsia="SimSun" w:hAnsi="SimSun" w:cs="SimSun"/>
      <w:b w:val="0"/>
      <w:bCs w:val="0"/>
      <w:i w:val="0"/>
      <w:iCs w:val="0"/>
      <w:smallCaps w:val="0"/>
      <w:strike w:val="0"/>
      <w:sz w:val="20"/>
      <w:szCs w:val="20"/>
      <w:u w:val="none"/>
      <w:shd w:val="clear" w:color="auto" w:fill="auto"/>
    </w:rPr>
  </w:style>
  <w:style w:type="paragraph" w:customStyle="1" w:styleId="Style36">
    <w:name w:val="表格标题"/>
    <w:basedOn w:val="Normal"/>
    <w:link w:val="CharStyle3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3">
    <w:name w:val="图片标题"/>
    <w:basedOn w:val="Normal"/>
    <w:link w:val="CharStyle44"/>
    <w:pPr>
      <w:widowControl w:val="0"/>
      <w:shd w:val="clear" w:color="auto" w:fill="auto"/>
      <w:spacing w:line="302" w:lineRule="exact"/>
    </w:pPr>
    <w:rPr>
      <w:rFonts w:ascii="SimSun" w:eastAsia="SimSun" w:hAnsi="SimSun" w:cs="SimSun"/>
      <w:b w:val="0"/>
      <w:bCs w:val="0"/>
      <w:i w:val="0"/>
      <w:iCs w:val="0"/>
      <w:smallCaps w:val="0"/>
      <w:strike w:val="0"/>
      <w:color w:val="141E31"/>
      <w:sz w:val="13"/>
      <w:szCs w:val="13"/>
      <w:u w:val="single"/>
      <w:shd w:val="clear" w:color="auto" w:fill="auto"/>
    </w:rPr>
  </w:style>
  <w:style w:type="paragraph" w:customStyle="1" w:styleId="Style62">
    <w:name w:val="正文文本 (7)"/>
    <w:basedOn w:val="Normal"/>
    <w:link w:val="CharStyle63"/>
    <w:pPr>
      <w:widowControl w:val="0"/>
      <w:shd w:val="clear" w:color="auto" w:fill="auto"/>
      <w:spacing w:line="360"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&lt;4D6963726F736F667420576F7264202D20D3AECAB1CAA4A3BA32303133C4EAC4EAB6C8B1A8B8E6323031342D3031382E646F63&gt;</dc:title>
  <dc:subject/>
  <dc:creator>admin</dc:creator>
  <cp:keywords/>
</cp:coreProperties>
</file>