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890026pt;width:481.9pt;height:.1pt;mso-position-horizontal-relative:page;mso-position-vertical-relative:page;z-index:0" coordorigin="1134,998" coordsize="9638,2">
            <v:shape style="position:absolute;left:1134;top:998;width:9638;height:2" coordorigin="1134,998" coordsize="9638,0" path="m1134,998l10772,998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628" w:lineRule="exact"/>
        <w:ind w:left="41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945009" cy="103384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945009" cy="1033843"/>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7"/>
        <w:rPr>
          <w:rFonts w:ascii="Times New Roman" w:hAnsi="Times New Roman" w:cs="Times New Roman" w:eastAsia="Times New Roman" w:hint="default"/>
          <w:sz w:val="12"/>
          <w:szCs w:val="12"/>
        </w:rPr>
      </w:pPr>
    </w:p>
    <w:p>
      <w:pPr>
        <w:spacing w:line="460" w:lineRule="exact" w:before="0"/>
        <w:ind w:left="513" w:right="1525" w:firstLine="0"/>
        <w:jc w:val="center"/>
        <w:rPr>
          <w:rFonts w:ascii="宋体" w:hAnsi="宋体" w:cs="宋体" w:eastAsia="宋体" w:hint="default"/>
          <w:sz w:val="36"/>
          <w:szCs w:val="36"/>
        </w:rPr>
      </w:pPr>
      <w:r>
        <w:rPr>
          <w:rFonts w:ascii="宋体" w:hAnsi="宋体" w:cs="宋体" w:eastAsia="宋体" w:hint="default"/>
          <w:b/>
          <w:bCs/>
          <w:sz w:val="36"/>
          <w:szCs w:val="36"/>
        </w:rPr>
        <w:t>深圳市赢时胜信息技术股份有限公司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13" w:right="153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513" w:right="1528" w:firstLine="0"/>
        <w:jc w:val="center"/>
        <w:rPr>
          <w:rFonts w:ascii="Times New Roman" w:hAnsi="Times New Roman" w:cs="Times New Roman" w:eastAsia="Times New Roman" w:hint="default"/>
          <w:sz w:val="22"/>
          <w:szCs w:val="22"/>
        </w:rPr>
      </w:pPr>
      <w:r>
        <w:rPr>
          <w:rFonts w:ascii="Times New Roman"/>
          <w:b/>
          <w:sz w:val="22"/>
        </w:rPr>
        <w:t>2019-008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513" w:right="153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09" w:top="1100" w:bottom="1200" w:left="1020" w:right="0"/>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4" w:right="95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27"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公司负责人唐球、主管会计工作负责人伍国安及会计机构负责人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廖拾秀声明：保证年度报告中财务报告的真实、准确、完整。</w:t>
      </w:r>
      <w:r>
        <w:rPr>
          <w:rFonts w:ascii="宋体" w:hAnsi="宋体" w:cs="宋体" w:eastAsia="宋体" w:hint="default"/>
          <w:sz w:val="28"/>
          <w:szCs w:val="28"/>
        </w:rPr>
      </w:r>
    </w:p>
    <w:p>
      <w:pPr>
        <w:spacing w:before="148"/>
        <w:ind w:left="674" w:right="95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12" w:right="1130" w:firstLine="561"/>
        <w:jc w:val="both"/>
        <w:rPr>
          <w:rFonts w:ascii="宋体" w:hAnsi="宋体" w:cs="宋体" w:eastAsia="宋体" w:hint="default"/>
          <w:sz w:val="28"/>
          <w:szCs w:val="28"/>
        </w:rPr>
      </w:pPr>
      <w:r>
        <w:rPr>
          <w:rFonts w:ascii="宋体" w:hAnsi="宋体" w:cs="宋体" w:eastAsia="宋体" w:hint="default"/>
          <w:b/>
          <w:bCs/>
          <w:spacing w:val="2"/>
          <w:sz w:val="28"/>
          <w:szCs w:val="28"/>
        </w:rPr>
        <w:t>（一）经营业绩季节性波动风险。历年来，公司金融软件营业收入和净利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润存在较为明显的季节性特征。第一季度营业收入较低，第四季度营业收入占</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当年收入总额的比例较高，接近全年的一半，这是由于金融机构的软件系统采</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购主要集中在下半年，且通常在第四季度进行验收。同时，由于软件企业员工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工资性支出、房租物业管理及水电费用及固定资产摊销等成本比较稳定，造成</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公司净利润的季节性波动比营业收入的季节性波动更为明显，不能根据季度的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经营业绩情况判断全年的经营业绩，如果第四季度营业收入达不到预期水平，</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可能导致公司全年业绩下降。</w:t>
      </w:r>
      <w:r>
        <w:rPr>
          <w:rFonts w:ascii="宋体" w:hAnsi="宋体" w:cs="宋体" w:eastAsia="宋体" w:hint="default"/>
          <w:sz w:val="28"/>
          <w:szCs w:val="28"/>
        </w:rPr>
      </w:r>
    </w:p>
    <w:p>
      <w:pPr>
        <w:spacing w:line="391" w:lineRule="auto" w:before="160"/>
        <w:ind w:left="112" w:right="952" w:firstLine="561"/>
        <w:jc w:val="left"/>
        <w:rPr>
          <w:rFonts w:ascii="宋体" w:hAnsi="宋体" w:cs="宋体" w:eastAsia="宋体" w:hint="default"/>
          <w:sz w:val="28"/>
          <w:szCs w:val="28"/>
        </w:rPr>
      </w:pPr>
      <w:r>
        <w:rPr>
          <w:rFonts w:ascii="宋体" w:hAnsi="宋体" w:cs="宋体" w:eastAsia="宋体" w:hint="default"/>
          <w:b/>
          <w:bCs/>
          <w:spacing w:val="-8"/>
          <w:sz w:val="28"/>
          <w:szCs w:val="28"/>
        </w:rPr>
        <w:t>（二）应收账款发生坏账的风险。公司应收账款余额较大，截至</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年末，</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公司应收账款账面价值为</w:t>
      </w:r>
      <w:r>
        <w:rPr>
          <w:rFonts w:ascii="宋体" w:hAnsi="宋体" w:cs="宋体" w:eastAsia="宋体" w:hint="default"/>
          <w:b/>
          <w:bCs/>
          <w:spacing w:val="-85"/>
          <w:w w:val="99"/>
          <w:sz w:val="28"/>
          <w:szCs w:val="28"/>
        </w:rPr>
        <w:t> </w:t>
      </w:r>
      <w:r>
        <w:rPr>
          <w:rFonts w:ascii="Times New Roman" w:hAnsi="Times New Roman" w:cs="Times New Roman" w:eastAsia="Times New Roman" w:hint="default"/>
          <w:b/>
          <w:bCs/>
          <w:spacing w:val="-1"/>
          <w:w w:val="100"/>
          <w:sz w:val="28"/>
          <w:szCs w:val="28"/>
        </w:rPr>
        <w:t>53,830.70</w:t>
      </w:r>
      <w:r>
        <w:rPr>
          <w:rFonts w:ascii="Times New Roman" w:hAnsi="Times New Roman" w:cs="Times New Roman" w:eastAsia="Times New Roman" w:hint="default"/>
          <w:b/>
          <w:bCs/>
          <w:spacing w:val="-15"/>
          <w:w w:val="100"/>
          <w:sz w:val="28"/>
          <w:szCs w:val="28"/>
        </w:rPr>
        <w:t> </w:t>
      </w:r>
      <w:r>
        <w:rPr>
          <w:rFonts w:ascii="宋体" w:hAnsi="宋体" w:cs="宋体" w:eastAsia="宋体" w:hint="default"/>
          <w:b/>
          <w:bCs/>
          <w:spacing w:val="-1"/>
          <w:w w:val="99"/>
          <w:sz w:val="28"/>
          <w:szCs w:val="28"/>
        </w:rPr>
        <w:t>万元</w:t>
      </w:r>
      <w:r>
        <w:rPr>
          <w:rFonts w:ascii="宋体" w:hAnsi="宋体" w:cs="宋体" w:eastAsia="宋体" w:hint="default"/>
          <w:b/>
          <w:bCs/>
          <w:spacing w:val="6"/>
          <w:w w:val="99"/>
          <w:sz w:val="28"/>
          <w:szCs w:val="28"/>
        </w:rPr>
        <w:t> </w:t>
      </w:r>
      <w:r>
        <w:rPr>
          <w:rFonts w:ascii="宋体" w:hAnsi="宋体" w:cs="宋体" w:eastAsia="宋体" w:hint="default"/>
          <w:b/>
          <w:bCs/>
          <w:spacing w:val="-14"/>
          <w:w w:val="99"/>
          <w:sz w:val="28"/>
          <w:szCs w:val="28"/>
        </w:rPr>
        <w:t>，占期末总资产的比例为</w:t>
      </w:r>
      <w:r>
        <w:rPr>
          <w:rFonts w:ascii="宋体" w:hAnsi="宋体" w:cs="宋体" w:eastAsia="宋体" w:hint="default"/>
          <w:b/>
          <w:bCs/>
          <w:spacing w:val="-85"/>
          <w:w w:val="99"/>
          <w:sz w:val="28"/>
          <w:szCs w:val="28"/>
        </w:rPr>
        <w:t> </w:t>
      </w:r>
      <w:r>
        <w:rPr>
          <w:rFonts w:ascii="Times New Roman" w:hAnsi="Times New Roman" w:cs="Times New Roman" w:eastAsia="Times New Roman" w:hint="default"/>
          <w:b/>
          <w:bCs/>
          <w:spacing w:val="-14"/>
          <w:w w:val="100"/>
          <w:sz w:val="28"/>
          <w:szCs w:val="28"/>
        </w:rPr>
        <w:t>16.77%</w:t>
      </w:r>
      <w:r>
        <w:rPr>
          <w:rFonts w:ascii="宋体" w:hAnsi="宋体" w:cs="宋体" w:eastAsia="宋体" w:hint="default"/>
          <w:b/>
          <w:bCs/>
          <w:spacing w:val="-14"/>
          <w:w w:val="100"/>
          <w:sz w:val="28"/>
          <w:szCs w:val="28"/>
        </w:rPr>
        <w:t>，</w:t>
      </w:r>
      <w:r>
        <w:rPr>
          <w:rFonts w:ascii="Times New Roman" w:hAnsi="Times New Roman" w:cs="Times New Roman" w:eastAsia="Times New Roman" w:hint="default"/>
          <w:b/>
          <w:bCs/>
          <w:spacing w:val="-14"/>
          <w:w w:val="100"/>
          <w:sz w:val="28"/>
          <w:szCs w:val="28"/>
        </w:rPr>
        <w:t>2016</w:t>
      </w:r>
      <w:r>
        <w:rPr>
          <w:rFonts w:ascii="Times New Roman" w:hAnsi="Times New Roman" w:cs="Times New Roman" w:eastAsia="Times New Roman" w:hint="default"/>
          <w:b/>
          <w:bCs/>
          <w:spacing w:val="-63"/>
          <w:w w:val="100"/>
          <w:sz w:val="28"/>
          <w:szCs w:val="28"/>
        </w:rPr>
        <w:t> </w:t>
      </w:r>
      <w:r>
        <w:rPr>
          <w:rFonts w:ascii="Times New Roman" w:hAnsi="Times New Roman" w:cs="Times New Roman" w:eastAsia="Times New Roman" w:hint="default"/>
          <w:b/>
          <w:bCs/>
          <w:spacing w:val="-63"/>
          <w:w w:val="100"/>
          <w:sz w:val="28"/>
          <w:szCs w:val="28"/>
        </w:rPr>
      </w:r>
      <w:r>
        <w:rPr>
          <w:rFonts w:ascii="宋体" w:hAnsi="宋体" w:cs="宋体" w:eastAsia="宋体" w:hint="default"/>
          <w:b/>
          <w:bCs/>
          <w:sz w:val="28"/>
          <w:szCs w:val="28"/>
        </w:rPr>
        <w:t>年至</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2018 </w:t>
      </w:r>
      <w:r>
        <w:rPr>
          <w:rFonts w:ascii="宋体" w:hAnsi="宋体" w:cs="宋体" w:eastAsia="宋体" w:hint="default"/>
          <w:b/>
          <w:bCs/>
          <w:sz w:val="28"/>
          <w:szCs w:val="28"/>
        </w:rPr>
        <w:t>年，公司应收账款周转率分别为 </w:t>
      </w:r>
      <w:r>
        <w:rPr>
          <w:rFonts w:ascii="Times New Roman" w:hAnsi="Times New Roman" w:cs="Times New Roman" w:eastAsia="Times New Roman" w:hint="default"/>
          <w:b/>
          <w:bCs/>
          <w:sz w:val="28"/>
          <w:szCs w:val="28"/>
        </w:rPr>
        <w:t>2.32 </w:t>
      </w:r>
      <w:r>
        <w:rPr>
          <w:rFonts w:ascii="宋体" w:hAnsi="宋体" w:cs="宋体" w:eastAsia="宋体" w:hint="default"/>
          <w:b/>
          <w:bCs/>
          <w:sz w:val="28"/>
          <w:szCs w:val="28"/>
        </w:rPr>
        <w:t>次、</w:t>
      </w:r>
      <w:r>
        <w:rPr>
          <w:rFonts w:ascii="Times New Roman" w:hAnsi="Times New Roman" w:cs="Times New Roman" w:eastAsia="Times New Roman" w:hint="default"/>
          <w:b/>
          <w:bCs/>
          <w:sz w:val="28"/>
          <w:szCs w:val="28"/>
        </w:rPr>
        <w:t>2.04 </w:t>
      </w:r>
      <w:r>
        <w:rPr>
          <w:rFonts w:ascii="宋体" w:hAnsi="宋体" w:cs="宋体" w:eastAsia="宋体" w:hint="default"/>
          <w:b/>
          <w:bCs/>
          <w:sz w:val="28"/>
          <w:szCs w:val="28"/>
        </w:rPr>
        <w:t>次、</w:t>
      </w:r>
      <w:r>
        <w:rPr>
          <w:rFonts w:ascii="Times New Roman" w:hAnsi="Times New Roman" w:cs="Times New Roman" w:eastAsia="Times New Roman" w:hint="default"/>
          <w:b/>
          <w:bCs/>
          <w:sz w:val="28"/>
          <w:szCs w:val="28"/>
        </w:rPr>
        <w:t>1.44 </w:t>
      </w:r>
      <w:r>
        <w:rPr>
          <w:rFonts w:ascii="宋体" w:hAnsi="宋体" w:cs="宋体" w:eastAsia="宋体" w:hint="default"/>
          <w:b/>
          <w:bCs/>
          <w:sz w:val="28"/>
          <w:szCs w:val="28"/>
        </w:rPr>
        <w:t>次，应收账</w:t>
      </w:r>
      <w:r>
        <w:rPr>
          <w:rFonts w:ascii="宋体" w:hAnsi="宋体" w:cs="宋体" w:eastAsia="宋体" w:hint="default"/>
          <w:b/>
          <w:bCs/>
          <w:w w:val="99"/>
          <w:sz w:val="28"/>
          <w:szCs w:val="28"/>
        </w:rPr>
        <w:t> </w:t>
      </w:r>
      <w:r>
        <w:rPr>
          <w:rFonts w:ascii="宋体" w:hAnsi="宋体" w:cs="宋体" w:eastAsia="宋体" w:hint="default"/>
          <w:b/>
          <w:bCs/>
          <w:spacing w:val="2"/>
          <w:sz w:val="28"/>
          <w:szCs w:val="28"/>
        </w:rPr>
        <w:t>款周转率呈现下降。公司金融软件业务客户为金融机构客户，资金实力雄厚，</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信用良好，行业的坏账是极小的。公司供应链业务和保理业务的客户群体主要</w:t>
      </w:r>
      <w:r>
        <w:rPr>
          <w:rFonts w:ascii="宋体" w:hAnsi="宋体" w:cs="宋体" w:eastAsia="宋体" w:hint="default"/>
          <w:spacing w:val="2"/>
          <w:sz w:val="28"/>
          <w:szCs w:val="28"/>
        </w:rPr>
      </w:r>
    </w:p>
    <w:p>
      <w:pPr>
        <w:spacing w:after="0" w:line="391" w:lineRule="auto"/>
        <w:jc w:val="left"/>
        <w:rPr>
          <w:rFonts w:ascii="宋体" w:hAnsi="宋体" w:cs="宋体" w:eastAsia="宋体" w:hint="default"/>
          <w:sz w:val="28"/>
          <w:szCs w:val="28"/>
        </w:rPr>
        <w:sectPr>
          <w:footerReference w:type="default" r:id="rId8"/>
          <w:pgSz w:w="11910" w:h="16840"/>
          <w:pgMar w:footer="1009" w:header="787" w:top="1100" w:bottom="1200" w:left="1020" w:right="0"/>
          <w:pgNumType w:start="2"/>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9"/>
          <w:szCs w:val="29"/>
        </w:rPr>
      </w:pPr>
    </w:p>
    <w:p>
      <w:pPr>
        <w:spacing w:line="386" w:lineRule="auto" w:before="14"/>
        <w:ind w:left="112" w:right="952" w:firstLine="0"/>
        <w:jc w:val="left"/>
        <w:rPr>
          <w:rFonts w:ascii="宋体" w:hAnsi="宋体" w:cs="宋体" w:eastAsia="宋体" w:hint="default"/>
          <w:sz w:val="28"/>
          <w:szCs w:val="28"/>
        </w:rPr>
      </w:pPr>
      <w:r>
        <w:rPr>
          <w:rFonts w:ascii="宋体" w:hAnsi="宋体" w:cs="宋体" w:eastAsia="宋体" w:hint="default"/>
          <w:b/>
          <w:bCs/>
          <w:sz w:val="28"/>
          <w:szCs w:val="28"/>
        </w:rPr>
        <w:t>为</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A </w:t>
      </w:r>
      <w:r>
        <w:rPr>
          <w:rFonts w:ascii="宋体" w:hAnsi="宋体" w:cs="宋体" w:eastAsia="宋体" w:hint="default"/>
          <w:b/>
          <w:bCs/>
          <w:sz w:val="28"/>
          <w:szCs w:val="28"/>
        </w:rPr>
        <w:t>股上市公司及其核心供应商、新三板上市企业及国家级农业龙头企业，其</w:t>
      </w:r>
      <w:r>
        <w:rPr>
          <w:rFonts w:ascii="宋体" w:hAnsi="宋体" w:cs="宋体" w:eastAsia="宋体" w:hint="default"/>
          <w:b/>
          <w:bCs/>
          <w:w w:val="99"/>
          <w:sz w:val="28"/>
          <w:szCs w:val="28"/>
        </w:rPr>
        <w:t> </w:t>
      </w:r>
      <w:r>
        <w:rPr>
          <w:rFonts w:ascii="宋体" w:hAnsi="宋体" w:cs="宋体" w:eastAsia="宋体" w:hint="default"/>
          <w:b/>
          <w:bCs/>
          <w:sz w:val="28"/>
          <w:szCs w:val="28"/>
        </w:rPr>
        <w:t>信用风险可控，但在复杂的经济和经营环境下，不排除风险事件发生。</w:t>
      </w:r>
      <w:r>
        <w:rPr>
          <w:rFonts w:ascii="宋体" w:hAnsi="宋体" w:cs="宋体" w:eastAsia="宋体" w:hint="default"/>
          <w:sz w:val="28"/>
          <w:szCs w:val="28"/>
        </w:rPr>
      </w:r>
    </w:p>
    <w:p>
      <w:pPr>
        <w:spacing w:line="408" w:lineRule="auto" w:before="185"/>
        <w:ind w:left="112" w:right="1127" w:firstLine="408"/>
        <w:jc w:val="both"/>
        <w:rPr>
          <w:rFonts w:ascii="宋体" w:hAnsi="宋体" w:cs="宋体" w:eastAsia="宋体" w:hint="default"/>
          <w:sz w:val="28"/>
          <w:szCs w:val="28"/>
        </w:rPr>
      </w:pPr>
      <w:r>
        <w:rPr>
          <w:rFonts w:ascii="宋体" w:hAnsi="宋体" w:cs="宋体" w:eastAsia="宋体" w:hint="default"/>
          <w:b/>
          <w:bCs/>
          <w:spacing w:val="-2"/>
          <w:sz w:val="28"/>
          <w:szCs w:val="28"/>
        </w:rPr>
        <w:t>（三）管理风险。公司建立了较为规范的法人治理结构和内控制度体系，为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公司保持持续稳定发展提供了重要保证。目前公司核心管理团队稳定，经营稳</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健，业绩持续增长。随着公司经营规模的扩大和战略转型发展，建立更加有效</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的管理决策体系，进一步完善内部控制体系，引进和培养技术及管理人才都将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成为公司面临的重要问题。如果公司在高速发展过程中，不能妥善、有效地解</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决高速成长带来的管理风险，特别是在战略转型过程中如不能有效地进行整合</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和控制，可能就会对公司生产经营造成不利影响。</w:t>
      </w:r>
      <w:r>
        <w:rPr>
          <w:rFonts w:ascii="宋体" w:hAnsi="宋体" w:cs="宋体" w:eastAsia="宋体" w:hint="default"/>
          <w:sz w:val="28"/>
          <w:szCs w:val="28"/>
        </w:rPr>
      </w:r>
    </w:p>
    <w:p>
      <w:pPr>
        <w:spacing w:line="403" w:lineRule="auto" w:before="162"/>
        <w:ind w:left="112" w:right="952" w:firstLine="561"/>
        <w:jc w:val="left"/>
        <w:rPr>
          <w:rFonts w:ascii="宋体" w:hAnsi="宋体" w:cs="宋体" w:eastAsia="宋体" w:hint="default"/>
          <w:sz w:val="28"/>
          <w:szCs w:val="28"/>
        </w:rPr>
      </w:pPr>
      <w:r>
        <w:rPr>
          <w:rFonts w:ascii="宋体" w:hAnsi="宋体" w:cs="宋体" w:eastAsia="宋体" w:hint="default"/>
          <w:b/>
          <w:bCs/>
          <w:spacing w:val="2"/>
          <w:sz w:val="28"/>
          <w:szCs w:val="28"/>
        </w:rPr>
        <w:t>（四）人才风险。人才资源是软件企业的核心资源之一，是软件企业的第</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一生产力，软件行业的市场竞争越来越表现为高素质人才的竞争。软件企业的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人才流动性较高，本公司不可避免的面临核心技术人员及管理人员流失的风险。</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为吸引、保留和发展核心人员，公司建立了较为完善的人力资源体系，采取了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一些有效的激励或约束措施，例如部分关键人才直接持股，提高了公司核心人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员的稳定性。公司上市，能够获得更好的品牌效益，投入更多资源改善工作环</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境和工作条件</w:t>
      </w:r>
      <w:r>
        <w:rPr>
          <w:rFonts w:ascii="Times New Roman" w:hAnsi="Times New Roman" w:cs="Times New Roman" w:eastAsia="Times New Roman" w:hint="default"/>
          <w:b/>
          <w:bCs/>
          <w:sz w:val="28"/>
          <w:szCs w:val="28"/>
        </w:rPr>
        <w:t>, </w:t>
      </w:r>
      <w:r>
        <w:rPr>
          <w:rFonts w:ascii="宋体" w:hAnsi="宋体" w:cs="宋体" w:eastAsia="宋体" w:hint="default"/>
          <w:b/>
          <w:bCs/>
          <w:spacing w:val="-6"/>
          <w:sz w:val="28"/>
          <w:szCs w:val="28"/>
        </w:rPr>
        <w:t>增强公司对高素质人才的吸引力和归属感。但是，上述措施并不</w:t>
      </w:r>
      <w:r>
        <w:rPr>
          <w:rFonts w:ascii="宋体" w:hAnsi="宋体" w:cs="宋体" w:eastAsia="宋体" w:hint="default"/>
          <w:b/>
          <w:bCs/>
          <w:spacing w:val="-120"/>
          <w:sz w:val="28"/>
          <w:szCs w:val="28"/>
        </w:rPr>
        <w:t> </w:t>
      </w:r>
      <w:r>
        <w:rPr>
          <w:rFonts w:ascii="宋体" w:hAnsi="宋体" w:cs="宋体" w:eastAsia="宋体" w:hint="default"/>
          <w:b/>
          <w:bCs/>
          <w:spacing w:val="-120"/>
          <w:sz w:val="28"/>
          <w:szCs w:val="28"/>
        </w:rPr>
      </w:r>
      <w:r>
        <w:rPr>
          <w:rFonts w:ascii="宋体" w:hAnsi="宋体" w:cs="宋体" w:eastAsia="宋体" w:hint="default"/>
          <w:b/>
          <w:bCs/>
          <w:spacing w:val="2"/>
          <w:sz w:val="28"/>
          <w:szCs w:val="28"/>
        </w:rPr>
        <w:t>能完全保证核心人员的稳定，如果出现核心人员流失、人才结构失衡的情况，</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5"/>
          <w:w w:val="99"/>
          <w:sz w:val="28"/>
          <w:szCs w:val="28"/>
        </w:rPr>
        <w:t>公司的生产经营将受到一定的负面影响。随着创新科技金融市场竞争的加剧</w:t>
      </w:r>
      <w:r>
        <w:rPr>
          <w:rFonts w:ascii="Times New Roman" w:hAnsi="Times New Roman" w:cs="Times New Roman" w:eastAsia="Times New Roman" w:hint="default"/>
          <w:b/>
          <w:bCs/>
          <w:spacing w:val="-5"/>
          <w:w w:val="99"/>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w w:val="99"/>
          <w:sz w:val="28"/>
          <w:szCs w:val="28"/>
        </w:rPr>
        <w:t>公</w:t>
      </w:r>
      <w:r>
        <w:rPr>
          <w:rFonts w:ascii="宋体" w:hAnsi="宋体" w:cs="宋体" w:eastAsia="宋体" w:hint="default"/>
          <w:b/>
          <w:bCs/>
          <w:spacing w:val="-118"/>
          <w:w w:val="99"/>
          <w:sz w:val="28"/>
          <w:szCs w:val="28"/>
        </w:rPr>
        <w:t> </w:t>
      </w:r>
      <w:r>
        <w:rPr>
          <w:rFonts w:ascii="宋体" w:hAnsi="宋体" w:cs="宋体" w:eastAsia="宋体" w:hint="default"/>
          <w:b/>
          <w:bCs/>
          <w:sz w:val="28"/>
          <w:szCs w:val="28"/>
        </w:rPr>
        <w:t>司将不断面临新技术</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新产品的挑战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如果未来公司不能在技术储备</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67"/>
          <w:sz w:val="28"/>
          <w:szCs w:val="28"/>
        </w:rPr>
        <w:t> </w:t>
      </w:r>
      <w:r>
        <w:rPr>
          <w:rFonts w:ascii="宋体" w:hAnsi="宋体" w:cs="宋体" w:eastAsia="宋体" w:hint="default"/>
          <w:b/>
          <w:bCs/>
          <w:sz w:val="28"/>
          <w:szCs w:val="28"/>
        </w:rPr>
        <w:t>人才引入和</w:t>
      </w:r>
      <w:r>
        <w:rPr>
          <w:rFonts w:ascii="宋体" w:hAnsi="宋体" w:cs="宋体" w:eastAsia="宋体" w:hint="default"/>
          <w:b/>
          <w:bCs/>
          <w:w w:val="99"/>
          <w:sz w:val="28"/>
          <w:szCs w:val="28"/>
        </w:rPr>
        <w:t> </w:t>
      </w:r>
      <w:r>
        <w:rPr>
          <w:rFonts w:ascii="宋体" w:hAnsi="宋体" w:cs="宋体" w:eastAsia="宋体" w:hint="default"/>
          <w:b/>
          <w:bCs/>
          <w:sz w:val="28"/>
          <w:szCs w:val="28"/>
        </w:rPr>
        <w:t>培养上获得持续的积累</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就有可能面临市场地位和竞争优势下降的风险。</w:t>
      </w:r>
      <w:r>
        <w:rPr>
          <w:rFonts w:ascii="宋体" w:hAnsi="宋体" w:cs="宋体" w:eastAsia="宋体" w:hint="default"/>
          <w:sz w:val="28"/>
          <w:szCs w:val="28"/>
        </w:rPr>
      </w:r>
    </w:p>
    <w:p>
      <w:pPr>
        <w:spacing w:line="408" w:lineRule="auto" w:before="126"/>
        <w:ind w:left="112" w:right="1128" w:firstLine="561"/>
        <w:jc w:val="left"/>
        <w:rPr>
          <w:rFonts w:ascii="宋体" w:hAnsi="宋体" w:cs="宋体" w:eastAsia="宋体" w:hint="default"/>
          <w:sz w:val="28"/>
          <w:szCs w:val="28"/>
        </w:rPr>
      </w:pPr>
      <w:r>
        <w:rPr>
          <w:rFonts w:ascii="宋体" w:hAnsi="宋体" w:cs="宋体" w:eastAsia="宋体" w:hint="default"/>
          <w:b/>
          <w:bCs/>
          <w:spacing w:val="2"/>
          <w:sz w:val="28"/>
          <w:szCs w:val="28"/>
        </w:rPr>
        <w:t>（五）技术风险。公司长期致力于金融机构资产管理业务和资产托管业务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信息化建设解决方案应用软件的开发和服务，经过多年努力和积累，形成了比</w:t>
      </w:r>
      <w:r>
        <w:rPr>
          <w:rFonts w:ascii="宋体" w:hAnsi="宋体" w:cs="宋体" w:eastAsia="宋体" w:hint="default"/>
          <w:spacing w:val="2"/>
          <w:sz w:val="28"/>
          <w:szCs w:val="28"/>
        </w:rPr>
      </w:r>
    </w:p>
    <w:p>
      <w:pPr>
        <w:spacing w:after="0" w:line="408" w:lineRule="auto"/>
        <w:jc w:val="left"/>
        <w:rPr>
          <w:rFonts w:ascii="宋体" w:hAnsi="宋体" w:cs="宋体" w:eastAsia="宋体" w:hint="default"/>
          <w:sz w:val="28"/>
          <w:szCs w:val="28"/>
        </w:rPr>
        <w:sectPr>
          <w:pgSz w:w="11910" w:h="16840"/>
          <w:pgMar w:header="787" w:footer="1009" w:top="1100" w:bottom="1200" w:left="1020" w:right="0"/>
        </w:sectPr>
      </w:pPr>
    </w:p>
    <w:p>
      <w:pPr>
        <w:spacing w:line="240" w:lineRule="auto" w:before="12"/>
        <w:rPr>
          <w:rFonts w:ascii="宋体" w:hAnsi="宋体" w:cs="宋体" w:eastAsia="宋体" w:hint="default"/>
          <w:b/>
          <w:bCs/>
          <w:sz w:val="28"/>
          <w:szCs w:val="28"/>
        </w:rPr>
      </w:pPr>
    </w:p>
    <w:p>
      <w:pPr>
        <w:spacing w:line="408" w:lineRule="auto" w:before="14"/>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较成熟的研发模式和服务体系，取得了显著的竞争优势。但信息技术发展日新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月异，软件行业具有技术进步快、产品更新快、市场需求变化快的特点。如果</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公司不能及时准确地把握软件开发新技术发展趋势和市场需求新变化，调整软</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件开发模式，促进技术更新，创新赢利模式，公司将面临技术更新与产品开发</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的风险。</w:t>
      </w:r>
      <w:r>
        <w:rPr>
          <w:rFonts w:ascii="宋体" w:hAnsi="宋体" w:cs="宋体" w:eastAsia="宋体" w:hint="default"/>
          <w:sz w:val="28"/>
          <w:szCs w:val="28"/>
        </w:rPr>
      </w:r>
    </w:p>
    <w:p>
      <w:pPr>
        <w:spacing w:line="408" w:lineRule="auto" w:before="160"/>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（六）战略投资不能达到预期收益的风险。面对金融科技的发展机遇，公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司依托长久以来积累的人才积累、金融行业服务经验和客户基础，积极布局金</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融科技生态圈，推动公司金融科技的战略转型，以增强和提升公司的整体盈利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能力和核心竞争力。但目前部分金融科技技术如人工智能的商业应用仍处于初</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级发展阶段，技术研发、应用和市场不确定因素较多，战略转型可能无法达到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预期效果。</w:t>
      </w:r>
      <w:r>
        <w:rPr>
          <w:rFonts w:ascii="宋体" w:hAnsi="宋体" w:cs="宋体" w:eastAsia="宋体" w:hint="default"/>
          <w:sz w:val="28"/>
          <w:szCs w:val="28"/>
        </w:rPr>
      </w:r>
    </w:p>
    <w:p>
      <w:pPr>
        <w:spacing w:before="162"/>
        <w:ind w:left="674" w:right="95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742,214,580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spacing w:val="-1"/>
          <w:w w:val="99"/>
          <w:sz w:val="28"/>
          <w:szCs w:val="28"/>
        </w:rPr>
        <w:t>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headerReference w:type="default" r:id="rId9"/>
          <w:pgSz w:w="11910" w:h="16840"/>
          <w:pgMar w:header="919" w:footer="1009" w:top="112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460" w:lineRule="exact" w:before="0"/>
        <w:ind w:left="513" w:right="153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1">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6"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w:t>
            </w:r>
            <w:r>
              <w:rPr>
                <w:rFonts w:ascii="Times New Roman" w:hAnsi="Times New Roman" w:cs="Times New Roman" w:eastAsia="Times New Roman" w:hint="default"/>
                <w:b w:val="0"/>
                <w:bCs w:val="0"/>
                <w:spacing w:val="-5"/>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200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919" w:footer="1009" w:top="1120" w:bottom="1200" w:left="1020" w:right="0"/>
        </w:sectPr>
      </w:pPr>
    </w:p>
    <w:p>
      <w:pPr>
        <w:spacing w:before="881"/>
        <w:ind w:left="513" w:right="15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公司、赢时胜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深圳市赢时胜信息技术股份有限公司股东大会、董事会、监事会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保荐机构、东吴证券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7"/>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7"/>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上海赢量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链石信息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链石（苏州）信息科技有限公司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上海赢保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东吴金融科技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东吴</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金融科技有限公司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阳光金服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阳光恒美金融信息技术服务（上海）股份有限公司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东方金信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北京东方金信科技有限公司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北京营安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北京营安金融信息服务有限公司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上海怀若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上海怀若智能科技有限公司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慧闻科技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北京慧闻科技（集团）有限公司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怀光智能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怀光智能科技（武汉）有限公司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图灵机器人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深圳市图灵机器人有限公司</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1"/>
        <w:spacing w:line="240" w:lineRule="auto"/>
        <w:ind w:left="2606" w:right="95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2"/>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赢时胜</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300377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赢时胜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SHENZHEN YSSTECH INFO-TECH</w:t>
            </w:r>
            <w:r>
              <w:rPr>
                <w:rFonts w:ascii="Times New Roman"/>
                <w:spacing w:val="-16"/>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YSS</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唐球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深圳市福田区华富街道莲花一村社区皇岗路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号深业上城（南区）</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深圳市福田区皇岗路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号深业上城南区二期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0">
              <w:r>
                <w:rPr>
                  <w:rFonts w:ascii="Times New Roman"/>
                  <w:sz w:val="18"/>
                </w:rPr>
                <w:t>www.ysstech.com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5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张建科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深圳市福田区皇岗路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号深业上城</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南区二期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深圳市福田区皇岗路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号深业上城</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南区二期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0755-23968617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0755-23968617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0755-88265113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0755-88265113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5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8"/>
        <w:rPr>
          <w:rFonts w:ascii="宋体" w:hAnsi="宋体" w:cs="宋体" w:eastAsia="宋体" w:hint="default"/>
          <w:b/>
          <w:bCs/>
          <w:sz w:val="18"/>
          <w:szCs w:val="18"/>
        </w:rPr>
      </w:pPr>
    </w:p>
    <w:p>
      <w:pPr>
        <w:pStyle w:val="Heading2"/>
        <w:spacing w:line="240" w:lineRule="auto" w:before="26"/>
        <w:ind w:right="952"/>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深圳市福田区深南中路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屈先富、陈子涵</w:t>
            </w:r>
          </w:p>
        </w:tc>
      </w:tr>
    </w:tbl>
    <w:p>
      <w:pPr>
        <w:pStyle w:val="BodyText"/>
        <w:spacing w:line="240" w:lineRule="auto" w:before="51"/>
        <w:ind w:right="952"/>
        <w:jc w:val="left"/>
      </w:pPr>
      <w:r>
        <w:rPr/>
        <w:t>公司聘请的报告期内履行持续督导职责的保荐机构</w:t>
      </w:r>
    </w:p>
    <w:p>
      <w:pPr>
        <w:pStyle w:val="BodyText"/>
        <w:spacing w:line="240" w:lineRule="auto" w:before="117"/>
        <w:ind w:right="952"/>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公司非公开发行的股票在交</w:t>
            </w:r>
          </w:p>
        </w:tc>
      </w:tr>
      <w:tr>
        <w:trPr>
          <w:trHeight w:val="31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苏州工业园区星阳街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冯洪锋、张帅</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易所上市当年剩余时间及其</w:t>
            </w: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后两个完整会计年度。</w:t>
            </w:r>
          </w:p>
        </w:tc>
      </w:tr>
    </w:tbl>
    <w:p>
      <w:pPr>
        <w:pStyle w:val="BodyText"/>
        <w:spacing w:line="240" w:lineRule="auto" w:before="50"/>
        <w:ind w:right="952"/>
        <w:jc w:val="left"/>
      </w:pPr>
      <w:r>
        <w:rPr/>
        <w:t>公司聘请的报告期内履行持续督导职责的财务顾问</w:t>
      </w:r>
    </w:p>
    <w:p>
      <w:pPr>
        <w:pStyle w:val="BodyText"/>
        <w:spacing w:line="240" w:lineRule="auto" w:before="117"/>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公司是否需追溯调整或重述以前年度会计数据</w:t>
      </w:r>
    </w:p>
    <w:p>
      <w:pPr>
        <w:pStyle w:val="BodyText"/>
        <w:spacing w:line="240" w:lineRule="auto" w:before="117"/>
        <w:ind w:right="952"/>
        <w:jc w:val="left"/>
      </w:pPr>
      <w:r>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639,100,493.81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537,017,966.08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350,808,370.86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177,780,372.07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208,463,060.81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121,039,371.35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155,899,691.70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197,454,554.39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114,010,749.27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-49,044,888.34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-117,350,432.45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52,969,543.83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0.2395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0.2808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0.1695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0.2395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0.2808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0.1693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6.54%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7.92%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6.00%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3,209,914,333.02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2,938,710,527.97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2,714,518,538.76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2,713,651,911.51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2,698,048,074.04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2,567,355,553.38</w:t>
            </w:r>
          </w:p>
        </w:tc>
      </w:tr>
    </w:tbl>
    <w:p>
      <w:pPr>
        <w:spacing w:line="240" w:lineRule="auto" w:before="12"/>
        <w:rPr>
          <w:rFonts w:ascii="宋体" w:hAnsi="宋体" w:cs="宋体" w:eastAsia="宋体" w:hint="default"/>
          <w:sz w:val="17"/>
          <w:szCs w:val="17"/>
        </w:rPr>
      </w:pPr>
    </w:p>
    <w:p>
      <w:pPr>
        <w:pStyle w:val="Heading2"/>
        <w:spacing w:line="240" w:lineRule="auto" w:before="26"/>
        <w:ind w:right="95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after="0" w:line="240" w:lineRule="auto"/>
        <w:jc w:val="right"/>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143,941,241.87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162,795,413.14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166,195,678.22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166,168,160.58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25,439,655.29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50,250,531.37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0" w:right="0"/>
              <w:jc w:val="left"/>
              <w:rPr>
                <w:rFonts w:ascii="Times New Roman" w:hAnsi="Times New Roman" w:cs="Times New Roman" w:eastAsia="Times New Roman" w:hint="default"/>
                <w:sz w:val="18"/>
                <w:szCs w:val="18"/>
              </w:rPr>
            </w:pPr>
            <w:r>
              <w:rPr>
                <w:rFonts w:ascii="Times New Roman"/>
                <w:sz w:val="18"/>
              </w:rPr>
              <w:t>42,191,150.18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59,899,035.23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25,398,913.61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44,333,561.72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42,112,889.63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44,054,326.74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-68,545,022.64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-64,715,705.42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-39,210,667.53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123,426,507.25</w:t>
            </w:r>
          </w:p>
        </w:tc>
      </w:tr>
    </w:tbl>
    <w:p>
      <w:pPr>
        <w:pStyle w:val="BodyText"/>
        <w:spacing w:line="240" w:lineRule="auto" w:before="51"/>
        <w:ind w:right="952"/>
        <w:jc w:val="left"/>
      </w:pPr>
      <w:r>
        <w:rPr/>
        <w:t>上述财务指标或其加总数是否与公司已披露季度报告、半年度报告相关财务指标存在重大差异</w:t>
      </w:r>
    </w:p>
    <w:p>
      <w:pPr>
        <w:pStyle w:val="BodyText"/>
        <w:spacing w:line="240" w:lineRule="auto" w:before="117"/>
        <w:ind w:right="952"/>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169"/>
        <w:jc w:val="left"/>
      </w:pPr>
      <w:r>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2654"/>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952"/>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-52,015.37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50,387.52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-7,506.92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19,927,376.75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5,698,968.07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5,973,027.66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5,779,536.36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6,378,991.96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1,222,510.96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497,012.58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1,076,100.63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524,887.69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-71,218.88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-87,599.69</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2,938,533.88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1,148,899.02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870,955.61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1,360,571.18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396,735.81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276,954.95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21,880,680.37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11,008,506.42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7,028,622.08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52"/>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952"/>
        <w:jc w:val="left"/>
      </w:pPr>
      <w:r>
        <w:rPr/>
        <w:t>□ 适用 √ 不适用</w:t>
      </w:r>
    </w:p>
    <w:p>
      <w:pPr>
        <w:pStyle w:val="BodyText"/>
        <w:spacing w:line="300" w:lineRule="auto" w:before="117"/>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footerReference w:type="default" r:id="rId13"/>
          <w:pgSz w:w="11910" w:h="16840"/>
          <w:pgMar w:footer="1009" w:header="919" w:top="1120" w:bottom="1200" w:left="102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408" w:right="952"/>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5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27"/>
        <w:ind w:right="1125" w:firstLine="360"/>
        <w:jc w:val="both"/>
      </w:pPr>
      <w:r>
        <w:rPr>
          <w:spacing w:val="-2"/>
        </w:rPr>
        <w:t>报告期，公司经营紧紧围绕金融科技发展战略，公司主营业务继续聚焦为金融机构的资产管理和资产托管业务提供信息</w:t>
      </w:r>
      <w:r>
        <w:rPr/>
        <w:t> </w:t>
      </w:r>
      <w:r>
        <w:rPr>
          <w:spacing w:val="-2"/>
        </w:rPr>
        <w:t>化系统解决方案的应用软件及增值服务。公司主要产品包括资产托管系列软件、资金交易风险管理系列软件、财务估值核算</w:t>
      </w:r>
      <w:r>
        <w:rPr>
          <w:spacing w:val="-63"/>
        </w:rPr>
        <w:t> </w:t>
      </w:r>
      <w:r>
        <w:rPr>
          <w:spacing w:val="-63"/>
        </w:rPr>
      </w:r>
      <w:r>
        <w:rPr>
          <w:spacing w:val="-2"/>
        </w:rPr>
        <w:t>软件、金融资产投资绩效及风险管理软件、投资交易管理软件、金融数据中心系列软件等，“全资产、全业务、全数据、全</w:t>
      </w:r>
      <w:r>
        <w:rPr>
          <w:spacing w:val="-67"/>
        </w:rPr>
        <w:t> </w:t>
      </w:r>
      <w:r>
        <w:rPr>
          <w:spacing w:val="-67"/>
        </w:rPr>
      </w:r>
      <w:r>
        <w:rPr>
          <w:spacing w:val="-2"/>
        </w:rPr>
        <w:t>行业”是公司产品的特性，公司产品可广泛应用于金融行业研究、分析、投资、交易、风控、监督、清算、核算估值、绩效</w:t>
      </w:r>
      <w:r>
        <w:rPr>
          <w:spacing w:val="-64"/>
        </w:rPr>
        <w:t> </w:t>
      </w:r>
      <w:r>
        <w:rPr>
          <w:spacing w:val="-64"/>
        </w:rPr>
      </w:r>
      <w:r>
        <w:rPr>
          <w:spacing w:val="-2"/>
        </w:rPr>
        <w:t>评估、存托管、数据整合等业务环节，公司客户涵盖银行、基金公司、证券公司、保险公司、信托公司、期货公司、财务公</w:t>
      </w:r>
      <w:r>
        <w:rPr>
          <w:spacing w:val="-62"/>
        </w:rPr>
        <w:t> </w:t>
      </w:r>
      <w:r>
        <w:rPr>
          <w:spacing w:val="-62"/>
        </w:rPr>
      </w:r>
      <w:r>
        <w:rPr>
          <w:spacing w:val="-2"/>
        </w:rPr>
        <w:t>司、私募基金管理公司、全国社会保障理事会等。公司经营坚持以客户需求为导向，经营业务需求的主要来源：一是金融产</w:t>
      </w:r>
      <w:r>
        <w:rPr>
          <w:spacing w:val="-63"/>
        </w:rPr>
        <w:t> </w:t>
      </w:r>
      <w:r>
        <w:rPr>
          <w:spacing w:val="-63"/>
        </w:rPr>
      </w:r>
      <w:r>
        <w:rPr>
          <w:spacing w:val="-2"/>
        </w:rPr>
        <w:t>品创新形成的IT需求，二是金融监管政策变化形成的IT需求，三是信息技术发展要求客户对信息系统进行更新改造形成的IT</w:t>
      </w:r>
      <w:r>
        <w:rPr>
          <w:spacing w:val="-59"/>
        </w:rPr>
        <w:t> </w:t>
      </w:r>
      <w:r>
        <w:rPr>
          <w:spacing w:val="-59"/>
        </w:rPr>
      </w:r>
      <w:r>
        <w:rPr/>
        <w:t>需求，四是客户差异化竞争需要形成的个性化IT需求，五是金融机构客户增加产生的IT需求。</w:t>
      </w:r>
    </w:p>
    <w:p>
      <w:pPr>
        <w:pStyle w:val="BodyText"/>
        <w:spacing w:line="316" w:lineRule="auto" w:before="19"/>
        <w:ind w:right="1130" w:firstLine="360"/>
        <w:jc w:val="both"/>
      </w:pPr>
      <w:r>
        <w:rPr>
          <w:spacing w:val="-2"/>
        </w:rPr>
        <w:t>报告期，公司深刻把握行业的发展变化趋势，紧贴客户需求变化，持续加大研发投入和产品创新，及时推出了赢时胜职</w:t>
      </w:r>
      <w:r>
        <w:rPr/>
        <w:t> 业年金财务估值软件V4.5、赢时胜基本养老保险基金财务估值软件V4.5、赢时胜RQFII-ETF财务估值软件V4.5、赢时胜实时 估值软件V4.5、赢时胜智能估值RPA软件V4.5、赢时胜智能账务处理软件V5.0、赢时胜资产管理运营服务平台V1.0、赢时胜 云原生微服务容器Fregata云平台、赢时胜恒河大数据HengHeErise平台、赢时胜FOF投资分析系统V1.0等52个软件产品，进 一步丰富完善了公司产品线，以契合市场需求。</w:t>
      </w:r>
    </w:p>
    <w:p>
      <w:pPr>
        <w:pStyle w:val="BodyText"/>
        <w:spacing w:line="316" w:lineRule="auto" w:before="19"/>
        <w:ind w:right="1130" w:firstLine="360"/>
        <w:jc w:val="both"/>
      </w:pPr>
      <w:r>
        <w:rPr>
          <w:spacing w:val="-2"/>
        </w:rPr>
        <w:t>报告期，随着我国资产管理与资产托管规模的增加、金融监管政策变化和新一代信息技术的快速发展与应用，金融机构</w:t>
      </w:r>
      <w:r>
        <w:rPr/>
        <w:t> 对信息化基础设施投入持续增加，资产管理与资产托管行业对IT信息化需求依然强劲。</w:t>
      </w:r>
    </w:p>
    <w:p>
      <w:pPr>
        <w:spacing w:line="240" w:lineRule="auto" w:before="9"/>
        <w:rPr>
          <w:rFonts w:ascii="宋体" w:hAnsi="宋体" w:cs="宋体" w:eastAsia="宋体" w:hint="default"/>
          <w:sz w:val="20"/>
          <w:szCs w:val="20"/>
        </w:rPr>
      </w:pPr>
    </w:p>
    <w:p>
      <w:pPr>
        <w:pStyle w:val="Heading2"/>
        <w:spacing w:line="240" w:lineRule="auto"/>
        <w:ind w:right="95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650"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both"/>
              <w:rPr>
                <w:rFonts w:ascii="宋体" w:hAnsi="宋体" w:cs="宋体" w:eastAsia="宋体" w:hint="default"/>
                <w:sz w:val="18"/>
                <w:szCs w:val="18"/>
              </w:rPr>
            </w:pPr>
            <w:r>
              <w:rPr>
                <w:rFonts w:ascii="宋体" w:hAnsi="宋体" w:cs="宋体" w:eastAsia="宋体" w:hint="default"/>
                <w:sz w:val="18"/>
                <w:szCs w:val="18"/>
              </w:rPr>
              <w:t>占股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成立上海怀若智能科技有限公司，总投资款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万元，已支付全部投 资款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投资北京慧闻科技（集团）有限公司，总投资款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2400 </w:t>
            </w:r>
            <w:r>
              <w:rPr>
                <w:rFonts w:ascii="宋体" w:hAnsi="宋体" w:cs="宋体" w:eastAsia="宋体" w:hint="default"/>
                <w:sz w:val="18"/>
                <w:szCs w:val="18"/>
              </w:rPr>
              <w:t>万元，已支付首期投资款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万；占股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投资怀光智能科技（武汉）有限公 司，总投资款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 </w:t>
            </w:r>
            <w:r>
              <w:rPr>
                <w:rFonts w:ascii="宋体" w:hAnsi="宋体" w:cs="宋体" w:eastAsia="宋体" w:hint="default"/>
                <w:sz w:val="18"/>
                <w:szCs w:val="18"/>
              </w:rPr>
              <w:t>万元，已支付首期投资款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450 </w:t>
            </w:r>
            <w:r>
              <w:rPr>
                <w:rFonts w:ascii="宋体" w:hAnsi="宋体" w:cs="宋体" w:eastAsia="宋体" w:hint="default"/>
                <w:sz w:val="18"/>
                <w:szCs w:val="18"/>
              </w:rPr>
              <w:t>万元；支付北京东方金信科技有</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限公司增资款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557.14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在上海、长沙、成都购买的办公用楼已经装修完毕，达到可使用状态，由在建工 程转为固定资产</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在上海、长沙、成都购买的办公用楼已经装修完毕，达到可使用状态，由在建工 程转为固定资产</w:t>
            </w:r>
          </w:p>
        </w:tc>
      </w:tr>
    </w:tbl>
    <w:p>
      <w:pPr>
        <w:spacing w:after="0" w:line="316"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10"/>
        <w:rPr>
          <w:rFonts w:ascii="宋体" w:hAnsi="宋体" w:cs="宋体" w:eastAsia="宋体" w:hint="default"/>
          <w:b/>
          <w:bCs/>
          <w:sz w:val="19"/>
          <w:szCs w:val="19"/>
        </w:rPr>
      </w:pPr>
    </w:p>
    <w:p>
      <w:pPr>
        <w:pStyle w:val="Heading3"/>
        <w:spacing w:line="240" w:lineRule="auto" w:before="34"/>
        <w:ind w:right="952"/>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27"/>
        <w:ind w:right="1034" w:firstLine="511"/>
        <w:jc w:val="left"/>
      </w:pPr>
      <w:r>
        <w:rPr/>
        <w:t>1、公司自成立以来一直紧随金融行业的发展，专注于金融行业信息系统的研究、开发、销售和服务。随着金融行业 的多元化发展和用户需求的不断变化，公司不断进行产品创新和服务创新，已向全国基金管理公司、证券公司、保险公司、 银行、信托公司、财务公司、资产管理公司等300多家金融机构提供了专业的信息化系统建设综合解决方案。公司长期服务</w:t>
      </w:r>
      <w:r>
        <w:rPr>
          <w:spacing w:val="-85"/>
        </w:rPr>
        <w:t> </w:t>
      </w:r>
      <w:r>
        <w:rPr>
          <w:spacing w:val="-85"/>
        </w:rPr>
      </w:r>
      <w:r>
        <w:rPr>
          <w:spacing w:val="-2"/>
        </w:rPr>
        <w:t>于国内的金融资产管理和资产托管细分市场，拥有丰富的行业实际应用经验和众多的成功案例，公司在该领域的长期深耕细</w:t>
      </w:r>
      <w:r>
        <w:rPr>
          <w:spacing w:val="-64"/>
        </w:rPr>
        <w:t> </w:t>
      </w:r>
      <w:r>
        <w:rPr>
          <w:spacing w:val="-64"/>
        </w:rPr>
      </w:r>
      <w:r>
        <w:rPr/>
        <w:t>作和积累，树立了在行业内的领先地位和品牌优势。</w:t>
      </w:r>
    </w:p>
    <w:p>
      <w:pPr>
        <w:pStyle w:val="BodyText"/>
        <w:spacing w:line="316" w:lineRule="auto" w:before="19"/>
        <w:ind w:right="1130" w:firstLine="360"/>
        <w:jc w:val="both"/>
      </w:pPr>
      <w:r>
        <w:rPr/>
        <w:t>2、人才是软件企业的核心资源之一，是软件企业的第一生产力，是软件企业核心竞争力的主要体现。公司在多年的经 </w:t>
      </w:r>
      <w:r>
        <w:rPr>
          <w:spacing w:val="-2"/>
        </w:rPr>
        <w:t>营实践中形成了稳定的核心管理团队和优秀的业务、技术研发团队。公司研发骨干员工拥有多年从业经验，是既谙熟金融业</w:t>
      </w:r>
      <w:r>
        <w:rPr>
          <w:spacing w:val="-63"/>
        </w:rPr>
        <w:t> </w:t>
      </w:r>
      <w:r>
        <w:rPr>
          <w:spacing w:val="-63"/>
        </w:rPr>
      </w:r>
      <w:r>
        <w:rPr/>
        <w:t>务又精通软件技术的复合型人才。人才的积累为公司持续发展提供了有力的人才保障。</w:t>
      </w:r>
    </w:p>
    <w:p>
      <w:pPr>
        <w:pStyle w:val="BodyText"/>
        <w:spacing w:line="312" w:lineRule="auto" w:before="57"/>
        <w:ind w:right="952" w:firstLine="360"/>
        <w:jc w:val="left"/>
      </w:pPr>
      <w:r>
        <w:rPr/>
        <w:t>3、公司紧跟金融行业的发展，凭借突出的前瞻性研究和强大的研发能力，针对行业业务的不断发展适时推出一系列的 </w:t>
      </w:r>
      <w:r>
        <w:rPr>
          <w:spacing w:val="-2"/>
        </w:rPr>
        <w:t>软件产品。主要包括资产托管系列软件、资产投资交易管理系列软件、资产投资风险绩效管理系列软件、资产财务核算估值</w:t>
      </w:r>
      <w:r>
        <w:rPr>
          <w:spacing w:val="-64"/>
        </w:rPr>
        <w:t> </w:t>
      </w:r>
      <w:r>
        <w:rPr>
          <w:spacing w:val="-64"/>
        </w:rPr>
      </w:r>
      <w:r>
        <w:rPr>
          <w:spacing w:val="-2"/>
        </w:rPr>
        <w:t>系列软件、金融数据中心系列软件、资金交易管理系列软件等。公司不仅产品系列多样，而且功能丰富。</w:t>
      </w:r>
      <w:r>
        <w:rPr>
          <w:rFonts w:ascii="Times New Roman" w:hAnsi="Times New Roman" w:cs="Times New Roman" w:eastAsia="Times New Roman" w:hint="default"/>
          <w:spacing w:val="-2"/>
        </w:rPr>
        <w:t>“</w:t>
      </w:r>
      <w:r>
        <w:rPr>
          <w:spacing w:val="-2"/>
        </w:rPr>
        <w:t>全资产、全业务、</w:t>
      </w:r>
      <w:r>
        <w:rPr>
          <w:spacing w:val="-52"/>
        </w:rPr>
        <w:t> </w:t>
      </w:r>
      <w:r>
        <w:rPr>
          <w:spacing w:val="-52"/>
        </w:rPr>
      </w:r>
      <w:r>
        <w:rPr/>
        <w:t>全数据、全行业</w:t>
      </w:r>
      <w:r>
        <w:rPr>
          <w:rFonts w:ascii="Times New Roman" w:hAnsi="Times New Roman" w:cs="Times New Roman" w:eastAsia="Times New Roman" w:hint="default"/>
        </w:rPr>
        <w:t>”</w:t>
      </w:r>
      <w:r>
        <w:rPr/>
        <w:t>是公司产品的特性。截止报告期末，公司已取得283项软件产品著作权。</w:t>
      </w:r>
    </w:p>
    <w:p>
      <w:pPr>
        <w:spacing w:after="0" w:line="312"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2928" w:right="952"/>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2"/>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561"/>
        <w:jc w:val="left"/>
      </w:pPr>
      <w:r>
        <w:rPr/>
        <w:t>金融是现代经济的核心，是国家重要的核心竞争力。深化金融供给侧结构性改革、增强金融服务实体经济能力、防 </w:t>
      </w:r>
      <w:r>
        <w:rPr>
          <w:spacing w:val="-4"/>
        </w:rPr>
        <w:t>范化解金融风险、推进金融改革开放是我国金融工作的根本性任务。积极推动互联网、大数据、人工智能与金融的深度融合，</w:t>
      </w:r>
      <w:r>
        <w:rPr>
          <w:spacing w:val="-43"/>
        </w:rPr>
        <w:t> </w:t>
      </w:r>
      <w:r>
        <w:rPr>
          <w:spacing w:val="-43"/>
        </w:rPr>
      </w:r>
      <w:r>
        <w:rPr>
          <w:spacing w:val="-2"/>
        </w:rPr>
        <w:t>加快金融业的信息化、数字化、智能化，成为金融行业信息化的发展趋势。为提高金融服务实体经济能力和创新能力，以互</w:t>
      </w:r>
      <w:r>
        <w:rPr>
          <w:spacing w:val="-65"/>
        </w:rPr>
        <w:t> </w:t>
      </w:r>
      <w:r>
        <w:rPr>
          <w:spacing w:val="-65"/>
        </w:rPr>
      </w:r>
      <w:r>
        <w:rPr>
          <w:spacing w:val="-2"/>
        </w:rPr>
        <w:t>联网、云计算、区块链、人工智能等新一代信息技术应用为主要特征的金融科技飞速发展，数字金融、智慧金融正深刻改变</w:t>
      </w:r>
      <w:r>
        <w:rPr>
          <w:spacing w:val="-65"/>
        </w:rPr>
        <w:t> </w:t>
      </w:r>
      <w:r>
        <w:rPr>
          <w:spacing w:val="-65"/>
        </w:rPr>
      </w:r>
      <w:r>
        <w:rPr/>
        <w:t>金融业服务模式，金融科技已然成为金融机构打造核心竞争力的重要引擎。金融机构对金融IT基础设施建设投入持续增加，</w:t>
      </w:r>
      <w:r>
        <w:rPr/>
        <w:t> </w:t>
      </w:r>
      <w:r>
        <w:rPr>
          <w:spacing w:val="-2"/>
        </w:rPr>
        <w:t>金融行业对信息化需求依然强劲，金融行业信息化发展迎来了很好的历史机遇，金融行业信息化呈现巨大的市场空间。公司</w:t>
      </w:r>
      <w:r>
        <w:rPr>
          <w:spacing w:val="-65"/>
        </w:rPr>
        <w:t> </w:t>
      </w:r>
      <w:r>
        <w:rPr>
          <w:spacing w:val="-65"/>
        </w:rPr>
      </w:r>
      <w:r>
        <w:rPr>
          <w:spacing w:val="-2"/>
        </w:rPr>
        <w:t>的主营业务是为金融机构的资产管理和资产托管业务提供信息化解决方案的专业软件及服务。近年来我国资产管理和资产托</w:t>
      </w:r>
      <w:r>
        <w:rPr>
          <w:spacing w:val="-64"/>
        </w:rPr>
        <w:t> </w:t>
      </w:r>
      <w:r>
        <w:rPr>
          <w:spacing w:val="-64"/>
        </w:rPr>
      </w:r>
      <w:r>
        <w:rPr/>
        <w:t>管行业规模快速增长，据有关统计数据，中国财富管理市场规模已超过150万亿元，且会持续快速增长，我国基金管理公司</w:t>
      </w:r>
      <w:r>
        <w:rPr/>
        <w:t> 及其子公司、证券公司、期货公司、私募基金管理机构资产管理业务总规模超过50万亿元，中国银行业资产托管规模达120 </w:t>
      </w:r>
      <w:r>
        <w:rPr>
          <w:spacing w:val="-5"/>
          <w:w w:val="99"/>
        </w:rPr>
        <w:t>万亿元以上。2018年4月发布的《关于规范金融机构资产管理业务的指导意见》（简称</w:t>
      </w:r>
      <w:r>
        <w:rPr>
          <w:rFonts w:ascii="Times New Roman" w:hAnsi="Times New Roman" w:cs="Times New Roman" w:eastAsia="Times New Roman" w:hint="default"/>
          <w:spacing w:val="-5"/>
          <w:w w:val="99"/>
        </w:rPr>
        <w:t>“</w:t>
      </w:r>
      <w:r>
        <w:rPr>
          <w:spacing w:val="-5"/>
          <w:w w:val="99"/>
        </w:rPr>
        <w:t>资管新规</w:t>
      </w:r>
      <w:r>
        <w:rPr>
          <w:rFonts w:ascii="Times New Roman" w:hAnsi="Times New Roman" w:cs="Times New Roman" w:eastAsia="Times New Roman" w:hint="default"/>
          <w:spacing w:val="-5"/>
          <w:w w:val="99"/>
        </w:rPr>
        <w:t>”</w:t>
      </w:r>
      <w:r>
        <w:rPr>
          <w:spacing w:val="-5"/>
          <w:w w:val="99"/>
        </w:rPr>
        <w:t>）、2018年9月发布的《商业</w:t>
      </w:r>
      <w:r>
        <w:rPr>
          <w:spacing w:val="-33"/>
          <w:w w:val="99"/>
        </w:rPr>
        <w:t> </w:t>
      </w:r>
      <w:r>
        <w:rPr>
          <w:spacing w:val="-33"/>
          <w:w w:val="99"/>
        </w:rPr>
      </w:r>
      <w:r>
        <w:rPr>
          <w:spacing w:val="-2"/>
        </w:rPr>
        <w:t>银行理财业务监督管理办法》、2018年12月发布的《商业银行理财子公司管理办法》正在深刻改变我国资产管理行业的发展</w:t>
      </w:r>
      <w:r>
        <w:rPr>
          <w:spacing w:val="-68"/>
        </w:rPr>
        <w:t> </w:t>
      </w:r>
      <w:r>
        <w:rPr>
          <w:spacing w:val="-68"/>
        </w:rPr>
      </w:r>
      <w:r>
        <w:rPr>
          <w:spacing w:val="-2"/>
        </w:rPr>
        <w:t>格局，资管新规突出净值化管理和规范化信息披露，旨在规范金融机构的资产管理业务，金融变革与金融监管政策的变化将</w:t>
      </w:r>
      <w:r>
        <w:rPr>
          <w:spacing w:val="-65"/>
        </w:rPr>
        <w:t> </w:t>
      </w:r>
      <w:r>
        <w:rPr>
          <w:spacing w:val="-65"/>
        </w:rPr>
      </w:r>
      <w:r>
        <w:rPr/>
        <w:t>催生资产管理行业的IT需求将持续快速增长。</w:t>
      </w:r>
    </w:p>
    <w:p>
      <w:pPr>
        <w:spacing w:line="240" w:lineRule="auto" w:before="9"/>
        <w:rPr>
          <w:rFonts w:ascii="宋体" w:hAnsi="宋体" w:cs="宋体" w:eastAsia="宋体" w:hint="default"/>
          <w:sz w:val="16"/>
          <w:szCs w:val="16"/>
        </w:rPr>
      </w:pPr>
    </w:p>
    <w:p>
      <w:pPr>
        <w:pStyle w:val="BodyText"/>
        <w:spacing w:line="309" w:lineRule="auto"/>
        <w:ind w:right="1041" w:firstLine="561"/>
        <w:jc w:val="left"/>
      </w:pPr>
      <w:r>
        <w:rPr/>
        <w:t>报告期，公司深刻把握金融行业业务发展和技术应用的发展趋势，紧贴市场的需求变化，持续加大研发投入，积极 </w:t>
      </w:r>
      <w:r>
        <w:rPr>
          <w:spacing w:val="-2"/>
        </w:rPr>
        <w:t>推进大数据、区块链、人工智能、微服务等新一代信息技术的研发应用，持续推动技术创新、产品创新和服务创新，不断延</w:t>
      </w:r>
      <w:r>
        <w:rPr>
          <w:spacing w:val="-66"/>
        </w:rPr>
        <w:t> </w:t>
      </w:r>
      <w:r>
        <w:rPr>
          <w:spacing w:val="-66"/>
        </w:rPr>
      </w:r>
      <w:r>
        <w:rPr>
          <w:spacing w:val="-2"/>
        </w:rPr>
        <w:t>伸公司产品线，拓宽公司产品服务范围，丰富产品功能，改进产品服务质量，提升用户体验和客户满意度，有效提升公司产</w:t>
      </w:r>
      <w:r>
        <w:rPr>
          <w:spacing w:val="-65"/>
        </w:rPr>
        <w:t> </w:t>
      </w:r>
      <w:r>
        <w:rPr>
          <w:spacing w:val="-65"/>
        </w:rPr>
      </w:r>
      <w:r>
        <w:rPr>
          <w:spacing w:val="-2"/>
        </w:rPr>
        <w:t>品的品牌优势和行业影响力。2018年度公司取得了赢时胜职业年金财务估值软件V4.5、赢时胜基本养老保险基金财务估值软</w:t>
      </w:r>
      <w:r>
        <w:rPr>
          <w:spacing w:val="-60"/>
        </w:rPr>
        <w:t> </w:t>
      </w:r>
      <w:r>
        <w:rPr>
          <w:spacing w:val="-60"/>
        </w:rPr>
      </w:r>
      <w:r>
        <w:rPr>
          <w:spacing w:val="-2"/>
        </w:rPr>
        <w:t>件V4.5、赢时胜RQFII-ETF财务估值软件V4.5、赢时胜实时估值软件V4.5、赢时胜智能估值RPA软件V4.5、赢时胜智能账务处</w:t>
      </w:r>
      <w:r>
        <w:rPr>
          <w:spacing w:val="-52"/>
        </w:rPr>
        <w:t> </w:t>
      </w:r>
      <w:r>
        <w:rPr>
          <w:spacing w:val="-52"/>
        </w:rPr>
      </w:r>
      <w:r>
        <w:rPr/>
        <w:t>理软件V5.0、赢时胜资产管理运营服务平台V1</w:t>
      </w:r>
      <w:r>
        <w:rPr>
          <w:rFonts w:ascii="Times New Roman" w:hAnsi="Times New Roman" w:cs="Times New Roman" w:eastAsia="Times New Roman" w:hint="default"/>
        </w:rPr>
        <w:t>.0</w:t>
      </w:r>
      <w:r>
        <w:rPr/>
        <w:t>、赢时胜云原生微服务容器Fregata云平台、赢时胜恒河大数据HengHeErise 平台、赢时胜FOF投资分析系统V1</w:t>
      </w:r>
      <w:r>
        <w:rPr>
          <w:rFonts w:ascii="Times New Roman" w:hAnsi="Times New Roman" w:cs="Times New Roman" w:eastAsia="Times New Roman" w:hint="default"/>
        </w:rPr>
        <w:t>.0</w:t>
      </w:r>
      <w:r>
        <w:rPr/>
        <w:t>等52个软件产品，截至2018年末，公司累计取得软件产品著作权283项。公司新一代资产 </w:t>
      </w:r>
      <w:r>
        <w:rPr>
          <w:spacing w:val="-3"/>
        </w:rPr>
        <w:t>管理业务系统和新一代资产托管业务系统服务产品日益丰富，性能持续优化，实时估值、智能估值、资产托管</w:t>
      </w:r>
      <w:r>
        <w:rPr>
          <w:rFonts w:ascii="Times New Roman" w:hAnsi="Times New Roman" w:cs="Times New Roman" w:eastAsia="Times New Roman" w:hint="default"/>
          <w:spacing w:val="-3"/>
        </w:rPr>
        <w:t>“</w:t>
      </w:r>
      <w:r>
        <w:rPr>
          <w:spacing w:val="-3"/>
        </w:rPr>
        <w:t>机器人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自</w:t>
      </w:r>
      <w:r>
        <w:rPr>
          <w:spacing w:val="-67"/>
        </w:rPr>
        <w:t> </w:t>
      </w:r>
      <w:r>
        <w:rPr>
          <w:spacing w:val="-2"/>
        </w:rPr>
        <w:t>动上报</w:t>
      </w:r>
      <w:r>
        <w:rPr>
          <w:rFonts w:ascii="Times New Roman" w:hAnsi="Times New Roman" w:cs="Times New Roman" w:eastAsia="Times New Roman" w:hint="default"/>
          <w:spacing w:val="-2"/>
        </w:rPr>
        <w:t>”</w:t>
      </w:r>
      <w:r>
        <w:rPr>
          <w:spacing w:val="-2"/>
        </w:rPr>
        <w:t>已在客户中快速推广应用。公司凭借前瞻性研发构建的基于云计算、微服务技术架构实现流程化、自动化、数字化、</w:t>
      </w:r>
      <w:r>
        <w:rPr>
          <w:spacing w:val="-53"/>
        </w:rPr>
        <w:t> </w:t>
      </w:r>
      <w:r>
        <w:rPr>
          <w:spacing w:val="-53"/>
        </w:rPr>
      </w:r>
      <w:r>
        <w:rPr/>
        <w:t>智能化的资产管理运营平台已在行业头部客户应用落地，且产生了很好的市场示范效应。公司推出的银行理财</w:t>
      </w:r>
      <w:r>
        <w:rPr>
          <w:rFonts w:ascii="Times New Roman" w:hAnsi="Times New Roman" w:cs="Times New Roman" w:eastAsia="Times New Roman" w:hint="default"/>
        </w:rPr>
        <w:t>“</w:t>
      </w:r>
      <w:r>
        <w:rPr/>
        <w:t>资管新规</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4"/>
        </w:rPr>
        <w:t>解决方案将助力银行理财业务转型，相应的业务系统建设研发正在推进中，公司已中标多家银行理财子公司的业务系统建设。</w:t>
      </w:r>
      <w:r>
        <w:rPr>
          <w:spacing w:val="-41"/>
        </w:rPr>
        <w:t> </w:t>
      </w:r>
      <w:r>
        <w:rPr>
          <w:spacing w:val="-41"/>
        </w:rPr>
      </w:r>
      <w:r>
        <w:rPr>
          <w:spacing w:val="-2"/>
        </w:rPr>
        <w:t>公司研发的赢时胜报表世界监管报送V1.0较好地解决了客户为满足监管要求的信息披露需求。截止报告期末，公司客户群涵</w:t>
      </w:r>
      <w:r>
        <w:rPr>
          <w:spacing w:val="-62"/>
        </w:rPr>
        <w:t> </w:t>
      </w:r>
      <w:r>
        <w:rPr>
          <w:spacing w:val="-62"/>
        </w:rPr>
      </w:r>
      <w:r>
        <w:rPr/>
        <w:t>盖银行、基金、证券、保险、信托等客户已超过300余家。</w:t>
      </w:r>
    </w:p>
    <w:p>
      <w:pPr>
        <w:spacing w:line="240" w:lineRule="auto" w:before="3"/>
        <w:rPr>
          <w:rFonts w:ascii="宋体" w:hAnsi="宋体" w:cs="宋体" w:eastAsia="宋体" w:hint="default"/>
          <w:sz w:val="17"/>
          <w:szCs w:val="17"/>
        </w:rPr>
      </w:pPr>
    </w:p>
    <w:p>
      <w:pPr>
        <w:pStyle w:val="BodyText"/>
        <w:spacing w:line="316" w:lineRule="auto"/>
        <w:ind w:right="1025" w:firstLine="420"/>
        <w:jc w:val="left"/>
      </w:pPr>
      <w:r>
        <w:rPr/>
        <w:t>报告期，为了更好地保障经营的发展，促进经营效率和创新能力的提升，公司持续推动组织架构和流程体系的变革与 </w:t>
      </w:r>
      <w:r>
        <w:rPr>
          <w:spacing w:val="-3"/>
        </w:rPr>
        <w:t>优化。2018年设立了赢时胜研究院，着力于前瞻信息技术研究与应用落地，针对银行人民币理财子公司业务发展的市场需要，</w:t>
      </w:r>
      <w:r>
        <w:rPr/>
        <w:t> 设立了财富管理事业部，同时对各事业部组织架构进行调整，合理划分业务作战单元，提升软件工程能力和项目管理水平， </w:t>
      </w:r>
      <w:r>
        <w:rPr>
          <w:spacing w:val="-2"/>
        </w:rPr>
        <w:t>有效提升研发效率与质量，激发团队组织活力。为了提供更好的人才支撑体系，公司实施了优才计划，进行人才结构优化调</w:t>
      </w:r>
      <w:r>
        <w:rPr>
          <w:spacing w:val="-64"/>
        </w:rPr>
        <w:t> </w:t>
      </w:r>
      <w:r>
        <w:rPr>
          <w:spacing w:val="-64"/>
        </w:rPr>
      </w:r>
      <w:r>
        <w:rPr>
          <w:spacing w:val="-2"/>
        </w:rPr>
        <w:t>整；根据岗位能力素质要求，加强以赋能为目的培训体系建设，以提高员工队伍整体业务、技术水平，积极打造一支结构合</w:t>
      </w:r>
      <w:r>
        <w:rPr>
          <w:spacing w:val="-63"/>
        </w:rPr>
        <w:t> </w:t>
      </w:r>
      <w:r>
        <w:rPr>
          <w:spacing w:val="-63"/>
        </w:rPr>
      </w:r>
      <w:r>
        <w:rPr>
          <w:spacing w:val="-2"/>
        </w:rPr>
        <w:t>理、业务精湛、技术过硬、作风优良的人才队伍；优化职位评价体系，完善绩效考核，积极构建更加公正、合理的薪酬体系</w:t>
      </w:r>
      <w:r>
        <w:rPr>
          <w:spacing w:val="-62"/>
        </w:rPr>
        <w:t> </w:t>
      </w:r>
      <w:r>
        <w:rPr>
          <w:spacing w:val="-62"/>
        </w:rPr>
      </w:r>
      <w:r>
        <w:rPr>
          <w:spacing w:val="-4"/>
        </w:rPr>
        <w:t>和有效的激励机制，充分调动和激发员工工作的主动性、积极性、创造性，以加大对优秀人才的吸引和留存力度，报告期末，</w:t>
      </w:r>
      <w:r>
        <w:rPr>
          <w:spacing w:val="-41"/>
        </w:rPr>
        <w:t> </w:t>
      </w:r>
      <w:r>
        <w:rPr>
          <w:spacing w:val="-41"/>
        </w:rPr>
      </w:r>
      <w:r>
        <w:rPr/>
        <w:t>公司员工规模达到2480人，比上年同期增长26.27%，有效地保障了公司生产经营和未来发展对人力资源的需要。</w:t>
      </w:r>
    </w:p>
    <w:p>
      <w:pPr>
        <w:pStyle w:val="BodyText"/>
        <w:spacing w:line="316" w:lineRule="auto" w:before="19"/>
        <w:ind w:right="1130" w:firstLine="420"/>
        <w:jc w:val="both"/>
      </w:pPr>
      <w:r>
        <w:rPr/>
        <w:t>报告期内，公司战略投资的北京东方金信科技有限公司是一家专注于大数据平台和大数据解决方案的高新技术企业， </w:t>
      </w:r>
      <w:r>
        <w:rPr>
          <w:spacing w:val="-2"/>
        </w:rPr>
        <w:t>目前已在政府、金融、工业等领域完成多个创新案例，该司在政务领域承接了全国第一个省级政务大数据平台、多个国家直</w:t>
      </w:r>
      <w:r>
        <w:rPr>
          <w:spacing w:val="-64"/>
        </w:rPr>
        <w:t> </w:t>
      </w:r>
      <w:r>
        <w:rPr>
          <w:spacing w:val="-64"/>
        </w:rPr>
      </w:r>
      <w:r>
        <w:rPr>
          <w:spacing w:val="-2"/>
        </w:rPr>
        <w:t>属部委大数据项目和多个省市政务大数据工程及银行、券商、保险、工业等领域的大数据工程，经营业绩快速增长，已成长</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0"/>
        <w:jc w:val="both"/>
      </w:pPr>
      <w:r>
        <w:rPr>
          <w:spacing w:val="-2"/>
        </w:rPr>
        <w:t>为中国大数据50强企业。公司投资的上海赢量金融服务有限公司、上海赢保商业保理有限公司和东吴（苏州）金融科技有限</w:t>
      </w:r>
      <w:r>
        <w:rPr>
          <w:spacing w:val="-63"/>
        </w:rPr>
        <w:t> </w:t>
      </w:r>
      <w:r>
        <w:rPr>
          <w:spacing w:val="-63"/>
        </w:rPr>
      </w:r>
      <w:r>
        <w:rPr>
          <w:spacing w:val="-2"/>
        </w:rPr>
        <w:t>公司由于受宏观经济环境影响经营业绩有较大幅度的下降，公司投资设立的其他联营企业多为孵化期的初创企业，目前仍处</w:t>
      </w:r>
      <w:r>
        <w:rPr>
          <w:spacing w:val="-64"/>
        </w:rPr>
        <w:t> </w:t>
      </w:r>
      <w:r>
        <w:rPr>
          <w:spacing w:val="-64"/>
        </w:rPr>
      </w:r>
      <w:r>
        <w:rPr/>
        <w:t>于技术研发阶段，尚未实现盈利。</w:t>
      </w:r>
    </w:p>
    <w:p>
      <w:pPr>
        <w:pStyle w:val="BodyText"/>
        <w:spacing w:line="300" w:lineRule="auto" w:before="19"/>
        <w:ind w:right="1169" w:firstLine="360"/>
        <w:jc w:val="left"/>
      </w:pPr>
      <w:r>
        <w:rPr/>
        <w:t>2018年度，公司经营情况发展良好</w:t>
      </w:r>
      <w:r>
        <w:rPr>
          <w:rFonts w:ascii="Times New Roman" w:hAnsi="Times New Roman" w:cs="Times New Roman" w:eastAsia="Times New Roman" w:hint="default"/>
        </w:rPr>
        <w:t>,</w:t>
      </w:r>
      <w:r>
        <w:rPr/>
        <w:t>公司实现营业收入63,910.05万元，比上年同期增长19.01%；营业总成本49,036.04 万元，比上年同期增长42.20%；归属于上市公司股东的净利润17,778.04万元，比上年同期下降14.72%。</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974"/>
        <w:jc w:val="left"/>
      </w:pPr>
      <w:r>
        <w:rPr/>
        <w:t>公司是否需要遵守光伏产业链相关业的披露要求 否</w:t>
      </w:r>
    </w:p>
    <w:p>
      <w:pPr>
        <w:pStyle w:val="BodyText"/>
        <w:spacing w:line="340" w:lineRule="auto" w:before="29"/>
        <w:ind w:right="139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40" w:lineRule="auto" w:before="39"/>
        <w:ind w:right="157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1"/>
        <w:ind w:right="113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40" w:lineRule="auto" w:before="43"/>
        <w:ind w:right="166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 否</w:t>
      </w:r>
    </w:p>
    <w:p>
      <w:pPr>
        <w:pStyle w:val="BodyText"/>
        <w:spacing w:line="340" w:lineRule="auto" w:before="39"/>
        <w:ind w:right="1665"/>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号——上市公司从软件与信息技术服务业务》的披露要求 是</w:t>
      </w:r>
    </w:p>
    <w:p>
      <w:pPr>
        <w:pStyle w:val="BodyText"/>
        <w:spacing w:line="240" w:lineRule="auto" w:before="41"/>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143,941,2</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41.87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162,795,4</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13.14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166,195,6</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78.22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166,168,1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60.58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77,875,42</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4.47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117,740,4</w:t>
            </w:r>
          </w:p>
          <w:p>
            <w:pPr>
              <w:pStyle w:val="TableParagraph"/>
              <w:spacing w:line="240" w:lineRule="auto" w:before="105"/>
              <w:ind w:left="485" w:right="0"/>
              <w:jc w:val="left"/>
              <w:rPr>
                <w:rFonts w:ascii="Times New Roman" w:hAnsi="Times New Roman" w:cs="Times New Roman" w:eastAsia="Times New Roman" w:hint="default"/>
                <w:sz w:val="18"/>
                <w:szCs w:val="18"/>
              </w:rPr>
            </w:pPr>
            <w:r>
              <w:rPr>
                <w:rFonts w:ascii="Times New Roman"/>
                <w:sz w:val="18"/>
              </w:rPr>
              <w:t>39.96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117,094,5</w:t>
            </w:r>
          </w:p>
          <w:p>
            <w:pPr>
              <w:pStyle w:val="TableParagraph"/>
              <w:spacing w:line="240" w:lineRule="auto" w:before="105"/>
              <w:ind w:left="484" w:right="0"/>
              <w:jc w:val="left"/>
              <w:rPr>
                <w:rFonts w:ascii="Times New Roman" w:hAnsi="Times New Roman" w:cs="Times New Roman" w:eastAsia="Times New Roman" w:hint="default"/>
                <w:sz w:val="18"/>
                <w:szCs w:val="18"/>
              </w:rPr>
            </w:pPr>
            <w:r>
              <w:rPr>
                <w:rFonts w:ascii="Times New Roman"/>
                <w:sz w:val="18"/>
              </w:rPr>
              <w:t>95.79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224,307,5</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05.86</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44"/>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25,439,65</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50,250,53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1.37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42,191,15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0.18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59,899,03</w:t>
            </w:r>
          </w:p>
          <w:p>
            <w:pPr>
              <w:pStyle w:val="TableParagraph"/>
              <w:spacing w:line="240" w:lineRule="auto" w:before="105"/>
              <w:ind w:left="582" w:right="0"/>
              <w:jc w:val="left"/>
              <w:rPr>
                <w:rFonts w:ascii="Times New Roman" w:hAnsi="Times New Roman" w:cs="Times New Roman" w:eastAsia="Times New Roman" w:hint="default"/>
                <w:sz w:val="18"/>
                <w:szCs w:val="18"/>
              </w:rPr>
            </w:pPr>
            <w:r>
              <w:rPr>
                <w:rFonts w:ascii="Times New Roman"/>
                <w:sz w:val="18"/>
              </w:rPr>
              <w:t>5.23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14,889,23</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7.03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35,209,71</w:t>
            </w:r>
          </w:p>
          <w:p>
            <w:pPr>
              <w:pStyle w:val="TableParagraph"/>
              <w:spacing w:line="240" w:lineRule="auto" w:before="105"/>
              <w:ind w:left="576" w:right="0"/>
              <w:jc w:val="left"/>
              <w:rPr>
                <w:rFonts w:ascii="Times New Roman" w:hAnsi="Times New Roman" w:cs="Times New Roman" w:eastAsia="Times New Roman" w:hint="default"/>
                <w:sz w:val="18"/>
                <w:szCs w:val="18"/>
              </w:rPr>
            </w:pPr>
            <w:r>
              <w:rPr>
                <w:rFonts w:ascii="Times New Roman"/>
                <w:sz w:val="18"/>
              </w:rPr>
              <w:t>5.18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33,350,95</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2.92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125,013,1</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55.68</w:t>
            </w:r>
          </w:p>
        </w:tc>
      </w:tr>
    </w:tbl>
    <w:p>
      <w:pPr>
        <w:pStyle w:val="BodyText"/>
        <w:spacing w:line="360" w:lineRule="auto" w:before="50"/>
        <w:ind w:right="6614"/>
        <w:jc w:val="left"/>
      </w:pPr>
      <w:r>
        <w:rPr/>
        <w:t>说明经营季节性（或周期性）发生的原因及波动风险 无</w:t>
      </w:r>
    </w:p>
    <w:p>
      <w:pPr>
        <w:spacing w:after="0" w:line="36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营业收入整体情况</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639,100,493.81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537,017,966.08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定制软件开发和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399,351,691.98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310,523,683.51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191,635,428.65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176,919,115.96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2,043,715.03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4,018,666.83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供应链业务收入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34,063,574.75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37,220,803.95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12,006,083.40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8,335,695.83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定制软件开发和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399,351,691.98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310,523,683.51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191,635,428.65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176,919,115.96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2,043,715.03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4,018,666.83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供应链业务收入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34,063,574.75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37,220,803.95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12,006,083.40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8,335,695.83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293,233,421.99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231,435,631.26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231,596,128.03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203,815,570.15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114,270,943.79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101,766,764.67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12.29%</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09" w:top="1120" w:bottom="1200" w:left="1020" w:right="0"/>
        </w:sectPr>
      </w:pPr>
    </w:p>
    <w:p>
      <w:pPr>
        <w:pStyle w:val="BodyText"/>
        <w:spacing w:line="357"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1200" w:left="1020" w:right="0"/>
          <w:cols w:num="2" w:equalWidth="0">
            <w:col w:w="3173" w:space="5745"/>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399,351,691.98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53,459,472.43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0.79%</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191,635,428.65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71,667,235.95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3"/>
              <w:jc w:val="left"/>
              <w:rPr>
                <w:rFonts w:ascii="宋体" w:hAnsi="宋体" w:cs="宋体" w:eastAsia="宋体" w:hint="default"/>
                <w:sz w:val="18"/>
                <w:szCs w:val="18"/>
              </w:rPr>
            </w:pPr>
            <w:r>
              <w:rPr>
                <w:rFonts w:ascii="宋体" w:hAnsi="宋体" w:cs="宋体" w:eastAsia="宋体" w:hint="default"/>
                <w:sz w:val="18"/>
                <w:szCs w:val="18"/>
              </w:rPr>
              <w:t>供应链业务收 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34,063,574.75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293,233,421.99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70,381,332.24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231,596,128.03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31,929,330.52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114,270,943.79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25,883,738.42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-6.09%</w:t>
            </w:r>
          </w:p>
        </w:tc>
      </w:tr>
    </w:tbl>
    <w:p>
      <w:pPr>
        <w:pStyle w:val="BodyText"/>
        <w:spacing w:line="240" w:lineRule="auto" w:before="51"/>
        <w:ind w:right="95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产品分类</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53,459,472.43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44,021,419.82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71,667,235.95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45,806,981.62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2,045,099.29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2,950,505.23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1,022,593.51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122,264.15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736.38%</w:t>
            </w:r>
          </w:p>
        </w:tc>
      </w:tr>
    </w:tbl>
    <w:p>
      <w:pPr>
        <w:pStyle w:val="BodyText"/>
        <w:spacing w:line="360" w:lineRule="auto" w:before="50"/>
        <w:ind w:right="10394"/>
        <w:jc w:val="left"/>
      </w:pPr>
      <w:r>
        <w:rPr/>
        <w:t>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 是 □ 否</w:t>
      </w:r>
    </w:p>
    <w:p>
      <w:pPr>
        <w:pStyle w:val="BodyText"/>
        <w:spacing w:line="316" w:lineRule="auto" w:before="115"/>
        <w:ind w:right="1132" w:firstLine="420"/>
        <w:jc w:val="both"/>
      </w:pPr>
      <w:r>
        <w:rPr>
          <w:spacing w:val="-1"/>
        </w:rPr>
        <w:t>2018年1月25日，宁波赢元管理咨询合伙企业（有限合伙）与本公司之子公司上海赢量金融服务有限公司签署《增资协</w:t>
      </w:r>
      <w:r>
        <w:rPr/>
        <w:t> </w:t>
      </w:r>
      <w:r>
        <w:rPr>
          <w:spacing w:val="-2"/>
        </w:rPr>
        <w:t>议》，拟以现金方式出资人民币3,000万元，按照每1元注册资本对应人民币1.5元的价格，认购新增注册资本人民币2,000万</w:t>
      </w:r>
      <w:r>
        <w:rPr>
          <w:spacing w:val="-59"/>
        </w:rPr>
        <w:t> </w:t>
      </w:r>
      <w:r>
        <w:rPr>
          <w:spacing w:val="-59"/>
        </w:rPr>
      </w:r>
      <w:r>
        <w:rPr/>
        <w:t>元，占注册资本的9.09%。于2018年4月20日完成工商信息变更，其中本公司持股比例由原来的70%变更为63.64%。</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本公司与控股子公司上海赢量金融服务有限公司于2018年11月28日签订股权转让协议，将持有子公司上海赢保商业保 理有限公司44%的股权转让给上海赢量金融服务有限公司，转让价格为89,239,003.76元，转让后，本公司持股49%，上海赢</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量金融服务有限公司持股51%，本公司仍然为上海赢保商业保理有限公司的实际控制方。</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spacing w:val="-2"/>
        </w:rPr>
        <w:t>2018年8月，宁波箭双商务咨询合伙企业（有限合伙）与链石（苏州）信息科技有限公司签署《增资协议》，拟以现金</w:t>
      </w:r>
      <w:r>
        <w:rPr/>
        <w:t> 方式出资人民币900万元，按照每1元注册资本对应人民币1元的价格，认购链石（苏州）信息科技有限公司新增注册资本人</w:t>
      </w:r>
      <w:r>
        <w:rPr>
          <w:spacing w:val="-87"/>
        </w:rPr>
        <w:t> </w:t>
      </w:r>
      <w:r>
        <w:rPr>
          <w:spacing w:val="-87"/>
        </w:rPr>
      </w:r>
      <w:r>
        <w:rPr/>
        <w:t>民币900万元，占注册资本的23.08%。链石（苏州）信息科技有限公司于2018年8月9日完成工商信息变更，其中本公司出资</w:t>
      </w:r>
      <w:r>
        <w:rPr/>
        <w:t> 人民币2,100万元，出资比例由原来的70%变更为53.85%。</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124,956,761.41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19.55%</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5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32,640,132.66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27,627,287.91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24,448,343.42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江苏鸿轩生态农业有限公司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20,198,408.94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20,042,588.48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124,956,761.41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19.55%</w:t>
            </w:r>
          </w:p>
        </w:tc>
      </w:tr>
    </w:tbl>
    <w:p>
      <w:pPr>
        <w:pStyle w:val="BodyText"/>
        <w:spacing w:line="240" w:lineRule="auto" w:before="49"/>
        <w:ind w:right="952"/>
        <w:jc w:val="left"/>
      </w:pPr>
      <w:r>
        <w:rPr/>
        <w:t>主要客户其他情况说明</w:t>
      </w:r>
    </w:p>
    <w:p>
      <w:pPr>
        <w:pStyle w:val="BodyText"/>
        <w:spacing w:line="360" w:lineRule="auto" w:before="117"/>
        <w:ind w:right="9134"/>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50,088,524.50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44.19%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right="95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上海浩慨贸易有限公司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30,406,970.00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26.82%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北京长得瑞华电子技术有限公司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8,557,400.00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7.55%</w:t>
            </w:r>
          </w:p>
        </w:tc>
      </w:tr>
      <w:tr>
        <w:trPr>
          <w:trHeight w:val="400"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深圳市新美装饰设计工程有限公司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5,528,491.00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4.88%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深圳市福科思灯光设计有限公司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3,980,000.00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深圳互信互通科技有限公司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1,615,663.50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50,088,524.50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44.19%</w:t>
            </w:r>
          </w:p>
        </w:tc>
      </w:tr>
    </w:tbl>
    <w:p>
      <w:pPr>
        <w:pStyle w:val="BodyText"/>
        <w:spacing w:line="240" w:lineRule="auto" w:before="51"/>
        <w:ind w:right="952"/>
        <w:jc w:val="left"/>
      </w:pPr>
      <w:r>
        <w:rPr/>
        <w:t>主要供应商其他情况说明</w:t>
      </w:r>
    </w:p>
    <w:p>
      <w:pPr>
        <w:pStyle w:val="BodyText"/>
        <w:spacing w:line="240" w:lineRule="auto" w:before="117"/>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21,545,758.35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16,315,753.97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主要是公司加强市场营销推广力 度，加大开展对客户的维护服务工 作，销售团队新激励政策所致。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82,687,709.72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51,645,496.01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60.11%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4"/>
              <w:jc w:val="left"/>
              <w:rPr>
                <w:rFonts w:ascii="宋体" w:hAnsi="宋体" w:cs="宋体" w:eastAsia="宋体" w:hint="default"/>
                <w:sz w:val="18"/>
                <w:szCs w:val="18"/>
              </w:rPr>
            </w:pPr>
            <w:r>
              <w:rPr>
                <w:rFonts w:ascii="宋体" w:hAnsi="宋体" w:cs="宋体" w:eastAsia="宋体" w:hint="default"/>
                <w:sz w:val="18"/>
                <w:szCs w:val="18"/>
              </w:rPr>
              <w:t>主要是公司业务规模增大及员工增 加等致相关的成本费用增加。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-5,449,557.83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-19,523,620.36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主要是存款利息减少所致。</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230,379,106.38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192,527,309.75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
              <w:jc w:val="left"/>
              <w:rPr>
                <w:rFonts w:ascii="宋体" w:hAnsi="宋体" w:cs="宋体" w:eastAsia="宋体" w:hint="default"/>
                <w:sz w:val="18"/>
                <w:szCs w:val="18"/>
              </w:rPr>
            </w:pPr>
            <w:r>
              <w:rPr>
                <w:rFonts w:ascii="宋体" w:hAnsi="宋体" w:cs="宋体" w:eastAsia="宋体" w:hint="default"/>
                <w:sz w:val="18"/>
                <w:szCs w:val="18"/>
              </w:rPr>
              <w:t>公司持续加大研发投大，着力加强 </w:t>
            </w:r>
            <w:r>
              <w:rPr>
                <w:rFonts w:ascii="宋体" w:hAnsi="宋体" w:cs="宋体" w:eastAsia="宋体" w:hint="default"/>
                <w:spacing w:val="-6"/>
                <w:sz w:val="18"/>
                <w:szCs w:val="18"/>
              </w:rPr>
              <w:t>整体研发能力建设，提高产品创新、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技术创新和服务创新水平。</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32" w:right="1154" w:hanging="420"/>
        <w:jc w:val="left"/>
      </w:pPr>
      <w:r>
        <w:rPr/>
        <w:t>√ 适用 □ 不适用 公司自成立以来，高度重视对产品研发的投入和自身研发综合能力的提高，公司销售软件产品均为自主研发。2018年</w:t>
      </w:r>
    </w:p>
    <w:p>
      <w:pPr>
        <w:pStyle w:val="BodyText"/>
        <w:spacing w:line="224" w:lineRule="exact"/>
        <w:ind w:right="952"/>
        <w:jc w:val="left"/>
      </w:pPr>
      <w:r>
        <w:rPr/>
        <w:t>公司研发支出23,037.91万元，占营业收入的比例为36.05%，公司研发投入占营业收入比例保持稳定。2018年度取得软件著</w:t>
      </w:r>
    </w:p>
    <w:p>
      <w:pPr>
        <w:pStyle w:val="BodyText"/>
        <w:spacing w:line="316" w:lineRule="auto" w:before="76"/>
        <w:ind w:right="1124"/>
        <w:jc w:val="left"/>
      </w:pPr>
      <w:r>
        <w:rPr/>
        <w:t>作权52项，截止报告期末，公司累计取得软件著作权283项。报告期内，根据一贯性原则和谨慎性原则，公司当期研发费用 全部计入当期管理费用，未予以资本化。</w:t>
      </w:r>
    </w:p>
    <w:p>
      <w:pPr>
        <w:spacing w:line="240" w:lineRule="auto" w:before="0"/>
        <w:rPr>
          <w:rFonts w:ascii="宋体" w:hAnsi="宋体" w:cs="宋体" w:eastAsia="宋体" w:hint="default"/>
          <w:sz w:val="18"/>
          <w:szCs w:val="18"/>
        </w:rPr>
      </w:pPr>
    </w:p>
    <w:p>
      <w:pPr>
        <w:pStyle w:val="BodyText"/>
        <w:spacing w:line="240" w:lineRule="auto" w:before="136"/>
        <w:ind w:right="952"/>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72.20%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230,379,106.38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192,527,309.75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127,954,499.62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研发投入总额占营业收入的比重较上年发生显著变化的原因</w:t>
      </w:r>
    </w:p>
    <w:p>
      <w:pPr>
        <w:pStyle w:val="BodyText"/>
        <w:spacing w:line="360" w:lineRule="auto" w:before="115"/>
        <w:ind w:right="6794"/>
        <w:jc w:val="left"/>
      </w:pPr>
      <w:r>
        <w:rPr/>
        <w:t>□ 适用 √ 不适用 研发投入资本化率大幅变动的原因及其合理性说明</w:t>
      </w:r>
    </w:p>
    <w:p>
      <w:pPr>
        <w:pStyle w:val="BodyText"/>
        <w:spacing w:line="240" w:lineRule="auto" w:before="27"/>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627,728,042.66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551,088,551.82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676,772,931.00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668,438,984.27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-49,044,888.34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-117,350,432.45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311,528,666.49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695,003,195.05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-55.18%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792,186,096.69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796,178,890.24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-480,657,430.20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-101,175,695.19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235,520,000.00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1,285.41%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120,764,765.77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94,132,722.56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114,755,234.23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-77,132,722.56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248.78%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-414,947,084.25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-295,658,850.28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-40.35%</w:t>
            </w:r>
          </w:p>
        </w:tc>
      </w:tr>
    </w:tbl>
    <w:p>
      <w:pPr>
        <w:pStyle w:val="BodyText"/>
        <w:spacing w:line="240" w:lineRule="auto" w:before="51"/>
        <w:ind w:right="952"/>
        <w:jc w:val="left"/>
      </w:pPr>
      <w:r>
        <w:rPr/>
        <w:t>相关数据同比发生重大变动的主要影响因素说明</w:t>
      </w:r>
    </w:p>
    <w:p>
      <w:pPr>
        <w:pStyle w:val="BodyText"/>
        <w:spacing w:line="357" w:lineRule="auto" w:before="117"/>
        <w:ind w:right="4274"/>
        <w:jc w:val="left"/>
      </w:pPr>
      <w:r>
        <w:rPr/>
        <w:t>□ 适用 √ 不适用 报告期内公司经营活动产生的现金净流量与本年度净利润存在重大差异的原因说明</w:t>
      </w:r>
    </w:p>
    <w:p>
      <w:pPr>
        <w:pStyle w:val="BodyText"/>
        <w:spacing w:line="240" w:lineRule="auto" w:before="29"/>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4,658,447.37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对联营公司按权益法计 </w:t>
            </w:r>
            <w:r>
              <w:rPr>
                <w:rFonts w:ascii="宋体" w:hAnsi="宋体" w:cs="宋体" w:eastAsia="宋体" w:hint="default"/>
                <w:spacing w:val="-3"/>
                <w:sz w:val="18"/>
                <w:szCs w:val="18"/>
              </w:rPr>
              <w:t>提的投资收益，理财产品</w:t>
            </w:r>
            <w:r>
              <w:rPr>
                <w:rFonts w:ascii="宋体" w:hAnsi="宋体" w:cs="宋体" w:eastAsia="宋体" w:hint="default"/>
                <w:sz w:val="18"/>
                <w:szCs w:val="18"/>
              </w:rPr>
              <w:t> 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具有一定的可持续</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0"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28,411,722.39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计提的坏账准备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不确定</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545,151.15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0.28%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收到的罚款收入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20,263.46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滞纳金等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952"/>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372,220,940.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786,980,024.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-15.18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538,306,992.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348,312,001.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1,668,540.09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2,302,205.43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87,297,329.9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46,407,605.0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618,739,687.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586,024,351.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815,844,646.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521,847,354.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264,660,736.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4,243,144.59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4,961,109.92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4"/>
        <w:rPr>
          <w:rFonts w:ascii="宋体" w:hAnsi="宋体" w:cs="宋体" w:eastAsia="宋体" w:hint="default"/>
          <w:sz w:val="19"/>
          <w:szCs w:val="19"/>
        </w:rPr>
      </w:pPr>
    </w:p>
    <w:p>
      <w:pPr>
        <w:pStyle w:val="Heading3"/>
        <w:spacing w:line="240" w:lineRule="auto" w:before="34"/>
        <w:ind w:right="0"/>
        <w:jc w:val="both"/>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041"/>
        <w:jc w:val="both"/>
      </w:pPr>
      <w:r>
        <w:rPr>
          <w:spacing w:val="-3"/>
        </w:rPr>
        <w:t>2011年2月24日本公司与交通银行股份有限公司深圳车公庙支行签订编号为443027G001的《小企业固定资产贷款合同》，合同</w:t>
      </w:r>
      <w:r>
        <w:rPr>
          <w:spacing w:val="-82"/>
        </w:rPr>
        <w:t> </w:t>
      </w:r>
      <w:r>
        <w:rPr>
          <w:spacing w:val="-82"/>
        </w:rPr>
      </w:r>
      <w:r>
        <w:rPr>
          <w:spacing w:val="-2"/>
        </w:rPr>
        <w:t>约定借款18,000,000.00元用于购买深圳市南山区沙河街道办事处侨香路智慧广场B栋11层1101号房产，由实际控制人唐球先</w:t>
      </w:r>
      <w:r>
        <w:rPr>
          <w:spacing w:val="-54"/>
        </w:rPr>
        <w:t> </w:t>
      </w:r>
      <w:r>
        <w:rPr>
          <w:spacing w:val="-54"/>
        </w:rPr>
      </w:r>
      <w:r>
        <w:rPr/>
        <w:t>生、鄢建红女士为上述贷款提供连带责任担保，保证期至</w:t>
      </w:r>
      <w:r>
        <w:rPr>
          <w:rFonts w:ascii="Times New Roman" w:hAnsi="Times New Roman" w:cs="Times New Roman" w:eastAsia="Times New Roman" w:hint="default"/>
        </w:rPr>
        <w:t>“</w:t>
      </w:r>
      <w:r>
        <w:rPr/>
        <w:t>智慧广场B栋11层1101号房产</w:t>
      </w:r>
      <w:r>
        <w:rPr>
          <w:rFonts w:ascii="Times New Roman" w:hAnsi="Times New Roman" w:cs="Times New Roman" w:eastAsia="Times New Roman" w:hint="default"/>
        </w:rPr>
        <w:t>”</w:t>
      </w:r>
      <w:r>
        <w:rPr/>
        <w:t>房产证（房产证编号为</w:t>
      </w:r>
      <w:r>
        <w:rPr>
          <w:rFonts w:ascii="Times New Roman" w:hAnsi="Times New Roman" w:cs="Times New Roman" w:eastAsia="Times New Roman" w:hint="default"/>
        </w:rPr>
        <w:t>“</w:t>
      </w:r>
      <w:r>
        <w:rPr/>
        <w:t>深房地字第 </w:t>
      </w:r>
      <w:r>
        <w:rPr>
          <w:spacing w:val="-2"/>
        </w:rPr>
        <w:t>4000523200号</w:t>
      </w:r>
      <w:r>
        <w:rPr>
          <w:rFonts w:ascii="Times New Roman" w:hAnsi="Times New Roman" w:cs="Times New Roman" w:eastAsia="Times New Roman" w:hint="default"/>
          <w:spacing w:val="-2"/>
        </w:rPr>
        <w:t>”</w:t>
      </w:r>
      <w:r>
        <w:rPr>
          <w:spacing w:val="-2"/>
        </w:rPr>
        <w:t>）办妥抵押并交付债权人止。公司于2014年4月4日与交通银行股份有限公司深圳车公庙支行签订《抵押合同》</w:t>
      </w:r>
    </w:p>
    <w:p>
      <w:pPr>
        <w:pStyle w:val="BodyText"/>
        <w:spacing w:line="240" w:lineRule="auto" w:before="3"/>
        <w:ind w:right="0"/>
        <w:jc w:val="both"/>
      </w:pPr>
      <w:r>
        <w:rPr/>
        <w:t>（编号：交银深</w:t>
      </w:r>
      <w:r>
        <w:rPr>
          <w:spacing w:val="1"/>
        </w:rPr>
        <w:t>4</w:t>
      </w:r>
      <w:r>
        <w:rPr>
          <w:spacing w:val="-2"/>
        </w:rPr>
        <w:t>4</w:t>
      </w:r>
      <w:r>
        <w:rPr>
          <w:spacing w:val="1"/>
        </w:rPr>
        <w:t>3</w:t>
      </w:r>
      <w:r>
        <w:rPr>
          <w:spacing w:val="-2"/>
        </w:rPr>
        <w:t>2</w:t>
      </w:r>
      <w:r>
        <w:rPr>
          <w:spacing w:val="1"/>
        </w:rPr>
        <w:t>7</w:t>
      </w:r>
      <w:r>
        <w:rPr>
          <w:spacing w:val="-2"/>
        </w:rPr>
        <w:t>0</w:t>
      </w:r>
      <w:r>
        <w:rPr>
          <w:spacing w:val="1"/>
        </w:rPr>
        <w:t>D</w:t>
      </w:r>
      <w:r>
        <w:rPr>
          <w:spacing w:val="-2"/>
        </w:rPr>
        <w:t>Y</w:t>
      </w:r>
      <w:r>
        <w:rPr>
          <w:spacing w:val="1"/>
        </w:rPr>
        <w:t>2</w:t>
      </w:r>
      <w:r>
        <w:rPr>
          <w:spacing w:val="-2"/>
        </w:rPr>
        <w:t>0</w:t>
      </w:r>
      <w:r>
        <w:rPr>
          <w:spacing w:val="1"/>
        </w:rPr>
        <w:t>1</w:t>
      </w:r>
      <w:r>
        <w:rPr>
          <w:spacing w:val="-2"/>
        </w:rPr>
        <w:t>4</w:t>
      </w:r>
      <w:r>
        <w:rPr>
          <w:spacing w:val="1"/>
        </w:rPr>
        <w:t>0</w:t>
      </w:r>
      <w:r>
        <w:rPr>
          <w:spacing w:val="-2"/>
        </w:rPr>
        <w:t>4</w:t>
      </w:r>
      <w:r>
        <w:rPr>
          <w:spacing w:val="1"/>
        </w:rPr>
        <w:t>0</w:t>
      </w:r>
      <w:r>
        <w:rPr>
          <w:spacing w:val="-2"/>
        </w:rPr>
        <w:t>4</w:t>
      </w:r>
      <w:r>
        <w:rPr>
          <w:spacing w:val="-89"/>
        </w:rPr>
        <w:t>）</w:t>
      </w:r>
      <w:r>
        <w:rPr/>
        <w:t>，将</w:t>
      </w:r>
      <w:r>
        <w:rPr>
          <w:rFonts w:ascii="Times New Roman" w:hAnsi="Times New Roman" w:cs="Times New Roman" w:eastAsia="Times New Roman" w:hint="default"/>
          <w:spacing w:val="-1"/>
          <w:w w:val="99"/>
        </w:rPr>
        <w:t>“</w:t>
      </w:r>
      <w:r>
        <w:rPr/>
        <w:t>智慧广场</w:t>
      </w:r>
      <w:r>
        <w:rPr>
          <w:spacing w:val="-2"/>
        </w:rPr>
        <w:t>B</w:t>
      </w:r>
      <w:r>
        <w:rPr/>
        <w:t>栋</w:t>
      </w:r>
      <w:r>
        <w:rPr>
          <w:spacing w:val="1"/>
        </w:rPr>
        <w:t>1</w:t>
      </w:r>
      <w:r>
        <w:rPr>
          <w:spacing w:val="-2"/>
        </w:rPr>
        <w:t>1</w:t>
      </w:r>
      <w:r>
        <w:rPr>
          <w:spacing w:val="1"/>
        </w:rPr>
        <w:t>0</w:t>
      </w:r>
      <w:r>
        <w:rPr>
          <w:spacing w:val="-2"/>
        </w:rPr>
        <w:t>1</w:t>
      </w:r>
      <w:r>
        <w:rPr/>
        <w:t>号房产</w:t>
      </w:r>
      <w:r>
        <w:rPr>
          <w:rFonts w:ascii="Times New Roman" w:hAnsi="Times New Roman" w:cs="Times New Roman" w:eastAsia="Times New Roman" w:hint="default"/>
          <w:spacing w:val="1"/>
          <w:w w:val="99"/>
        </w:rPr>
        <w:t>”</w:t>
      </w:r>
      <w:r>
        <w:rPr/>
        <w:t>设定为《小企业固定资产贷款合同》的抵押财产。</w:t>
      </w:r>
    </w:p>
    <w:p>
      <w:pPr>
        <w:spacing w:after="0" w:line="240" w:lineRule="auto"/>
        <w:jc w:val="both"/>
        <w:sectPr>
          <w:footerReference w:type="default" r:id="rId14"/>
          <w:pgSz w:w="11910" w:h="16840"/>
          <w:pgMar w:footer="1009" w:header="919" w:top="1120" w:bottom="1200" w:left="1020" w:right="0"/>
          <w:pgNumType w:start="20"/>
        </w:sectPr>
      </w:pPr>
    </w:p>
    <w:p>
      <w:pPr>
        <w:spacing w:line="240" w:lineRule="auto" w:before="8"/>
        <w:rPr>
          <w:rFonts w:ascii="宋体" w:hAnsi="宋体" w:cs="宋体" w:eastAsia="宋体" w:hint="default"/>
          <w:sz w:val="18"/>
          <w:szCs w:val="18"/>
        </w:rPr>
      </w:pPr>
    </w:p>
    <w:p>
      <w:pPr>
        <w:pStyle w:val="Heading2"/>
        <w:spacing w:line="240" w:lineRule="auto" w:before="26"/>
        <w:ind w:right="952"/>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0" w:right="0"/>
              <w:jc w:val="left"/>
              <w:rPr>
                <w:rFonts w:ascii="Times New Roman" w:hAnsi="Times New Roman" w:cs="Times New Roman" w:eastAsia="Times New Roman" w:hint="default"/>
                <w:sz w:val="18"/>
                <w:szCs w:val="18"/>
              </w:rPr>
            </w:pPr>
            <w:r>
              <w:rPr>
                <w:rFonts w:ascii="Times New Roman"/>
                <w:sz w:val="18"/>
              </w:rPr>
              <w:t>792,186,096.69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796,178,890.24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5"/>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1338"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2" w:right="160"/>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1" w:right="15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5" w:right="14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5" w:right="14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6" w:right="14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6" w:right="14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3" w:right="141"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1" w:right="14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4" w:right="14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9" w:right="1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2" w:right="18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17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19"/>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5" w:right="17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6" w:lineRule="auto" w:before="19"/>
              <w:ind w:left="175"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356"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6552"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101" w:right="220"/>
              <w:jc w:val="both"/>
              <w:rPr>
                <w:rFonts w:ascii="宋体" w:hAnsi="宋体" w:cs="宋体" w:eastAsia="宋体" w:hint="default"/>
                <w:sz w:val="18"/>
                <w:szCs w:val="18"/>
              </w:rPr>
            </w:pPr>
            <w:r>
              <w:rPr>
                <w:rFonts w:ascii="宋体" w:hAnsi="宋体" w:cs="宋体" w:eastAsia="宋体" w:hint="default"/>
                <w:sz w:val="18"/>
                <w:szCs w:val="18"/>
              </w:rPr>
              <w:t>北京 慧闻 科技</w:t>
            </w:r>
          </w:p>
          <w:p>
            <w:pPr>
              <w:pStyle w:val="TableParagraph"/>
              <w:spacing w:line="316" w:lineRule="auto" w:before="19"/>
              <w:ind w:left="101" w:right="100"/>
              <w:jc w:val="left"/>
              <w:rPr>
                <w:rFonts w:ascii="宋体" w:hAnsi="宋体" w:cs="宋体" w:eastAsia="宋体" w:hint="default"/>
                <w:sz w:val="18"/>
                <w:szCs w:val="18"/>
              </w:rPr>
            </w:pPr>
            <w:r>
              <w:rPr>
                <w:rFonts w:ascii="宋体" w:hAnsi="宋体" w:cs="宋体" w:eastAsia="宋体" w:hint="default"/>
                <w:sz w:val="18"/>
                <w:szCs w:val="18"/>
              </w:rPr>
              <w:t>（集 </w:t>
            </w:r>
            <w:r>
              <w:rPr>
                <w:rFonts w:ascii="宋体" w:hAnsi="宋体" w:cs="宋体" w:eastAsia="宋体" w:hint="default"/>
                <w:spacing w:val="-20"/>
                <w:sz w:val="18"/>
                <w:szCs w:val="18"/>
              </w:rPr>
              <w:t>团）有</w:t>
            </w:r>
            <w:r>
              <w:rPr>
                <w:rFonts w:ascii="宋体" w:hAnsi="宋体" w:cs="宋体" w:eastAsia="宋体" w:hint="default"/>
                <w:sz w:val="18"/>
                <w:szCs w:val="18"/>
              </w:rPr>
              <w:t> 限公 司</w:t>
            </w: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37"/>
              <w:jc w:val="left"/>
              <w:rPr>
                <w:rFonts w:ascii="宋体" w:hAnsi="宋体" w:cs="宋体" w:eastAsia="宋体" w:hint="default"/>
                <w:sz w:val="18"/>
                <w:szCs w:val="18"/>
              </w:rPr>
            </w:pPr>
            <w:r>
              <w:rPr>
                <w:rFonts w:ascii="宋体" w:hAnsi="宋体" w:cs="宋体" w:eastAsia="宋体" w:hint="default"/>
                <w:sz w:val="18"/>
                <w:szCs w:val="18"/>
              </w:rPr>
              <w:t>转让、 技术 咨询、 技术 推广； 技术 服务； 产品 设计； 机械 设备 租赁； 计算 机系 统服 </w:t>
            </w:r>
            <w:r>
              <w:rPr>
                <w:rFonts w:ascii="宋体" w:hAnsi="宋体" w:cs="宋体" w:eastAsia="宋体" w:hint="default"/>
                <w:spacing w:val="-22"/>
                <w:sz w:val="18"/>
                <w:szCs w:val="18"/>
              </w:rPr>
              <w:t>务；销</w:t>
            </w:r>
            <w:r>
              <w:rPr>
                <w:rFonts w:ascii="宋体" w:hAnsi="宋体" w:cs="宋体" w:eastAsia="宋体" w:hint="default"/>
                <w:sz w:val="18"/>
                <w:szCs w:val="18"/>
              </w:rPr>
              <w:t> 售电 子产 </w:t>
            </w:r>
            <w:r>
              <w:rPr>
                <w:rFonts w:ascii="宋体" w:hAnsi="宋体" w:cs="宋体" w:eastAsia="宋体" w:hint="default"/>
                <w:spacing w:val="-22"/>
                <w:sz w:val="18"/>
                <w:szCs w:val="18"/>
              </w:rPr>
              <w:t>品、计</w:t>
            </w:r>
            <w:r>
              <w:rPr>
                <w:rFonts w:ascii="宋体" w:hAnsi="宋体" w:cs="宋体" w:eastAsia="宋体" w:hint="default"/>
                <w:sz w:val="18"/>
                <w:szCs w:val="18"/>
              </w:rPr>
              <w:t> 算机、 软件</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8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3" w:right="182"/>
              <w:jc w:val="left"/>
              <w:rPr>
                <w:rFonts w:ascii="宋体" w:hAnsi="宋体" w:cs="宋体" w:eastAsia="宋体" w:hint="default"/>
                <w:sz w:val="18"/>
                <w:szCs w:val="18"/>
              </w:rPr>
            </w:pPr>
            <w:r>
              <w:rPr>
                <w:rFonts w:ascii="宋体" w:hAnsi="宋体" w:cs="宋体" w:eastAsia="宋体" w:hint="default"/>
                <w:sz w:val="18"/>
                <w:szCs w:val="18"/>
              </w:rPr>
              <w:t>肖 毅、 新余 文澄 投资 管理 中心</w:t>
            </w:r>
          </w:p>
          <w:p>
            <w:pPr>
              <w:pStyle w:val="TableParagraph"/>
              <w:spacing w:line="316" w:lineRule="auto" w:before="19"/>
              <w:ind w:left="103" w:right="93"/>
              <w:jc w:val="left"/>
              <w:rPr>
                <w:rFonts w:ascii="宋体" w:hAnsi="宋体" w:cs="宋体" w:eastAsia="宋体" w:hint="default"/>
                <w:sz w:val="18"/>
                <w:szCs w:val="18"/>
              </w:rPr>
            </w:pPr>
            <w:r>
              <w:rPr>
                <w:rFonts w:ascii="宋体" w:hAnsi="宋体" w:cs="宋体" w:eastAsia="宋体" w:hint="default"/>
                <w:sz w:val="18"/>
                <w:szCs w:val="18"/>
              </w:rPr>
              <w:t>（有 限合 </w:t>
            </w:r>
            <w:r>
              <w:rPr>
                <w:rFonts w:ascii="宋体" w:hAnsi="宋体" w:cs="宋体" w:eastAsia="宋体" w:hint="default"/>
                <w:spacing w:val="-31"/>
                <w:sz w:val="18"/>
                <w:szCs w:val="18"/>
              </w:rPr>
              <w:t>伙）、</w:t>
            </w:r>
            <w:r>
              <w:rPr>
                <w:rFonts w:ascii="宋体" w:hAnsi="宋体" w:cs="宋体" w:eastAsia="宋体" w:hint="default"/>
                <w:sz w:val="18"/>
                <w:szCs w:val="18"/>
              </w:rPr>
              <w:t> 深圳 市大 蓝筹 基金 管理 有限 公 司、 林晓 华</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82"/>
              <w:jc w:val="left"/>
              <w:rPr>
                <w:rFonts w:ascii="宋体" w:hAnsi="宋体" w:cs="宋体" w:eastAsia="宋体" w:hint="default"/>
                <w:sz w:val="18"/>
                <w:szCs w:val="18"/>
              </w:rPr>
            </w:pPr>
            <w:r>
              <w:rPr>
                <w:rFonts w:ascii="宋体" w:hAnsi="宋体" w:cs="宋体" w:eastAsia="宋体" w:hint="default"/>
                <w:sz w:val="18"/>
                <w:szCs w:val="18"/>
              </w:rPr>
              <w:t>智能 设备</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-3,253,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589.15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及辅</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助设</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6"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备；软</w:t>
            </w: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318" w:hRule="exact"/>
        </w:trPr>
        <w:tc>
          <w:tcPr>
            <w:tcW w:w="694" w:type="dxa"/>
            <w:vMerge w:val="restart"/>
            <w:tcBorders>
              <w:top w:val="single" w:sz="4" w:space="0" w:color="000000"/>
              <w:left w:val="single" w:sz="4" w:space="0" w:color="000000"/>
              <w:right w:val="single" w:sz="4" w:space="0" w:color="000000"/>
            </w:tcBorders>
          </w:tcPr>
          <w:p>
            <w:pPr/>
          </w:p>
        </w:tc>
        <w:tc>
          <w:tcPr>
            <w:tcW w:w="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件开</w:t>
            </w: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5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r>
      <w:tr>
        <w:trPr>
          <w:trHeight w:val="312" w:hRule="exact"/>
        </w:trPr>
        <w:tc>
          <w:tcPr>
            <w:tcW w:w="694" w:type="dxa"/>
            <w:vMerge/>
            <w:tcBorders>
              <w:left w:val="single" w:sz="4" w:space="0" w:color="000000"/>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发；经</w:t>
            </w: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vMerge/>
            <w:tcBorders>
              <w:left w:val="single" w:sz="4" w:space="0" w:color="000000"/>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营电</w:t>
            </w: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vMerge/>
            <w:tcBorders>
              <w:left w:val="single" w:sz="4" w:space="0" w:color="000000"/>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信业</w:t>
            </w: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vMerge/>
            <w:tcBorders>
              <w:left w:val="single" w:sz="4" w:space="0" w:color="000000"/>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务；互</w:t>
            </w: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vMerge/>
            <w:tcBorders>
              <w:left w:val="single" w:sz="4" w:space="0" w:color="000000"/>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联网</w:t>
            </w: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vMerge/>
            <w:tcBorders>
              <w:left w:val="single" w:sz="4" w:space="0" w:color="000000"/>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信息</w:t>
            </w: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56" w:hRule="exact"/>
        </w:trPr>
        <w:tc>
          <w:tcPr>
            <w:tcW w:w="694" w:type="dxa"/>
            <w:vMerge/>
            <w:tcBorders>
              <w:left w:val="single" w:sz="4" w:space="0" w:color="000000"/>
              <w:bottom w:val="single" w:sz="4" w:space="0" w:color="000000"/>
              <w:right w:val="single" w:sz="4" w:space="0" w:color="000000"/>
            </w:tcBorders>
          </w:tcPr>
          <w:p>
            <w:pPr/>
          </w:p>
        </w:tc>
        <w:tc>
          <w:tcPr>
            <w:tcW w:w="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计算</w:t>
            </w: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机软</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件开</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发；应</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用软</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件服</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务；医</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疗器</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0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械、检</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验设</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备研</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楚昆</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发与</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仑科</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技合</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普通</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伙企</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2496"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1" w:right="220"/>
              <w:jc w:val="both"/>
              <w:rPr>
                <w:rFonts w:ascii="宋体" w:hAnsi="宋体" w:cs="宋体" w:eastAsia="宋体" w:hint="default"/>
                <w:sz w:val="18"/>
                <w:szCs w:val="18"/>
              </w:rPr>
            </w:pPr>
            <w:r>
              <w:rPr>
                <w:rFonts w:ascii="宋体" w:hAnsi="宋体" w:cs="宋体" w:eastAsia="宋体" w:hint="default"/>
                <w:sz w:val="18"/>
                <w:szCs w:val="18"/>
              </w:rPr>
              <w:t>怀光 智能 科技</w:t>
            </w:r>
          </w:p>
          <w:p>
            <w:pPr>
              <w:pStyle w:val="TableParagraph"/>
              <w:spacing w:line="316" w:lineRule="auto" w:before="19"/>
              <w:ind w:left="101" w:right="100"/>
              <w:jc w:val="left"/>
              <w:rPr>
                <w:rFonts w:ascii="宋体" w:hAnsi="宋体" w:cs="宋体" w:eastAsia="宋体" w:hint="default"/>
                <w:sz w:val="18"/>
                <w:szCs w:val="18"/>
              </w:rPr>
            </w:pPr>
            <w:r>
              <w:rPr>
                <w:rFonts w:ascii="宋体" w:hAnsi="宋体" w:cs="宋体" w:eastAsia="宋体" w:hint="default"/>
                <w:sz w:val="18"/>
                <w:szCs w:val="18"/>
              </w:rPr>
              <w:t>（武 </w:t>
            </w:r>
            <w:r>
              <w:rPr>
                <w:rFonts w:ascii="宋体" w:hAnsi="宋体" w:cs="宋体" w:eastAsia="宋体" w:hint="default"/>
                <w:spacing w:val="-20"/>
                <w:sz w:val="18"/>
                <w:szCs w:val="18"/>
              </w:rPr>
              <w:t>汉）有</w:t>
            </w:r>
            <w:r>
              <w:rPr>
                <w:rFonts w:ascii="宋体" w:hAnsi="宋体" w:cs="宋体" w:eastAsia="宋体" w:hint="default"/>
                <w:sz w:val="18"/>
                <w:szCs w:val="18"/>
              </w:rPr>
              <w:t> 限公 司</w:t>
            </w: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4" w:right="37"/>
              <w:jc w:val="left"/>
              <w:rPr>
                <w:rFonts w:ascii="宋体" w:hAnsi="宋体" w:cs="宋体" w:eastAsia="宋体" w:hint="default"/>
                <w:sz w:val="18"/>
                <w:szCs w:val="18"/>
              </w:rPr>
            </w:pPr>
            <w:r>
              <w:rPr>
                <w:rFonts w:ascii="宋体" w:hAnsi="宋体" w:cs="宋体" w:eastAsia="宋体" w:hint="default"/>
                <w:sz w:val="18"/>
                <w:szCs w:val="18"/>
              </w:rPr>
              <w:t>机械 设备、 电子 产品、 五金 交电、 计算 机软</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4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87"/>
              <w:jc w:val="left"/>
              <w:rPr>
                <w:rFonts w:ascii="宋体" w:hAnsi="宋体" w:cs="宋体" w:eastAsia="宋体" w:hint="default"/>
                <w:sz w:val="18"/>
                <w:szCs w:val="18"/>
              </w:rPr>
            </w:pPr>
            <w:r>
              <w:rPr>
                <w:rFonts w:ascii="宋体" w:hAnsi="宋体" w:cs="宋体" w:eastAsia="宋体" w:hint="default"/>
                <w:sz w:val="18"/>
                <w:szCs w:val="18"/>
              </w:rPr>
              <w:t>自由 资金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业</w:t>
            </w:r>
          </w:p>
          <w:p>
            <w:pPr>
              <w:pStyle w:val="TableParagraph"/>
              <w:spacing w:line="316" w:lineRule="auto" w:before="76"/>
              <w:ind w:left="103" w:right="93"/>
              <w:jc w:val="left"/>
              <w:rPr>
                <w:rFonts w:ascii="宋体" w:hAnsi="宋体" w:cs="宋体" w:eastAsia="宋体" w:hint="default"/>
                <w:sz w:val="18"/>
                <w:szCs w:val="18"/>
              </w:rPr>
            </w:pPr>
            <w:r>
              <w:rPr>
                <w:rFonts w:ascii="宋体" w:hAnsi="宋体" w:cs="宋体" w:eastAsia="宋体" w:hint="default"/>
                <w:sz w:val="18"/>
                <w:szCs w:val="18"/>
              </w:rPr>
              <w:t>（普 通合 </w:t>
            </w:r>
            <w:r>
              <w:rPr>
                <w:rFonts w:ascii="宋体" w:hAnsi="宋体" w:cs="宋体" w:eastAsia="宋体" w:hint="default"/>
                <w:spacing w:val="-31"/>
                <w:sz w:val="18"/>
                <w:szCs w:val="18"/>
              </w:rPr>
              <w:t>伙）、</w:t>
            </w:r>
            <w:r>
              <w:rPr>
                <w:rFonts w:ascii="宋体" w:hAnsi="宋体" w:cs="宋体" w:eastAsia="宋体" w:hint="default"/>
                <w:sz w:val="18"/>
                <w:szCs w:val="18"/>
              </w:rPr>
              <w:t> 深圳 市大 蓝筹 基金</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82"/>
              <w:jc w:val="left"/>
              <w:rPr>
                <w:rFonts w:ascii="宋体" w:hAnsi="宋体" w:cs="宋体" w:eastAsia="宋体" w:hint="default"/>
                <w:sz w:val="18"/>
                <w:szCs w:val="18"/>
              </w:rPr>
            </w:pPr>
            <w:r>
              <w:rPr>
                <w:rFonts w:ascii="宋体" w:hAnsi="宋体" w:cs="宋体" w:eastAsia="宋体" w:hint="default"/>
                <w:sz w:val="18"/>
                <w:szCs w:val="18"/>
              </w:rPr>
              <w:t>人工 智能</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2" w:right="0"/>
              <w:jc w:val="left"/>
              <w:rPr>
                <w:rFonts w:ascii="Times New Roman" w:hAnsi="Times New Roman" w:cs="Times New Roman" w:eastAsia="Times New Roman" w:hint="default"/>
                <w:sz w:val="18"/>
                <w:szCs w:val="18"/>
              </w:rPr>
            </w:pPr>
            <w:r>
              <w:rPr>
                <w:rFonts w:ascii="Times New Roman"/>
                <w:sz w:val="18"/>
              </w:rPr>
              <w:t>-710,6</w:t>
            </w:r>
          </w:p>
          <w:p>
            <w:pPr>
              <w:pStyle w:val="TableParagraph"/>
              <w:spacing w:line="240" w:lineRule="auto" w:before="105"/>
              <w:ind w:left="220" w:right="0"/>
              <w:jc w:val="left"/>
              <w:rPr>
                <w:rFonts w:ascii="Times New Roman" w:hAnsi="Times New Roman" w:cs="Times New Roman" w:eastAsia="Times New Roman" w:hint="default"/>
                <w:sz w:val="18"/>
                <w:szCs w:val="18"/>
              </w:rPr>
            </w:pPr>
            <w:r>
              <w:rPr>
                <w:rFonts w:ascii="Times New Roman"/>
                <w:sz w:val="18"/>
              </w:rPr>
              <w:t>57.90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件及</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辅助</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公</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日用</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2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百货</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游涛</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兼零</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售；企</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业管</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理咨</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询；健</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康咨</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询（不</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5"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含诊</w:t>
            </w: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疗</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从事</w:t>
            </w: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智能</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0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信息</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黄佳</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生物</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洋、</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杨</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默、</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邱宇</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彬、</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建材、</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戴丛</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机械</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磊、</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的技</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市彩</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梦想</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pacing w:val="-22"/>
                <w:sz w:val="18"/>
                <w:szCs w:val="18"/>
              </w:rPr>
              <w:t>发、技</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一号</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创业</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2184"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1" w:right="220"/>
              <w:jc w:val="both"/>
              <w:rPr>
                <w:rFonts w:ascii="宋体" w:hAnsi="宋体" w:cs="宋体" w:eastAsia="宋体" w:hint="default"/>
                <w:sz w:val="18"/>
                <w:szCs w:val="18"/>
              </w:rPr>
            </w:pPr>
            <w:r>
              <w:rPr>
                <w:rFonts w:ascii="宋体" w:hAnsi="宋体" w:cs="宋体" w:eastAsia="宋体" w:hint="default"/>
                <w:sz w:val="18"/>
                <w:szCs w:val="18"/>
              </w:rPr>
              <w:t>深圳 市图 灵机 器人 有限 公司</w:t>
            </w: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4" w:right="37"/>
              <w:jc w:val="left"/>
              <w:rPr>
                <w:rFonts w:ascii="宋体" w:hAnsi="宋体" w:cs="宋体" w:eastAsia="宋体" w:hint="default"/>
                <w:sz w:val="18"/>
                <w:szCs w:val="18"/>
              </w:rPr>
            </w:pPr>
            <w:r>
              <w:rPr>
                <w:rFonts w:ascii="宋体" w:hAnsi="宋体" w:cs="宋体" w:eastAsia="宋体" w:hint="default"/>
                <w:sz w:val="18"/>
                <w:szCs w:val="18"/>
              </w:rPr>
              <w:t>询与 技术 支撑； 国内 贸易</w:t>
            </w:r>
          </w:p>
          <w:p>
            <w:pPr>
              <w:pStyle w:val="TableParagraph"/>
              <w:spacing w:line="316" w:lineRule="auto" w:before="19"/>
              <w:ind w:left="104" w:right="217"/>
              <w:jc w:val="left"/>
              <w:rPr>
                <w:rFonts w:ascii="宋体" w:hAnsi="宋体" w:cs="宋体" w:eastAsia="宋体" w:hint="default"/>
                <w:sz w:val="18"/>
                <w:szCs w:val="18"/>
              </w:rPr>
            </w:pPr>
            <w:r>
              <w:rPr>
                <w:rFonts w:ascii="宋体" w:hAnsi="宋体" w:cs="宋体" w:eastAsia="宋体" w:hint="default"/>
                <w:sz w:val="18"/>
                <w:szCs w:val="18"/>
              </w:rPr>
              <w:t>（不 含专</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13,71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4,200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8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82"/>
              <w:jc w:val="both"/>
              <w:rPr>
                <w:rFonts w:ascii="宋体" w:hAnsi="宋体" w:cs="宋体" w:eastAsia="宋体" w:hint="default"/>
                <w:sz w:val="18"/>
                <w:szCs w:val="18"/>
              </w:rPr>
            </w:pPr>
            <w:r>
              <w:rPr>
                <w:rFonts w:ascii="宋体" w:hAnsi="宋体" w:cs="宋体" w:eastAsia="宋体" w:hint="default"/>
                <w:sz w:val="18"/>
                <w:szCs w:val="18"/>
              </w:rPr>
              <w:t>投资 合伙 企业</w:t>
            </w:r>
          </w:p>
          <w:p>
            <w:pPr>
              <w:pStyle w:val="TableParagraph"/>
              <w:spacing w:line="316" w:lineRule="auto" w:before="19"/>
              <w:ind w:left="103" w:right="93"/>
              <w:jc w:val="left"/>
              <w:rPr>
                <w:rFonts w:ascii="宋体" w:hAnsi="宋体" w:cs="宋体" w:eastAsia="宋体" w:hint="default"/>
                <w:sz w:val="18"/>
                <w:szCs w:val="18"/>
              </w:rPr>
            </w:pPr>
            <w:r>
              <w:rPr>
                <w:rFonts w:ascii="宋体" w:hAnsi="宋体" w:cs="宋体" w:eastAsia="宋体" w:hint="default"/>
                <w:sz w:val="18"/>
                <w:szCs w:val="18"/>
              </w:rPr>
              <w:t>（有 限合 </w:t>
            </w:r>
            <w:r>
              <w:rPr>
                <w:rFonts w:ascii="宋体" w:hAnsi="宋体" w:cs="宋体" w:eastAsia="宋体" w:hint="default"/>
                <w:spacing w:val="-31"/>
                <w:sz w:val="18"/>
                <w:szCs w:val="18"/>
              </w:rPr>
              <w:t>伙）、</w:t>
            </w:r>
            <w:r>
              <w:rPr>
                <w:rFonts w:ascii="宋体" w:hAnsi="宋体" w:cs="宋体" w:eastAsia="宋体" w:hint="default"/>
                <w:sz w:val="18"/>
                <w:szCs w:val="18"/>
              </w:rPr>
              <w:t> 深圳</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82"/>
              <w:jc w:val="left"/>
              <w:rPr>
                <w:rFonts w:ascii="宋体" w:hAnsi="宋体" w:cs="宋体" w:eastAsia="宋体" w:hint="default"/>
                <w:sz w:val="18"/>
                <w:szCs w:val="18"/>
              </w:rPr>
            </w:pPr>
            <w:r>
              <w:rPr>
                <w:rFonts w:ascii="宋体" w:hAnsi="宋体" w:cs="宋体" w:eastAsia="宋体" w:hint="default"/>
                <w:sz w:val="18"/>
                <w:szCs w:val="18"/>
              </w:rPr>
              <w:t>人工 智能</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1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pacing w:val="-22"/>
                <w:sz w:val="18"/>
                <w:szCs w:val="18"/>
              </w:rPr>
              <w:t>营、专</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市峰</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pacing w:val="-22"/>
                <w:sz w:val="18"/>
                <w:szCs w:val="18"/>
              </w:rPr>
              <w:t>控、专</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林一</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卖商</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号新</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兴产</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业创</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进出</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业投</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口业</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资基</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pacing w:val="-22"/>
                <w:sz w:val="18"/>
                <w:szCs w:val="18"/>
              </w:rPr>
              <w:t>务（法</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金合</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pacing w:val="-22"/>
                <w:sz w:val="18"/>
                <w:szCs w:val="18"/>
              </w:rPr>
              <w:t>律、行</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伙企</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政法</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pacing w:val="-22"/>
                <w:sz w:val="18"/>
                <w:szCs w:val="18"/>
              </w:rPr>
              <w:t>规、国</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务院</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2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决定</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禁止</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的项</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目除</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22"/>
                <w:sz w:val="18"/>
                <w:szCs w:val="18"/>
              </w:rPr>
              <w:t>外，限</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r>
      <w:tr>
        <w:trPr>
          <w:trHeight w:val="315"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制的</w:t>
            </w: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1922"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4" w:right="37"/>
              <w:jc w:val="left"/>
              <w:rPr>
                <w:rFonts w:ascii="宋体" w:hAnsi="宋体" w:cs="宋体" w:eastAsia="宋体" w:hint="default"/>
                <w:sz w:val="18"/>
                <w:szCs w:val="18"/>
              </w:rPr>
            </w:pPr>
            <w:r>
              <w:rPr>
                <w:rFonts w:ascii="宋体" w:hAnsi="宋体" w:cs="宋体" w:eastAsia="宋体" w:hint="default"/>
                <w:sz w:val="18"/>
                <w:szCs w:val="18"/>
              </w:rPr>
              <w:t>项目 须取 得许 可后 方可 经营）</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46,71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4,200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-3,964,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247.05</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95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7"/>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7"/>
      </w:tblGrid>
      <w:tr>
        <w:trPr>
          <w:trHeight w:val="1650"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40" w:right="157"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15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157"/>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5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156"/>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202,767.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70,897.5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202,767.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96"/>
              <w:jc w:val="right"/>
              <w:rPr>
                <w:rFonts w:ascii="宋体" w:hAnsi="宋体" w:cs="宋体" w:eastAsia="宋体" w:hint="default"/>
                <w:sz w:val="18"/>
                <w:szCs w:val="18"/>
              </w:rPr>
            </w:pPr>
            <w:r>
              <w:rPr>
                <w:rFonts w:ascii="宋体" w:hAnsi="宋体" w:cs="宋体" w:eastAsia="宋体" w:hint="default"/>
                <w:sz w:val="18"/>
                <w:szCs w:val="18"/>
              </w:rPr>
              <w:t>无</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202,767.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70,897.5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202,767.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67"/>
              <w:jc w:val="right"/>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8" w:hRule="exact"/>
        </w:trPr>
        <w:tc>
          <w:tcPr>
            <w:tcW w:w="9561" w:type="dxa"/>
            <w:gridSpan w:val="11"/>
            <w:tcBorders>
              <w:top w:val="single" w:sz="4" w:space="0" w:color="000000"/>
              <w:left w:val="single" w:sz="4" w:space="0" w:color="000000"/>
              <w:bottom w:val="single" w:sz="4" w:space="0" w:color="000000"/>
              <w:right w:val="single" w:sz="4" w:space="0" w:color="000000"/>
            </w:tcBorders>
          </w:tcPr>
          <w:p>
            <w:pPr>
              <w:pStyle w:val="TableParagraph"/>
              <w:spacing w:line="340" w:lineRule="auto" w:before="50"/>
              <w:ind w:left="462" w:right="446" w:hanging="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）实际募集资金金额、资金到账情况 经中国证券监督管理委员会《关于核准深圳市赢时胜信息技术股份有限公司非公开发行股票的批复》证监许可</w:t>
            </w:r>
          </w:p>
          <w:p>
            <w:pPr>
              <w:pStyle w:val="TableParagraph"/>
              <w:spacing w:line="240" w:lineRule="auto" w:before="1"/>
              <w:ind w:left="10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号文核准</w:t>
            </w:r>
            <w:r>
              <w:rPr>
                <w:rFonts w:ascii="宋体" w:hAnsi="宋体" w:cs="宋体" w:eastAsia="宋体" w:hint="default"/>
                <w:spacing w:val="-34"/>
                <w:w w:val="99"/>
                <w:sz w:val="18"/>
                <w:szCs w:val="18"/>
              </w:rPr>
              <w:t>，</w:t>
            </w:r>
            <w:r>
              <w:rPr>
                <w:rFonts w:ascii="宋体" w:hAnsi="宋体" w:cs="宋体" w:eastAsia="宋体" w:hint="default"/>
                <w:w w:val="99"/>
                <w:sz w:val="18"/>
                <w:szCs w:val="18"/>
              </w:rPr>
              <w:t>同意深圳市赢时胜信息技术股份有限公</w:t>
            </w:r>
            <w:r>
              <w:rPr>
                <w:rFonts w:ascii="宋体" w:hAnsi="宋体" w:cs="宋体" w:eastAsia="宋体" w:hint="default"/>
                <w:spacing w:val="-34"/>
                <w:w w:val="99"/>
                <w:sz w:val="18"/>
                <w:szCs w:val="18"/>
              </w:rPr>
              <w:t>司</w:t>
            </w:r>
            <w:r>
              <w:rPr>
                <w:rFonts w:ascii="宋体" w:hAnsi="宋体" w:cs="宋体" w:eastAsia="宋体" w:hint="default"/>
                <w:w w:val="99"/>
                <w:sz w:val="18"/>
                <w:szCs w:val="18"/>
              </w:rPr>
              <w:t>（以下简称</w:t>
            </w:r>
            <w:r>
              <w:rPr>
                <w:rFonts w:ascii="宋体" w:hAnsi="宋体" w:cs="宋体" w:eastAsia="宋体" w:hint="default"/>
                <w:spacing w:val="-35"/>
                <w:w w:val="99"/>
                <w:sz w:val="18"/>
                <w:szCs w:val="18"/>
              </w:rPr>
              <w:t> </w:t>
            </w:r>
            <w:r>
              <w:rPr>
                <w:rFonts w:ascii="宋体" w:hAnsi="宋体" w:cs="宋体" w:eastAsia="宋体" w:hint="default"/>
                <w:w w:val="99"/>
                <w:sz w:val="18"/>
                <w:szCs w:val="18"/>
              </w:rPr>
              <w:t>“公司</w:t>
            </w:r>
            <w:r>
              <w:rPr>
                <w:rFonts w:ascii="宋体" w:hAnsi="宋体" w:cs="宋体" w:eastAsia="宋体" w:hint="default"/>
                <w:spacing w:val="-92"/>
                <w:w w:val="99"/>
                <w:sz w:val="18"/>
                <w:szCs w:val="18"/>
              </w:rPr>
              <w:t>”</w:t>
            </w:r>
            <w:r>
              <w:rPr>
                <w:rFonts w:ascii="宋体" w:hAnsi="宋体" w:cs="宋体" w:eastAsia="宋体" w:hint="default"/>
                <w:spacing w:val="-34"/>
                <w:w w:val="99"/>
                <w:sz w:val="18"/>
                <w:szCs w:val="18"/>
              </w:rPr>
              <w:t>）</w:t>
            </w:r>
            <w:r>
              <w:rPr>
                <w:rFonts w:ascii="宋体" w:hAnsi="宋体" w:cs="宋体" w:eastAsia="宋体" w:hint="default"/>
                <w:w w:val="99"/>
                <w:sz w:val="18"/>
                <w:szCs w:val="18"/>
              </w:rPr>
              <w:t>非公开发行不超过</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4</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5</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3"/>
                <w:w w:val="99"/>
                <w:sz w:val="18"/>
                <w:szCs w:val="18"/>
              </w:rPr>
              <w:t> </w:t>
            </w:r>
            <w:r>
              <w:rPr>
                <w:rFonts w:ascii="宋体" w:hAnsi="宋体" w:cs="宋体" w:eastAsia="宋体" w:hint="default"/>
                <w:w w:val="99"/>
                <w:sz w:val="18"/>
                <w:szCs w:val="18"/>
              </w:rPr>
              <w:t>万股新股。</w:t>
            </w:r>
            <w:r>
              <w:rPr>
                <w:rFonts w:ascii="宋体" w:hAnsi="宋体" w:cs="宋体" w:eastAsia="宋体"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日止，公司本次非公开发行股票的募集资金总额为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2,085,599,962.08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元，扣除各项发行费用</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57,924,607.09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元后，募集资金净额为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2,027,675,354.99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元。上述募集资金已经天职国际会计师事务所（特殊普通合伙）</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1"/>
        <w:rPr>
          <w:rFonts w:ascii="宋体" w:hAnsi="宋体" w:cs="宋体" w:eastAsia="宋体" w:hint="default"/>
          <w:sz w:val="23"/>
          <w:szCs w:val="23"/>
        </w:rPr>
      </w:pPr>
    </w:p>
    <w:p>
      <w:pPr>
        <w:spacing w:line="4248" w:lineRule="exact"/>
        <w:ind w:left="104"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478.9pt;height:212.45pt;mso-position-horizontal-relative:char;mso-position-vertical-relative:line" coordorigin="0,0" coordsize="9578,4249">
            <v:group style="position:absolute;left:5;top:10;width:9568;height:2" coordorigin="5,10" coordsize="9568,2">
              <v:shape style="position:absolute;left:5;top:10;width:9568;height:2" coordorigin="5,10" coordsize="9568,0" path="m5,10l9572,10e" filled="false" stroked="true" strokeweight=".48pt" strokecolor="#000000">
                <v:path arrowok="t"/>
              </v:shape>
            </v:group>
            <v:group style="position:absolute;left:5;top:4244;width:9568;height:2" coordorigin="5,4244" coordsize="9568,2">
              <v:shape style="position:absolute;left:5;top:4244;width:9568;height:2" coordorigin="5,4244" coordsize="9568,0" path="m5,4244l9572,4244e" filled="false" stroked="true" strokeweight=".48pt" strokecolor="#000000">
                <v:path arrowok="t"/>
              </v:shape>
            </v:group>
            <v:group style="position:absolute;left:10;top:5;width:2;height:4234" coordorigin="10,5" coordsize="2,4234">
              <v:shape style="position:absolute;left:10;top:5;width:2;height:4234" coordorigin="10,5" coordsize="0,4234" path="m10,5l10,4239e" filled="false" stroked="true" strokeweight=".48pt" strokecolor="#000000">
                <v:path arrowok="t"/>
              </v:shape>
            </v:group>
            <v:group style="position:absolute;left:9568;top:5;width:2;height:4234" coordorigin="9568,5" coordsize="2,4234">
              <v:shape style="position:absolute;left:9568;top:5;width:2;height:4234" coordorigin="9568,5" coordsize="0,4234" path="m9568,5l9568,4239e" filled="false" stroked="true" strokeweight=".48pt" strokecolor="#000000">
                <v:path arrowok="t"/>
              </v:shape>
              <v:shape style="position:absolute;left:116;top:82;width:5760;height:3709"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8484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号《验资报告》验证。</w:t>
                      </w:r>
                    </w:p>
                    <w:p>
                      <w:pPr>
                        <w:spacing w:before="101"/>
                        <w:ind w:left="18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）募集资金使用及结余情况</w:t>
                      </w:r>
                    </w:p>
                    <w:p>
                      <w:pPr>
                        <w:tabs>
                          <w:tab w:pos="2371" w:val="left" w:leader="none"/>
                        </w:tabs>
                        <w:spacing w:line="340" w:lineRule="auto" w:before="103"/>
                        <w:ind w:left="271" w:right="0" w:hanging="18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日，公司非公开发行股票募集资金使用情况如下： 项目</w:t>
                        <w:tab/>
                        <w:t>金额（元）</w:t>
                      </w:r>
                    </w:p>
                    <w:p>
                      <w:pPr>
                        <w:tabs>
                          <w:tab w:pos="2159" w:val="left" w:leader="none"/>
                        </w:tabs>
                        <w:spacing w:before="39"/>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募集资金净额</w:t>
                        <w:tab/>
                      </w:r>
                      <w:r>
                        <w:rPr>
                          <w:rFonts w:ascii="Times New Roman" w:hAnsi="Times New Roman" w:cs="Times New Roman" w:eastAsia="Times New Roman" w:hint="default"/>
                          <w:sz w:val="18"/>
                          <w:szCs w:val="18"/>
                        </w:rPr>
                        <w:t>2,027,675,354.99</w:t>
                      </w:r>
                    </w:p>
                    <w:p>
                      <w:pPr>
                        <w:tabs>
                          <w:tab w:pos="2191" w:val="left" w:leader="none"/>
                        </w:tabs>
                        <w:spacing w:before="103"/>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减：累计使用募集资金</w:t>
                        <w:tab/>
                      </w:r>
                      <w:r>
                        <w:rPr>
                          <w:rFonts w:ascii="Times New Roman" w:hAnsi="Times New Roman" w:cs="Times New Roman" w:eastAsia="Times New Roman" w:hint="default"/>
                          <w:sz w:val="18"/>
                          <w:szCs w:val="18"/>
                        </w:rPr>
                        <w:t>2,054,641,187.00</w:t>
                      </w:r>
                    </w:p>
                    <w:p>
                      <w:pPr>
                        <w:spacing w:before="103"/>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日止募投项目使用金额</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1,663,700,000.00</w:t>
                      </w:r>
                    </w:p>
                    <w:p>
                      <w:pPr>
                        <w:tabs>
                          <w:tab w:pos="2519" w:val="left" w:leader="none"/>
                        </w:tabs>
                        <w:spacing w:before="101"/>
                        <w:ind w:left="5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银行收取账户管理费</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455.00</w:t>
                      </w:r>
                    </w:p>
                    <w:p>
                      <w:pPr>
                        <w:spacing w:before="103"/>
                        <w:ind w:left="5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用节余募集资金永久补充流动资金</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390,940,732.00</w:t>
                      </w:r>
                    </w:p>
                    <w:p>
                      <w:pPr>
                        <w:tabs>
                          <w:tab w:pos="2519" w:val="left" w:leader="none"/>
                        </w:tabs>
                        <w:spacing w:before="103"/>
                        <w:ind w:left="5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用超募资金对外投资</w:t>
                        <w:tab/>
                      </w:r>
                      <w:r>
                        <w:rPr>
                          <w:rFonts w:ascii="Times New Roman" w:hAnsi="Times New Roman" w:cs="Times New Roman" w:eastAsia="Times New Roman" w:hint="default"/>
                          <w:sz w:val="18"/>
                          <w:szCs w:val="18"/>
                        </w:rPr>
                        <w:t>-</w:t>
                      </w:r>
                    </w:p>
                    <w:p>
                      <w:pPr>
                        <w:tabs>
                          <w:tab w:pos="3359" w:val="left" w:leader="none"/>
                        </w:tabs>
                        <w:spacing w:line="245" w:lineRule="exact" w:before="101"/>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加：累计募集资金利息及理财产品收益</w:t>
                        <w:tab/>
                      </w:r>
                      <w:r>
                        <w:rPr>
                          <w:rFonts w:ascii="Times New Roman" w:hAnsi="Times New Roman" w:cs="Times New Roman" w:eastAsia="Times New Roman" w:hint="default"/>
                          <w:sz w:val="18"/>
                          <w:szCs w:val="18"/>
                        </w:rPr>
                        <w:t>26,965,832.01</w:t>
                      </w:r>
                    </w:p>
                  </w:txbxContent>
                </v:textbox>
                <w10:wrap type="none"/>
              </v:shape>
              <v:shape style="position:absolute;left:656;top:3953;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尚未使用的募集资金余额</w:t>
                      </w:r>
                    </w:p>
                  </w:txbxContent>
                </v:textbox>
                <w10:wrap type="none"/>
              </v:shape>
              <v:shape style="position:absolute;left:3056;top:3963;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84"/>
          <w:sz w:val="20"/>
          <w:szCs w:val="20"/>
        </w:rPr>
      </w:r>
    </w:p>
    <w:p>
      <w:pPr>
        <w:spacing w:line="240" w:lineRule="auto" w:before="6"/>
        <w:rPr>
          <w:rFonts w:ascii="宋体" w:hAnsi="宋体" w:cs="宋体" w:eastAsia="宋体" w:hint="default"/>
          <w:sz w:val="19"/>
          <w:szCs w:val="19"/>
        </w:rPr>
      </w:pPr>
    </w:p>
    <w:p>
      <w:pPr>
        <w:pStyle w:val="Heading3"/>
        <w:spacing w:line="240" w:lineRule="auto" w:before="34"/>
        <w:ind w:right="952"/>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52"/>
        <w:jc w:val="left"/>
      </w:pPr>
      <w:r>
        <w:rPr/>
        <w:t>√ 适用 □ 不适用</w:t>
      </w:r>
    </w:p>
    <w:p>
      <w:pPr>
        <w:pStyle w:val="BodyText"/>
        <w:spacing w:line="240" w:lineRule="auto" w:before="117"/>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22"/>
        <w:gridCol w:w="721"/>
        <w:gridCol w:w="721"/>
        <w:gridCol w:w="720"/>
        <w:gridCol w:w="722"/>
        <w:gridCol w:w="722"/>
        <w:gridCol w:w="721"/>
        <w:gridCol w:w="722"/>
        <w:gridCol w:w="722"/>
        <w:gridCol w:w="722"/>
        <w:gridCol w:w="722"/>
      </w:tblGrid>
      <w:tr>
        <w:trPr>
          <w:trHeight w:val="22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181" w:hanging="92"/>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45" w:right="144"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4"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1" w:right="156"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5" w:right="175"/>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22" w:right="117" w:firstLine="5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5" w:right="173"/>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4" w:right="175"/>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5" w:right="175"/>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75" w:right="17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2" w:hRule="exact"/>
        </w:trPr>
        <w:tc>
          <w:tcPr>
            <w:tcW w:w="1634"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2018</w:t>
            </w: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101"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互联网金融大数 据中心项目</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147,00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147,00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12" w:right="0"/>
              <w:jc w:val="left"/>
              <w:rPr>
                <w:rFonts w:ascii="Times New Roman" w:hAnsi="Times New Roman" w:cs="Times New Roman" w:eastAsia="Times New Roman" w:hint="default"/>
                <w:sz w:val="18"/>
                <w:szCs w:val="18"/>
              </w:rPr>
            </w:pPr>
            <w:r>
              <w:rPr>
                <w:rFonts w:ascii="Times New Roman"/>
                <w:sz w:val="18"/>
              </w:rPr>
              <w:t>23,920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.29</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15" w:right="0"/>
              <w:jc w:val="left"/>
              <w:rPr>
                <w:rFonts w:ascii="Times New Roman" w:hAnsi="Times New Roman" w:cs="Times New Roman" w:eastAsia="Times New Roman" w:hint="default"/>
                <w:sz w:val="18"/>
                <w:szCs w:val="18"/>
              </w:rPr>
            </w:pPr>
            <w:r>
              <w:rPr>
                <w:rFonts w:ascii="Times New Roman"/>
                <w:sz w:val="18"/>
              </w:rPr>
              <w:t>97,679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.48</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4" w:right="0"/>
              <w:jc w:val="left"/>
              <w:rPr>
                <w:rFonts w:ascii="Times New Roman" w:hAnsi="Times New Roman" w:cs="Times New Roman" w:eastAsia="Times New Roman" w:hint="default"/>
                <w:sz w:val="18"/>
                <w:szCs w:val="18"/>
              </w:rPr>
            </w:pPr>
            <w:r>
              <w:rPr>
                <w:rFonts w:ascii="Times New Roman"/>
                <w:sz w:val="18"/>
              </w:rPr>
              <w:t>66.45</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58" w:right="0"/>
              <w:jc w:val="left"/>
              <w:rPr>
                <w:rFonts w:ascii="Times New Roman" w:hAnsi="Times New Roman" w:cs="Times New Roman" w:eastAsia="Times New Roman" w:hint="default"/>
                <w:sz w:val="18"/>
                <w:szCs w:val="18"/>
              </w:rPr>
            </w:pPr>
            <w:r>
              <w:rPr>
                <w:rFonts w:ascii="Times New Roman"/>
                <w:sz w:val="18"/>
              </w:rPr>
              <w:t>1,796.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02</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58" w:right="0"/>
              <w:jc w:val="left"/>
              <w:rPr>
                <w:rFonts w:ascii="Times New Roman" w:hAnsi="Times New Roman" w:cs="Times New Roman" w:eastAsia="Times New Roman" w:hint="default"/>
                <w:sz w:val="18"/>
                <w:szCs w:val="18"/>
              </w:rPr>
            </w:pPr>
            <w:r>
              <w:rPr>
                <w:rFonts w:ascii="Times New Roman"/>
                <w:sz w:val="18"/>
              </w:rPr>
              <w:t>4,556.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67</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634"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634"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2018</w:t>
            </w: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101"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互联网金融产品 服务平台项目</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13,960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13,960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2" w:hRule="exact"/>
        </w:trPr>
        <w:tc>
          <w:tcPr>
            <w:tcW w:w="1634"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101"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互联网金融机构 运营服务中心项 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10,579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47,730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82.29</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634"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2018</w:t>
            </w: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246"/>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634"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20"/>
        <w:gridCol w:w="914"/>
        <w:gridCol w:w="722"/>
        <w:gridCol w:w="721"/>
        <w:gridCol w:w="721"/>
        <w:gridCol w:w="720"/>
        <w:gridCol w:w="722"/>
        <w:gridCol w:w="722"/>
        <w:gridCol w:w="721"/>
        <w:gridCol w:w="722"/>
        <w:gridCol w:w="722"/>
        <w:gridCol w:w="722"/>
        <w:gridCol w:w="722"/>
      </w:tblGrid>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292,00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2,796.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6,647.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37</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292,00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166,37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2,796.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6,647.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37</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互联网金融产品服务平台项目未达到计划进度或预计收益的情况和原因：由于非公开发行 </w:t>
            </w:r>
            <w:r>
              <w:rPr>
                <w:rFonts w:ascii="宋体" w:hAnsi="宋体" w:cs="宋体" w:eastAsia="宋体" w:hint="default"/>
                <w:spacing w:val="-3"/>
                <w:sz w:val="18"/>
                <w:szCs w:val="18"/>
              </w:rPr>
              <w:t>存在募差及市场环境发生较大变化，该项目可行性发生重大变化，为了保护广大股东利益，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提高募集资金使用效益，公司决定终止互联网金融产品服务平台项目，公司于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8"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日完成了终止互联网金融产品服务平台项目的审批程序。</w:t>
            </w:r>
          </w:p>
        </w:tc>
      </w:tr>
      <w:tr>
        <w:trPr>
          <w:trHeight w:val="3210"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60"/>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互联网金融产品服务平台项目终止的情况说明：</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）非公开存在差募</w:t>
            </w:r>
            <w:r>
              <w:rPr>
                <w:rFonts w:ascii="宋体" w:hAnsi="宋体" w:cs="宋体" w:eastAsia="宋体" w:hint="default"/>
                <w:spacing w:val="-3"/>
                <w:sz w:val="18"/>
                <w:szCs w:val="18"/>
              </w:rPr>
              <w:t> </w:t>
            </w:r>
            <w:r>
              <w:rPr>
                <w:rFonts w:ascii="宋体" w:hAnsi="宋体" w:cs="宋体" w:eastAsia="宋体" w:hint="default"/>
                <w:sz w:val="18"/>
                <w:szCs w:val="18"/>
              </w:rPr>
              <w:t>由于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年非公 </w:t>
            </w:r>
            <w:r>
              <w:rPr>
                <w:rFonts w:ascii="宋体" w:hAnsi="宋体" w:cs="宋体" w:eastAsia="宋体" w:hint="default"/>
                <w:spacing w:val="-1"/>
                <w:sz w:val="18"/>
                <w:szCs w:val="18"/>
              </w:rPr>
              <w:t>开发行期间，股市波动较为强烈，导致本次非公开发行实际募集资金少于拟投入的募集资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金总额，存在较大金额的差募。根据公司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年第二次临时股东大会通过的《非公开发 </w:t>
            </w:r>
            <w:r>
              <w:rPr>
                <w:rFonts w:ascii="宋体" w:hAnsi="宋体" w:cs="宋体" w:eastAsia="宋体" w:hint="default"/>
                <w:spacing w:val="-3"/>
                <w:sz w:val="18"/>
                <w:szCs w:val="18"/>
              </w:rPr>
              <w:t>行股票的预案》，公司募集资金不足部分由公司以自筹资金解决，根据项目的实际需求，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可以对募集资金金额进行适当的调整。为缓解公司自有资金使用压力，减少自有资金补足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募集资金金额，公司决定终止实施募集资金投资项目“互联网金融产品服务平台项目”。</w:t>
            </w:r>
          </w:p>
          <w:p>
            <w:pPr>
              <w:pStyle w:val="TableParagraph"/>
              <w:spacing w:line="312" w:lineRule="auto" w:before="22"/>
              <w:ind w:left="102" w:right="10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）市场环境发生较大变化</w:t>
            </w:r>
            <w:r>
              <w:rPr>
                <w:rFonts w:ascii="宋体" w:hAnsi="宋体" w:cs="宋体" w:eastAsia="宋体" w:hint="default"/>
                <w:spacing w:val="-22"/>
                <w:sz w:val="18"/>
                <w:szCs w:val="18"/>
              </w:rPr>
              <w:t> </w:t>
            </w:r>
            <w:r>
              <w:rPr>
                <w:rFonts w:ascii="宋体" w:hAnsi="宋体" w:cs="宋体" w:eastAsia="宋体" w:hint="default"/>
                <w:sz w:val="18"/>
                <w:szCs w:val="18"/>
              </w:rPr>
              <w:t>近几年中国金融市场发生较大变化，受到市场、商业环境等</w:t>
            </w:r>
            <w:r>
              <w:rPr>
                <w:rFonts w:ascii="宋体" w:hAnsi="宋体" w:cs="宋体" w:eastAsia="宋体" w:hint="default"/>
                <w:sz w:val="18"/>
                <w:szCs w:val="18"/>
              </w:rPr>
              <w:t> </w:t>
            </w:r>
            <w:r>
              <w:rPr>
                <w:rFonts w:ascii="宋体" w:hAnsi="宋体" w:cs="宋体" w:eastAsia="宋体" w:hint="default"/>
                <w:spacing w:val="-1"/>
                <w:sz w:val="18"/>
                <w:szCs w:val="18"/>
              </w:rPr>
              <w:t>原因的制约，预计该项目的实施难以实现当时市场环境下进行的可行性分析，为了保障募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集资金的安全，本着有利于公司全体股东利益的原则，公司决定终止实施募集资金投资项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目“互联网金融产品服务平台项目”。</w:t>
            </w: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80"/>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01" w:right="260"/>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1"/>
              <w:ind w:left="101" w:right="260"/>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101" w:right="260"/>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32"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2" w:right="102"/>
              <w:jc w:val="left"/>
              <w:rPr>
                <w:rFonts w:ascii="宋体" w:hAnsi="宋体" w:cs="宋体" w:eastAsia="宋体" w:hint="default"/>
                <w:sz w:val="18"/>
                <w:szCs w:val="18"/>
              </w:rPr>
            </w:pPr>
            <w:r>
              <w:rPr>
                <w:rFonts w:ascii="宋体" w:hAnsi="宋体" w:cs="宋体" w:eastAsia="宋体" w:hint="default"/>
                <w:spacing w:val="-1"/>
                <w:sz w:val="18"/>
                <w:szCs w:val="18"/>
              </w:rPr>
              <w:t>为提高募集资金的使用效率，降低公司运营成本，维护公司和股东的利益，在保证募集资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金投资项目建设的资金需求及募集资金投资项目正常进行的前提下，根据《深圳证券交易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所创业板上市公司规范运作指引》等相关规定，公司拟使用非公开发行股票闲置的募集资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万元暂时补充公司的流动资金。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日，公司第三届董事会第十七次 </w:t>
            </w:r>
            <w:r>
              <w:rPr>
                <w:rFonts w:ascii="宋体" w:hAnsi="宋体" w:cs="宋体" w:eastAsia="宋体" w:hint="default"/>
                <w:spacing w:val="-3"/>
                <w:w w:val="99"/>
                <w:sz w:val="18"/>
                <w:szCs w:val="18"/>
              </w:rPr>
              <w:t>会议审议通过了《关于</w:t>
            </w:r>
            <w:r>
              <w:rPr>
                <w:rFonts w:ascii="Times New Roman" w:hAnsi="Times New Roman" w:cs="Times New Roman" w:eastAsia="Times New Roman" w:hint="default"/>
                <w:spacing w:val="-3"/>
                <w:w w:val="99"/>
                <w:sz w:val="18"/>
                <w:szCs w:val="18"/>
              </w:rPr>
              <w:t>&lt;</w:t>
            </w:r>
            <w:r>
              <w:rPr>
                <w:rFonts w:ascii="宋体" w:hAnsi="宋体" w:cs="宋体" w:eastAsia="宋体" w:hint="default"/>
                <w:spacing w:val="-3"/>
                <w:w w:val="99"/>
                <w:sz w:val="18"/>
                <w:szCs w:val="18"/>
              </w:rPr>
              <w:t>使用部分闲置募集资金暂时补充流动资金</w:t>
            </w:r>
            <w:r>
              <w:rPr>
                <w:rFonts w:ascii="Times New Roman" w:hAnsi="Times New Roman" w:cs="Times New Roman" w:eastAsia="Times New Roman" w:hint="default"/>
                <w:spacing w:val="-3"/>
                <w:w w:val="99"/>
                <w:sz w:val="18"/>
                <w:szCs w:val="18"/>
              </w:rPr>
              <w:t>&gt;</w:t>
            </w:r>
            <w:r>
              <w:rPr>
                <w:rFonts w:ascii="宋体" w:hAnsi="宋体" w:cs="宋体" w:eastAsia="宋体" w:hint="default"/>
                <w:spacing w:val="-3"/>
                <w:w w:val="99"/>
                <w:sz w:val="18"/>
                <w:szCs w:val="18"/>
              </w:rPr>
              <w:t>的议案》，全体董事一</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致同意公司使用部分闲置募集资金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万元暂时补充流动资金，且已经监事会审议通 </w:t>
            </w:r>
            <w:r>
              <w:rPr>
                <w:rFonts w:ascii="宋体" w:hAnsi="宋体" w:cs="宋体" w:eastAsia="宋体" w:hint="default"/>
                <w:spacing w:val="-1"/>
                <w:sz w:val="18"/>
                <w:szCs w:val="18"/>
              </w:rPr>
              <w:t>过，公司独立董事已出具明确同意意见。公司上述使用部分闲置募集资金暂时补充流动资</w:t>
            </w:r>
          </w:p>
        </w:tc>
      </w:tr>
    </w:tbl>
    <w:p>
      <w:pPr>
        <w:spacing w:after="0" w:line="309"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634"/>
        <w:gridCol w:w="722"/>
        <w:gridCol w:w="7215"/>
      </w:tblGrid>
      <w:tr>
        <w:trPr>
          <w:trHeight w:val="98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2"/>
              <w:jc w:val="both"/>
              <w:rPr>
                <w:rFonts w:ascii="宋体" w:hAnsi="宋体" w:cs="宋体" w:eastAsia="宋体" w:hint="default"/>
                <w:sz w:val="18"/>
                <w:szCs w:val="18"/>
              </w:rPr>
            </w:pPr>
            <w:r>
              <w:rPr>
                <w:rFonts w:ascii="宋体" w:hAnsi="宋体" w:cs="宋体" w:eastAsia="宋体" w:hint="default"/>
                <w:spacing w:val="-6"/>
                <w:sz w:val="18"/>
                <w:szCs w:val="18"/>
              </w:rPr>
              <w:t>金的决策程序符合《深圳证券交易所创业板股票上市规则》、《深圳证券交易所创业板上市</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
                <w:sz w:val="18"/>
                <w:szCs w:val="18"/>
              </w:rPr>
              <w:t>公司规范性运作指引》等有关规定。保荐机构对公司使用部分闲置募集资金暂时补充流动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资金的事项无异议。</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01" w:right="260"/>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2"/>
              <w:jc w:val="left"/>
              <w:rPr>
                <w:rFonts w:ascii="宋体" w:hAnsi="宋体" w:cs="宋体" w:eastAsia="宋体" w:hint="default"/>
                <w:sz w:val="18"/>
                <w:szCs w:val="18"/>
              </w:rPr>
            </w:pPr>
            <w:r>
              <w:rPr>
                <w:rFonts w:ascii="宋体" w:hAnsi="宋体" w:cs="宋体" w:eastAsia="宋体" w:hint="default"/>
                <w:spacing w:val="-1"/>
                <w:sz w:val="18"/>
                <w:szCs w:val="18"/>
              </w:rPr>
              <w:t>项目建设过程中，在保证项目质量的前提下，公司严格把控采购、建设个环节。有效地控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制了成本，结余了募集资金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39,094.07</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万元（含利息）。</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节余的募集资金已永久补充流动资金。</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952"/>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334"/>
        <w:jc w:val="left"/>
      </w:pPr>
      <w:r>
        <w:rPr/>
        <w:t>□ 适用 √ 不适用 公司报告期不存在募集资金变更项目情况。</w:t>
      </w:r>
    </w:p>
    <w:p>
      <w:pPr>
        <w:spacing w:line="240" w:lineRule="auto" w:before="2"/>
        <w:rPr>
          <w:rFonts w:ascii="宋体" w:hAnsi="宋体" w:cs="宋体" w:eastAsia="宋体" w:hint="default"/>
          <w:sz w:val="18"/>
          <w:szCs w:val="18"/>
        </w:rPr>
      </w:pPr>
    </w:p>
    <w:p>
      <w:pPr>
        <w:pStyle w:val="Heading2"/>
        <w:spacing w:line="240" w:lineRule="auto"/>
        <w:ind w:right="952"/>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 适用 √ 不适用 公司报告期未出售重大资产。</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09" w:top="1120" w:bottom="1200" w:left="1020" w:right="0"/>
        </w:sectPr>
      </w:pPr>
    </w:p>
    <w:p>
      <w:pPr>
        <w:pStyle w:val="BodyText"/>
        <w:spacing w:line="240" w:lineRule="auto" w:before="44"/>
        <w:ind w:right="-17"/>
        <w:jc w:val="left"/>
      </w:pPr>
      <w:r>
        <w:rPr/>
        <w:t>√ 适用 □ 不适用</w:t>
      </w:r>
    </w:p>
    <w:p>
      <w:pPr>
        <w:pStyle w:val="BodyText"/>
        <w:spacing w:line="240" w:lineRule="auto" w:before="117"/>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4808" w:space="4111"/>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上海赢量 金融服务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金融信息 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501,013,97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237,189,18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46,279,532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13,881,165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13,442,531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.22</w:t>
            </w:r>
          </w:p>
        </w:tc>
      </w:tr>
    </w:tbl>
    <w:p>
      <w:pPr>
        <w:pStyle w:val="BodyText"/>
        <w:spacing w:line="240" w:lineRule="auto" w:before="50"/>
        <w:ind w:right="952"/>
        <w:jc w:val="left"/>
      </w:pPr>
      <w:r>
        <w:rPr/>
        <w:t>报告期内取得和处置子公司的情况</w:t>
      </w:r>
    </w:p>
    <w:p>
      <w:pPr>
        <w:pStyle w:val="BodyText"/>
        <w:spacing w:line="360" w:lineRule="auto" w:before="117"/>
        <w:ind w:right="8594"/>
        <w:jc w:val="left"/>
      </w:pPr>
      <w:r>
        <w:rPr/>
        <w:t>□ 适用 √ 不适用 主要控股参股公司情况说明</w:t>
      </w:r>
    </w:p>
    <w:p>
      <w:pPr>
        <w:pStyle w:val="BodyText"/>
        <w:spacing w:line="316" w:lineRule="auto" w:before="25"/>
        <w:ind w:right="1124" w:firstLine="360"/>
        <w:jc w:val="left"/>
      </w:pPr>
      <w:r>
        <w:rPr/>
        <w:t>东吴（苏州）金融科技服务有限公司业绩出现大幅波动，原因为：1、受金融行业监管趋严的影响，公司部分业务进展 受到影响；2、公司的证券投资业务受到股市大幅波动影响。</w:t>
      </w:r>
    </w:p>
    <w:p>
      <w:pPr>
        <w:spacing w:after="0" w:line="316" w:lineRule="auto"/>
        <w:jc w:val="left"/>
        <w:sectPr>
          <w:type w:val="continuous"/>
          <w:pgSz w:w="11910" w:h="16840"/>
          <w:pgMar w:top="110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952" w:firstLine="60"/>
        <w:jc w:val="left"/>
      </w:pPr>
      <w:r>
        <w:rPr/>
        <w:t>（一）行业发展趋势 </w:t>
      </w:r>
      <w:r>
        <w:rPr>
          <w:spacing w:val="-2"/>
        </w:rPr>
        <w:t>1、随着互联网、大数据、云计算、人工智能、区块链等新一代信息技术的快速发展与应用，金融行业信息化向数字化、</w:t>
      </w:r>
    </w:p>
    <w:p>
      <w:pPr>
        <w:pStyle w:val="BodyText"/>
        <w:spacing w:line="316" w:lineRule="auto" w:before="19"/>
        <w:ind w:right="1131"/>
        <w:jc w:val="both"/>
      </w:pPr>
      <w:r>
        <w:rPr>
          <w:spacing w:val="-2"/>
        </w:rPr>
        <w:t>智能化转型升级是未来的必然趋势，新一代金融信息化基础设施将面临更新换代，金融科技的发展推进金融业服务实体经济</w:t>
      </w:r>
      <w:r>
        <w:rPr>
          <w:spacing w:val="-64"/>
        </w:rPr>
        <w:t> </w:t>
      </w:r>
      <w:r>
        <w:rPr>
          <w:spacing w:val="-64"/>
        </w:rPr>
      </w:r>
      <w:r>
        <w:rPr/>
        <w:t>能力和创新能力的提升，同时也将带来传统金融机构的运营服务模式和盈利模式的深刻变革，促使各类金融机构对金融IT</w:t>
      </w:r>
      <w:r>
        <w:rPr>
          <w:spacing w:val="-8"/>
        </w:rPr>
        <w:t> </w:t>
      </w:r>
      <w:r>
        <w:rPr>
          <w:spacing w:val="-8"/>
        </w:rPr>
      </w:r>
      <w:r>
        <w:rPr/>
        <w:t>基础设施投入持续快速增加，金融信息化市场空间巨大。</w:t>
      </w:r>
    </w:p>
    <w:p>
      <w:pPr>
        <w:pStyle w:val="BodyText"/>
        <w:spacing w:line="316" w:lineRule="auto" w:before="19"/>
        <w:ind w:right="1124" w:firstLine="360"/>
        <w:jc w:val="left"/>
      </w:pPr>
      <w:r>
        <w:rPr/>
        <w:t>2、资产管理行业规模快速增长，资管新规等法律法规的发布实施将深刻改变资产管理行业的发展格局，中国资产管理 行业已进入资产管理新时代。</w:t>
      </w:r>
    </w:p>
    <w:p>
      <w:pPr>
        <w:pStyle w:val="BodyText"/>
        <w:spacing w:line="240" w:lineRule="auto" w:before="19"/>
        <w:ind w:left="472" w:right="952"/>
        <w:jc w:val="left"/>
      </w:pPr>
      <w:r>
        <w:rPr/>
        <w:t>3、</w:t>
      </w:r>
      <w:r>
        <w:rPr>
          <w:rFonts w:ascii="Times New Roman" w:hAnsi="Times New Roman" w:cs="Times New Roman" w:eastAsia="Times New Roman" w:hint="default"/>
        </w:rPr>
        <w:t>“</w:t>
      </w:r>
      <w:r>
        <w:rPr/>
        <w:t>数据就是资产</w:t>
      </w:r>
      <w:r>
        <w:rPr>
          <w:rFonts w:ascii="Times New Roman" w:hAnsi="Times New Roman" w:cs="Times New Roman" w:eastAsia="Times New Roman" w:hint="default"/>
        </w:rPr>
        <w:t>”</w:t>
      </w:r>
      <w:r>
        <w:rPr/>
        <w:t>已经成为业界的共识，在政府的积极推动下，国内大数据市场将迎来新一轮的井喷式发展。</w:t>
      </w:r>
    </w:p>
    <w:p>
      <w:pPr>
        <w:pStyle w:val="BodyText"/>
        <w:spacing w:line="316" w:lineRule="auto" w:before="63"/>
        <w:ind w:right="1093" w:firstLine="571"/>
        <w:jc w:val="left"/>
      </w:pPr>
      <w:r>
        <w:rPr/>
        <w:t>4、随着《新一代人工智能发展规划》的发布，我国已将人工智能上升为国家战略，要求2030年达到世界领先水平， 人工智能应用场景研发及产业化发展前景广阔。</w:t>
      </w:r>
    </w:p>
    <w:p>
      <w:pPr>
        <w:pStyle w:val="BodyText"/>
        <w:spacing w:line="316" w:lineRule="auto" w:before="19"/>
        <w:ind w:left="472" w:right="1124" w:hanging="60"/>
        <w:jc w:val="left"/>
      </w:pPr>
      <w:r>
        <w:rPr/>
        <w:t>（二）公司发展战略 1、聚焦资产托管和资产管理业务，以资产托管和资产管理两条产品线为主线，进行产品整合和创新，持续加大研发投</w:t>
      </w:r>
    </w:p>
    <w:p>
      <w:pPr>
        <w:pStyle w:val="BodyText"/>
        <w:spacing w:line="316" w:lineRule="auto" w:before="19"/>
        <w:ind w:right="952"/>
        <w:jc w:val="left"/>
      </w:pPr>
      <w:r>
        <w:rPr>
          <w:spacing w:val="-2"/>
        </w:rPr>
        <w:t>入，推出全新的资产托管和资产管理信息系统解决方案，并加强其市场化应用和产业化发展，以满足不同金融企业跨界经营</w:t>
      </w:r>
      <w:r>
        <w:rPr>
          <w:spacing w:val="-63"/>
        </w:rPr>
        <w:t> </w:t>
      </w:r>
      <w:r>
        <w:rPr>
          <w:spacing w:val="-63"/>
        </w:rPr>
      </w:r>
      <w:r>
        <w:rPr/>
        <w:t>和混业经营及创新业务开展的需要，持续保持在行业中的领先地位和竞争优势，巩固在行业中的品牌地位。</w:t>
      </w:r>
    </w:p>
    <w:p>
      <w:pPr>
        <w:pStyle w:val="BodyText"/>
        <w:spacing w:line="316" w:lineRule="auto" w:before="19"/>
        <w:ind w:right="1124" w:firstLine="360"/>
        <w:jc w:val="left"/>
      </w:pPr>
      <w:r>
        <w:rPr/>
        <w:t>2、加强对新一代信息技术等前瞻性技术研究，持续加大对微服务技术架构的研发和大数据、云计算、人工智能、区块 链等新技术的应用研发，为公司金融科技的发展提供技术支撑。</w:t>
      </w:r>
    </w:p>
    <w:p>
      <w:pPr>
        <w:pStyle w:val="BodyText"/>
        <w:spacing w:line="240" w:lineRule="auto" w:before="19"/>
        <w:ind w:left="472" w:right="952"/>
        <w:jc w:val="left"/>
      </w:pPr>
      <w:r>
        <w:rPr/>
        <w:t>3、适应金融服务外包市场需求的变化，积极探索基于SaaS模式的新型资产管理及托管服务模式。</w:t>
      </w:r>
    </w:p>
    <w:p>
      <w:pPr>
        <w:pStyle w:val="BodyText"/>
        <w:spacing w:line="316" w:lineRule="auto" w:before="76"/>
        <w:ind w:right="1124" w:firstLine="360"/>
        <w:jc w:val="left"/>
      </w:pPr>
      <w:r>
        <w:rPr/>
        <w:t>4、面对金融科技的发展机遇，依托公司长久以来积累的人力基础、金融行业服务经验和客户基础，加强人工智能等新 技术的产学研合作，积极布局金融科技生态圈，推动公司金融科技战略转型。</w:t>
      </w:r>
    </w:p>
    <w:p>
      <w:pPr>
        <w:pStyle w:val="BodyText"/>
        <w:spacing w:line="316" w:lineRule="auto" w:before="19"/>
        <w:ind w:right="1124" w:firstLine="360"/>
        <w:jc w:val="left"/>
      </w:pPr>
      <w:r>
        <w:rPr/>
        <w:t>5、秉承成长与分享的理念，逐步构建创业平台机制，优化公司的绩效考核、薪酬制度等激励体系，打造职业化的管理 团队和专业化的运营团队，建立自主发展和自主创新的动力机制。</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深交所创业板业务专区</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深交所创业板业务专区</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1530"/>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5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报告期内普通股利润分配政策，特别是现金分红政策的制定、执行或调整情况</w:t>
      </w:r>
    </w:p>
    <w:p>
      <w:pPr>
        <w:pStyle w:val="BodyText"/>
        <w:spacing w:line="360" w:lineRule="auto" w:before="117"/>
        <w:ind w:left="472" w:right="1124" w:hanging="360"/>
        <w:jc w:val="left"/>
      </w:pPr>
      <w:r>
        <w:rPr/>
        <w:t>√ 适用 □ 不适用 1、报告期内，公司严格按照《公司章程》的相关利润分配政策和审议程序实施利润分配方案，分红标准和分红比例明</w:t>
      </w:r>
    </w:p>
    <w:p>
      <w:pPr>
        <w:pStyle w:val="BodyText"/>
        <w:spacing w:line="222" w:lineRule="exact"/>
        <w:ind w:right="952"/>
        <w:jc w:val="left"/>
      </w:pPr>
      <w:r>
        <w:rPr/>
        <w:t>确清晰，相关的决策程序和机制完备，相关的议案经由董事会、监事会审议过后提交股东大会审议，并由独立董事发表独立</w:t>
      </w:r>
    </w:p>
    <w:p>
      <w:pPr>
        <w:pStyle w:val="BodyText"/>
        <w:spacing w:line="316" w:lineRule="auto" w:before="76"/>
        <w:ind w:left="472" w:right="952" w:hanging="360"/>
        <w:jc w:val="left"/>
      </w:pPr>
      <w:r>
        <w:rPr/>
        <w:t>意见，审议通过后在规定时间内进行实施，切实保证了全体股东的利益 </w:t>
      </w:r>
      <w:r>
        <w:rPr>
          <w:spacing w:val="-2"/>
        </w:rPr>
        <w:t>2、2018年4月24日，公司召开第三届董事会第十六次会议暨2017年年度董事会和第三届监事会第十五次会议暨2017年年</w:t>
      </w:r>
    </w:p>
    <w:p>
      <w:pPr>
        <w:pStyle w:val="BodyText"/>
        <w:spacing w:line="316" w:lineRule="auto" w:before="19"/>
        <w:ind w:left="472" w:right="1132" w:hanging="360"/>
        <w:jc w:val="left"/>
      </w:pPr>
      <w:r>
        <w:rPr/>
        <w:t>度监事会，分别审议通过了《关于</w:t>
      </w:r>
      <w:r>
        <w:rPr>
          <w:spacing w:val="1"/>
        </w:rPr>
        <w:t>&lt;</w:t>
      </w:r>
      <w:r>
        <w:rPr>
          <w:spacing w:val="-2"/>
        </w:rPr>
        <w:t>2</w:t>
      </w:r>
      <w:r>
        <w:rPr>
          <w:spacing w:val="1"/>
        </w:rPr>
        <w:t>0</w:t>
      </w:r>
      <w:r>
        <w:rPr>
          <w:spacing w:val="-2"/>
        </w:rPr>
        <w:t>1</w:t>
      </w:r>
      <w:r>
        <w:rPr>
          <w:spacing w:val="1"/>
        </w:rPr>
        <w:t>7</w:t>
      </w:r>
      <w:r>
        <w:rPr/>
        <w:t>年度利润分配预案</w:t>
      </w:r>
      <w:r>
        <w:rPr>
          <w:spacing w:val="-2"/>
        </w:rPr>
        <w:t>&gt;</w:t>
      </w:r>
      <w:r>
        <w:rPr/>
        <w:t>的议案</w:t>
      </w:r>
      <w:r>
        <w:rPr>
          <w:spacing w:val="-89"/>
        </w:rPr>
        <w:t>》</w:t>
      </w:r>
      <w:r>
        <w:rPr/>
        <w:t>，独立董事发表了同意的意见。</w:t>
      </w:r>
      <w:r>
        <w:rPr/>
        <w:t> </w:t>
      </w:r>
      <w:r>
        <w:rPr>
          <w:spacing w:val="1"/>
        </w:rPr>
        <w:t>3</w:t>
      </w:r>
      <w:r>
        <w:rPr/>
        <w:t>、</w:t>
      </w:r>
      <w:r>
        <w:rPr>
          <w:spacing w:val="1"/>
        </w:rPr>
        <w:t>2</w:t>
      </w:r>
      <w:r>
        <w:rPr>
          <w:spacing w:val="-2"/>
        </w:rPr>
        <w:t>0</w:t>
      </w:r>
      <w:r>
        <w:rPr>
          <w:spacing w:val="1"/>
        </w:rPr>
        <w:t>1</w:t>
      </w:r>
      <w:r>
        <w:rPr>
          <w:spacing w:val="-2"/>
        </w:rPr>
        <w:t>8</w:t>
      </w:r>
      <w:r>
        <w:rPr/>
        <w:t>年</w:t>
      </w:r>
      <w:r>
        <w:rPr>
          <w:spacing w:val="-2"/>
        </w:rPr>
        <w:t>5</w:t>
      </w:r>
      <w:r>
        <w:rPr/>
        <w:t>月</w:t>
      </w:r>
      <w:r>
        <w:rPr>
          <w:spacing w:val="1"/>
        </w:rPr>
        <w:t>1</w:t>
      </w:r>
      <w:r>
        <w:rPr>
          <w:spacing w:val="-2"/>
        </w:rPr>
        <w:t>8</w:t>
      </w:r>
      <w:r>
        <w:rPr/>
        <w:t>日，公司召开</w:t>
      </w:r>
      <w:r>
        <w:rPr>
          <w:spacing w:val="1"/>
        </w:rPr>
        <w:t>2</w:t>
      </w:r>
      <w:r>
        <w:rPr>
          <w:spacing w:val="-2"/>
        </w:rPr>
        <w:t>0</w:t>
      </w:r>
      <w:r>
        <w:rPr>
          <w:spacing w:val="1"/>
        </w:rPr>
        <w:t>1</w:t>
      </w:r>
      <w:r>
        <w:rPr>
          <w:spacing w:val="-2"/>
        </w:rPr>
        <w:t>7</w:t>
      </w:r>
      <w:r>
        <w:rPr/>
        <w:t>年年度股东大会，审议通过了《关于</w:t>
      </w:r>
      <w:r>
        <w:rPr>
          <w:spacing w:val="1"/>
        </w:rPr>
        <w:t>&lt;</w:t>
      </w:r>
      <w:r>
        <w:rPr>
          <w:spacing w:val="-2"/>
        </w:rPr>
        <w:t>2</w:t>
      </w:r>
      <w:r>
        <w:rPr>
          <w:spacing w:val="1"/>
        </w:rPr>
        <w:t>0</w:t>
      </w:r>
      <w:r>
        <w:rPr>
          <w:spacing w:val="-2"/>
        </w:rPr>
        <w:t>1</w:t>
      </w:r>
      <w:r>
        <w:rPr>
          <w:spacing w:val="1"/>
        </w:rPr>
        <w:t>7</w:t>
      </w:r>
      <w:r>
        <w:rPr/>
        <w:t>年度利润分配预案</w:t>
      </w:r>
      <w:r>
        <w:rPr>
          <w:spacing w:val="-2"/>
        </w:rPr>
        <w:t>&gt;</w:t>
      </w:r>
      <w:r>
        <w:rPr/>
        <w:t>的议案</w:t>
      </w:r>
      <w:r>
        <w:rPr>
          <w:spacing w:val="-89"/>
        </w:rPr>
        <w:t>》</w:t>
      </w:r>
      <w:r>
        <w:rPr/>
        <w:t>，同意公司以</w:t>
      </w:r>
    </w:p>
    <w:p>
      <w:pPr>
        <w:pStyle w:val="BodyText"/>
        <w:spacing w:line="316" w:lineRule="auto" w:before="19"/>
        <w:ind w:right="952"/>
        <w:jc w:val="left"/>
      </w:pPr>
      <w:r>
        <w:rPr>
          <w:spacing w:val="-3"/>
        </w:rPr>
        <w:t>公司总股本742,383,330股为基数向全体股东每10股派发现金股利1.50元人民币（含税）；不送红股，不实施资本公积金转增</w:t>
      </w:r>
      <w:r>
        <w:rPr>
          <w:spacing w:val="-83"/>
        </w:rPr>
        <w:t> </w:t>
      </w:r>
      <w:r>
        <w:rPr>
          <w:spacing w:val="-83"/>
        </w:rPr>
      </w:r>
      <w:r>
        <w:rPr/>
        <w:t>股本。</w:t>
      </w:r>
    </w:p>
    <w:p>
      <w:pPr>
        <w:pStyle w:val="BodyText"/>
        <w:spacing w:line="240" w:lineRule="auto" w:before="19"/>
        <w:ind w:left="472" w:right="952"/>
        <w:jc w:val="left"/>
      </w:pPr>
      <w:r>
        <w:rPr>
          <w:spacing w:val="1"/>
        </w:rPr>
        <w:t>4</w:t>
      </w:r>
      <w:r>
        <w:rPr>
          <w:spacing w:val="-15"/>
        </w:rPr>
        <w:t>、</w:t>
      </w:r>
      <w:r>
        <w:rPr>
          <w:spacing w:val="1"/>
        </w:rPr>
        <w:t>2</w:t>
      </w:r>
      <w:r>
        <w:rPr>
          <w:spacing w:val="-2"/>
        </w:rPr>
        <w:t>0</w:t>
      </w:r>
      <w:r>
        <w:rPr>
          <w:spacing w:val="1"/>
        </w:rPr>
        <w:t>1</w:t>
      </w:r>
      <w:r>
        <w:rPr>
          <w:spacing w:val="-2"/>
        </w:rPr>
        <w:t>8</w:t>
      </w:r>
      <w:r>
        <w:rPr/>
        <w:t>年</w:t>
      </w:r>
      <w:r>
        <w:rPr>
          <w:spacing w:val="1"/>
        </w:rPr>
        <w:t>6</w:t>
      </w:r>
      <w:r>
        <w:rPr/>
        <w:t>月</w:t>
      </w:r>
      <w:r>
        <w:rPr>
          <w:spacing w:val="1"/>
        </w:rPr>
        <w:t>1</w:t>
      </w:r>
      <w:r>
        <w:rPr>
          <w:spacing w:val="-2"/>
        </w:rPr>
        <w:t>3</w:t>
      </w:r>
      <w:r>
        <w:rPr/>
        <w:t>日</w:t>
      </w:r>
      <w:r>
        <w:rPr>
          <w:spacing w:val="-15"/>
        </w:rPr>
        <w:t>，</w:t>
      </w:r>
      <w:r>
        <w:rPr/>
        <w:t>公司披露</w:t>
      </w:r>
      <w:r>
        <w:rPr>
          <w:spacing w:val="-15"/>
        </w:rPr>
        <w:t>了</w:t>
      </w:r>
      <w:r>
        <w:rPr/>
        <w:t>《</w:t>
      </w:r>
      <w:r>
        <w:rPr>
          <w:spacing w:val="1"/>
        </w:rPr>
        <w:t>2</w:t>
      </w:r>
      <w:r>
        <w:rPr>
          <w:spacing w:val="-2"/>
        </w:rPr>
        <w:t>0</w:t>
      </w:r>
      <w:r>
        <w:rPr>
          <w:spacing w:val="1"/>
        </w:rPr>
        <w:t>1</w:t>
      </w:r>
      <w:r>
        <w:rPr>
          <w:spacing w:val="-2"/>
        </w:rPr>
        <w:t>7</w:t>
      </w:r>
      <w:r>
        <w:rPr/>
        <w:t>年年度权益分派实施公告</w:t>
      </w:r>
      <w:r>
        <w:rPr>
          <w:spacing w:val="-104"/>
        </w:rPr>
        <w:t>》</w:t>
      </w:r>
      <w:r>
        <w:rPr/>
        <w:t>（公告编号</w:t>
      </w:r>
      <w:r>
        <w:rPr>
          <w:spacing w:val="-15"/>
        </w:rPr>
        <w:t>：</w:t>
      </w:r>
      <w:r>
        <w:rPr>
          <w:spacing w:val="1"/>
        </w:rPr>
        <w:t>2</w:t>
      </w:r>
      <w:r>
        <w:rPr>
          <w:spacing w:val="-2"/>
        </w:rPr>
        <w:t>0</w:t>
      </w:r>
      <w:r>
        <w:rPr>
          <w:spacing w:val="1"/>
        </w:rPr>
        <w:t>1</w:t>
      </w:r>
      <w:r>
        <w:rPr>
          <w:spacing w:val="-2"/>
        </w:rPr>
        <w:t>8</w:t>
      </w:r>
      <w:r>
        <w:rPr>
          <w:spacing w:val="1"/>
        </w:rPr>
        <w:t>-</w:t>
      </w:r>
      <w:r>
        <w:rPr>
          <w:spacing w:val="-2"/>
        </w:rPr>
        <w:t>0</w:t>
      </w:r>
      <w:r>
        <w:rPr>
          <w:spacing w:val="1"/>
        </w:rPr>
        <w:t>3</w:t>
      </w:r>
      <w:r>
        <w:rPr>
          <w:spacing w:val="-2"/>
        </w:rPr>
        <w:t>3</w:t>
      </w:r>
      <w:r>
        <w:rPr>
          <w:spacing w:val="-89"/>
        </w:rPr>
        <w:t>）</w:t>
      </w:r>
      <w:r>
        <w:rPr>
          <w:spacing w:val="-15"/>
        </w:rPr>
        <w:t>，</w:t>
      </w:r>
      <w:r>
        <w:rPr/>
        <w:t>本次权益分派股权登记日为</w:t>
      </w:r>
    </w:p>
    <w:p>
      <w:pPr>
        <w:pStyle w:val="BodyText"/>
        <w:spacing w:line="240" w:lineRule="auto" w:before="76"/>
        <w:ind w:right="952"/>
        <w:jc w:val="left"/>
      </w:pPr>
      <w:r>
        <w:rPr/>
        <w:t>2018年6月20日，除权除息日为2018年6月21日。截止报告期末，公司已经完成2017年度权益分派的实施工作。</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52"/>
        <w:jc w:val="left"/>
      </w:pPr>
      <w:r>
        <w:rPr/>
        <w:t>公司报告期利润分配预案及资本公积金转增股本预案与公司章程和分红管理办法等的相关规定一致</w:t>
      </w:r>
    </w:p>
    <w:p>
      <w:pPr>
        <w:pStyle w:val="BodyText"/>
        <w:spacing w:line="357" w:lineRule="auto" w:before="117"/>
        <w:ind w:right="4274"/>
        <w:jc w:val="left"/>
      </w:pPr>
      <w:r>
        <w:rPr/>
        <w:t>√ 是 □ 否 □</w:t>
      </w:r>
      <w:r>
        <w:rPr>
          <w:spacing w:val="-1"/>
        </w:rPr>
        <w:t> </w:t>
      </w:r>
      <w:r>
        <w:rPr/>
        <w:t>不适用</w:t>
      </w:r>
      <w:r>
        <w:rPr/>
        <w:t> 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742,214,580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74,221,458.00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74,221,458.00</w:t>
            </w:r>
          </w:p>
        </w:tc>
      </w:tr>
      <w:tr>
        <w:trPr>
          <w:trHeight w:val="400"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366,389,877.41</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日公司召开的第三届董事会第二十三次会议审议通过了《关于</w:t>
            </w:r>
            <w:r>
              <w:rPr>
                <w:rFonts w:ascii="Times New Roman" w:hAnsi="Times New Roman" w:cs="Times New Roman" w:eastAsia="Times New Roman" w:hint="default"/>
                <w:spacing w:val="-1"/>
                <w:w w:val="99"/>
                <w:sz w:val="18"/>
                <w:szCs w:val="18"/>
              </w:rPr>
              <w:t>&lt;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z w:val="18"/>
                <w:szCs w:val="18"/>
              </w:rPr>
              <w:t>，公司</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17"/>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合计派发现</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，剩余未分配利润</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元结转以后年度。除上诉现金分红外，本次利润分配</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公司不送红股，不实施资本公积金转增股本。本预案尚需提交公司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pStyle w:val="BodyText"/>
        <w:spacing w:line="340" w:lineRule="auto" w:before="51"/>
        <w:ind w:right="2748"/>
        <w:jc w:val="left"/>
      </w:pPr>
      <w:r>
        <w:rPr/>
        <w:t>公司近</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spacing w:val="-88"/>
        </w:rPr>
        <w:t> </w:t>
      </w:r>
      <w:r>
        <w:rPr>
          <w:spacing w:val="-88"/>
        </w:rPr>
      </w:r>
      <w:r>
        <w:rPr/>
        <w:t>1、2016年度利润分配方案情况</w:t>
      </w:r>
    </w:p>
    <w:p>
      <w:pPr>
        <w:pStyle w:val="BodyText"/>
        <w:spacing w:line="240" w:lineRule="auto" w:before="39"/>
        <w:ind w:left="472" w:right="952"/>
        <w:jc w:val="left"/>
      </w:pPr>
      <w:r>
        <w:rPr>
          <w:spacing w:val="1"/>
        </w:rPr>
        <w:t>2</w:t>
      </w:r>
      <w:r>
        <w:rPr>
          <w:spacing w:val="-2"/>
        </w:rPr>
        <w:t>0</w:t>
      </w:r>
      <w:r>
        <w:rPr>
          <w:spacing w:val="1"/>
        </w:rPr>
        <w:t>1</w:t>
      </w:r>
      <w:r>
        <w:rPr>
          <w:spacing w:val="-2"/>
        </w:rPr>
        <w:t>7</w:t>
      </w:r>
      <w:r>
        <w:rPr/>
        <w:t>年</w:t>
      </w:r>
      <w:r>
        <w:rPr>
          <w:spacing w:val="1"/>
        </w:rPr>
        <w:t>4</w:t>
      </w:r>
      <w:r>
        <w:rPr/>
        <w:t>月</w:t>
      </w:r>
      <w:r>
        <w:rPr>
          <w:spacing w:val="1"/>
        </w:rPr>
        <w:t>2</w:t>
      </w:r>
      <w:r>
        <w:rPr>
          <w:spacing w:val="-2"/>
        </w:rPr>
        <w:t>4</w:t>
      </w:r>
      <w:r>
        <w:rPr/>
        <w:t>日公司召开的第三届董事会第十二次会议审议通过</w:t>
      </w:r>
      <w:r>
        <w:rPr>
          <w:spacing w:val="-41"/>
        </w:rPr>
        <w:t>了</w:t>
      </w:r>
      <w:r>
        <w:rPr/>
        <w:t>《关于</w:t>
      </w:r>
      <w:r>
        <w:rPr>
          <w:spacing w:val="1"/>
        </w:rPr>
        <w:t>&lt;</w:t>
      </w:r>
      <w:r>
        <w:rPr>
          <w:spacing w:val="-2"/>
        </w:rPr>
        <w:t>2</w:t>
      </w:r>
      <w:r>
        <w:rPr>
          <w:spacing w:val="1"/>
        </w:rPr>
        <w:t>0</w:t>
      </w:r>
      <w:r>
        <w:rPr>
          <w:spacing w:val="-2"/>
        </w:rPr>
        <w:t>16</w:t>
      </w:r>
      <w:r>
        <w:rPr/>
        <w:t>年度利润分配预案</w:t>
      </w:r>
      <w:r>
        <w:rPr>
          <w:spacing w:val="1"/>
        </w:rPr>
        <w:t>&gt;</w:t>
      </w:r>
      <w:r>
        <w:rPr/>
        <w:t>的议案</w:t>
      </w:r>
      <w:r>
        <w:rPr>
          <w:spacing w:val="-92"/>
        </w:rPr>
        <w:t>》</w:t>
      </w:r>
      <w:r>
        <w:rPr>
          <w:spacing w:val="-41"/>
        </w:rPr>
        <w:t>，</w:t>
      </w:r>
      <w:r>
        <w:rPr/>
        <w:t>公司以截止</w:t>
      </w:r>
    </w:p>
    <w:p>
      <w:pPr>
        <w:pStyle w:val="BodyText"/>
        <w:spacing w:line="316" w:lineRule="auto" w:before="76"/>
        <w:ind w:right="1131"/>
        <w:jc w:val="both"/>
      </w:pPr>
      <w:r>
        <w:rPr>
          <w:spacing w:val="-3"/>
        </w:rPr>
        <w:t>2016年12月31日总股本297,013,332股为基数，向全体股东每10股派发现金红利3元（含税）；送红股0股（含税），合计派发</w:t>
      </w:r>
      <w:r>
        <w:rPr>
          <w:spacing w:val="-83"/>
        </w:rPr>
        <w:t> </w:t>
      </w:r>
      <w:r>
        <w:rPr>
          <w:spacing w:val="-83"/>
        </w:rPr>
      </w:r>
      <w:r>
        <w:rPr>
          <w:spacing w:val="-3"/>
        </w:rPr>
        <w:t>现金股利89,103,999.60元（含税），剩余未分配利润159,555,450.91元结转以后年度。同时，以资本公积金向全体股东每10</w:t>
      </w:r>
      <w:r>
        <w:rPr>
          <w:spacing w:val="-70"/>
        </w:rPr>
        <w:t> </w:t>
      </w:r>
      <w:r>
        <w:rPr>
          <w:spacing w:val="-70"/>
        </w:rPr>
      </w:r>
      <w:r>
        <w:rPr/>
        <w:t>股转增15股。转增后，公司总股本将由297,013,332股增至742,533,330。2017年5月19日，公司召开2016年年度股东大会审</w:t>
      </w:r>
      <w:r>
        <w:rPr/>
        <w:t> 议并批准通过了该利润分配方案。2017年6月14日，公司2016年度利润分配已实施。</w:t>
      </w:r>
    </w:p>
    <w:p>
      <w:pPr>
        <w:pStyle w:val="BodyText"/>
        <w:spacing w:line="316" w:lineRule="auto" w:before="19"/>
        <w:ind w:right="1123" w:firstLine="271"/>
        <w:jc w:val="left"/>
      </w:pPr>
      <w:r>
        <w:rPr/>
        <w:t>注：2016年7月21日，公司向104名激励对象授予228万股限制性股票。授予股份的上市日期为2016年8月12日，本次限制 性股票授予完成后，公司股份总数由294,733,332股增加至297,013,332股。</w:t>
      </w:r>
    </w:p>
    <w:p>
      <w:pPr>
        <w:spacing w:line="240" w:lineRule="auto" w:before="4"/>
        <w:rPr>
          <w:rFonts w:ascii="宋体" w:hAnsi="宋体" w:cs="宋体" w:eastAsia="宋体" w:hint="default"/>
          <w:sz w:val="25"/>
          <w:szCs w:val="25"/>
        </w:rPr>
      </w:pPr>
    </w:p>
    <w:p>
      <w:pPr>
        <w:pStyle w:val="BodyText"/>
        <w:spacing w:line="240" w:lineRule="auto"/>
        <w:ind w:right="0"/>
        <w:jc w:val="both"/>
      </w:pPr>
      <w:r>
        <w:rPr/>
        <w:t>2、2017年度利润分配方案情况</w:t>
      </w:r>
    </w:p>
    <w:p>
      <w:pPr>
        <w:pStyle w:val="BodyText"/>
        <w:spacing w:line="240" w:lineRule="auto" w:before="76"/>
        <w:ind w:left="472" w:right="952"/>
        <w:jc w:val="left"/>
      </w:pPr>
      <w:r>
        <w:rPr>
          <w:spacing w:val="1"/>
        </w:rPr>
        <w:t>2</w:t>
      </w:r>
      <w:r>
        <w:rPr>
          <w:spacing w:val="-2"/>
        </w:rPr>
        <w:t>0</w:t>
      </w:r>
      <w:r>
        <w:rPr>
          <w:spacing w:val="1"/>
        </w:rPr>
        <w:t>1</w:t>
      </w:r>
      <w:r>
        <w:rPr>
          <w:spacing w:val="-2"/>
        </w:rPr>
        <w:t>8</w:t>
      </w:r>
      <w:r>
        <w:rPr/>
        <w:t>年</w:t>
      </w:r>
      <w:r>
        <w:rPr>
          <w:spacing w:val="1"/>
        </w:rPr>
        <w:t>4</w:t>
      </w:r>
      <w:r>
        <w:rPr/>
        <w:t>月</w:t>
      </w:r>
      <w:r>
        <w:rPr>
          <w:spacing w:val="1"/>
        </w:rPr>
        <w:t>2</w:t>
      </w:r>
      <w:r>
        <w:rPr>
          <w:spacing w:val="-2"/>
        </w:rPr>
        <w:t>4</w:t>
      </w:r>
      <w:r>
        <w:rPr/>
        <w:t>日公司召开的第三届董事会第十六次会议审议通过</w:t>
      </w:r>
      <w:r>
        <w:rPr>
          <w:spacing w:val="-41"/>
        </w:rPr>
        <w:t>了</w:t>
      </w:r>
      <w:r>
        <w:rPr/>
        <w:t>《关于</w:t>
      </w:r>
      <w:r>
        <w:rPr>
          <w:spacing w:val="1"/>
        </w:rPr>
        <w:t>&lt;</w:t>
      </w:r>
      <w:r>
        <w:rPr>
          <w:spacing w:val="-2"/>
        </w:rPr>
        <w:t>2</w:t>
      </w:r>
      <w:r>
        <w:rPr>
          <w:spacing w:val="1"/>
        </w:rPr>
        <w:t>0</w:t>
      </w:r>
      <w:r>
        <w:rPr>
          <w:spacing w:val="-2"/>
        </w:rPr>
        <w:t>17</w:t>
      </w:r>
      <w:r>
        <w:rPr/>
        <w:t>年度利润分配预案</w:t>
      </w:r>
      <w:r>
        <w:rPr>
          <w:spacing w:val="1"/>
        </w:rPr>
        <w:t>&gt;</w:t>
      </w:r>
      <w:r>
        <w:rPr/>
        <w:t>的议案</w:t>
      </w:r>
      <w:r>
        <w:rPr>
          <w:spacing w:val="-92"/>
        </w:rPr>
        <w:t>》</w:t>
      </w:r>
      <w:r>
        <w:rPr>
          <w:spacing w:val="-41"/>
        </w:rPr>
        <w:t>，</w:t>
      </w:r>
      <w:r>
        <w:rPr/>
        <w:t>公司以截止</w:t>
      </w:r>
    </w:p>
    <w:p>
      <w:pPr>
        <w:pStyle w:val="BodyText"/>
        <w:spacing w:line="240" w:lineRule="auto" w:before="76"/>
        <w:ind w:right="0"/>
        <w:jc w:val="both"/>
      </w:pPr>
      <w:r>
        <w:rPr>
          <w:spacing w:val="1"/>
        </w:rPr>
        <w:t>2</w:t>
      </w:r>
      <w:r>
        <w:rPr>
          <w:spacing w:val="-2"/>
        </w:rPr>
        <w:t>0</w:t>
      </w:r>
      <w:r>
        <w:rPr>
          <w:spacing w:val="1"/>
        </w:rPr>
        <w:t>1</w:t>
      </w:r>
      <w:r>
        <w:rPr>
          <w:spacing w:val="-2"/>
        </w:rPr>
        <w:t>7</w:t>
      </w:r>
      <w:r>
        <w:rPr/>
        <w:t>年</w:t>
      </w:r>
      <w:r>
        <w:rPr>
          <w:spacing w:val="1"/>
        </w:rPr>
        <w:t>1</w:t>
      </w:r>
      <w:r>
        <w:rPr>
          <w:spacing w:val="-2"/>
        </w:rPr>
        <w:t>2</w:t>
      </w:r>
      <w:r>
        <w:rPr/>
        <w:t>月</w:t>
      </w:r>
      <w:r>
        <w:rPr>
          <w:spacing w:val="1"/>
        </w:rPr>
        <w:t>3</w:t>
      </w:r>
      <w:r>
        <w:rPr>
          <w:spacing w:val="-2"/>
        </w:rPr>
        <w:t>1</w:t>
      </w:r>
      <w:r>
        <w:rPr/>
        <w:t>日总股本</w:t>
      </w:r>
      <w:r>
        <w:rPr>
          <w:spacing w:val="1"/>
        </w:rPr>
        <w:t>7</w:t>
      </w:r>
      <w:r>
        <w:rPr>
          <w:spacing w:val="-2"/>
        </w:rPr>
        <w:t>4</w:t>
      </w:r>
      <w:r>
        <w:rPr>
          <w:spacing w:val="1"/>
        </w:rPr>
        <w:t>2</w:t>
      </w:r>
      <w:r>
        <w:rPr>
          <w:spacing w:val="-2"/>
        </w:rPr>
        <w:t>,</w:t>
      </w:r>
      <w:r>
        <w:rPr>
          <w:spacing w:val="1"/>
        </w:rPr>
        <w:t>3</w:t>
      </w:r>
      <w:r>
        <w:rPr>
          <w:spacing w:val="-2"/>
        </w:rPr>
        <w:t>8</w:t>
      </w:r>
      <w:r>
        <w:rPr>
          <w:spacing w:val="1"/>
        </w:rPr>
        <w:t>3</w:t>
      </w:r>
      <w:r>
        <w:rPr>
          <w:spacing w:val="-2"/>
        </w:rPr>
        <w:t>,</w:t>
      </w:r>
      <w:r>
        <w:rPr>
          <w:spacing w:val="1"/>
        </w:rPr>
        <w:t>3</w:t>
      </w:r>
      <w:r>
        <w:rPr>
          <w:spacing w:val="-2"/>
        </w:rPr>
        <w:t>3</w:t>
      </w:r>
      <w:r>
        <w:rPr>
          <w:spacing w:val="1"/>
        </w:rPr>
        <w:t>0</w:t>
      </w:r>
      <w:r>
        <w:rPr/>
        <w:t>股为基数，向全体股东每</w:t>
      </w:r>
      <w:r>
        <w:rPr>
          <w:spacing w:val="1"/>
        </w:rPr>
        <w:t>1</w:t>
      </w:r>
      <w:r>
        <w:rPr>
          <w:spacing w:val="-2"/>
        </w:rPr>
        <w:t>0</w:t>
      </w:r>
      <w:r>
        <w:rPr/>
        <w:t>股派发现金红利</w:t>
      </w:r>
      <w:r>
        <w:rPr>
          <w:spacing w:val="1"/>
        </w:rPr>
        <w:t>1</w:t>
      </w:r>
      <w:r>
        <w:rPr>
          <w:spacing w:val="-2"/>
        </w:rPr>
        <w:t>.5</w:t>
      </w:r>
      <w:r>
        <w:rPr/>
        <w:t>元（含税</w:t>
      </w:r>
      <w:r>
        <w:rPr>
          <w:spacing w:val="-89"/>
        </w:rPr>
        <w:t>）</w:t>
      </w:r>
      <w:r>
        <w:rPr/>
        <w:t>，合计派发现金股利</w:t>
      </w:r>
    </w:p>
    <w:p>
      <w:pPr>
        <w:pStyle w:val="BodyText"/>
        <w:spacing w:line="316" w:lineRule="auto" w:before="76"/>
        <w:ind w:right="952"/>
        <w:jc w:val="left"/>
      </w:pPr>
      <w:r>
        <w:rPr>
          <w:spacing w:val="-6"/>
        </w:rPr>
        <w:t>111,357,499.50元（含税），剩余未分配利润</w:t>
      </w:r>
      <w:r>
        <w:rPr>
          <w:spacing w:val="41"/>
        </w:rPr>
        <w:t> </w:t>
      </w:r>
      <w:r>
        <w:rPr>
          <w:spacing w:val="-2"/>
        </w:rPr>
        <w:t>213,626,087.68元结转以后年度。除上诉现金分红外，本次利润分配公司不送</w:t>
      </w:r>
      <w:r>
        <w:rPr>
          <w:spacing w:val="-78"/>
        </w:rPr>
        <w:t> </w:t>
      </w:r>
      <w:r>
        <w:rPr>
          <w:spacing w:val="-78"/>
        </w:rPr>
      </w:r>
      <w:r>
        <w:rPr/>
        <w:t>红股，不实施资本公积金转增股本。2018年6月21日，公司2017年度利润分配已实施。</w:t>
      </w:r>
    </w:p>
    <w:p>
      <w:pPr>
        <w:spacing w:line="240" w:lineRule="auto" w:before="4"/>
        <w:rPr>
          <w:rFonts w:ascii="宋体" w:hAnsi="宋体" w:cs="宋体" w:eastAsia="宋体" w:hint="default"/>
          <w:sz w:val="25"/>
          <w:szCs w:val="25"/>
        </w:rPr>
      </w:pPr>
    </w:p>
    <w:p>
      <w:pPr>
        <w:pStyle w:val="BodyText"/>
        <w:spacing w:line="240" w:lineRule="auto"/>
        <w:ind w:right="0"/>
        <w:jc w:val="both"/>
      </w:pPr>
      <w:r>
        <w:rPr/>
        <w:t>3、2018年度利润分配方案情况</w:t>
      </w:r>
    </w:p>
    <w:p>
      <w:pPr>
        <w:pStyle w:val="BodyText"/>
        <w:spacing w:line="316" w:lineRule="auto" w:before="76"/>
        <w:ind w:right="1040" w:firstLine="360"/>
        <w:jc w:val="left"/>
      </w:pPr>
      <w:r>
        <w:rPr>
          <w:spacing w:val="-4"/>
        </w:rPr>
        <w:t>2019年4月23日公司召开的第三届董事会第二十三次会议审议通过了《关于&lt;2018年度利润分配预案&gt;的议案》，公司以截</w:t>
      </w:r>
      <w:r>
        <w:rPr/>
        <w:t> </w:t>
      </w:r>
      <w:r>
        <w:rPr>
          <w:spacing w:val="-2"/>
        </w:rPr>
        <w:t>止2018年12月31日总股本742,214,580股为基数，向全体股东每10股派发现金红利1.00元（含税），合计派发现金股利元</w:t>
      </w:r>
      <w:r>
        <w:rPr>
          <w:spacing w:val="-63"/>
        </w:rPr>
        <w:t> </w:t>
      </w:r>
      <w:r>
        <w:rPr>
          <w:spacing w:val="-63"/>
        </w:rPr>
      </w:r>
      <w:r>
        <w:rPr>
          <w:spacing w:val="-4"/>
        </w:rPr>
        <w:t>74,221,458.00（含税），剩余未分配利润292,168,419.41元结转以后年度。除上诉现金分红外，本次利润分配公司不送红股，</w:t>
      </w:r>
      <w:r>
        <w:rPr/>
        <w:t> 不实施资本公积金转增股本。本预案尚需提交公司2018年度股东大会审议。</w:t>
      </w:r>
    </w:p>
    <w:p>
      <w:pPr>
        <w:spacing w:line="240" w:lineRule="auto" w:before="0"/>
        <w:rPr>
          <w:rFonts w:ascii="宋体" w:hAnsi="宋体" w:cs="宋体" w:eastAsia="宋体" w:hint="default"/>
          <w:sz w:val="25"/>
          <w:szCs w:val="25"/>
        </w:rPr>
      </w:pPr>
    </w:p>
    <w:p>
      <w:pPr>
        <w:pStyle w:val="BodyText"/>
        <w:spacing w:line="240" w:lineRule="auto" w:before="44"/>
        <w:ind w:right="952"/>
        <w:jc w:val="left"/>
      </w:pPr>
      <w:r>
        <w:rPr/>
        <w:t>公司近三年（包括本报告期）普通股现金分红情况表</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bl>
    <w:p>
      <w:pPr>
        <w:spacing w:after="0" w:line="316" w:lineRule="auto"/>
        <w:jc w:val="center"/>
        <w:rPr>
          <w:rFonts w:ascii="宋体" w:hAnsi="宋体" w:cs="宋体" w:eastAsia="宋体" w:hint="default"/>
          <w:sz w:val="18"/>
          <w:szCs w:val="18"/>
        </w:rPr>
        <w:sectPr>
          <w:footerReference w:type="default" r:id="rId15"/>
          <w:pgSz w:w="11910" w:h="16840"/>
          <w:pgMar w:footer="1009" w:header="919" w:top="1120" w:bottom="1200" w:left="1020" w:right="0"/>
          <w:pgNumType w:start="3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74,221,458.0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177,780,372.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74,221,458.0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111,357,499.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208,463,060.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111,357,499.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89,103,999.6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121,039,371.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89,103,999.6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73.62%</w:t>
            </w:r>
          </w:p>
        </w:tc>
      </w:tr>
    </w:tbl>
    <w:p>
      <w:pPr>
        <w:pStyle w:val="BodyText"/>
        <w:spacing w:line="240" w:lineRule="auto" w:before="51"/>
        <w:ind w:right="952"/>
        <w:jc w:val="left"/>
      </w:pPr>
      <w:r>
        <w:rPr/>
        <w:t>公司报告期内盈利且母公司可供普通股股东分配利润为正但未提出普通股现金红利分配预案</w:t>
      </w:r>
    </w:p>
    <w:p>
      <w:pPr>
        <w:pStyle w:val="BodyText"/>
        <w:spacing w:line="240" w:lineRule="auto" w:before="117"/>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952"/>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2"/>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2"/>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2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01"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00" w:lineRule="auto"/>
              <w:ind w:left="102" w:right="190"/>
              <w:jc w:val="both"/>
              <w:rPr>
                <w:rFonts w:ascii="宋体" w:hAnsi="宋体" w:cs="宋体" w:eastAsia="宋体" w:hint="default"/>
                <w:sz w:val="18"/>
                <w:szCs w:val="18"/>
              </w:rPr>
            </w:pP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李 媛媛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left"/>
              <w:rPr>
                <w:rFonts w:ascii="宋体" w:hAnsi="宋体" w:cs="宋体" w:eastAsia="宋体" w:hint="default"/>
                <w:sz w:val="18"/>
                <w:szCs w:val="18"/>
              </w:rPr>
            </w:pPr>
            <w:r>
              <w:rPr>
                <w:rFonts w:ascii="宋体" w:hAnsi="宋体" w:cs="宋体" w:eastAsia="宋体" w:hint="default"/>
                <w:sz w:val="18"/>
                <w:szCs w:val="18"/>
              </w:rPr>
              <w:t>法定或自愿 锁定期满 后，在任职 期内每年转 让的股份不 超过其直接 或间接持有 的公司股份 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；自公 司股票上市 之日起六个 月内申报离 职时，申报 离职之日起 十八个月内 不得转让其 直接或间接 持有的本公 司股份；自 公司股票上 市之日起第 七个月至第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贺向荣、李 媛媛、张 列、庞军四 人已离任， 故承诺履 行完毕，其 余承诺各 方无违反 该承诺的 情况。</w:t>
            </w:r>
          </w:p>
        </w:tc>
      </w:tr>
    </w:tbl>
    <w:p>
      <w:pPr>
        <w:spacing w:after="0" w:line="316"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十二个月之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间申报离职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二个月内不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得转让其直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在创业板成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功上市后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月期末的收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盘价低于发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期限将自动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陈涛</w:t>
            </w:r>
            <w:r>
              <w:rPr>
                <w:rFonts w:ascii="Times New Roman" w:hAnsi="Times New Roman" w:cs="Times New Roman" w:eastAsia="Times New Roman" w:hint="default"/>
                <w:sz w:val="18"/>
                <w:szCs w:val="18"/>
              </w:rPr>
              <w:t>;</w:t>
            </w:r>
            <w:r>
              <w:rPr>
                <w:rFonts w:ascii="宋体" w:hAnsi="宋体" w:cs="宋体" w:eastAsia="宋体" w:hint="default"/>
                <w:sz w:val="18"/>
                <w:szCs w:val="18"/>
              </w:rPr>
              <w:t>陈伟</w:t>
            </w: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公司股东承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严</w:t>
            </w:r>
            <w:r>
              <w:rPr>
                <w:rFonts w:ascii="Times New Roman" w:hAnsi="Times New Roman" w:cs="Times New Roman" w:eastAsia="Times New Roman" w:hint="default"/>
                <w:sz w:val="18"/>
                <w:szCs w:val="18"/>
              </w:rPr>
              <w:t>;</w:t>
            </w:r>
            <w:r>
              <w:rPr>
                <w:rFonts w:ascii="宋体" w:hAnsi="宋体" w:cs="宋体" w:eastAsia="宋体" w:hint="default"/>
                <w:sz w:val="18"/>
                <w:szCs w:val="18"/>
              </w:rPr>
              <w:t>管文源</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诺将严格履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何丹</w:t>
            </w:r>
            <w:r>
              <w:rPr>
                <w:rFonts w:ascii="Times New Roman" w:hAnsi="Times New Roman" w:cs="Times New Roman" w:eastAsia="Times New Roman" w:hint="default"/>
                <w:sz w:val="18"/>
                <w:szCs w:val="18"/>
              </w:rPr>
              <w:t>;</w:t>
            </w:r>
            <w:r>
              <w:rPr>
                <w:rFonts w:ascii="宋体" w:hAnsi="宋体" w:cs="宋体" w:eastAsia="宋体" w:hint="default"/>
                <w:sz w:val="18"/>
                <w:szCs w:val="18"/>
              </w:rPr>
              <w:t>何美</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行股东义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务，不直接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华软创业投</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或间接借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10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资无锡合伙 企业（有限 </w:t>
            </w:r>
            <w:r>
              <w:rPr>
                <w:rFonts w:ascii="宋体" w:hAnsi="宋体" w:cs="宋体" w:eastAsia="宋体" w:hint="default"/>
                <w:spacing w:val="-7"/>
                <w:sz w:val="18"/>
                <w:szCs w:val="18"/>
              </w:rPr>
              <w:t>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蒋振</w:t>
            </w:r>
            <w:r>
              <w:rPr>
                <w:rFonts w:ascii="宋体" w:hAnsi="宋体" w:cs="宋体" w:eastAsia="宋体" w:hint="default"/>
                <w:sz w:val="18"/>
                <w:szCs w:val="18"/>
              </w:rPr>
              <w:t> 兴</w:t>
            </w:r>
            <w:r>
              <w:rPr>
                <w:rFonts w:ascii="Times New Roman" w:hAnsi="Times New Roman" w:cs="Times New Roman" w:eastAsia="Times New Roman" w:hint="default"/>
                <w:sz w:val="18"/>
                <w:szCs w:val="18"/>
              </w:rPr>
              <w:t>;</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刘昌 超</w:t>
            </w:r>
            <w:r>
              <w:rPr>
                <w:rFonts w:ascii="Times New Roman" w:hAnsi="Times New Roman" w:cs="Times New Roman" w:eastAsia="Times New Roman" w:hint="default"/>
                <w:sz w:val="18"/>
                <w:szCs w:val="18"/>
              </w:rPr>
              <w:t>;</w:t>
            </w:r>
            <w:r>
              <w:rPr>
                <w:rFonts w:ascii="宋体" w:hAnsi="宋体" w:cs="宋体" w:eastAsia="宋体" w:hint="default"/>
                <w:sz w:val="18"/>
                <w:szCs w:val="18"/>
              </w:rPr>
              <w:t>陆振虎</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3" w:right="111"/>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用、占用公 司的资金款 项；不会利 用关联交易 转移、输送 公司的资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彭彪</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金，不通过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宋体" w:hAnsi="宋体" w:cs="宋体" w:eastAsia="宋体" w:hint="default"/>
                <w:sz w:val="18"/>
                <w:szCs w:val="18"/>
              </w:rPr>
              <w:t>宋铮</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公司的经营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铮</w:t>
            </w:r>
            <w:r>
              <w:rPr>
                <w:rFonts w:ascii="Times New Roman" w:hAnsi="Times New Roman" w:cs="Times New Roman" w:eastAsia="Times New Roman" w:hint="default"/>
                <w:sz w:val="18"/>
                <w:szCs w:val="18"/>
              </w:rPr>
              <w:t>;</w:t>
            </w:r>
            <w:r>
              <w:rPr>
                <w:rFonts w:ascii="宋体" w:hAnsi="宋体" w:cs="宋体" w:eastAsia="宋体" w:hint="default"/>
                <w:sz w:val="18"/>
                <w:szCs w:val="18"/>
              </w:rPr>
              <w:t>孙海涛</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决策权损害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王安</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股份公司及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其他股东的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轶伦</w:t>
            </w:r>
            <w:r>
              <w:rPr>
                <w:rFonts w:ascii="Times New Roman" w:hAnsi="Times New Roman" w:cs="Times New Roman" w:eastAsia="Times New Roman" w:hint="default"/>
                <w:sz w:val="18"/>
                <w:szCs w:val="18"/>
              </w:rPr>
              <w:t>;</w:t>
            </w:r>
            <w:r>
              <w:rPr>
                <w:rFonts w:ascii="宋体" w:hAnsi="宋体" w:cs="宋体" w:eastAsia="宋体" w:hint="default"/>
                <w:sz w:val="18"/>
                <w:szCs w:val="18"/>
              </w:rPr>
              <w:t>吴荣</w:t>
            </w: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合法权益。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鑫</w:t>
            </w:r>
            <w:r>
              <w:rPr>
                <w:rFonts w:ascii="Times New Roman" w:hAnsi="Times New Roman" w:cs="Times New Roman" w:eastAsia="Times New Roman" w:hint="default"/>
                <w:sz w:val="18"/>
                <w:szCs w:val="18"/>
              </w:rPr>
              <w:t>;</w:t>
            </w:r>
            <w:r>
              <w:rPr>
                <w:rFonts w:ascii="宋体" w:hAnsi="宋体" w:cs="宋体" w:eastAsia="宋体" w:hint="default"/>
                <w:sz w:val="18"/>
                <w:szCs w:val="18"/>
              </w:rPr>
              <w:t>熊诗勇</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公司股东将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尽量避免与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建红</w:t>
            </w:r>
            <w:r>
              <w:rPr>
                <w:rFonts w:ascii="Times New Roman" w:hAnsi="Times New Roman" w:cs="Times New Roman" w:eastAsia="Times New Roman" w:hint="default"/>
                <w:sz w:val="18"/>
                <w:szCs w:val="18"/>
              </w:rPr>
              <w:t>;</w:t>
            </w:r>
            <w:r>
              <w:rPr>
                <w:rFonts w:ascii="宋体" w:hAnsi="宋体" w:cs="宋体" w:eastAsia="宋体" w:hint="default"/>
                <w:sz w:val="18"/>
                <w:szCs w:val="18"/>
              </w:rPr>
              <w:t>余锦</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公司之间产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祥</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生关联交易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木明</w:t>
            </w:r>
            <w:r>
              <w:rPr>
                <w:rFonts w:ascii="Times New Roman" w:hAnsi="Times New Roman" w:cs="Times New Roman" w:eastAsia="Times New Roman" w:hint="default"/>
                <w:sz w:val="18"/>
                <w:szCs w:val="18"/>
              </w:rPr>
              <w:t>;</w:t>
            </w:r>
            <w:r>
              <w:rPr>
                <w:rFonts w:ascii="宋体" w:hAnsi="宋体" w:cs="宋体" w:eastAsia="宋体" w:hint="default"/>
                <w:sz w:val="18"/>
                <w:szCs w:val="18"/>
              </w:rPr>
              <w:t>赵晓</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事项，对于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不可避免发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陈震飞</w:t>
            </w:r>
            <w:r>
              <w:rPr>
                <w:rFonts w:ascii="Times New Roman" w:hAnsi="Times New Roman" w:cs="Times New Roman" w:eastAsia="Times New Roman" w:hint="default"/>
                <w:sz w:val="18"/>
                <w:szCs w:val="18"/>
              </w:rPr>
              <w:t>;</w:t>
            </w:r>
            <w:r>
              <w:rPr>
                <w:rFonts w:ascii="宋体" w:hAnsi="宋体" w:cs="宋体" w:eastAsia="宋体" w:hint="default"/>
                <w:sz w:val="18"/>
                <w:szCs w:val="18"/>
              </w:rPr>
              <w:t>胡</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生的关联业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坤</w:t>
            </w:r>
            <w:r>
              <w:rPr>
                <w:rFonts w:ascii="Times New Roman" w:hAnsi="Times New Roman" w:cs="Times New Roman" w:eastAsia="Times New Roman" w:hint="default"/>
                <w:sz w:val="18"/>
                <w:szCs w:val="18"/>
              </w:rPr>
              <w:t>;</w:t>
            </w:r>
            <w:r>
              <w:rPr>
                <w:rFonts w:ascii="宋体" w:hAnsi="宋体" w:cs="宋体" w:eastAsia="宋体" w:hint="default"/>
                <w:sz w:val="18"/>
                <w:szCs w:val="18"/>
              </w:rPr>
              <w:t>李明华</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务往来或交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吕宪锐</w:t>
            </w:r>
            <w:r>
              <w:rPr>
                <w:rFonts w:ascii="Times New Roman" w:hAnsi="Times New Roman" w:cs="Times New Roman" w:eastAsia="Times New Roman" w:hint="default"/>
                <w:sz w:val="18"/>
                <w:szCs w:val="18"/>
              </w:rPr>
              <w:t>;</w:t>
            </w:r>
            <w:r>
              <w:rPr>
                <w:rFonts w:ascii="宋体" w:hAnsi="宋体" w:cs="宋体" w:eastAsia="宋体" w:hint="default"/>
                <w:sz w:val="18"/>
                <w:szCs w:val="18"/>
              </w:rPr>
              <w:t>欧</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易，将在平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阳华</w:t>
            </w:r>
            <w:r>
              <w:rPr>
                <w:rFonts w:ascii="Times New Roman" w:hAnsi="Times New Roman" w:cs="Times New Roman" w:eastAsia="Times New Roman" w:hint="default"/>
                <w:sz w:val="18"/>
                <w:szCs w:val="18"/>
              </w:rPr>
              <w:t>;</w:t>
            </w:r>
            <w:r>
              <w:rPr>
                <w:rFonts w:ascii="宋体" w:hAnsi="宋体" w:cs="宋体" w:eastAsia="宋体" w:hint="default"/>
                <w:sz w:val="18"/>
                <w:szCs w:val="18"/>
              </w:rPr>
              <w:t>彭军</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等、自愿的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红</w:t>
            </w:r>
            <w:r>
              <w:rPr>
                <w:rFonts w:ascii="Times New Roman" w:hAnsi="Times New Roman" w:cs="Times New Roman" w:eastAsia="Times New Roman" w:hint="default"/>
                <w:sz w:val="18"/>
                <w:szCs w:val="18"/>
              </w:rPr>
              <w:t>;</w:t>
            </w:r>
            <w:r>
              <w:rPr>
                <w:rFonts w:ascii="宋体" w:hAnsi="宋体" w:cs="宋体" w:eastAsia="宋体" w:hint="default"/>
                <w:sz w:val="18"/>
                <w:szCs w:val="18"/>
              </w:rPr>
              <w:t>阙尚钦</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基础上，按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邵</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照公平、公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宏伟</w:t>
            </w:r>
            <w:r>
              <w:rPr>
                <w:rFonts w:ascii="Times New Roman" w:hAnsi="Times New Roman" w:cs="Times New Roman" w:eastAsia="Times New Roman" w:hint="default"/>
                <w:sz w:val="18"/>
                <w:szCs w:val="18"/>
              </w:rPr>
              <w:t>;</w:t>
            </w:r>
            <w:r>
              <w:rPr>
                <w:rFonts w:ascii="宋体" w:hAnsi="宋体" w:cs="宋体" w:eastAsia="宋体" w:hint="default"/>
                <w:sz w:val="18"/>
                <w:szCs w:val="18"/>
              </w:rPr>
              <w:t>王能</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允和等价有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w:t>
            </w:r>
            <w:r>
              <w:rPr>
                <w:rFonts w:ascii="宋体" w:hAnsi="宋体" w:cs="宋体" w:eastAsia="宋体" w:hint="default"/>
                <w:sz w:val="18"/>
                <w:szCs w:val="18"/>
              </w:rPr>
              <w:t>王潼龙</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偿的原则进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谢攀</w:t>
            </w:r>
            <w:r>
              <w:rPr>
                <w:rFonts w:ascii="Times New Roman" w:hAnsi="Times New Roman" w:cs="Times New Roman" w:eastAsia="Times New Roman" w:hint="default"/>
                <w:sz w:val="18"/>
                <w:szCs w:val="18"/>
              </w:rPr>
              <w:t>;</w:t>
            </w:r>
            <w:r>
              <w:rPr>
                <w:rFonts w:ascii="宋体" w:hAnsi="宋体" w:cs="宋体" w:eastAsia="宋体" w:hint="default"/>
                <w:sz w:val="18"/>
                <w:szCs w:val="18"/>
              </w:rPr>
              <w:t>徐志</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行，交易价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刚</w:t>
            </w:r>
            <w:r>
              <w:rPr>
                <w:rFonts w:ascii="Times New Roman" w:hAnsi="Times New Roman" w:cs="Times New Roman" w:eastAsia="Times New Roman" w:hint="default"/>
                <w:sz w:val="18"/>
                <w:szCs w:val="18"/>
              </w:rPr>
              <w:t>;</w:t>
            </w:r>
            <w:r>
              <w:rPr>
                <w:rFonts w:ascii="宋体" w:hAnsi="宋体" w:cs="宋体" w:eastAsia="宋体" w:hint="default"/>
                <w:sz w:val="18"/>
                <w:szCs w:val="18"/>
              </w:rPr>
              <w:t>杨文奇</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格将按照市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邹雪峰</w:t>
            </w:r>
            <w:r>
              <w:rPr>
                <w:rFonts w:ascii="Times New Roman" w:hAnsi="Times New Roman" w:cs="Times New Roman" w:eastAsia="Times New Roman" w:hint="default"/>
                <w:sz w:val="18"/>
                <w:szCs w:val="18"/>
              </w:rPr>
              <w:t>;</w:t>
            </w:r>
            <w:r>
              <w:rPr>
                <w:rFonts w:ascii="宋体" w:hAnsi="宋体" w:cs="宋体" w:eastAsia="宋体" w:hint="default"/>
                <w:sz w:val="18"/>
                <w:szCs w:val="18"/>
              </w:rPr>
              <w:t>左</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场公认的合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炉喜</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理价格确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严格遵守公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范性文件中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关于关联交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易事项的回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避规定，所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涉及的关联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交易均将按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照规定的决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策程序进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行，并将履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序，及时对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项进行信息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承诺不会利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转移、输送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经营决策权</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损害股份公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将尽量避免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与公司之间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易事项，对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于不可避免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发生的关联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业务往来或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交易，将在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平等、自愿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的基础上，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按照公平、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公允和等价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有偿的原则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进行，交易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价格将按照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市场公认的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合理价格确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02" w:right="110"/>
              <w:jc w:val="both"/>
              <w:rPr>
                <w:rFonts w:ascii="宋体" w:hAnsi="宋体" w:cs="宋体" w:eastAsia="宋体" w:hint="default"/>
                <w:sz w:val="18"/>
                <w:szCs w:val="18"/>
              </w:rPr>
            </w:pPr>
            <w:r>
              <w:rPr>
                <w:rFonts w:ascii="宋体" w:hAnsi="宋体" w:cs="宋体" w:eastAsia="宋体" w:hint="default"/>
                <w:sz w:val="18"/>
                <w:szCs w:val="18"/>
              </w:rPr>
              <w:t>深圳市赢时 胜信息技术 股份有限公 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3" w:right="111"/>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定。公司及 公司股东将 严格遵守公 司章程等规 范性文件中 关于关联交</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易事项的回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避规定，所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涉及的关联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交易均将按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照规定的决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策程序进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行，并将履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行合法程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序，及时对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项进行信息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及公司股东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承诺不会利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转移、输送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利润，不会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通过公司的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经营决策权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损害股份公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为规范与公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司发生关联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交易情形承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诺：本人及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本人所控制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将尽量避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免、减少与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赢时胜发生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如关联交易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无法避免，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所控制的其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他企业将严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黄速</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格遵守中国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102" w:right="189"/>
              <w:jc w:val="both"/>
              <w:rPr>
                <w:rFonts w:ascii="宋体" w:hAnsi="宋体" w:cs="宋体" w:eastAsia="宋体" w:hint="default"/>
                <w:sz w:val="18"/>
                <w:szCs w:val="18"/>
              </w:rPr>
            </w:pPr>
            <w:r>
              <w:rPr>
                <w:rFonts w:ascii="宋体" w:hAnsi="宋体" w:cs="宋体" w:eastAsia="宋体" w:hint="default"/>
                <w:sz w:val="18"/>
                <w:szCs w:val="18"/>
              </w:rPr>
              <w:t>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霍佳震</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宋体" w:hAnsi="宋体" w:cs="宋体" w:eastAsia="宋体" w:hint="default"/>
                <w:sz w:val="18"/>
                <w:szCs w:val="18"/>
              </w:rPr>
              <w:t>庞 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 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3" w:right="111"/>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both"/>
              <w:rPr>
                <w:rFonts w:ascii="宋体" w:hAnsi="宋体" w:cs="宋体" w:eastAsia="宋体" w:hint="default"/>
                <w:sz w:val="18"/>
                <w:szCs w:val="18"/>
              </w:rPr>
            </w:pPr>
            <w:r>
              <w:rPr>
                <w:rFonts w:ascii="宋体" w:hAnsi="宋体" w:cs="宋体" w:eastAsia="宋体" w:hint="default"/>
                <w:sz w:val="18"/>
                <w:szCs w:val="18"/>
              </w:rPr>
              <w:t>证监会和公 司章程的规 定，按照通 常的商业准 则确定交易 价格及其他</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杉</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交易条件，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公允进行。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在本人及本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他公司与公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司存在关联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关系期间，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本承诺函为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有效之承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诺。如上述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承诺被证明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是不真实或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未被遵守，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本人将向公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司赔偿一切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直接和间接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损失，并承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担相应的法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律责任。为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避免与赢时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胜发生同业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的承诺：自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承诺函签署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人目前没有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在中国境内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任何地方或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中国境外，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发展、经营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或协助经营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或参与与公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司业务存在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活动，亦没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有在任何与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拥有任何直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接或间接权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接经营任何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参与投资任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何与公司生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争的其他企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不会利用公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司股东的身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份进行损害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公司及其它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他公司与赢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时胜存在关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联关系期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承诺。如上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述承诺被证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明是不真实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或未被遵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守，本人将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向赢时胜赔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偿一切直接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和间接损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失，并承担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相应的法律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2" w:right="189"/>
              <w:jc w:val="both"/>
              <w:rPr>
                <w:rFonts w:ascii="宋体" w:hAnsi="宋体" w:cs="宋体" w:eastAsia="宋体" w:hint="default"/>
                <w:sz w:val="18"/>
                <w:szCs w:val="18"/>
              </w:rPr>
            </w:pP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黄 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 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庞 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 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both"/>
              <w:rPr>
                <w:rFonts w:ascii="宋体" w:hAnsi="宋体" w:cs="宋体" w:eastAsia="宋体" w:hint="default"/>
                <w:sz w:val="18"/>
                <w:szCs w:val="18"/>
              </w:rPr>
            </w:pPr>
            <w:r>
              <w:rPr>
                <w:rFonts w:ascii="宋体" w:hAnsi="宋体" w:cs="宋体" w:eastAsia="宋体" w:hint="default"/>
                <w:sz w:val="18"/>
                <w:szCs w:val="18"/>
              </w:rPr>
              <w:t>承诺除公司 外，本人并 未与任何其 他企业或单 位签署任何 形式的竞业 禁止协议， 也未签署任 何包含竞业 禁止内容的 法律文件。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承诺如有任</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何股东因任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何原因导致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其没有及时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承诺各方</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2" w:right="240"/>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left"/>
              <w:rPr>
                <w:rFonts w:ascii="宋体" w:hAnsi="宋体" w:cs="宋体" w:eastAsia="宋体" w:hint="default"/>
                <w:sz w:val="18"/>
                <w:szCs w:val="18"/>
              </w:rPr>
            </w:pPr>
            <w:r>
              <w:rPr>
                <w:rFonts w:ascii="宋体" w:hAnsi="宋体" w:cs="宋体" w:eastAsia="宋体" w:hint="default"/>
                <w:sz w:val="18"/>
                <w:szCs w:val="18"/>
              </w:rPr>
              <w:t>缴纳或支付 公司因整体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无违反该 承诺的情</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变更应承担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的个人所得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税及相关费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用和损失，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11"/>
              <w:jc w:val="left"/>
              <w:rPr>
                <w:rFonts w:ascii="宋体" w:hAnsi="宋体" w:cs="宋体" w:eastAsia="宋体" w:hint="default"/>
                <w:sz w:val="18"/>
                <w:szCs w:val="18"/>
              </w:rPr>
            </w:pPr>
            <w:r>
              <w:rPr>
                <w:rFonts w:ascii="宋体" w:hAnsi="宋体" w:cs="宋体" w:eastAsia="宋体" w:hint="default"/>
                <w:sz w:val="18"/>
                <w:szCs w:val="18"/>
              </w:rPr>
              <w:t>本人承担连 带责任。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陈涛</w:t>
            </w:r>
            <w:r>
              <w:rPr>
                <w:rFonts w:ascii="Times New Roman" w:hAnsi="Times New Roman" w:cs="Times New Roman" w:eastAsia="Times New Roman" w:hint="default"/>
                <w:sz w:val="18"/>
                <w:szCs w:val="18"/>
              </w:rPr>
              <w:t>;</w:t>
            </w:r>
            <w:r>
              <w:rPr>
                <w:rFonts w:ascii="宋体" w:hAnsi="宋体" w:cs="宋体" w:eastAsia="宋体" w:hint="default"/>
                <w:sz w:val="18"/>
                <w:szCs w:val="18"/>
              </w:rPr>
              <w:t>陈伟</w:t>
            </w: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严</w:t>
            </w:r>
            <w:r>
              <w:rPr>
                <w:rFonts w:ascii="Times New Roman" w:hAnsi="Times New Roman" w:cs="Times New Roman" w:eastAsia="Times New Roman" w:hint="default"/>
                <w:sz w:val="18"/>
                <w:szCs w:val="18"/>
              </w:rPr>
              <w:t>;</w:t>
            </w:r>
            <w:r>
              <w:rPr>
                <w:rFonts w:ascii="宋体" w:hAnsi="宋体" w:cs="宋体" w:eastAsia="宋体" w:hint="default"/>
                <w:sz w:val="18"/>
                <w:szCs w:val="18"/>
              </w:rPr>
              <w:t>管文源</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何丹</w:t>
            </w:r>
            <w:r>
              <w:rPr>
                <w:rFonts w:ascii="Times New Roman" w:hAnsi="Times New Roman" w:cs="Times New Roman" w:eastAsia="Times New Roman" w:hint="default"/>
                <w:sz w:val="18"/>
                <w:szCs w:val="18"/>
              </w:rPr>
              <w:t>;</w:t>
            </w:r>
            <w:r>
              <w:rPr>
                <w:rFonts w:ascii="宋体" w:hAnsi="宋体" w:cs="宋体" w:eastAsia="宋体" w:hint="default"/>
                <w:sz w:val="18"/>
                <w:szCs w:val="18"/>
              </w:rPr>
              <w:t>何美</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842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华软创业投 资无锡合伙 企业（有限 </w:t>
            </w:r>
            <w:r>
              <w:rPr>
                <w:rFonts w:ascii="宋体" w:hAnsi="宋体" w:cs="宋体" w:eastAsia="宋体" w:hint="default"/>
                <w:spacing w:val="-7"/>
                <w:sz w:val="18"/>
                <w:szCs w:val="18"/>
              </w:rPr>
              <w:t>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蒋振</w:t>
            </w:r>
            <w:r>
              <w:rPr>
                <w:rFonts w:ascii="宋体" w:hAnsi="宋体" w:cs="宋体" w:eastAsia="宋体" w:hint="default"/>
                <w:sz w:val="18"/>
                <w:szCs w:val="18"/>
              </w:rPr>
              <w:t> 兴</w:t>
            </w:r>
            <w:r>
              <w:rPr>
                <w:rFonts w:ascii="Times New Roman" w:hAnsi="Times New Roman" w:cs="Times New Roman" w:eastAsia="Times New Roman" w:hint="default"/>
                <w:sz w:val="18"/>
                <w:szCs w:val="18"/>
              </w:rPr>
              <w:t>;</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刘昌 超</w:t>
            </w:r>
            <w:r>
              <w:rPr>
                <w:rFonts w:ascii="Times New Roman" w:hAnsi="Times New Roman" w:cs="Times New Roman" w:eastAsia="Times New Roman" w:hint="default"/>
                <w:sz w:val="18"/>
                <w:szCs w:val="18"/>
              </w:rPr>
              <w:t>;</w:t>
            </w:r>
            <w:r>
              <w:rPr>
                <w:rFonts w:ascii="宋体" w:hAnsi="宋体" w:cs="宋体" w:eastAsia="宋体" w:hint="default"/>
                <w:sz w:val="18"/>
                <w:szCs w:val="18"/>
              </w:rPr>
              <w:t>陆振虎</w:t>
            </w:r>
            <w:r>
              <w:rPr>
                <w:rFonts w:ascii="Times New Roman" w:hAnsi="Times New Roman" w:cs="Times New Roman" w:eastAsia="Times New Roman" w:hint="default"/>
                <w:sz w:val="18"/>
                <w:szCs w:val="18"/>
              </w:rPr>
              <w:t>;</w:t>
            </w:r>
          </w:p>
          <w:p>
            <w:pPr>
              <w:pStyle w:val="TableParagraph"/>
              <w:spacing w:line="300" w:lineRule="auto" w:before="5"/>
              <w:ind w:left="102" w:right="189"/>
              <w:jc w:val="both"/>
              <w:rPr>
                <w:rFonts w:ascii="Times New Roman" w:hAnsi="Times New Roman" w:cs="Times New Roman" w:eastAsia="Times New Roman" w:hint="default"/>
                <w:sz w:val="18"/>
                <w:szCs w:val="18"/>
              </w:rPr>
            </w:pP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彭彪</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宋体" w:hAnsi="宋体" w:cs="宋体" w:eastAsia="宋体" w:hint="default"/>
                <w:sz w:val="18"/>
                <w:szCs w:val="18"/>
              </w:rPr>
              <w:t>宋铮 铮</w:t>
            </w:r>
            <w:r>
              <w:rPr>
                <w:rFonts w:ascii="Times New Roman" w:hAnsi="Times New Roman" w:cs="Times New Roman" w:eastAsia="Times New Roman" w:hint="default"/>
                <w:sz w:val="18"/>
                <w:szCs w:val="18"/>
              </w:rPr>
              <w:t>;</w:t>
            </w:r>
            <w:r>
              <w:rPr>
                <w:rFonts w:ascii="宋体" w:hAnsi="宋体" w:cs="宋体" w:eastAsia="宋体" w:hint="default"/>
                <w:sz w:val="18"/>
                <w:szCs w:val="18"/>
              </w:rPr>
              <w:t>孙海涛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王安 锋</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王 轶伦</w:t>
            </w:r>
            <w:r>
              <w:rPr>
                <w:rFonts w:ascii="Times New Roman" w:hAnsi="Times New Roman" w:cs="Times New Roman" w:eastAsia="Times New Roman" w:hint="default"/>
                <w:sz w:val="18"/>
                <w:szCs w:val="18"/>
              </w:rPr>
              <w:t>;</w:t>
            </w:r>
            <w:r>
              <w:rPr>
                <w:rFonts w:ascii="宋体" w:hAnsi="宋体" w:cs="宋体" w:eastAsia="宋体" w:hint="default"/>
                <w:sz w:val="18"/>
                <w:szCs w:val="18"/>
              </w:rPr>
              <w:t>吴荣 鑫</w:t>
            </w:r>
            <w:r>
              <w:rPr>
                <w:rFonts w:ascii="Times New Roman" w:hAnsi="Times New Roman" w:cs="Times New Roman" w:eastAsia="Times New Roman" w:hint="default"/>
                <w:sz w:val="18"/>
                <w:szCs w:val="18"/>
              </w:rPr>
              <w:t>;</w:t>
            </w:r>
            <w:r>
              <w:rPr>
                <w:rFonts w:ascii="宋体" w:hAnsi="宋体" w:cs="宋体" w:eastAsia="宋体" w:hint="default"/>
                <w:sz w:val="18"/>
                <w:szCs w:val="18"/>
              </w:rPr>
              <w:t>熊诗勇</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余锦 祥</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张 木明</w:t>
            </w:r>
            <w:r>
              <w:rPr>
                <w:rFonts w:ascii="Times New Roman" w:hAnsi="Times New Roman" w:cs="Times New Roman" w:eastAsia="Times New Roman" w:hint="default"/>
                <w:sz w:val="18"/>
                <w:szCs w:val="18"/>
              </w:rPr>
              <w:t>;</w:t>
            </w:r>
            <w:r>
              <w:rPr>
                <w:rFonts w:ascii="宋体" w:hAnsi="宋体" w:cs="宋体" w:eastAsia="宋体" w:hint="default"/>
                <w:sz w:val="18"/>
                <w:szCs w:val="18"/>
              </w:rPr>
              <w:t>赵晓 锋</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陈震飞</w:t>
            </w:r>
            <w:r>
              <w:rPr>
                <w:rFonts w:ascii="Times New Roman" w:hAnsi="Times New Roman" w:cs="Times New Roman" w:eastAsia="Times New Roman" w:hint="default"/>
                <w:sz w:val="18"/>
                <w:szCs w:val="18"/>
              </w:rPr>
              <w:t>;</w:t>
            </w:r>
            <w:r>
              <w:rPr>
                <w:rFonts w:ascii="宋体" w:hAnsi="宋体" w:cs="宋体" w:eastAsia="宋体" w:hint="default"/>
                <w:sz w:val="18"/>
                <w:szCs w:val="18"/>
              </w:rPr>
              <w:t>胡 坤</w:t>
            </w:r>
            <w:r>
              <w:rPr>
                <w:rFonts w:ascii="Times New Roman" w:hAnsi="Times New Roman" w:cs="Times New Roman" w:eastAsia="Times New Roman" w:hint="default"/>
                <w:sz w:val="18"/>
                <w:szCs w:val="18"/>
              </w:rPr>
              <w:t>;</w:t>
            </w:r>
            <w:r>
              <w:rPr>
                <w:rFonts w:ascii="宋体" w:hAnsi="宋体" w:cs="宋体" w:eastAsia="宋体" w:hint="default"/>
                <w:sz w:val="18"/>
                <w:szCs w:val="18"/>
              </w:rPr>
              <w:t>李明华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吕宪锐</w:t>
            </w:r>
            <w:r>
              <w:rPr>
                <w:rFonts w:ascii="Times New Roman" w:hAnsi="Times New Roman" w:cs="Times New Roman" w:eastAsia="Times New Roman" w:hint="default"/>
                <w:sz w:val="18"/>
                <w:szCs w:val="18"/>
              </w:rPr>
              <w:t>;</w:t>
            </w:r>
            <w:r>
              <w:rPr>
                <w:rFonts w:ascii="宋体" w:hAnsi="宋体" w:cs="宋体" w:eastAsia="宋体" w:hint="default"/>
                <w:sz w:val="18"/>
                <w:szCs w:val="18"/>
              </w:rPr>
              <w:t>欧 阳华</w:t>
            </w:r>
            <w:r>
              <w:rPr>
                <w:rFonts w:ascii="Times New Roman" w:hAnsi="Times New Roman" w:cs="Times New Roman" w:eastAsia="Times New Roman" w:hint="default"/>
                <w:sz w:val="18"/>
                <w:szCs w:val="18"/>
              </w:rPr>
              <w:t>;</w:t>
            </w:r>
            <w:r>
              <w:rPr>
                <w:rFonts w:ascii="宋体" w:hAnsi="宋体" w:cs="宋体" w:eastAsia="宋体" w:hint="default"/>
                <w:sz w:val="18"/>
                <w:szCs w:val="18"/>
              </w:rPr>
              <w:t>彭军 红</w:t>
            </w:r>
            <w:r>
              <w:rPr>
                <w:rFonts w:ascii="Times New Roman" w:hAnsi="Times New Roman" w:cs="Times New Roman" w:eastAsia="Times New Roman" w:hint="default"/>
                <w:sz w:val="18"/>
                <w:szCs w:val="18"/>
              </w:rPr>
              <w:t>;</w:t>
            </w:r>
            <w:r>
              <w:rPr>
                <w:rFonts w:ascii="宋体" w:hAnsi="宋体" w:cs="宋体" w:eastAsia="宋体" w:hint="default"/>
                <w:sz w:val="18"/>
                <w:szCs w:val="18"/>
              </w:rPr>
              <w:t>阙尚钦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邵 宏伟</w:t>
            </w:r>
            <w:r>
              <w:rPr>
                <w:rFonts w:ascii="Times New Roman" w:hAnsi="Times New Roman" w:cs="Times New Roman" w:eastAsia="Times New Roman" w:hint="default"/>
                <w:sz w:val="18"/>
                <w:szCs w:val="18"/>
              </w:rPr>
              <w:t>;</w:t>
            </w:r>
            <w:r>
              <w:rPr>
                <w:rFonts w:ascii="宋体" w:hAnsi="宋体" w:cs="宋体" w:eastAsia="宋体" w:hint="default"/>
                <w:sz w:val="18"/>
                <w:szCs w:val="18"/>
              </w:rPr>
              <w:t>王能 国</w:t>
            </w:r>
            <w:r>
              <w:rPr>
                <w:rFonts w:ascii="Times New Roman" w:hAnsi="Times New Roman" w:cs="Times New Roman" w:eastAsia="Times New Roman" w:hint="default"/>
                <w:sz w:val="18"/>
                <w:szCs w:val="18"/>
              </w:rPr>
              <w:t>;</w:t>
            </w:r>
            <w:r>
              <w:rPr>
                <w:rFonts w:ascii="宋体" w:hAnsi="宋体" w:cs="宋体" w:eastAsia="宋体" w:hint="default"/>
                <w:sz w:val="18"/>
                <w:szCs w:val="18"/>
              </w:rPr>
              <w:t>王潼龙</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2" w:right="111"/>
              <w:jc w:val="left"/>
              <w:rPr>
                <w:rFonts w:ascii="宋体" w:hAnsi="宋体" w:cs="宋体" w:eastAsia="宋体" w:hint="default"/>
                <w:sz w:val="18"/>
                <w:szCs w:val="18"/>
              </w:rPr>
            </w:pPr>
            <w:r>
              <w:rPr>
                <w:rFonts w:ascii="宋体" w:hAnsi="宋体" w:cs="宋体" w:eastAsia="宋体" w:hint="default"/>
                <w:sz w:val="18"/>
                <w:szCs w:val="18"/>
              </w:rPr>
              <w:t>承诺如因有 关税务部门 要求或决 定，公司需 要补缴或被 追缴整体变 更时全体自 然人股东以 净资产折股 所涉及的个 人所得税， 或因公司当 时为履行代 扣代缴义务 而承担罚款 或损失，我 们将按照整 体变更时持 有的股权比 例承担公司 补缴（被追 缴）的上述 个人所得税 税款及其相 关费用和损 失。</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谢攀</w:t>
            </w:r>
            <w:r>
              <w:rPr>
                <w:rFonts w:ascii="Times New Roman" w:hAnsi="Times New Roman" w:cs="Times New Roman" w:eastAsia="Times New Roman" w:hint="default"/>
                <w:sz w:val="18"/>
                <w:szCs w:val="18"/>
              </w:rPr>
              <w:t>;</w:t>
            </w:r>
            <w:r>
              <w:rPr>
                <w:rFonts w:ascii="宋体" w:hAnsi="宋体" w:cs="宋体" w:eastAsia="宋体" w:hint="default"/>
                <w:sz w:val="18"/>
                <w:szCs w:val="18"/>
              </w:rPr>
              <w:t>徐志</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刚</w:t>
            </w:r>
            <w:r>
              <w:rPr>
                <w:rFonts w:ascii="Times New Roman" w:hAnsi="Times New Roman" w:cs="Times New Roman" w:eastAsia="Times New Roman" w:hint="default"/>
                <w:sz w:val="18"/>
                <w:szCs w:val="18"/>
              </w:rPr>
              <w:t>;</w:t>
            </w:r>
            <w:r>
              <w:rPr>
                <w:rFonts w:ascii="宋体" w:hAnsi="宋体" w:cs="宋体" w:eastAsia="宋体" w:hint="default"/>
                <w:sz w:val="18"/>
                <w:szCs w:val="18"/>
              </w:rPr>
              <w:t>杨文奇</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邹雪峰</w:t>
            </w:r>
            <w:r>
              <w:rPr>
                <w:rFonts w:ascii="Times New Roman" w:hAnsi="Times New Roman" w:cs="Times New Roman" w:eastAsia="Times New Roman" w:hint="default"/>
                <w:sz w:val="18"/>
                <w:szCs w:val="18"/>
              </w:rPr>
              <w:t>;</w:t>
            </w:r>
            <w:r>
              <w:rPr>
                <w:rFonts w:ascii="宋体" w:hAnsi="宋体" w:cs="宋体" w:eastAsia="宋体" w:hint="default"/>
                <w:sz w:val="18"/>
                <w:szCs w:val="18"/>
              </w:rPr>
              <w:t>左</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炉喜</w:t>
            </w: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华</w:t>
            </w: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唐球拟于限</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75"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软创业投资</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售期满后第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102" w:right="0"/>
              <w:jc w:val="left"/>
              <w:rPr>
                <w:rFonts w:ascii="宋体" w:hAnsi="宋体" w:cs="宋体" w:eastAsia="宋体" w:hint="default"/>
                <w:sz w:val="18"/>
                <w:szCs w:val="18"/>
              </w:rPr>
            </w:pPr>
            <w:r>
              <w:rPr>
                <w:rFonts w:ascii="宋体" w:hAnsi="宋体" w:cs="宋体" w:eastAsia="宋体" w:hint="default"/>
                <w:sz w:val="18"/>
                <w:szCs w:val="18"/>
              </w:rPr>
              <w:t>承诺各方</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无锡合伙企</w:t>
            </w:r>
          </w:p>
          <w:p>
            <w:pPr>
              <w:pStyle w:val="TableParagraph"/>
              <w:spacing w:line="316" w:lineRule="auto" w:before="76"/>
              <w:ind w:left="102" w:right="110"/>
              <w:jc w:val="left"/>
              <w:rPr>
                <w:rFonts w:ascii="宋体" w:hAnsi="宋体" w:cs="宋体" w:eastAsia="宋体" w:hint="default"/>
                <w:sz w:val="18"/>
                <w:szCs w:val="18"/>
              </w:rPr>
            </w:pPr>
            <w:r>
              <w:rPr>
                <w:rFonts w:ascii="宋体" w:hAnsi="宋体" w:cs="宋体" w:eastAsia="宋体" w:hint="default"/>
                <w:sz w:val="18"/>
                <w:szCs w:val="18"/>
              </w:rPr>
              <w:t>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李媛</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77"/>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一年内出售</w:t>
            </w:r>
          </w:p>
          <w:p>
            <w:pPr>
              <w:pStyle w:val="TableParagraph"/>
              <w:spacing w:line="316" w:lineRule="auto" w:before="76"/>
              <w:ind w:left="102" w:right="111"/>
              <w:jc w:val="left"/>
              <w:rPr>
                <w:rFonts w:ascii="宋体" w:hAnsi="宋体" w:cs="宋体" w:eastAsia="宋体" w:hint="default"/>
                <w:sz w:val="18"/>
                <w:szCs w:val="18"/>
              </w:rPr>
            </w:pPr>
            <w:r>
              <w:rPr>
                <w:rFonts w:ascii="宋体" w:hAnsi="宋体" w:cs="宋体" w:eastAsia="宋体" w:hint="default"/>
                <w:sz w:val="18"/>
                <w:szCs w:val="18"/>
              </w:rPr>
              <w:t>公司的股份 为不超过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102" w:right="273"/>
              <w:jc w:val="both"/>
              <w:rPr>
                <w:rFonts w:ascii="宋体" w:hAnsi="宋体" w:cs="宋体" w:eastAsia="宋体" w:hint="default"/>
                <w:sz w:val="18"/>
                <w:szCs w:val="18"/>
              </w:rPr>
            </w:pPr>
            <w:r>
              <w:rPr>
                <w:rFonts w:ascii="宋体" w:hAnsi="宋体" w:cs="宋体" w:eastAsia="宋体" w:hint="default"/>
                <w:sz w:val="18"/>
                <w:szCs w:val="18"/>
              </w:rPr>
              <w:t>无违反该 承诺的情 况。</w:t>
            </w:r>
          </w:p>
        </w:tc>
      </w:tr>
      <w:tr>
        <w:trPr>
          <w:trHeight w:val="24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2" w:right="0"/>
              <w:jc w:val="left"/>
              <w:rPr>
                <w:rFonts w:ascii="宋体" w:hAnsi="宋体" w:cs="宋体" w:eastAsia="宋体" w:hint="default"/>
                <w:sz w:val="18"/>
                <w:szCs w:val="18"/>
              </w:rPr>
            </w:pPr>
            <w:r>
              <w:rPr>
                <w:rFonts w:ascii="宋体" w:hAnsi="宋体" w:cs="宋体" w:eastAsia="宋体" w:hint="default"/>
                <w:sz w:val="18"/>
                <w:szCs w:val="18"/>
              </w:rPr>
              <w:t>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2" w:right="0"/>
              <w:jc w:val="left"/>
              <w:rPr>
                <w:rFonts w:ascii="Times New Roman" w:hAnsi="Times New Roman" w:cs="Times New Roman" w:eastAsia="Times New Roman" w:hint="default"/>
                <w:sz w:val="18"/>
                <w:szCs w:val="18"/>
              </w:rPr>
            </w:pPr>
            <w:r>
              <w:rPr>
                <w:rFonts w:ascii="Times New Roman"/>
                <w:sz w:val="18"/>
              </w:rPr>
              <w:t>1,200,000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1,600,000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股，两年合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2,800,000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价。鄢建红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拟于限售期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且出售价格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发行价。鄢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建兵拟于限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售期满后第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一年内出售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1,200,000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股，两年合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计不超过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2,200,000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价。张列拟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于限售期满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后第一年内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出售公司的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股份为不超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1,500,000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1,100,000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股，两年合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2,600,000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价。周云杉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拟于限售期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限售期满后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第二年内出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售公司的不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超过股份为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两年合计不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且出售价格</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009" w:header="919" w:top="1120" w:bottom="1200" w:left="1020" w:right="0"/>
          <w:pgNumType w:start="4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均不低于公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发行价。华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软合伙拟于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限售期满后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两年内将其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2,691,855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股全部出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员庞军、李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媛媛、贺向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荣承诺在公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在创业板成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功上市后，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本人所持股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于发行价。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48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0" w:lineRule="auto"/>
              <w:ind w:left="102" w:right="189"/>
              <w:jc w:val="both"/>
              <w:rPr>
                <w:rFonts w:ascii="宋体" w:hAnsi="宋体" w:cs="宋体" w:eastAsia="宋体" w:hint="default"/>
                <w:sz w:val="18"/>
                <w:szCs w:val="18"/>
              </w:rPr>
            </w:pP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黄 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 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庞 军</w:t>
            </w:r>
            <w:r>
              <w:rPr>
                <w:rFonts w:ascii="Times New Roman" w:hAnsi="Times New Roman" w:cs="Times New Roman" w:eastAsia="Times New Roman" w:hint="default"/>
                <w:sz w:val="18"/>
                <w:szCs w:val="18"/>
              </w:rPr>
              <w:t>;</w:t>
            </w:r>
            <w:r>
              <w:rPr>
                <w:rFonts w:ascii="宋体" w:hAnsi="宋体" w:cs="宋体" w:eastAsia="宋体" w:hint="default"/>
                <w:sz w:val="18"/>
                <w:szCs w:val="18"/>
              </w:rPr>
              <w:t>唐敏</w:t>
            </w:r>
            <w:r>
              <w:rPr>
                <w:rFonts w:ascii="Times New Roman" w:hAnsi="Times New Roman" w:cs="Times New Roman" w:eastAsia="Times New Roman" w:hint="default"/>
                <w:sz w:val="18"/>
                <w:szCs w:val="18"/>
              </w:rPr>
              <w:t>;</w:t>
            </w:r>
            <w:r>
              <w:rPr>
                <w:rFonts w:ascii="宋体" w:hAnsi="宋体" w:cs="宋体" w:eastAsia="宋体" w:hint="default"/>
                <w:sz w:val="18"/>
                <w:szCs w:val="18"/>
              </w:rPr>
              <w:t>唐</w:t>
            </w:r>
          </w:p>
          <w:p>
            <w:pPr>
              <w:pStyle w:val="TableParagraph"/>
              <w:spacing w:line="300" w:lineRule="auto" w:before="13"/>
              <w:ind w:left="102" w:right="190"/>
              <w:jc w:val="both"/>
              <w:rPr>
                <w:rFonts w:ascii="宋体" w:hAnsi="宋体" w:cs="宋体" w:eastAsia="宋体" w:hint="default"/>
                <w:sz w:val="18"/>
                <w:szCs w:val="18"/>
              </w:rPr>
            </w:pPr>
            <w:r>
              <w:rPr>
                <w:rFonts w:ascii="宋体" w:hAnsi="宋体" w:cs="宋体" w:eastAsia="宋体" w:hint="default"/>
                <w:sz w:val="18"/>
                <w:szCs w:val="18"/>
              </w:rPr>
              <w:t>球</w:t>
            </w:r>
            <w:r>
              <w:rPr>
                <w:rFonts w:ascii="Times New Roman" w:hAnsi="Times New Roman" w:cs="Times New Roman" w:eastAsia="Times New Roman" w:hint="default"/>
                <w:sz w:val="18"/>
                <w:szCs w:val="18"/>
              </w:rPr>
              <w:t>;</w:t>
            </w:r>
            <w:r>
              <w:rPr>
                <w:rFonts w:ascii="宋体" w:hAnsi="宋体" w:cs="宋体" w:eastAsia="宋体" w:hint="default"/>
                <w:sz w:val="18"/>
                <w:szCs w:val="18"/>
              </w:rPr>
              <w:t>伍国安</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周云杉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0" w:lineRule="auto"/>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 价承诺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both"/>
              <w:rPr>
                <w:rFonts w:ascii="宋体" w:hAnsi="宋体" w:cs="宋体" w:eastAsia="宋体" w:hint="default"/>
                <w:sz w:val="18"/>
                <w:szCs w:val="18"/>
              </w:rPr>
            </w:pPr>
            <w:r>
              <w:rPr>
                <w:rFonts w:ascii="宋体" w:hAnsi="宋体" w:cs="宋体" w:eastAsia="宋体" w:hint="default"/>
                <w:sz w:val="18"/>
                <w:szCs w:val="18"/>
              </w:rPr>
              <w:t>为维护广大 股东利益， 增强投资者 信心，维护 公司股价稳 定，特此作 出关于稳定 公司股价的 承诺：如公 司不满足相 关证券法律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bl>
    <w:p>
      <w:pPr>
        <w:spacing w:after="0" w:line="316" w:lineRule="auto"/>
        <w:jc w:val="both"/>
        <w:rPr>
          <w:rFonts w:ascii="宋体" w:hAnsi="宋体" w:cs="宋体" w:eastAsia="宋体"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法规规定的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回购主体资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格条件时或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会未能审议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通过相关回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购方案时，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制人唐球、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鄢建红将自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次触及连续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值情形时，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以不低于该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动前连续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的算术平均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值的价格收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该收购将于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为维护广大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增强投资者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信心，维护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定，特此作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出关于稳定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司不满足相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关证券法律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法规规定的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回购主体资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格条件时或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会未能审议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通过相关回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购方案且公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制人唐球、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鄢建红亦未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能履行其收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购承诺时，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鄢建兵、张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pacing w:val="-80"/>
                <w:sz w:val="18"/>
                <w:szCs w:val="18"/>
              </w:rPr>
              <w:t>、</w:t>
            </w:r>
            <w:r>
              <w:rPr>
                <w:rFonts w:ascii="宋体" w:hAnsi="宋体" w:cs="宋体" w:eastAsia="宋体" w:hint="default"/>
                <w:sz w:val="18"/>
                <w:szCs w:val="18"/>
              </w:rPr>
              <w:t>周云杉、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唐敏、李晓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明</w:t>
            </w:r>
            <w:r>
              <w:rPr>
                <w:rFonts w:ascii="宋体" w:hAnsi="宋体" w:cs="宋体" w:eastAsia="宋体" w:hint="default"/>
                <w:spacing w:val="-80"/>
                <w:sz w:val="18"/>
                <w:szCs w:val="18"/>
              </w:rPr>
              <w:t>、</w:t>
            </w:r>
            <w:r>
              <w:rPr>
                <w:rFonts w:ascii="宋体" w:hAnsi="宋体" w:cs="宋体" w:eastAsia="宋体" w:hint="default"/>
                <w:sz w:val="18"/>
                <w:szCs w:val="18"/>
              </w:rPr>
              <w:t>霍佳震、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黄速建、李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媛媛、贺向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荣、宾鸽、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庞军</w:t>
            </w:r>
            <w:r>
              <w:rPr>
                <w:rFonts w:ascii="宋体" w:hAnsi="宋体" w:cs="宋体" w:eastAsia="宋体" w:hint="default"/>
                <w:spacing w:val="-80"/>
                <w:sz w:val="18"/>
                <w:szCs w:val="18"/>
              </w:rPr>
              <w:t>、</w:t>
            </w:r>
            <w:r>
              <w:rPr>
                <w:rFonts w:ascii="宋体" w:hAnsi="宋体" w:cs="宋体" w:eastAsia="宋体" w:hint="default"/>
                <w:sz w:val="18"/>
                <w:szCs w:val="18"/>
              </w:rPr>
              <w:t>程霞、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伍国安将自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次触及连续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值情形时，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以不低于该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动前连续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的算术平均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值的价格收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该收购将于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每人的收购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股份数将协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商决定，且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合计不低于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为保障赢时</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胜及其股东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的利益，确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保赢时胜业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务持续发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展，避免公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司在首次公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并在创业板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挂牌成功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权的市场价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格低于发行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价格而损害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黄</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速建</w:t>
            </w:r>
            <w:r>
              <w:rPr>
                <w:rFonts w:ascii="Times New Roman" w:hAnsi="Times New Roman" w:cs="Times New Roman" w:eastAsia="Times New Roman" w:hint="default"/>
                <w:sz w:val="18"/>
                <w:szCs w:val="18"/>
              </w:rPr>
              <w:t>;</w:t>
            </w:r>
            <w:r>
              <w:rPr>
                <w:rFonts w:ascii="宋体" w:hAnsi="宋体" w:cs="宋体" w:eastAsia="宋体" w:hint="default"/>
                <w:sz w:val="18"/>
                <w:szCs w:val="18"/>
              </w:rPr>
              <w:t>霍佳</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东利益，公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震</w:t>
            </w:r>
            <w:r>
              <w:rPr>
                <w:rFonts w:ascii="Times New Roman" w:hAnsi="Times New Roman" w:cs="Times New Roman" w:eastAsia="Times New Roman" w:hint="default"/>
                <w:sz w:val="18"/>
                <w:szCs w:val="18"/>
              </w:rPr>
              <w:t>;</w:t>
            </w:r>
            <w:r>
              <w:rPr>
                <w:rFonts w:ascii="宋体" w:hAnsi="宋体" w:cs="宋体" w:eastAsia="宋体" w:hint="default"/>
                <w:sz w:val="18"/>
                <w:szCs w:val="18"/>
              </w:rPr>
              <w:t>李晓明</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司承诺如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庞</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下：公司招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承诺各方</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110"/>
              <w:jc w:val="left"/>
              <w:rPr>
                <w:rFonts w:ascii="宋体" w:hAnsi="宋体" w:cs="宋体" w:eastAsia="宋体" w:hint="default"/>
                <w:sz w:val="18"/>
                <w:szCs w:val="18"/>
              </w:rPr>
            </w:pPr>
            <w:r>
              <w:rPr>
                <w:rFonts w:ascii="宋体" w:hAnsi="宋体" w:cs="宋体" w:eastAsia="宋体" w:hint="default"/>
                <w:sz w:val="18"/>
                <w:szCs w:val="18"/>
              </w:rPr>
              <w:t>赢时胜信息 技术股份有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left"/>
              <w:rPr>
                <w:rFonts w:ascii="宋体" w:hAnsi="宋体" w:cs="宋体" w:eastAsia="宋体" w:hint="default"/>
                <w:sz w:val="18"/>
                <w:szCs w:val="18"/>
              </w:rPr>
            </w:pPr>
            <w:r>
              <w:rPr>
                <w:rFonts w:ascii="宋体" w:hAnsi="宋体" w:cs="宋体" w:eastAsia="宋体" w:hint="default"/>
                <w:sz w:val="18"/>
                <w:szCs w:val="18"/>
              </w:rPr>
              <w:t>虚假记载、 误导性陈述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73"/>
              <w:jc w:val="left"/>
              <w:rPr>
                <w:rFonts w:ascii="宋体" w:hAnsi="宋体" w:cs="宋体" w:eastAsia="宋体" w:hint="default"/>
                <w:sz w:val="18"/>
                <w:szCs w:val="18"/>
              </w:rPr>
            </w:pPr>
            <w:r>
              <w:rPr>
                <w:rFonts w:ascii="宋体" w:hAnsi="宋体" w:cs="宋体" w:eastAsia="宋体" w:hint="default"/>
                <w:sz w:val="18"/>
                <w:szCs w:val="18"/>
              </w:rPr>
              <w:t>无违反该 承诺的情</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唐</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敏</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漏，对判断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鄢建</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发行人是否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符合法律规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定的发行条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杉</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件构成重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大、实质影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响的，公司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将依法以二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级市场价格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开发行的全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部新股。公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司招股说明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诺为不可撤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内容，如有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承诺公司招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漏，对判断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公司是否符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合法律规定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的发行条件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实质影响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的，将以二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将暂不领取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该未履行承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诺事项起当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年及以后年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红，直至其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继续履行相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关承诺及投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损失得到合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理的赔偿为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止。上述承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诺为不可撤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内容，如有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本人因公司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上市所做之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所有承诺不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会因为本人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职务变更或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离职而改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变。承诺公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将暂不领取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该未履行承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诺事项起当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年及以后年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红，直至其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继续履行相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关承诺及投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损失得到合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理的赔偿为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止。上述承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诺为不可撤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销之承诺，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内容，如有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本人因公司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上市所做之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所有承诺不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会因为本人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职务变更或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离职而改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本人唐球承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诺：自赢时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胜非公开发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行股票发行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结束之日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（即新增股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份上市首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 转让或者委 托他人管理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73"/>
              <w:jc w:val="both"/>
              <w:rPr>
                <w:rFonts w:ascii="宋体" w:hAnsi="宋体" w:cs="宋体" w:eastAsia="宋体" w:hint="default"/>
                <w:sz w:val="18"/>
                <w:szCs w:val="18"/>
              </w:rPr>
            </w:pPr>
            <w:r>
              <w:rPr>
                <w:rFonts w:ascii="宋体" w:hAnsi="宋体" w:cs="宋体" w:eastAsia="宋体" w:hint="default"/>
                <w:sz w:val="18"/>
                <w:szCs w:val="18"/>
              </w:rPr>
              <w:t>承诺各方 无违反该 承诺的情 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我方本次认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购的赢时胜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由赢时胜回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购该部分股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激励计划授</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予的限制性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股票自授予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w:t>
            </w:r>
            <w:r>
              <w:rPr>
                <w:rFonts w:ascii="Times New Roman" w:hAnsi="Times New Roman" w:cs="Times New Roman" w:eastAsia="Times New Roman" w:hint="default"/>
                <w:sz w:val="18"/>
                <w:szCs w:val="18"/>
              </w:rPr>
              <w:t>2016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承诺各方</w:t>
            </w:r>
          </w:p>
        </w:tc>
      </w:tr>
      <w:tr>
        <w:trPr>
          <w:trHeight w:val="620"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2"/>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名股权 激励对象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个月内为锁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无违反该 承诺的情</w:t>
            </w:r>
          </w:p>
        </w:tc>
      </w:tr>
      <w:tr>
        <w:trPr>
          <w:trHeight w:val="32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定期。在锁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定期内限制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性股票不得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转让、用于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担保或偿还</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债务。激励</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对象因获授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的尚未解锁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的限制性股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票而取得的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资本公积转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增股本、派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息、派发股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票红利、股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票拆细等股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份和红利同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时按本激励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计划进行锁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满后根据公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激励计划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（草案）的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有关规定执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行解锁。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日前不减持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在鄢建兵担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任赢时胜董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事期间每年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不超过持有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102" w:right="1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pacing w:val="-27"/>
                <w:sz w:val="18"/>
                <w:szCs w:val="18"/>
              </w:rPr>
              <w:t>25%</w:t>
            </w:r>
            <w:r>
              <w:rPr>
                <w:rFonts w:ascii="宋体" w:hAnsi="宋体" w:cs="宋体" w:eastAsia="宋体" w:hint="default"/>
                <w:spacing w:val="-27"/>
                <w:sz w:val="18"/>
                <w:szCs w:val="18"/>
              </w:rPr>
              <w:t>；（</w:t>
            </w:r>
            <w:r>
              <w:rPr>
                <w:rFonts w:ascii="Times New Roman" w:hAnsi="Times New Roman" w:cs="Times New Roman" w:eastAsia="Times New Roman" w:hint="default"/>
                <w:spacing w:val="-27"/>
                <w:sz w:val="18"/>
                <w:szCs w:val="18"/>
              </w:rPr>
              <w:t>3</w:t>
            </w:r>
            <w:r>
              <w:rPr>
                <w:rFonts w:ascii="宋体" w:hAnsi="宋体" w:cs="宋体" w:eastAsia="宋体" w:hint="default"/>
                <w:spacing w:val="-27"/>
                <w:sz w:val="18"/>
                <w:szCs w:val="18"/>
              </w:rPr>
              <w:t>）</w:t>
            </w:r>
            <w:r>
              <w:rPr>
                <w:rFonts w:ascii="宋体" w:hAnsi="宋体" w:cs="宋体" w:eastAsia="宋体" w:hint="default"/>
                <w:sz w:val="18"/>
                <w:szCs w:val="18"/>
              </w:rPr>
              <w:t> 鄢建兵离职 的，在离职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73"/>
              <w:jc w:val="both"/>
              <w:rPr>
                <w:rFonts w:ascii="宋体" w:hAnsi="宋体" w:cs="宋体" w:eastAsia="宋体" w:hint="default"/>
                <w:sz w:val="18"/>
                <w:szCs w:val="18"/>
              </w:rPr>
            </w:pPr>
            <w:r>
              <w:rPr>
                <w:rFonts w:ascii="宋体" w:hAnsi="宋体" w:cs="宋体" w:eastAsia="宋体" w:hint="default"/>
                <w:sz w:val="18"/>
                <w:szCs w:val="18"/>
              </w:rPr>
              <w:t>承诺方无 违反该承 诺的情况</w:t>
            </w: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不得转让，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月内转让金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额不超过持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有的股份总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中国证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券监督管理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委员会、深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所关于限售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股有相关规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国证券监督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日发布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监高减持股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份的若干规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定》以及深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布的《深圳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东及董事、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管理人员减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细则》的规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z w:val="18"/>
                <w:szCs w:val="18"/>
              </w:rPr>
              <w:t>）由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于赢时胜送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红股、资本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股本等原因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而增持的赢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时胜股份，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亦应遵守上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述约定。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w:t>
            </w:r>
            <w:r>
              <w:rPr>
                <w:rFonts w:ascii="宋体" w:hAnsi="宋体" w:cs="宋体" w:eastAsia="宋体" w:hint="default"/>
                <w:spacing w:val="-80"/>
                <w:sz w:val="18"/>
                <w:szCs w:val="18"/>
              </w:rPr>
              <w:t>，</w:t>
            </w:r>
            <w:r>
              <w:rPr>
                <w:rFonts w:ascii="宋体" w:hAnsi="宋体" w:cs="宋体" w:eastAsia="宋体" w:hint="default"/>
                <w:sz w:val="18"/>
                <w:szCs w:val="18"/>
              </w:rPr>
              <w:t>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下一步的工作计划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Times New Roman" w:hAnsi="Times New Roman" w:cs="Times New Roman" w:eastAsia="Times New Roman" w:hint="default"/>
          <w:sz w:val="22"/>
          <w:szCs w:val="22"/>
        </w:rPr>
      </w:pPr>
    </w:p>
    <w:p>
      <w:pPr>
        <w:pStyle w:val="Heading3"/>
        <w:spacing w:line="256" w:lineRule="auto" w:before="34"/>
        <w:ind w:right="952"/>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52"/>
        <w:jc w:val="left"/>
      </w:pPr>
      <w:r>
        <w:rPr/>
        <w:t>□ 适用 √ 不适用</w:t>
      </w:r>
    </w:p>
    <w:p>
      <w:pPr>
        <w:spacing w:after="0" w:line="240" w:lineRule="auto"/>
        <w:jc w:val="left"/>
        <w:sectPr>
          <w:footerReference w:type="default" r:id="rId17"/>
          <w:pgSz w:w="11910" w:h="16840"/>
          <w:pgMar w:footer="1009" w:header="919" w:top="1120" w:bottom="1200" w:left="1020" w:right="0"/>
          <w:pgNumType w:start="50"/>
        </w:sectPr>
      </w:pPr>
    </w:p>
    <w:p>
      <w:pPr>
        <w:spacing w:line="240" w:lineRule="auto" w:before="8"/>
        <w:rPr>
          <w:rFonts w:ascii="宋体" w:hAnsi="宋体" w:cs="宋体" w:eastAsia="宋体" w:hint="default"/>
          <w:sz w:val="18"/>
          <w:szCs w:val="18"/>
        </w:rPr>
      </w:pPr>
    </w:p>
    <w:p>
      <w:pPr>
        <w:pStyle w:val="Heading2"/>
        <w:spacing w:line="240" w:lineRule="auto" w:before="26"/>
        <w:ind w:left="132" w:right="915"/>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4994"/>
        <w:jc w:val="left"/>
      </w:pPr>
      <w:r>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left="132" w:right="915"/>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32" w:right="915"/>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915"/>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left="132" w:right="915"/>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52" w:right="8894" w:hanging="420"/>
        <w:jc w:val="left"/>
      </w:pPr>
      <w:r>
        <w:rPr/>
        <w:t>√ 适用 □ 不适用 1.会计政策的变更</w:t>
      </w:r>
    </w:p>
    <w:p>
      <w:pPr>
        <w:pStyle w:val="BodyText"/>
        <w:spacing w:line="316" w:lineRule="auto" w:before="144"/>
        <w:ind w:left="132" w:right="915" w:firstLine="420"/>
        <w:jc w:val="left"/>
      </w:pPr>
      <w:r>
        <w:rPr>
          <w:spacing w:val="-3"/>
        </w:rPr>
        <w:t>本公司自2018年1月1日采用财政部《关于修订印发2018年度一般企业财务报表格式的通知》（财会〔2018〕15号）相关</w:t>
      </w:r>
      <w:r>
        <w:rPr/>
        <w:t> 规定。会计政策变更导致影响如下：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087"/>
        <w:jc w:val="right"/>
      </w:pPr>
      <w:r>
        <w:rPr/>
        <w:pict>
          <v:shape style="position:absolute;margin-left:55.959999pt;margin-top:-243.747284pt;width:483.65pt;height:357.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3"/>
                    <w:gridCol w:w="5805"/>
                  </w:tblGrid>
                  <w:tr>
                    <w:trPr>
                      <w:trHeight w:val="344" w:hRule="exact"/>
                    </w:trPr>
                    <w:tc>
                      <w:tcPr>
                        <w:tcW w:w="385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0"/>
                          <w:ind w:left="84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580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0"/>
                          <w:ind w:left="1726"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283" w:hRule="exact"/>
                    </w:trPr>
                    <w:tc>
                      <w:tcPr>
                        <w:tcW w:w="3853"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19"/>
                          <w:ind w:left="3" w:right="1"/>
                          <w:jc w:val="both"/>
                          <w:rPr>
                            <w:rFonts w:ascii="宋体" w:hAnsi="宋体" w:cs="宋体" w:eastAsia="宋体" w:hint="default"/>
                            <w:sz w:val="18"/>
                            <w:szCs w:val="18"/>
                          </w:rPr>
                        </w:pPr>
                        <w:r>
                          <w:rPr>
                            <w:rFonts w:ascii="宋体" w:hAnsi="宋体" w:cs="宋体" w:eastAsia="宋体" w:hint="default"/>
                            <w:sz w:val="18"/>
                            <w:szCs w:val="18"/>
                          </w:rPr>
                          <w:t>（1）资产负债表中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合并</w:t>
                        </w:r>
                        <w:r>
                          <w:rPr>
                            <w:rFonts w:ascii="宋体" w:hAnsi="宋体" w:cs="宋体" w:eastAsia="宋体" w:hint="default"/>
                            <w:spacing w:val="-86"/>
                            <w:sz w:val="18"/>
                            <w:szCs w:val="18"/>
                          </w:rPr>
                          <w:t> </w:t>
                        </w:r>
                        <w:r>
                          <w:rPr>
                            <w:rFonts w:ascii="宋体" w:hAnsi="宋体" w:cs="宋体" w:eastAsia="宋体" w:hint="default"/>
                            <w:spacing w:val="2"/>
                            <w:sz w:val="18"/>
                            <w:szCs w:val="18"/>
                          </w:rPr>
                          <w:t>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列示，比较数据相应调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整；</w:t>
                        </w: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19"/>
                          <w:ind w:left="5" w:right="1"/>
                          <w:jc w:val="left"/>
                          <w:rPr>
                            <w:rFonts w:ascii="宋体" w:hAnsi="宋体" w:cs="宋体" w:eastAsia="宋体" w:hint="default"/>
                            <w:sz w:val="18"/>
                            <w:szCs w:val="18"/>
                          </w:rPr>
                        </w:pPr>
                        <w:r>
                          <w:rPr>
                            <w:rFonts w:ascii="宋体" w:hAnsi="宋体" w:cs="宋体" w:eastAsia="宋体" w:hint="default"/>
                            <w:spacing w:val="17"/>
                            <w:sz w:val="18"/>
                            <w:szCs w:val="18"/>
                          </w:rPr>
                          <w:t>合并资产负债表</w:t>
                        </w:r>
                        <w:r>
                          <w:rPr>
                            <w:rFonts w:ascii="宋体" w:hAnsi="宋体" w:cs="宋体" w:eastAsia="宋体" w:hint="default"/>
                            <w:spacing w:val="-68"/>
                            <w:sz w:val="18"/>
                            <w:szCs w:val="18"/>
                          </w:rPr>
                          <w:t> </w:t>
                        </w:r>
                        <w:r>
                          <w:rPr>
                            <w:rFonts w:ascii="宋体" w:hAnsi="宋体" w:cs="宋体" w:eastAsia="宋体" w:hint="default"/>
                            <w:sz w:val="18"/>
                            <w:szCs w:val="18"/>
                          </w:rPr>
                          <w:t>2018</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12</w:t>
                        </w:r>
                        <w:r>
                          <w:rPr>
                            <w:rFonts w:ascii="宋体" w:hAnsi="宋体" w:cs="宋体" w:eastAsia="宋体" w:hint="default"/>
                            <w:spacing w:val="-7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31</w:t>
                        </w:r>
                        <w:r>
                          <w:rPr>
                            <w:rFonts w:ascii="宋体" w:hAnsi="宋体" w:cs="宋体" w:eastAsia="宋体" w:hint="default"/>
                            <w:spacing w:val="-69"/>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6"/>
                            <w:sz w:val="18"/>
                            <w:szCs w:val="18"/>
                          </w:rPr>
                          <w:t>应收票据</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0"/>
                            <w:sz w:val="18"/>
                            <w:szCs w:val="18"/>
                          </w:rPr>
                          <w:t>及</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应收账款</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列示金额</w:t>
                        </w:r>
                        <w:r>
                          <w:rPr>
                            <w:rFonts w:ascii="宋体" w:hAnsi="宋体" w:cs="宋体" w:eastAsia="宋体" w:hint="default"/>
                            <w:sz w:val="18"/>
                            <w:szCs w:val="18"/>
                          </w:rPr>
                          <w:t> 538,306,992.52元；2017年12月31日列示金额394,567,838.42元；</w:t>
                        </w:r>
                      </w:p>
                      <w:p>
                        <w:pPr>
                          <w:pStyle w:val="TableParagraph"/>
                          <w:spacing w:line="300" w:lineRule="auto" w:before="31"/>
                          <w:ind w:left="5" w:right="1"/>
                          <w:jc w:val="left"/>
                          <w:rPr>
                            <w:rFonts w:ascii="宋体" w:hAnsi="宋体" w:cs="宋体" w:eastAsia="宋体" w:hint="default"/>
                            <w:sz w:val="18"/>
                            <w:szCs w:val="18"/>
                          </w:rPr>
                        </w:pPr>
                        <w:r>
                          <w:rPr>
                            <w:rFonts w:ascii="宋体" w:hAnsi="宋体" w:cs="宋体" w:eastAsia="宋体" w:hint="default"/>
                            <w:spacing w:val="11"/>
                            <w:sz w:val="18"/>
                            <w:szCs w:val="18"/>
                          </w:rPr>
                          <w:t>母公司资产负债表2018年12月31日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应收票据</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及</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应收账款</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0"/>
                            <w:sz w:val="18"/>
                            <w:szCs w:val="18"/>
                          </w:rPr>
                          <w:t>列示金额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395,938,215.90元；2017年12月31日列示金额241,621,739.63元。</w:t>
                        </w:r>
                      </w:p>
                    </w:tc>
                  </w:tr>
                  <w:tr>
                    <w:trPr>
                      <w:trHeight w:val="1283" w:hRule="exact"/>
                    </w:trPr>
                    <w:tc>
                      <w:tcPr>
                        <w:tcW w:w="38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（2）资产负债表中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20"/>
                          <w:ind w:left="5" w:right="228"/>
                          <w:jc w:val="left"/>
                          <w:rPr>
                            <w:rFonts w:ascii="宋体" w:hAnsi="宋体" w:cs="宋体" w:eastAsia="宋体" w:hint="default"/>
                            <w:sz w:val="18"/>
                            <w:szCs w:val="18"/>
                          </w:rPr>
                        </w:pPr>
                        <w:r>
                          <w:rPr>
                            <w:rFonts w:ascii="宋体" w:hAnsi="宋体" w:cs="宋体" w:eastAsia="宋体" w:hint="default"/>
                            <w:sz w:val="18"/>
                            <w:szCs w:val="18"/>
                          </w:rPr>
                          <w:t>合并资产负债表2018年12月31日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列示金额366,451,052.71 元；2017年12月31日列示262,975,064.75元；</w:t>
                        </w:r>
                      </w:p>
                      <w:p>
                        <w:pPr>
                          <w:pStyle w:val="TableParagraph"/>
                          <w:spacing w:line="300" w:lineRule="auto" w:before="31"/>
                          <w:ind w:left="5" w:right="139"/>
                          <w:jc w:val="left"/>
                          <w:rPr>
                            <w:rFonts w:ascii="宋体" w:hAnsi="宋体" w:cs="宋体" w:eastAsia="宋体" w:hint="default"/>
                            <w:sz w:val="18"/>
                            <w:szCs w:val="18"/>
                          </w:rPr>
                        </w:pPr>
                        <w:r>
                          <w:rPr>
                            <w:rFonts w:ascii="宋体" w:hAnsi="宋体" w:cs="宋体" w:eastAsia="宋体" w:hint="default"/>
                            <w:sz w:val="18"/>
                            <w:szCs w:val="18"/>
                          </w:rPr>
                          <w:t>母公司资产负债表2018年12月31日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列示金额15,061,725.42 元；2017年12月31日列示10,910,905.93元。</w:t>
                        </w:r>
                      </w:p>
                    </w:tc>
                  </w:tr>
                  <w:tr>
                    <w:trPr>
                      <w:trHeight w:val="659" w:hRule="exact"/>
                    </w:trPr>
                    <w:tc>
                      <w:tcPr>
                        <w:tcW w:w="3853"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21"/>
                          <w:ind w:left="3" w:right="86"/>
                          <w:jc w:val="left"/>
                          <w:rPr>
                            <w:rFonts w:ascii="宋体" w:hAnsi="宋体" w:cs="宋体" w:eastAsia="宋体" w:hint="default"/>
                            <w:sz w:val="18"/>
                            <w:szCs w:val="18"/>
                          </w:rPr>
                        </w:pPr>
                        <w:r>
                          <w:rPr>
                            <w:rFonts w:ascii="宋体" w:hAnsi="宋体" w:cs="宋体" w:eastAsia="宋体" w:hint="default"/>
                            <w:sz w:val="18"/>
                            <w:szCs w:val="18"/>
                          </w:rPr>
                          <w:t>（3）资产负债表中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659" w:hRule="exact"/>
                    </w:trPr>
                    <w:tc>
                      <w:tcPr>
                        <w:tcW w:w="3853"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20"/>
                          <w:ind w:left="3" w:right="7"/>
                          <w:jc w:val="left"/>
                          <w:rPr>
                            <w:rFonts w:ascii="宋体" w:hAnsi="宋体" w:cs="宋体" w:eastAsia="宋体" w:hint="default"/>
                            <w:sz w:val="18"/>
                            <w:szCs w:val="18"/>
                          </w:rPr>
                        </w:pPr>
                        <w:r>
                          <w:rPr>
                            <w:rFonts w:ascii="宋体" w:hAnsi="宋体" w:cs="宋体" w:eastAsia="宋体" w:hint="default"/>
                            <w:sz w:val="18"/>
                            <w:szCs w:val="18"/>
                          </w:rPr>
                          <w:t>（4）资产负债表中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 示；比较数据相应调整。</w:t>
                        </w: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659" w:hRule="exact"/>
                    </w:trPr>
                    <w:tc>
                      <w:tcPr>
                        <w:tcW w:w="3853"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21"/>
                          <w:ind w:left="3" w:right="86"/>
                          <w:jc w:val="left"/>
                          <w:rPr>
                            <w:rFonts w:ascii="宋体" w:hAnsi="宋体" w:cs="宋体" w:eastAsia="宋体" w:hint="default"/>
                            <w:sz w:val="18"/>
                            <w:szCs w:val="18"/>
                          </w:rPr>
                        </w:pPr>
                        <w:r>
                          <w:rPr>
                            <w:rFonts w:ascii="宋体" w:hAnsi="宋体" w:cs="宋体" w:eastAsia="宋体" w:hint="default"/>
                            <w:sz w:val="18"/>
                            <w:szCs w:val="18"/>
                          </w:rPr>
                          <w:t>（5）资产负债表中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 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283" w:hRule="exact"/>
                    </w:trPr>
                    <w:tc>
                      <w:tcPr>
                        <w:tcW w:w="38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（6）资产负债表中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300" w:lineRule="auto" w:before="19"/>
                          <w:ind w:left="5" w:right="138"/>
                          <w:jc w:val="left"/>
                          <w:rPr>
                            <w:rFonts w:ascii="宋体" w:hAnsi="宋体" w:cs="宋体" w:eastAsia="宋体" w:hint="default"/>
                            <w:sz w:val="18"/>
                            <w:szCs w:val="18"/>
                          </w:rPr>
                        </w:pPr>
                        <w:r>
                          <w:rPr>
                            <w:rFonts w:ascii="宋体" w:hAnsi="宋体" w:cs="宋体" w:eastAsia="宋体" w:hint="default"/>
                            <w:sz w:val="18"/>
                            <w:szCs w:val="18"/>
                          </w:rPr>
                          <w:t>合并资产负债表2018年12月31日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列示金额39,668,160.21元 2017年12月31日列示62,397,384.70元；</w:t>
                        </w:r>
                      </w:p>
                      <w:p>
                        <w:pPr>
                          <w:pStyle w:val="TableParagraph"/>
                          <w:spacing w:line="300" w:lineRule="auto" w:before="31"/>
                          <w:ind w:left="5" w:right="139"/>
                          <w:jc w:val="left"/>
                          <w:rPr>
                            <w:rFonts w:ascii="宋体" w:hAnsi="宋体" w:cs="宋体" w:eastAsia="宋体" w:hint="default"/>
                            <w:sz w:val="18"/>
                            <w:szCs w:val="18"/>
                          </w:rPr>
                        </w:pPr>
                        <w:r>
                          <w:rPr>
                            <w:rFonts w:ascii="宋体" w:hAnsi="宋体" w:cs="宋体" w:eastAsia="宋体" w:hint="default"/>
                            <w:sz w:val="18"/>
                            <w:szCs w:val="18"/>
                          </w:rPr>
                          <w:t>母公司资产负债表2018年12月31日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列示金额37,831,508.50 元，2017年12月31日列示51,877,184.70元。</w:t>
                        </w:r>
                      </w:p>
                    </w:tc>
                  </w:tr>
                  <w:tr>
                    <w:trPr>
                      <w:trHeight w:val="962" w:hRule="exact"/>
                    </w:trPr>
                    <w:tc>
                      <w:tcPr>
                        <w:tcW w:w="3853" w:type="dxa"/>
                        <w:tcBorders>
                          <w:top w:val="single" w:sz="6" w:space="0" w:color="000000"/>
                          <w:left w:val="single" w:sz="4" w:space="0" w:color="000000"/>
                          <w:bottom w:val="nil" w:sz="6" w:space="0" w:color="auto"/>
                          <w:right w:val="single" w:sz="4" w:space="0" w:color="000000"/>
                        </w:tcBorders>
                      </w:tcPr>
                      <w:p>
                        <w:pPr>
                          <w:pStyle w:val="TableParagraph"/>
                          <w:spacing w:line="300" w:lineRule="auto" w:before="20"/>
                          <w:ind w:left="3" w:right="86"/>
                          <w:jc w:val="left"/>
                          <w:rPr>
                            <w:rFonts w:ascii="宋体" w:hAnsi="宋体" w:cs="宋体" w:eastAsia="宋体" w:hint="default"/>
                            <w:sz w:val="18"/>
                            <w:szCs w:val="18"/>
                          </w:rPr>
                        </w:pPr>
                        <w:r>
                          <w:rPr>
                            <w:rFonts w:ascii="宋体" w:hAnsi="宋体" w:cs="宋体" w:eastAsia="宋体" w:hint="default"/>
                            <w:sz w:val="18"/>
                            <w:szCs w:val="18"/>
                          </w:rPr>
                          <w:t>（7）利润表中新增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 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 示。</w:t>
                        </w:r>
                      </w:p>
                    </w:tc>
                    <w:tc>
                      <w:tcPr>
                        <w:tcW w:w="5805" w:type="dxa"/>
                        <w:tcBorders>
                          <w:top w:val="single" w:sz="6" w:space="0" w:color="000000"/>
                          <w:left w:val="single" w:sz="4" w:space="0" w:color="000000"/>
                          <w:bottom w:val="nil" w:sz="6" w:space="0" w:color="auto"/>
                          <w:right w:val="single" w:sz="4" w:space="0" w:color="000000"/>
                        </w:tcBorders>
                      </w:tcPr>
                      <w:p>
                        <w:pPr>
                          <w:pStyle w:val="TableParagraph"/>
                          <w:spacing w:line="300" w:lineRule="auto" w:before="20"/>
                          <w:ind w:left="5" w:right="49"/>
                          <w:jc w:val="left"/>
                          <w:rPr>
                            <w:rFonts w:ascii="宋体" w:hAnsi="宋体" w:cs="宋体" w:eastAsia="宋体" w:hint="default"/>
                            <w:sz w:val="18"/>
                            <w:szCs w:val="18"/>
                          </w:rPr>
                        </w:pPr>
                        <w:r>
                          <w:rPr>
                            <w:rFonts w:ascii="宋体" w:hAnsi="宋体" w:cs="宋体" w:eastAsia="宋体" w:hint="default"/>
                            <w:sz w:val="18"/>
                            <w:szCs w:val="18"/>
                          </w:rPr>
                          <w:t>合并利润表2018年度列示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金额230,379,106.38元；2017年度列 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金额192,527,309.75元； 母公司利润表2018年度列示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金额223,636,839.69元；2017年度</w:t>
                        </w:r>
                      </w:p>
                    </w:tc>
                  </w:tr>
                </w:tbl>
                <w:p>
                  <w:pPr/>
                </w:p>
              </w:txbxContent>
            </v:textbox>
            <w10:wrap type="none"/>
          </v:shape>
        </w:pict>
      </w:r>
      <w:r>
        <w:rPr/>
        <w:t>，</w:t>
      </w:r>
    </w:p>
    <w:p>
      <w:pPr>
        <w:spacing w:after="0" w:line="240" w:lineRule="auto"/>
        <w:jc w:val="right"/>
        <w:sectPr>
          <w:pgSz w:w="11910" w:h="16840"/>
          <w:pgMar w:header="919" w:footer="1009" w:top="1120" w:bottom="1200" w:left="1000" w:right="0"/>
        </w:sectPr>
      </w:pPr>
    </w:p>
    <w:p>
      <w:pPr>
        <w:spacing w:line="240" w:lineRule="auto" w:before="5"/>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853"/>
        <w:gridCol w:w="5805"/>
      </w:tblGrid>
      <w:tr>
        <w:trPr>
          <w:trHeight w:val="347" w:hRule="exact"/>
        </w:trPr>
        <w:tc>
          <w:tcPr>
            <w:tcW w:w="3853" w:type="dxa"/>
            <w:tcBorders>
              <w:top w:val="single" w:sz="6" w:space="0" w:color="000000"/>
              <w:left w:val="single" w:sz="4" w:space="0" w:color="000000"/>
              <w:bottom w:val="single" w:sz="6" w:space="0" w:color="000000"/>
              <w:right w:val="single" w:sz="4" w:space="0" w:color="000000"/>
            </w:tcBorders>
          </w:tcPr>
          <w:p>
            <w:pPr/>
          </w:p>
        </w:tc>
        <w:tc>
          <w:tcPr>
            <w:tcW w:w="58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金额188,573,354.61元。</w:t>
            </w:r>
          </w:p>
        </w:tc>
      </w:tr>
      <w:tr>
        <w:trPr>
          <w:trHeight w:val="335" w:hRule="exact"/>
        </w:trPr>
        <w:tc>
          <w:tcPr>
            <w:tcW w:w="3853"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（8）利润表中财务费用项下新增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w:t>
            </w:r>
          </w:p>
        </w:tc>
        <w:tc>
          <w:tcPr>
            <w:tcW w:w="580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pacing w:val="-2"/>
                <w:sz w:val="18"/>
                <w:szCs w:val="18"/>
              </w:rPr>
              <w:t>合并利润表2018年度列示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其中：利息费用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金额5,716,525.04元、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利息收</w:t>
            </w:r>
          </w:p>
        </w:tc>
      </w:tr>
      <w:tr>
        <w:trPr>
          <w:trHeight w:val="312" w:hRule="exact"/>
        </w:trPr>
        <w:tc>
          <w:tcPr>
            <w:tcW w:w="3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5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金额11,219,653.60元；2017年度列示</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p>
        </w:tc>
      </w:tr>
      <w:tr>
        <w:trPr>
          <w:trHeight w:val="312" w:hRule="exact"/>
        </w:trPr>
        <w:tc>
          <w:tcPr>
            <w:tcW w:w="3853" w:type="dxa"/>
            <w:tcBorders>
              <w:top w:val="nil" w:sz="6" w:space="0" w:color="auto"/>
              <w:left w:val="single" w:sz="4" w:space="0" w:color="000000"/>
              <w:bottom w:val="nil" w:sz="6" w:space="0" w:color="auto"/>
              <w:right w:val="single" w:sz="4" w:space="0" w:color="000000"/>
            </w:tcBorders>
          </w:tcPr>
          <w:p>
            <w:pPr/>
          </w:p>
        </w:tc>
        <w:tc>
          <w:tcPr>
            <w:tcW w:w="5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398,372.61元，</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金额19,976,149.57元；</w:t>
            </w:r>
          </w:p>
        </w:tc>
      </w:tr>
      <w:tr>
        <w:trPr>
          <w:trHeight w:val="312" w:hRule="exact"/>
        </w:trPr>
        <w:tc>
          <w:tcPr>
            <w:tcW w:w="3853" w:type="dxa"/>
            <w:tcBorders>
              <w:top w:val="nil" w:sz="6" w:space="0" w:color="auto"/>
              <w:left w:val="single" w:sz="4" w:space="0" w:color="000000"/>
              <w:bottom w:val="nil" w:sz="6" w:space="0" w:color="auto"/>
              <w:right w:val="single" w:sz="4" w:space="0" w:color="000000"/>
            </w:tcBorders>
          </w:tcPr>
          <w:p>
            <w:pPr/>
          </w:p>
        </w:tc>
        <w:tc>
          <w:tcPr>
            <w:tcW w:w="5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pacing w:val="-2"/>
                <w:sz w:val="18"/>
                <w:szCs w:val="18"/>
              </w:rPr>
              <w:t>母公司利润表2018年度列示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其中：利息费用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金额2,759,565.57元、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利息</w:t>
            </w:r>
          </w:p>
        </w:tc>
      </w:tr>
      <w:tr>
        <w:trPr>
          <w:trHeight w:val="312" w:hRule="exact"/>
        </w:trPr>
        <w:tc>
          <w:tcPr>
            <w:tcW w:w="3853" w:type="dxa"/>
            <w:tcBorders>
              <w:top w:val="nil" w:sz="6" w:space="0" w:color="auto"/>
              <w:left w:val="single" w:sz="4" w:space="0" w:color="000000"/>
              <w:bottom w:val="nil" w:sz="6" w:space="0" w:color="auto"/>
              <w:right w:val="single" w:sz="4" w:space="0" w:color="000000"/>
            </w:tcBorders>
          </w:tcPr>
          <w:p>
            <w:pPr/>
          </w:p>
        </w:tc>
        <w:tc>
          <w:tcPr>
            <w:tcW w:w="5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金额7,529,187.23元；2017年度列示</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p>
        </w:tc>
      </w:tr>
      <w:tr>
        <w:trPr>
          <w:trHeight w:val="322" w:hRule="exact"/>
        </w:trPr>
        <w:tc>
          <w:tcPr>
            <w:tcW w:w="3853" w:type="dxa"/>
            <w:tcBorders>
              <w:top w:val="nil" w:sz="6" w:space="0" w:color="auto"/>
              <w:left w:val="single" w:sz="4" w:space="0" w:color="000000"/>
              <w:bottom w:val="single" w:sz="4" w:space="0" w:color="000000"/>
              <w:right w:val="single" w:sz="4" w:space="0" w:color="000000"/>
            </w:tcBorders>
          </w:tcPr>
          <w:p>
            <w:pPr/>
          </w:p>
        </w:tc>
        <w:tc>
          <w:tcPr>
            <w:tcW w:w="58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398,372.61元，</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金额16,975,204.04元。</w:t>
            </w:r>
          </w:p>
        </w:tc>
      </w:tr>
    </w:tbl>
    <w:p>
      <w:pPr>
        <w:pStyle w:val="BodyText"/>
        <w:spacing w:line="477" w:lineRule="auto" w:before="11"/>
        <w:ind w:left="552" w:right="6734"/>
        <w:jc w:val="left"/>
      </w:pPr>
      <w:r>
        <w:rPr/>
        <w:t>2.会计估计的变更 本公司报告期内未发生会计估计变更。 3.前期会计差错更正 本公司报告期内未发生重大的会计差错更正。</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left="132" w:right="915"/>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52" w:right="1119" w:hanging="420"/>
        <w:jc w:val="left"/>
      </w:pPr>
      <w:r>
        <w:rPr/>
        <w:t>√ 适用 □ 不适用 </w:t>
      </w:r>
      <w:r>
        <w:rPr>
          <w:spacing w:val="-1"/>
        </w:rPr>
        <w:t>2018年1月25日，宁波赢元管理咨询合伙企业（有限合伙）与本公司之子公司上海赢量金融服务有限公司签署《增资协</w:t>
      </w:r>
    </w:p>
    <w:p>
      <w:pPr>
        <w:pStyle w:val="BodyText"/>
        <w:spacing w:line="222" w:lineRule="exact"/>
        <w:ind w:left="132" w:right="915"/>
        <w:jc w:val="left"/>
      </w:pPr>
      <w:r>
        <w:rPr/>
        <w:t>议</w:t>
      </w:r>
      <w:r>
        <w:rPr>
          <w:spacing w:val="-89"/>
        </w:rPr>
        <w:t>》</w:t>
      </w:r>
      <w:r>
        <w:rPr/>
        <w:t>，拟以现金方式</w:t>
      </w:r>
      <w:r>
        <w:rPr>
          <w:spacing w:val="2"/>
        </w:rPr>
        <w:t>出</w:t>
      </w:r>
      <w:r>
        <w:rPr/>
        <w:t>资人民币</w:t>
      </w:r>
      <w:r>
        <w:rPr>
          <w:spacing w:val="1"/>
        </w:rPr>
        <w:t>3</w:t>
      </w:r>
      <w:r>
        <w:rPr>
          <w:spacing w:val="-2"/>
        </w:rPr>
        <w:t>,</w:t>
      </w:r>
      <w:r>
        <w:rPr>
          <w:spacing w:val="1"/>
        </w:rPr>
        <w:t>0</w:t>
      </w:r>
      <w:r>
        <w:rPr>
          <w:spacing w:val="-2"/>
        </w:rPr>
        <w:t>00</w:t>
      </w:r>
      <w:r>
        <w:rPr/>
        <w:t>万元，按照</w:t>
      </w:r>
      <w:r>
        <w:rPr>
          <w:spacing w:val="2"/>
        </w:rPr>
        <w:t>每</w:t>
      </w:r>
      <w:r>
        <w:rPr>
          <w:spacing w:val="-2"/>
        </w:rPr>
        <w:t>1</w:t>
      </w:r>
      <w:r>
        <w:rPr/>
        <w:t>元注册资本对应</w:t>
      </w:r>
      <w:r>
        <w:rPr>
          <w:spacing w:val="2"/>
        </w:rPr>
        <w:t>人</w:t>
      </w:r>
      <w:r>
        <w:rPr/>
        <w:t>民币</w:t>
      </w:r>
      <w:r>
        <w:rPr>
          <w:spacing w:val="1"/>
        </w:rPr>
        <w:t>1</w:t>
      </w:r>
      <w:r>
        <w:rPr>
          <w:spacing w:val="-2"/>
        </w:rPr>
        <w:t>.</w:t>
      </w:r>
      <w:r>
        <w:rPr>
          <w:spacing w:val="1"/>
        </w:rPr>
        <w:t>5</w:t>
      </w:r>
      <w:r>
        <w:rPr/>
        <w:t>元的价格，认购</w:t>
      </w:r>
      <w:r>
        <w:rPr>
          <w:spacing w:val="2"/>
        </w:rPr>
        <w:t>新</w:t>
      </w:r>
      <w:r>
        <w:rPr/>
        <w:t>增注册资本人民</w:t>
      </w:r>
      <w:r>
        <w:rPr>
          <w:spacing w:val="-3"/>
        </w:rPr>
        <w:t>币</w:t>
      </w:r>
      <w:r>
        <w:rPr>
          <w:spacing w:val="1"/>
        </w:rPr>
        <w:t>2</w:t>
      </w:r>
      <w:r>
        <w:rPr>
          <w:spacing w:val="-2"/>
        </w:rPr>
        <w:t>,</w:t>
      </w:r>
      <w:r>
        <w:rPr>
          <w:spacing w:val="1"/>
        </w:rPr>
        <w:t>0</w:t>
      </w:r>
      <w:r>
        <w:rPr>
          <w:spacing w:val="-2"/>
        </w:rPr>
        <w:t>0</w:t>
      </w:r>
      <w:r>
        <w:rPr>
          <w:spacing w:val="1"/>
        </w:rPr>
        <w:t>0</w:t>
      </w:r>
      <w:r>
        <w:rPr/>
        <w:t>万</w:t>
      </w:r>
    </w:p>
    <w:p>
      <w:pPr>
        <w:pStyle w:val="BodyText"/>
        <w:spacing w:line="240" w:lineRule="auto" w:before="76"/>
        <w:ind w:left="132" w:right="915"/>
        <w:jc w:val="left"/>
      </w:pPr>
      <w:r>
        <w:rPr/>
        <w:t>元，占注册资本的9.09%。于2018年4月20日完成工商信息变更，其中本公司持股比例由原来的70%变更为63.64%。</w:t>
      </w:r>
    </w:p>
    <w:p>
      <w:pPr>
        <w:spacing w:line="240" w:lineRule="auto" w:before="10"/>
        <w:rPr>
          <w:rFonts w:ascii="宋体" w:hAnsi="宋体" w:cs="宋体" w:eastAsia="宋体" w:hint="default"/>
          <w:sz w:val="17"/>
          <w:szCs w:val="17"/>
        </w:rPr>
      </w:pPr>
    </w:p>
    <w:p>
      <w:pPr>
        <w:pStyle w:val="BodyText"/>
        <w:spacing w:line="316" w:lineRule="auto"/>
        <w:ind w:left="132" w:right="1132" w:firstLine="420"/>
        <w:jc w:val="both"/>
      </w:pPr>
      <w:r>
        <w:rPr/>
        <w:t>本公司与控股子公司上海赢量金融服务有限公司于2018年11月28日签订股权转让协议，将持有子公司上海赢保商业保 理有限公司44%的股权转让给上海赢量金融服务有限公司，转让价格为89,239,003.76元，转让后，本公司持股49%，上海赢 量金融服务有限公司持股51%，本公司仍然为上海赢保商业保理有限公司的实际控制方。</w:t>
      </w:r>
    </w:p>
    <w:p>
      <w:pPr>
        <w:spacing w:line="240" w:lineRule="auto" w:before="5"/>
        <w:rPr>
          <w:rFonts w:ascii="宋体" w:hAnsi="宋体" w:cs="宋体" w:eastAsia="宋体" w:hint="default"/>
          <w:sz w:val="13"/>
          <w:szCs w:val="13"/>
        </w:rPr>
      </w:pPr>
    </w:p>
    <w:p>
      <w:pPr>
        <w:pStyle w:val="BodyText"/>
        <w:spacing w:line="316" w:lineRule="auto"/>
        <w:ind w:left="132" w:right="1132" w:firstLine="420"/>
        <w:jc w:val="both"/>
      </w:pPr>
      <w:r>
        <w:rPr>
          <w:spacing w:val="-2"/>
        </w:rPr>
        <w:t>2018年8月，宁波箭双商务咨询合伙企业（有限合伙）与链石（苏州）信息科技有限公司签署《增资协议》，拟以现金</w:t>
      </w:r>
      <w:r>
        <w:rPr/>
        <w:t> 方式出资人民币900万元，按照每1元注册资本对应人民币1元的价格，认购链石（苏州）信息科技有限公司新增注册资本人</w:t>
      </w:r>
      <w:r>
        <w:rPr>
          <w:spacing w:val="-87"/>
        </w:rPr>
        <w:t> </w:t>
      </w:r>
      <w:r>
        <w:rPr>
          <w:spacing w:val="-87"/>
        </w:rPr>
      </w:r>
      <w:r>
        <w:rPr/>
        <w:t>民币900万元，占注册资本的23.08%。链石（苏州）信息科技有限公司于2018年8月9日完成工商信息变更，其中本公司出资</w:t>
      </w:r>
      <w:r>
        <w:rPr/>
        <w:t> 人民币2,100万元，出资比例由原来的70%变更为53.85%。</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2"/>
        <w:spacing w:line="240" w:lineRule="auto"/>
        <w:ind w:left="132" w:right="915"/>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915"/>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屈先富、陈子涵</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屈先富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年、陈子涵</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left="132" w:right="915"/>
        <w:jc w:val="left"/>
      </w:pPr>
      <w:r>
        <w:rPr/>
        <w:t>是否改聘会计师事务所</w:t>
      </w:r>
    </w:p>
    <w:p>
      <w:pPr>
        <w:pStyle w:val="BodyText"/>
        <w:spacing w:line="360" w:lineRule="auto" w:before="117"/>
        <w:ind w:left="132" w:right="6254"/>
        <w:jc w:val="left"/>
      </w:pPr>
      <w:r>
        <w:rPr/>
        <w:t>□ 是 √ 否 聘请内部控制审计会计师事务所、财务顾问或保荐人情况</w:t>
      </w:r>
    </w:p>
    <w:p>
      <w:pPr>
        <w:spacing w:after="0" w:line="360" w:lineRule="auto"/>
        <w:jc w:val="left"/>
        <w:sectPr>
          <w:pgSz w:w="11910" w:h="16840"/>
          <w:pgMar w:header="919" w:footer="1009" w:top="1120" w:bottom="1200" w:left="100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 适用 √ 不适用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952"/>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4"/>
        <w:jc w:val="left"/>
      </w:pPr>
      <w:r>
        <w:rPr/>
        <w:t>□ 适用 √ 不适用 本年度公司无重大诉讼、仲裁事项。</w:t>
      </w:r>
    </w:p>
    <w:p>
      <w:pPr>
        <w:spacing w:line="240" w:lineRule="auto" w:before="4"/>
        <w:rPr>
          <w:rFonts w:ascii="宋体" w:hAnsi="宋体" w:cs="宋体" w:eastAsia="宋体" w:hint="default"/>
          <w:sz w:val="18"/>
          <w:szCs w:val="18"/>
        </w:rPr>
      </w:pPr>
    </w:p>
    <w:p>
      <w:pPr>
        <w:pStyle w:val="Heading2"/>
        <w:spacing w:line="240" w:lineRule="auto"/>
        <w:ind w:right="952"/>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874"/>
        <w:jc w:val="left"/>
      </w:pPr>
      <w:r>
        <w:rPr/>
        <w:t>□ 适用 √ 不适用 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right="952"/>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pStyle w:val="BodyText"/>
        <w:spacing w:line="470" w:lineRule="atLeast" w:before="114"/>
        <w:ind w:left="472" w:right="952" w:hanging="360"/>
        <w:jc w:val="left"/>
      </w:pPr>
      <w:r>
        <w:rPr/>
        <w:t>√ 适用 □ 不适用 </w:t>
      </w:r>
      <w:r>
        <w:rPr>
          <w:spacing w:val="-2"/>
        </w:rPr>
        <w:t>1、2016年7月1日，公司召开第三届董事会第四次会议和第三届监事会第四次会议，审议并通过了《关于&lt;深圳市赢时胜</w:t>
      </w:r>
    </w:p>
    <w:p>
      <w:pPr>
        <w:pStyle w:val="BodyText"/>
        <w:spacing w:line="316" w:lineRule="auto" w:before="76"/>
        <w:ind w:right="1028"/>
        <w:jc w:val="left"/>
      </w:pPr>
      <w:r>
        <w:rPr/>
        <w:t>信息技术股份有限公司限制性股票激励计</w:t>
      </w:r>
      <w:r>
        <w:rPr>
          <w:spacing w:val="-27"/>
        </w:rPr>
        <w:t>划</w:t>
      </w:r>
      <w:r>
        <w:rPr/>
        <w:t>（草案</w:t>
      </w:r>
      <w:r>
        <w:rPr>
          <w:spacing w:val="-27"/>
        </w:rPr>
        <w:t>）</w:t>
      </w:r>
      <w:r>
        <w:rPr/>
        <w:t>及其摘要</w:t>
      </w:r>
      <w:r>
        <w:rPr>
          <w:spacing w:val="-2"/>
        </w:rPr>
        <w:t>&gt;</w:t>
      </w:r>
      <w:r>
        <w:rPr/>
        <w:t>的议案</w:t>
      </w:r>
      <w:r>
        <w:rPr>
          <w:spacing w:val="-89"/>
        </w:rPr>
        <w:t>》</w:t>
      </w:r>
      <w:r>
        <w:rPr>
          <w:spacing w:val="-118"/>
        </w:rPr>
        <w:t>、</w:t>
      </w:r>
      <w:r>
        <w:rPr/>
        <w:t>《关于</w:t>
      </w:r>
      <w:r>
        <w:rPr>
          <w:spacing w:val="1"/>
        </w:rPr>
        <w:t>&lt;</w:t>
      </w:r>
      <w:r>
        <w:rPr/>
        <w:t>深圳市赢时胜信息技术股份有限公司限制性</w:t>
      </w:r>
      <w:r>
        <w:rPr/>
        <w:t> 股票激励计划实施考核管理办法</w:t>
      </w:r>
      <w:r>
        <w:rPr>
          <w:spacing w:val="1"/>
        </w:rPr>
        <w:t>&gt;</w:t>
      </w:r>
      <w:r>
        <w:rPr/>
        <w:t>的议案</w:t>
      </w:r>
      <w:r>
        <w:rPr>
          <w:spacing w:val="-92"/>
        </w:rPr>
        <w:t>》</w:t>
      </w:r>
      <w:r>
        <w:rPr>
          <w:spacing w:val="-89"/>
        </w:rPr>
        <w:t>、</w:t>
      </w:r>
      <w:r>
        <w:rPr/>
        <w:t>《关于提请股东大会授权董事会办理公司限制性股票激励计划相关事宜的议案</w:t>
      </w:r>
      <w:r>
        <w:rPr>
          <w:spacing w:val="-92"/>
        </w:rPr>
        <w:t>》</w:t>
      </w:r>
      <w:r>
        <w:rPr/>
        <w:t>，</w:t>
      </w:r>
      <w:r>
        <w:rPr/>
        <w:t> 公司独立董事对此发表同意的独立意见</w:t>
      </w:r>
      <w:r>
        <w:rPr>
          <w:spacing w:val="-84"/>
        </w:rPr>
        <w:t>，</w:t>
      </w:r>
      <w:r>
        <w:rPr/>
        <w:t>监事会对激励对象名单进行了核查</w:t>
      </w:r>
      <w:r>
        <w:rPr>
          <w:spacing w:val="-87"/>
        </w:rPr>
        <w:t>。</w:t>
      </w:r>
      <w:r>
        <w:rPr/>
        <w:t>具体内容详见公司于</w:t>
      </w:r>
      <w:r>
        <w:rPr>
          <w:spacing w:val="1"/>
        </w:rPr>
        <w:t>2</w:t>
      </w:r>
      <w:r>
        <w:rPr>
          <w:spacing w:val="-2"/>
        </w:rPr>
        <w:t>0</w:t>
      </w:r>
      <w:r>
        <w:rPr>
          <w:spacing w:val="1"/>
        </w:rPr>
        <w:t>1</w:t>
      </w:r>
      <w:r>
        <w:rPr>
          <w:spacing w:val="-2"/>
        </w:rPr>
        <w:t>6</w:t>
      </w:r>
      <w:r>
        <w:rPr/>
        <w:t>年</w:t>
      </w:r>
      <w:r>
        <w:rPr>
          <w:spacing w:val="-2"/>
        </w:rPr>
        <w:t>7</w:t>
      </w:r>
      <w:r>
        <w:rPr/>
        <w:t>月</w:t>
      </w:r>
      <w:r>
        <w:rPr>
          <w:spacing w:val="1"/>
        </w:rPr>
        <w:t>1</w:t>
      </w:r>
      <w:r>
        <w:rPr/>
        <w:t>日披露的公告。</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2、2016年7月18日，公司召开2016年第二次临时股东大会，审议通过了《关于&lt;深圳市赢时胜信息技术股份有限公司限 </w:t>
      </w:r>
      <w:r>
        <w:rPr>
          <w:spacing w:val="-5"/>
        </w:rPr>
        <w:t>制性股票激励计划（草案）及其摘要&gt;的议案》、《关于&lt;深圳市赢时胜信息技术股份有限公司限制性股票激励计划实施考核管</w:t>
      </w:r>
      <w:r>
        <w:rPr>
          <w:spacing w:val="-75"/>
        </w:rPr>
        <w:t> </w:t>
      </w:r>
      <w:r>
        <w:rPr>
          <w:spacing w:val="-75"/>
        </w:rPr>
      </w:r>
      <w:r>
        <w:rPr>
          <w:spacing w:val="-7"/>
        </w:rPr>
        <w:t>理办法&gt;的议案》、《关于提请股东大会授权董事会办理公司限制性股票激励计划相关事宜的议案》。授权董事会确定限制性股</w:t>
      </w:r>
      <w:r>
        <w:rPr>
          <w:spacing w:val="-52"/>
        </w:rPr>
        <w:t> </w:t>
      </w:r>
      <w:r>
        <w:rPr>
          <w:spacing w:val="-52"/>
        </w:rPr>
      </w:r>
      <w:r>
        <w:rPr>
          <w:spacing w:val="-2"/>
        </w:rPr>
        <w:t>票授予日、在激励对象符合条件时向激励对象授予限制性股票，并办理授予限制性股票所必须的全部事宜。具体内容详见公</w:t>
      </w:r>
      <w:r>
        <w:rPr>
          <w:spacing w:val="-63"/>
        </w:rPr>
        <w:t> </w:t>
      </w:r>
      <w:r>
        <w:rPr>
          <w:spacing w:val="-63"/>
        </w:rPr>
      </w:r>
      <w:r>
        <w:rPr/>
        <w:t>司于2016年7月18日披露的公告。</w:t>
      </w:r>
    </w:p>
    <w:p>
      <w:pPr>
        <w:spacing w:line="240" w:lineRule="auto" w:before="5"/>
        <w:rPr>
          <w:rFonts w:ascii="宋体" w:hAnsi="宋体" w:cs="宋体" w:eastAsia="宋体" w:hint="default"/>
          <w:sz w:val="13"/>
          <w:szCs w:val="13"/>
        </w:rPr>
      </w:pPr>
    </w:p>
    <w:p>
      <w:pPr>
        <w:pStyle w:val="BodyText"/>
        <w:spacing w:line="316" w:lineRule="auto"/>
        <w:ind w:right="1028" w:firstLine="360"/>
        <w:jc w:val="left"/>
      </w:pPr>
      <w:r>
        <w:rPr>
          <w:spacing w:val="-2"/>
        </w:rPr>
        <w:t>3、2016年7月21日，公司召开第三届董事会第五次会议，审议通过了《关于向激励对象授予限制性股票的议案》，并于</w:t>
      </w:r>
      <w:r>
        <w:rPr/>
        <w:t> 当日召开了第三届监事会第五次会议，对公司授予的激励对象名单进行了核实，确定以2016年7月21日作为激励计划的授予</w:t>
      </w:r>
      <w:r>
        <w:rPr>
          <w:spacing w:val="-87"/>
        </w:rPr>
        <w:t> </w:t>
      </w:r>
      <w:r>
        <w:rPr>
          <w:spacing w:val="-87"/>
        </w:rPr>
      </w:r>
      <w:r>
        <w:rPr>
          <w:spacing w:val="-3"/>
        </w:rPr>
        <w:t>日，向符合条件的105名激励对象授予230万股限制性股票。公司独立董事对此发表了独立意见，认为激励对象主体资格合法、</w:t>
      </w:r>
      <w:r>
        <w:rPr>
          <w:spacing w:val="-88"/>
        </w:rPr>
        <w:t> </w:t>
      </w:r>
      <w:r>
        <w:rPr>
          <w:spacing w:val="-88"/>
        </w:rPr>
      </w:r>
      <w:r>
        <w:rPr/>
        <w:t>有效，确定的授予日及授予事项符合相关规定。具体内容详见公司于2016年7月21日披露的公告。</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4、因在限制性股票的认购过程中，有1名激励对象自愿放弃全部获授的限制性股票，2016年8月2日，公司召开第三届董</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left="0" w:right="1131"/>
        <w:jc w:val="right"/>
      </w:pPr>
      <w:r>
        <w:rPr>
          <w:spacing w:val="-2"/>
        </w:rPr>
        <w:t>事会第七次会议，审议通过了《关于对公司限制性股票激励计划进行调整的议案》，公布了《限制性股票激励计划授予激励</w:t>
      </w:r>
      <w:r>
        <w:rPr>
          <w:spacing w:val="-78"/>
        </w:rPr>
        <w:t> </w:t>
      </w:r>
      <w:r>
        <w:rPr>
          <w:spacing w:val="-78"/>
        </w:rPr>
      </w:r>
      <w:r>
        <w:rPr>
          <w:spacing w:val="-4"/>
        </w:rPr>
        <w:t>对象名单（调整后）》，并于当日召开了第三届监事会第七次会议，对公司授予的激励对象名单进行了核实，公司实际向104</w:t>
      </w:r>
      <w:r>
        <w:rPr>
          <w:spacing w:val="-51"/>
        </w:rPr>
        <w:t> </w:t>
      </w:r>
      <w:r>
        <w:rPr>
          <w:spacing w:val="-51"/>
        </w:rPr>
      </w:r>
      <w:r>
        <w:rPr>
          <w:spacing w:val="-1"/>
        </w:rPr>
        <w:t>名激励对象授予228万股限制性股票，公司独立董事对此发表了独立意见，具体内容详见公司于2016年8月2日披露的公告。</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6"/>
        </w:rPr>
        <w:t>5、授予股份认购资金的验资情况：天职国际会计师事务所（特殊普通合伙）于2016年7月21日出具了天职业字[2016]13726</w:t>
      </w:r>
      <w:r>
        <w:rPr/>
        <w:t> 号验资报告，认为：截至2016年7月21日，公司最终向104名激励对象人数授予限制性股票数量228万股，授予激励对象限制 性股票的价格为24.17元/股，限制性股票的总额为人民币55,107,600.00元，申请增加注册资本与股本人民币2,280,000.00 </w:t>
      </w:r>
      <w:r>
        <w:rPr>
          <w:spacing w:val="-2"/>
        </w:rPr>
        <w:t>元，其余资金计入资本公积。变更后的注册资本为人民币297,013,332.00元（贰亿玖仟柒佰零壹万叁仟叁佰叁拾贰元整）。</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6、授予股份的上市日期为2016年8月12日。</w:t>
      </w:r>
    </w:p>
    <w:p>
      <w:pPr>
        <w:spacing w:line="240" w:lineRule="auto" w:before="10"/>
        <w:rPr>
          <w:rFonts w:ascii="宋体" w:hAnsi="宋体" w:cs="宋体" w:eastAsia="宋体" w:hint="default"/>
          <w:sz w:val="17"/>
          <w:szCs w:val="17"/>
        </w:rPr>
      </w:pPr>
    </w:p>
    <w:p>
      <w:pPr>
        <w:pStyle w:val="BodyText"/>
        <w:spacing w:line="314" w:lineRule="auto"/>
        <w:ind w:right="1130" w:firstLine="360"/>
        <w:jc w:val="both"/>
      </w:pPr>
      <w:r>
        <w:rPr>
          <w:spacing w:val="-2"/>
        </w:rPr>
        <w:t>7、2017年8月14日，公司召开的第三届董事会第十四次会议和第三届监事会第十三次会议，审议通过了《关于回购注销</w:t>
      </w:r>
      <w:r>
        <w:rPr/>
        <w:t> </w:t>
      </w:r>
      <w:r>
        <w:rPr>
          <w:spacing w:val="-2"/>
        </w:rPr>
        <w:t>离职股权激励对象所持已获授但尚未解锁的限制性股票的议案》及《关于公司2016年限制性股票激励计划第一个解锁期可解</w:t>
      </w:r>
      <w:r>
        <w:rPr>
          <w:spacing w:val="-62"/>
        </w:rPr>
        <w:t> </w:t>
      </w:r>
      <w:r>
        <w:rPr>
          <w:spacing w:val="-62"/>
        </w:rPr>
      </w:r>
      <w:r>
        <w:rPr>
          <w:spacing w:val="-3"/>
        </w:rPr>
        <w:t>锁的议案》。鉴于公司2016年限制性股票激励计划第一个锁定期已届满，根据公司2016年7月18日召开的2016年第二次临时股</w:t>
      </w:r>
      <w:r>
        <w:rPr>
          <w:spacing w:val="-84"/>
        </w:rPr>
        <w:t> </w:t>
      </w:r>
      <w:r>
        <w:rPr>
          <w:spacing w:val="-84"/>
        </w:rPr>
      </w:r>
      <w:r>
        <w:rPr>
          <w:spacing w:val="-9"/>
          <w:w w:val="99"/>
        </w:rPr>
        <w:t>东大会的相关授权，决定按照《深圳市赢时胜信息技术股份有限公司限制性股票激励计划（草案）》（以下简称《</w:t>
      </w:r>
      <w:r>
        <w:rPr>
          <w:rFonts w:ascii="Times New Roman" w:hAnsi="Times New Roman" w:cs="Times New Roman" w:eastAsia="Times New Roman" w:hint="default"/>
          <w:spacing w:val="-9"/>
          <w:w w:val="99"/>
        </w:rPr>
        <w:t>“</w:t>
      </w:r>
      <w:r>
        <w:rPr>
          <w:rFonts w:ascii="Times New Roman" w:hAnsi="Times New Roman" w:cs="Times New Roman" w:eastAsia="Times New Roman" w:hint="default"/>
          <w:spacing w:val="20"/>
          <w:w w:val="99"/>
        </w:rPr>
        <w:t> </w:t>
      </w:r>
      <w:r>
        <w:rPr/>
        <w:t>限制性股票</w:t>
      </w:r>
      <w:r>
        <w:rPr>
          <w:spacing w:val="-87"/>
        </w:rPr>
        <w:t> </w:t>
      </w:r>
      <w:r>
        <w:rPr>
          <w:spacing w:val="-2"/>
          <w:w w:val="99"/>
        </w:rPr>
        <w:t>激励计划（草案）》</w:t>
      </w:r>
      <w:r>
        <w:rPr>
          <w:rFonts w:ascii="Times New Roman" w:hAnsi="Times New Roman" w:cs="Times New Roman" w:eastAsia="Times New Roman" w:hint="default"/>
          <w:spacing w:val="-2"/>
          <w:w w:val="99"/>
        </w:rPr>
        <w:t>”</w:t>
      </w:r>
      <w:r>
        <w:rPr>
          <w:spacing w:val="-2"/>
          <w:w w:val="99"/>
        </w:rPr>
        <w:t>）及《限制性股票激励计划实施考核管理办法》的相关规定为符合解锁条件的激励对象共计100人申请</w:t>
      </w:r>
      <w:r>
        <w:rPr>
          <w:spacing w:val="-55"/>
          <w:w w:val="99"/>
        </w:rPr>
        <w:t> </w:t>
      </w:r>
      <w:r>
        <w:rPr>
          <w:spacing w:val="-55"/>
          <w:w w:val="99"/>
        </w:rPr>
      </w:r>
      <w:r>
        <w:rPr/>
        <w:t>解锁555,000股限制性股票，占所获限制性股票总量的9.74%，占公司目前总股本的0.07%。公司2016年限制性股票原授予的</w:t>
      </w:r>
      <w:r>
        <w:rPr/>
        <w:t> 激励对象彭洪斌、逯进军、张少帅、刘宇共计4人因个人原因申请离职，根据《上市公司股权激励管理办法》等有关法律、</w:t>
      </w:r>
      <w:r>
        <w:rPr>
          <w:spacing w:val="-85"/>
        </w:rPr>
        <w:t> </w:t>
      </w:r>
      <w:r>
        <w:rPr>
          <w:spacing w:val="-85"/>
        </w:rPr>
      </w:r>
      <w:r>
        <w:rPr>
          <w:spacing w:val="-4"/>
        </w:rPr>
        <w:t>法规和规范性文件以及《限制性股票激励计划（草案）》的规定，上述4人已不具备股权激励对象的条件，现对其持有的已获</w:t>
      </w:r>
      <w:r>
        <w:rPr>
          <w:spacing w:val="-41"/>
        </w:rPr>
        <w:t> </w:t>
      </w:r>
      <w:r>
        <w:rPr>
          <w:spacing w:val="-41"/>
        </w:rPr>
      </w:r>
      <w:r>
        <w:rPr>
          <w:spacing w:val="-3"/>
        </w:rPr>
        <w:t>授权但尚未解锁的150,000股限制性股票进行回购注销，回购价格依据《限制性股票激励计划（草案）》及公司2016年度权益</w:t>
      </w:r>
      <w:r>
        <w:rPr>
          <w:spacing w:val="-88"/>
        </w:rPr>
        <w:t> </w:t>
      </w:r>
      <w:r>
        <w:rPr>
          <w:spacing w:val="-88"/>
        </w:rPr>
      </w:r>
      <w:r>
        <w:rPr/>
        <w:t>分派方案调整为9.548元/股。</w:t>
      </w:r>
    </w:p>
    <w:p>
      <w:pPr>
        <w:spacing w:line="240" w:lineRule="auto" w:before="6"/>
        <w:rPr>
          <w:rFonts w:ascii="宋体" w:hAnsi="宋体" w:cs="宋体" w:eastAsia="宋体" w:hint="default"/>
          <w:sz w:val="25"/>
          <w:szCs w:val="25"/>
        </w:rPr>
      </w:pPr>
    </w:p>
    <w:p>
      <w:pPr>
        <w:pStyle w:val="BodyText"/>
        <w:spacing w:line="316" w:lineRule="auto"/>
        <w:ind w:right="952" w:firstLine="420"/>
        <w:jc w:val="left"/>
      </w:pPr>
      <w:r>
        <w:rPr/>
        <w:t>8、2018年8月14日，公司召开第三届董事会第十八次会议和第三届监事会第十七次会议，审议通过了《关于回购注销 </w:t>
      </w:r>
      <w:r>
        <w:rPr>
          <w:spacing w:val="-5"/>
        </w:rPr>
        <w:t>离职股权激励对象所持已获授但尚未解锁的限制性股票的议案》；2018年9月25日，公司召开的第三届董事会第二十一次会议，</w:t>
      </w:r>
      <w:r>
        <w:rPr>
          <w:spacing w:val="-60"/>
        </w:rPr>
        <w:t> </w:t>
      </w:r>
      <w:r>
        <w:rPr>
          <w:spacing w:val="-60"/>
        </w:rPr>
      </w:r>
      <w:r>
        <w:rPr>
          <w:spacing w:val="-2"/>
        </w:rPr>
        <w:t>审议通过了《关于公司2016年限制性股票激励计划第二个解锁期可解锁的议案》。鉴于公司2016年限制性股票激励计划第二</w:t>
      </w:r>
      <w:r>
        <w:rPr>
          <w:spacing w:val="-62"/>
        </w:rPr>
        <w:t> </w:t>
      </w:r>
      <w:r>
        <w:rPr>
          <w:spacing w:val="-62"/>
        </w:rPr>
      </w:r>
      <w:r>
        <w:rPr/>
        <w:t>个锁定期已届满，根据公司2016年7月18日召开的2016年第二次临时股东大会的相关授权，决定按照《限制性股票激励计划</w:t>
      </w:r>
    </w:p>
    <w:p>
      <w:pPr>
        <w:pStyle w:val="BodyText"/>
        <w:spacing w:line="316" w:lineRule="auto" w:before="19"/>
        <w:ind w:right="1130"/>
        <w:jc w:val="both"/>
      </w:pPr>
      <w:r>
        <w:rPr>
          <w:spacing w:val="-2"/>
        </w:rPr>
        <w:t>（草案）》及《限制性股票激励计划实施考核管理办法》的相关规定办理2016年限制性股票激励计划第二期解锁事宜，符合</w:t>
      </w:r>
      <w:r>
        <w:rPr>
          <w:spacing w:val="-63"/>
        </w:rPr>
        <w:t> </w:t>
      </w:r>
      <w:r>
        <w:rPr>
          <w:spacing w:val="-63"/>
        </w:rPr>
      </w:r>
      <w:r>
        <w:rPr>
          <w:spacing w:val="-2"/>
        </w:rPr>
        <w:t>解锁条件的激励对象共计96人，可申请解锁的限制性股票数量1,072,500股，占公司目前总股本的0.14%。公司2016年限制性</w:t>
      </w:r>
      <w:r>
        <w:rPr>
          <w:spacing w:val="-52"/>
        </w:rPr>
        <w:t> </w:t>
      </w:r>
      <w:r>
        <w:rPr>
          <w:spacing w:val="-52"/>
        </w:rPr>
      </w:r>
      <w:r>
        <w:rPr/>
        <w:t>股票原授予的激励对象冷林勇、李杨、李申、李莘共计4人因个人原因申请离职，已不具备股权激励对象的条件，现对其持</w:t>
      </w:r>
      <w:r>
        <w:rPr>
          <w:spacing w:val="-85"/>
        </w:rPr>
        <w:t> </w:t>
      </w:r>
      <w:r>
        <w:rPr>
          <w:spacing w:val="-85"/>
        </w:rPr>
      </w:r>
      <w:r>
        <w:rPr>
          <w:spacing w:val="-3"/>
        </w:rPr>
        <w:t>有的已获授权但尚未解锁的168,750股限制性股票进行回购注销，回购价格依据《限制性股票激励计划（草案）》、公司2016</w:t>
      </w:r>
      <w:r>
        <w:rPr>
          <w:spacing w:val="-87"/>
        </w:rPr>
        <w:t> </w:t>
      </w:r>
      <w:r>
        <w:rPr>
          <w:spacing w:val="-87"/>
        </w:rPr>
      </w:r>
      <w:r>
        <w:rPr/>
        <w:t>年度权益分派方案及公司2017年度权益分派方案调整为9.398元/股。</w:t>
      </w:r>
    </w:p>
    <w:p>
      <w:pPr>
        <w:spacing w:line="240" w:lineRule="auto" w:before="4"/>
        <w:rPr>
          <w:rFonts w:ascii="宋体" w:hAnsi="宋体" w:cs="宋体" w:eastAsia="宋体" w:hint="default"/>
          <w:sz w:val="25"/>
          <w:szCs w:val="25"/>
        </w:rPr>
      </w:pPr>
    </w:p>
    <w:p>
      <w:pPr>
        <w:pStyle w:val="BodyText"/>
        <w:spacing w:line="312" w:lineRule="auto"/>
        <w:ind w:right="1130" w:firstLine="420"/>
        <w:jc w:val="both"/>
      </w:pPr>
      <w:r>
        <w:rPr>
          <w:spacing w:val="-1"/>
        </w:rPr>
        <w:t>9、对公司财务的影响，对公司财务的影响：按照《企业会计准则第11号</w:t>
      </w:r>
      <w:r>
        <w:rPr>
          <w:rFonts w:ascii="Times New Roman" w:hAnsi="Times New Roman" w:cs="Times New Roman" w:eastAsia="Times New Roman" w:hint="default"/>
          <w:spacing w:val="-1"/>
        </w:rPr>
        <w:t>—</w:t>
      </w:r>
      <w:r>
        <w:rPr>
          <w:spacing w:val="-1"/>
        </w:rPr>
        <w:t>股份支付》的规定，公司将在锁定期的每个</w:t>
      </w:r>
      <w:r>
        <w:rPr/>
        <w:t> </w:t>
      </w:r>
      <w:r>
        <w:rPr>
          <w:spacing w:val="-2"/>
        </w:rPr>
        <w:t>资产负债表日，根据最新取得的可解锁人数变动、业绩指标完成情况等后续信息，修正预计可解锁的限制性股票数量，并按</w:t>
      </w:r>
      <w:r>
        <w:rPr>
          <w:spacing w:val="-64"/>
        </w:rPr>
        <w:t> </w:t>
      </w:r>
      <w:r>
        <w:rPr>
          <w:spacing w:val="-64"/>
        </w:rPr>
      </w:r>
      <w:r>
        <w:rPr>
          <w:spacing w:val="-2"/>
        </w:rPr>
        <w:t>照限制性股票授予日的公允价值，将当期取得的服务计入相关成本或费用和资本公积。经测算，2018年度公司实际摊销股权</w:t>
      </w:r>
      <w:r>
        <w:rPr>
          <w:spacing w:val="-61"/>
        </w:rPr>
        <w:t> </w:t>
      </w:r>
      <w:r>
        <w:rPr>
          <w:spacing w:val="-61"/>
        </w:rPr>
      </w:r>
      <w:r>
        <w:rPr/>
        <w:t>激励成本为2,591,858.64元。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both"/>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974"/>
        <w:jc w:val="left"/>
      </w:pPr>
      <w:r>
        <w:rPr/>
        <w:t>□ 适用 √ 不适用 公司报告期未发生与日常经营相关的关联交易。</w:t>
      </w:r>
    </w:p>
    <w:p>
      <w:pPr>
        <w:spacing w:after="0" w:line="36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34"/>
        <w:jc w:val="left"/>
      </w:pPr>
      <w:r>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154"/>
        <w:jc w:val="left"/>
      </w:pPr>
      <w:r>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 适用 √ 不适用 公司报告期不存在关联债权债务往来。</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4"/>
        <w:jc w:val="left"/>
      </w:pPr>
      <w:r>
        <w:rPr/>
        <w:t>□ 适用 √ 不适用 公司报告期无其他重大关联交易。</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 适用 √ 不适用 公司报告期不存在托管情况。</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 适用 √ 不适用 公司报告期不存在承包情况。</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9224"/>
        <w:jc w:val="left"/>
      </w:pPr>
      <w:r>
        <w:rPr/>
        <w:t>√ 适用 □ 不适用 租赁情况说明</w:t>
      </w:r>
    </w:p>
    <w:p>
      <w:pPr>
        <w:pStyle w:val="BodyText"/>
        <w:spacing w:line="240" w:lineRule="auto" w:before="27"/>
        <w:ind w:right="0"/>
        <w:jc w:val="both"/>
      </w:pPr>
      <w:r>
        <w:rPr/>
        <w:t>（1）公司的房屋租赁</w:t>
      </w:r>
    </w:p>
    <w:p>
      <w:pPr>
        <w:pStyle w:val="BodyText"/>
        <w:spacing w:line="316" w:lineRule="auto" w:before="76"/>
        <w:ind w:right="1131"/>
        <w:jc w:val="both"/>
      </w:pPr>
      <w:r>
        <w:rPr/>
        <w:t>①</w:t>
      </w:r>
      <w:r>
        <w:rPr>
          <w:spacing w:val="44"/>
        </w:rPr>
        <w:t> </w:t>
      </w:r>
      <w:r>
        <w:rPr>
          <w:spacing w:val="-4"/>
        </w:rPr>
        <w:t>2015年11月11日，公司与王登峰签订《嘉禾国信大厦办公区域租赁合同》，约定王登峰将其位于北京市东城区广渠门内白</w:t>
      </w:r>
      <w:r>
        <w:rPr>
          <w:spacing w:val="-84"/>
        </w:rPr>
        <w:t> </w:t>
      </w:r>
      <w:r>
        <w:rPr>
          <w:spacing w:val="-84"/>
        </w:rPr>
      </w:r>
      <w:r>
        <w:rPr>
          <w:spacing w:val="-2"/>
        </w:rPr>
        <w:t>桥大街15号的嘉禾国信大厦第9层901-912号租赁给公司，租赁面积约为2,387.24平方米。租赁期限自2015年11月12日至2018</w:t>
      </w:r>
      <w:r>
        <w:rPr>
          <w:spacing w:val="-47"/>
        </w:rPr>
        <w:t> </w:t>
      </w:r>
      <w:r>
        <w:rPr>
          <w:spacing w:val="-47"/>
        </w:rPr>
      </w:r>
      <w:r>
        <w:rPr/>
        <w:t>年11月11日，租金为人民币449,851.51元/月。</w:t>
      </w:r>
    </w:p>
    <w:p>
      <w:pPr>
        <w:pStyle w:val="BodyText"/>
        <w:spacing w:line="240" w:lineRule="auto" w:before="19"/>
        <w:ind w:right="0"/>
        <w:jc w:val="both"/>
      </w:pPr>
      <w:r>
        <w:rPr/>
        <w:t>（2）子公司的房屋租赁</w:t>
      </w:r>
    </w:p>
    <w:p>
      <w:pPr>
        <w:pStyle w:val="BodyText"/>
        <w:spacing w:line="240" w:lineRule="auto" w:before="76"/>
        <w:ind w:right="0"/>
        <w:jc w:val="both"/>
      </w:pPr>
      <w:r>
        <w:rPr/>
        <w:t>①</w:t>
      </w:r>
      <w:r>
        <w:rPr>
          <w:spacing w:val="-4"/>
        </w:rPr>
        <w:t> </w:t>
      </w:r>
      <w:r>
        <w:rPr/>
        <w:t>2015年，公司控股子公司上海赢量与上海三林投资发展有限公司（以下简称</w:t>
      </w:r>
      <w:r>
        <w:rPr>
          <w:rFonts w:ascii="Times New Roman" w:hAnsi="Times New Roman" w:cs="Times New Roman" w:eastAsia="Times New Roman" w:hint="default"/>
        </w:rPr>
        <w:t>“</w:t>
      </w:r>
      <w:r>
        <w:rPr/>
        <w:t>出租人</w:t>
      </w:r>
      <w:r>
        <w:rPr>
          <w:rFonts w:ascii="Times New Roman" w:hAnsi="Times New Roman" w:cs="Times New Roman" w:eastAsia="Times New Roman" w:hint="default"/>
        </w:rPr>
        <w:t>”</w:t>
      </w:r>
      <w:r>
        <w:rPr/>
        <w:t>）签署《</w:t>
      </w:r>
      <w:r>
        <w:rPr>
          <w:rFonts w:ascii="Times New Roman" w:hAnsi="Times New Roman" w:cs="Times New Roman" w:eastAsia="Times New Roman" w:hint="default"/>
        </w:rPr>
        <w:t>“</w:t>
      </w:r>
      <w:r>
        <w:rPr/>
        <w:t>上海数字产业园</w:t>
      </w:r>
      <w:r>
        <w:rPr>
          <w:rFonts w:ascii="Times New Roman" w:hAnsi="Times New Roman" w:cs="Times New Roman" w:eastAsia="Times New Roman" w:hint="default"/>
        </w:rPr>
        <w:t>”</w:t>
      </w:r>
      <w:r>
        <w:rPr/>
        <w:t>办公</w:t>
      </w:r>
    </w:p>
    <w:p>
      <w:pPr>
        <w:spacing w:after="0" w:line="240"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952"/>
        <w:jc w:val="left"/>
      </w:pPr>
      <w:r>
        <w:rPr>
          <w:spacing w:val="-2"/>
        </w:rPr>
        <w:t>楼租赁合同》，约定出租人将其位于上海市浦东新区东三里桥路1018号A座1层107的房屋租赁给上海赢量，租赁建筑面积为</w:t>
      </w:r>
      <w:r>
        <w:rPr>
          <w:spacing w:val="-69"/>
        </w:rPr>
        <w:t> </w:t>
      </w:r>
      <w:r>
        <w:rPr>
          <w:spacing w:val="-69"/>
        </w:rPr>
      </w:r>
      <w:r>
        <w:rPr>
          <w:spacing w:val="-1"/>
        </w:rPr>
        <w:t>368.35平方米。租赁期限为2015年4月1日至2018年3月31日，租金为人民币605,014.88元/年，并约定履约保证金为人民币</w:t>
      </w:r>
    </w:p>
    <w:p>
      <w:pPr>
        <w:pStyle w:val="BodyText"/>
        <w:spacing w:line="357" w:lineRule="auto" w:before="19"/>
        <w:ind w:right="4634"/>
        <w:jc w:val="left"/>
      </w:pPr>
      <w:r>
        <w:rPr/>
        <w:t>151,253.72元。在签订本合同前，出租人已告知上海赢量该房屋已设定抵押。 为公司带来的损益达到公司报告期利润总额</w:t>
      </w:r>
      <w:r>
        <w:rPr>
          <w:spacing w:val="-48"/>
        </w:rPr>
        <w:t> </w:t>
      </w:r>
      <w:r>
        <w:rPr>
          <w:rFonts w:ascii="Times New Roman" w:hAnsi="Times New Roman" w:cs="Times New Roman" w:eastAsia="Times New Roman" w:hint="default"/>
        </w:rPr>
        <w:t>10%</w:t>
      </w:r>
      <w:r>
        <w:rPr/>
        <w:t>以上的项目</w:t>
      </w:r>
    </w:p>
    <w:p>
      <w:pPr>
        <w:pStyle w:val="BodyText"/>
        <w:spacing w:line="240" w:lineRule="auto" w:before="6"/>
        <w:ind w:right="952"/>
        <w:jc w:val="left"/>
      </w:pPr>
      <w:r>
        <w:rPr/>
        <w:t>□ 适用 √ 不适用</w:t>
      </w:r>
    </w:p>
    <w:p>
      <w:pPr>
        <w:pStyle w:val="BodyText"/>
        <w:spacing w:line="240" w:lineRule="auto" w:before="117"/>
        <w:ind w:right="952"/>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952"/>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7"/>
        <w:gridCol w:w="923"/>
        <w:gridCol w:w="919"/>
        <w:gridCol w:w="1300"/>
        <w:gridCol w:w="1057"/>
        <w:gridCol w:w="1041"/>
        <w:gridCol w:w="1047"/>
        <w:gridCol w:w="790"/>
        <w:gridCol w:w="782"/>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2" w:right="17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72" w:right="17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59" w:right="188"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7" w:right="15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2"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8" w:right="17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7" w:right="15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0"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53"/>
              <w:jc w:val="left"/>
              <w:rPr>
                <w:rFonts w:ascii="宋体" w:hAnsi="宋体" w:cs="宋体" w:eastAsia="宋体" w:hint="default"/>
                <w:sz w:val="18"/>
                <w:szCs w:val="18"/>
              </w:rPr>
            </w:pPr>
            <w:r>
              <w:rPr>
                <w:rFonts w:ascii="宋体" w:hAnsi="宋体" w:cs="宋体" w:eastAsia="宋体" w:hint="default"/>
                <w:sz w:val="18"/>
                <w:szCs w:val="18"/>
              </w:rPr>
              <w:t>上海赢量金融服务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25,000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12,500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8"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12,500</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0" w:right="191"/>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51" w:right="19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7" w:right="16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12,500</w:t>
            </w:r>
          </w:p>
        </w:tc>
      </w:tr>
      <w:tr>
        <w:trPr>
          <w:trHeight w:val="40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报告期末实际担保余额</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12,500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632"/>
        <w:gridCol w:w="2218"/>
        <w:gridCol w:w="2098"/>
        <w:gridCol w:w="2620"/>
      </w:tblGrid>
      <w:tr>
        <w:trPr>
          <w:trHeight w:val="362"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1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50"/>
        <w:ind w:right="8054"/>
        <w:jc w:val="left"/>
      </w:pPr>
      <w:r>
        <w:rPr/>
        <w:t>采用复合方式担保的具体情况说明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 适用 √ 不适用 公司报告期无违规对外担保情况。</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09" w:top="1120" w:bottom="1200" w:left="1020" w:right="0"/>
        </w:sectPr>
      </w:pPr>
    </w:p>
    <w:p>
      <w:pPr>
        <w:pStyle w:val="BodyText"/>
        <w:spacing w:line="360"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0"/>
          <w:cols w:num="2" w:equalWidth="0">
            <w:col w:w="1913" w:space="6825"/>
            <w:col w:w="215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34,590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34,590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34,590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34,590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52"/>
        <w:jc w:val="left"/>
      </w:pPr>
      <w:r>
        <w:rPr/>
        <w:t>单项金额重大或安全性较低、流动性较差、不保本的高风险委托理财具体情况</w:t>
      </w:r>
    </w:p>
    <w:p>
      <w:pPr>
        <w:pStyle w:val="BodyText"/>
        <w:spacing w:line="360" w:lineRule="auto" w:before="117"/>
        <w:ind w:right="5714"/>
        <w:jc w:val="left"/>
      </w:pPr>
      <w:r>
        <w:rPr/>
        <w:t>□ 适用 √ 不适用 委托理财出现预期无法收回本金或存在其他可能导致减值的情形</w:t>
      </w:r>
    </w:p>
    <w:p>
      <w:pPr>
        <w:pStyle w:val="BodyText"/>
        <w:spacing w:line="240" w:lineRule="auto" w:before="25"/>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054"/>
        <w:jc w:val="left"/>
      </w:pPr>
      <w:r>
        <w:rPr/>
        <w:t>□ 适用 √ 不适用 公司报告期不存在其他重大合同。</w:t>
      </w:r>
    </w:p>
    <w:p>
      <w:pPr>
        <w:spacing w:line="240" w:lineRule="auto" w:before="2"/>
        <w:rPr>
          <w:rFonts w:ascii="宋体" w:hAnsi="宋体" w:cs="宋体" w:eastAsia="宋体" w:hint="default"/>
          <w:sz w:val="18"/>
          <w:szCs w:val="18"/>
        </w:rPr>
      </w:pPr>
    </w:p>
    <w:p>
      <w:pPr>
        <w:spacing w:line="506" w:lineRule="auto" w:before="0"/>
        <w:ind w:left="112" w:right="8591" w:firstLine="0"/>
        <w:jc w:val="left"/>
        <w:rPr>
          <w:rFonts w:ascii="宋体" w:hAnsi="宋体" w:cs="宋体" w:eastAsia="宋体" w:hint="default"/>
          <w:sz w:val="18"/>
          <w:szCs w:val="18"/>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宋体" w:hAnsi="宋体" w:cs="宋体" w:eastAsia="宋体" w:hint="default"/>
          <w:b/>
          <w:bCs/>
          <w:sz w:val="19"/>
          <w:szCs w:val="19"/>
        </w:rPr>
      </w:pPr>
    </w:p>
    <w:p>
      <w:pPr>
        <w:pStyle w:val="Heading3"/>
        <w:spacing w:line="240" w:lineRule="auto" w:before="34"/>
        <w:ind w:right="952"/>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right="952"/>
        <w:jc w:val="left"/>
      </w:pPr>
      <w:r>
        <w:rPr/>
        <w:t>无</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154"/>
        <w:jc w:val="left"/>
      </w:pPr>
      <w:r>
        <w:rPr/>
        <w:t>□ 适用 √ 不适用 公司报告期不存在需要说明的其他重大事项。</w:t>
      </w:r>
    </w:p>
    <w:p>
      <w:pPr>
        <w:spacing w:after="0" w:line="360" w:lineRule="auto"/>
        <w:jc w:val="left"/>
        <w:sectPr>
          <w:pgSz w:w="11910" w:h="16840"/>
          <w:pgMar w:header="919" w:footer="1009"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52"/>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 适用 √ 不适用</w:t>
      </w:r>
    </w:p>
    <w:p>
      <w:pPr>
        <w:spacing w:after="0" w:line="240"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928" w:right="952"/>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2"/>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232,685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,186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31.34%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229,52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30.92%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232,685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,186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31.34%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229,52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30.92%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232,685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,186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31.34%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-3,157,7</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229,52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30.92%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509,698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68.66%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2,988,9</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58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2,988,9</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512,68</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7,102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69.08%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509,698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68.66%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2,988,9</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58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2,988,9</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512,68</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7,102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69.08%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742,383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742,21</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4,580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952"/>
        <w:jc w:val="left"/>
      </w:pPr>
      <w:r>
        <w:rPr/>
        <w:t>股份变动的原因</w:t>
      </w:r>
    </w:p>
    <w:p>
      <w:pPr>
        <w:pStyle w:val="BodyText"/>
        <w:spacing w:line="360" w:lineRule="auto" w:before="115"/>
        <w:ind w:left="472" w:right="952" w:hanging="360"/>
        <w:jc w:val="left"/>
      </w:pPr>
      <w:r>
        <w:rPr/>
        <w:t>√ 适用 □ 不适用 </w:t>
      </w:r>
      <w:r>
        <w:rPr>
          <w:spacing w:val="-4"/>
        </w:rPr>
        <w:t>1、2018年1月2日，根据《公司法》、《证券法》及有关规定，中国证券登记结算有限责任公司对本公司董事、监事及高</w:t>
      </w:r>
    </w:p>
    <w:p>
      <w:pPr>
        <w:pStyle w:val="BodyText"/>
        <w:spacing w:line="222" w:lineRule="exact"/>
        <w:ind w:right="952"/>
        <w:jc w:val="left"/>
      </w:pPr>
      <w:r>
        <w:rPr/>
        <w:t>级管理人员所持本公司本年度可转让股份法定额度进行了核算，并对该额度内可通过交易系统交易的股份进行解锁，因而公</w:t>
      </w:r>
    </w:p>
    <w:p>
      <w:pPr>
        <w:pStyle w:val="BodyText"/>
        <w:spacing w:line="316" w:lineRule="auto" w:before="76"/>
        <w:ind w:left="472" w:right="952" w:hanging="360"/>
        <w:jc w:val="left"/>
      </w:pPr>
      <w:r>
        <w:rPr/>
        <w:t>司高管限售股减少5,772,946股，无限售流通股增加5,772,946股； </w:t>
      </w:r>
      <w:r>
        <w:rPr>
          <w:spacing w:val="-2"/>
        </w:rPr>
        <w:t>2、2018年8月14日，公司董事会收到董事、副总经理庞军先生的书面辞职申请，庞军先生因个人原因申请辞去公司第三</w:t>
      </w:r>
    </w:p>
    <w:p>
      <w:pPr>
        <w:pStyle w:val="BodyText"/>
        <w:spacing w:line="316" w:lineRule="auto" w:before="19"/>
        <w:ind w:right="1132"/>
        <w:jc w:val="both"/>
      </w:pPr>
      <w:r>
        <w:rPr>
          <w:spacing w:val="-2"/>
        </w:rPr>
        <w:t>届董事会董事、副总经理职务。根据《深圳证券交易所上市公司股东及董事、监事、高级管理人员减持股份实施细则》的相</w:t>
      </w:r>
      <w:r>
        <w:rPr>
          <w:spacing w:val="-66"/>
        </w:rPr>
        <w:t> </w:t>
      </w:r>
      <w:r>
        <w:rPr>
          <w:spacing w:val="-66"/>
        </w:rPr>
      </w:r>
      <w:r>
        <w:rPr/>
        <w:t>关规定，董事、高级管理人员离职后半年内不得转让其所持本公司股份。因此，庞军先生的无限售流通股3,848,888股被列</w:t>
      </w:r>
      <w:r>
        <w:rPr/>
        <w:t> 为了高管锁定股；</w:t>
      </w:r>
    </w:p>
    <w:p>
      <w:pPr>
        <w:pStyle w:val="BodyText"/>
        <w:spacing w:line="316" w:lineRule="auto" w:before="19"/>
        <w:ind w:right="1041" w:firstLine="360"/>
        <w:jc w:val="both"/>
      </w:pPr>
      <w:r>
        <w:rPr>
          <w:spacing w:val="-2"/>
        </w:rPr>
        <w:t>3、2018年9月7日，公司选举赵欣先生为公司第三届董事会非独立董事并聘任赵欣先生为公司副总经理，按照相关规定，</w:t>
      </w:r>
      <w:r>
        <w:rPr/>
        <w:t> 其持有的股份中有7600股转为高管锁定股；</w:t>
      </w:r>
    </w:p>
    <w:p>
      <w:pPr>
        <w:pStyle w:val="BodyText"/>
        <w:spacing w:line="316" w:lineRule="auto" w:before="19"/>
        <w:ind w:right="1132" w:firstLine="360"/>
        <w:jc w:val="both"/>
      </w:pPr>
      <w:r>
        <w:rPr>
          <w:spacing w:val="-2"/>
        </w:rPr>
        <w:t>4、2018年10月15日，公司2016年限制性股票激励计划涉及的96名激励对象所持有的股权激励限售股1,072,500股第二个</w:t>
      </w:r>
      <w:r>
        <w:rPr/>
        <w:t> 解锁期期满上市流通；</w:t>
      </w:r>
    </w:p>
    <w:p>
      <w:pPr>
        <w:pStyle w:val="BodyText"/>
        <w:spacing w:line="316" w:lineRule="auto" w:before="19"/>
        <w:ind w:right="1132" w:firstLine="360"/>
        <w:jc w:val="both"/>
      </w:pPr>
      <w:r>
        <w:rPr>
          <w:spacing w:val="-2"/>
        </w:rPr>
        <w:t>5、公司2016年限制性股票原授予的激励对象冷林勇、李杨、李申、李莘共计4人因个人原因申请离职，根据《上市公司</w:t>
      </w:r>
      <w:r>
        <w:rPr/>
        <w:t> </w:t>
      </w:r>
      <w:r>
        <w:rPr>
          <w:spacing w:val="-4"/>
        </w:rPr>
        <w:t>股权激励管理办法》等有关法律、法规和规范性文件以及《限制性股票激励计划（草案）》的规定，公司对4名激励对象已授</w:t>
      </w:r>
      <w:r>
        <w:rPr>
          <w:spacing w:val="-45"/>
        </w:rPr>
        <w:t> </w:t>
      </w:r>
      <w:r>
        <w:rPr>
          <w:spacing w:val="-45"/>
        </w:rPr>
      </w:r>
      <w:r>
        <w:rPr/>
        <w:t>予尚未解锁的限制性股票合计168,750股进行回购注销。</w:t>
      </w:r>
    </w:p>
    <w:p>
      <w:pPr>
        <w:pStyle w:val="BodyText"/>
        <w:spacing w:line="240" w:lineRule="auto" w:before="59"/>
        <w:ind w:right="952"/>
        <w:jc w:val="left"/>
      </w:pPr>
      <w:r>
        <w:rPr/>
        <w:t>股份变动的批准情况</w:t>
      </w:r>
    </w:p>
    <w:p>
      <w:pPr>
        <w:spacing w:after="0" w:line="240" w:lineRule="auto"/>
        <w:jc w:val="left"/>
        <w:sectPr>
          <w:footerReference w:type="default" r:id="rId18"/>
          <w:pgSz w:w="11910" w:h="16840"/>
          <w:pgMar w:footer="1009" w:header="919" w:top="1120" w:bottom="1200" w:left="1020" w:right="0"/>
          <w:pgNumType w:start="60"/>
        </w:sectPr>
      </w:pPr>
    </w:p>
    <w:p>
      <w:pPr>
        <w:spacing w:line="240" w:lineRule="auto" w:before="12"/>
        <w:rPr>
          <w:rFonts w:ascii="宋体" w:hAnsi="宋体" w:cs="宋体" w:eastAsia="宋体" w:hint="default"/>
          <w:sz w:val="20"/>
          <w:szCs w:val="20"/>
        </w:rPr>
      </w:pPr>
    </w:p>
    <w:p>
      <w:pPr>
        <w:pStyle w:val="BodyText"/>
        <w:spacing w:line="357" w:lineRule="auto" w:before="44"/>
        <w:ind w:left="472" w:right="1124" w:hanging="360"/>
        <w:jc w:val="left"/>
      </w:pPr>
      <w:r>
        <w:rPr/>
        <w:t>√ 适用 □ 不适用 1、公司选举赵欣先生为公司第三届董事会非独立董事，已经过第三届董事会第十九次会议、2019年第一次临时股东大</w:t>
      </w:r>
    </w:p>
    <w:p>
      <w:pPr>
        <w:pStyle w:val="BodyText"/>
        <w:spacing w:line="224" w:lineRule="exact"/>
        <w:ind w:right="952"/>
        <w:jc w:val="left"/>
      </w:pPr>
      <w:hyperlink r:id="rId12">
        <w:r>
          <w:rPr/>
          <w:t>会审议通过，详细信息参见公司在巨潮资讯网（www.cninfo.com.cn</w:t>
        </w:r>
      </w:hyperlink>
      <w:r>
        <w:rPr/>
        <w:t>）的相关公告。</w:t>
      </w:r>
    </w:p>
    <w:p>
      <w:pPr>
        <w:pStyle w:val="BodyText"/>
        <w:spacing w:line="240" w:lineRule="auto" w:before="76"/>
        <w:ind w:left="472" w:right="952"/>
        <w:jc w:val="left"/>
      </w:pPr>
      <w:r>
        <w:rPr/>
        <w:t>2、公司聘任赵欣先生为公司副总经理，已经过第三届董事会第二十次会议审议通过，详细信息参见公司在巨潮资讯网</w:t>
      </w:r>
    </w:p>
    <w:p>
      <w:pPr>
        <w:pStyle w:val="BodyText"/>
        <w:spacing w:line="316" w:lineRule="auto" w:before="76"/>
        <w:ind w:left="472" w:right="1124" w:hanging="360"/>
        <w:jc w:val="left"/>
      </w:pPr>
      <w:hyperlink r:id="rId12">
        <w:r>
          <w:rPr/>
          <w:t>（www.cninfo.com.cn</w:t>
        </w:r>
      </w:hyperlink>
      <w:r>
        <w:rPr/>
        <w:t>）的相关公告。</w:t>
      </w:r>
      <w:r>
        <w:rPr/>
        <w:t> 3、公司2016年限制性股票激励计划第二个解锁期解锁股份上市流通，已经过公司第三届董事会第二十一次会议、第三</w:t>
      </w:r>
    </w:p>
    <w:p>
      <w:pPr>
        <w:pStyle w:val="BodyText"/>
        <w:spacing w:line="316" w:lineRule="auto" w:before="19"/>
        <w:ind w:left="472" w:right="952" w:hanging="360"/>
        <w:jc w:val="left"/>
      </w:pPr>
      <w:hyperlink r:id="rId12">
        <w:r>
          <w:rPr/>
          <w:t>届监事会第十七次会议审议通过，详细信息参见公司在巨潮资讯网（www.cninfo.com.cn</w:t>
        </w:r>
      </w:hyperlink>
      <w:r>
        <w:rPr/>
        <w:t>）的相关公告。</w:t>
      </w:r>
      <w:r>
        <w:rPr/>
        <w:t> </w:t>
      </w:r>
      <w:r>
        <w:rPr>
          <w:spacing w:val="-2"/>
        </w:rPr>
        <w:t>4、公司对4名激励对象已授予尚未解锁的限制性股票进行回购注销，已经过公司第三届董事会第十八次会议、第三届监</w:t>
      </w:r>
    </w:p>
    <w:p>
      <w:pPr>
        <w:pStyle w:val="BodyText"/>
        <w:spacing w:line="240" w:lineRule="auto" w:before="19"/>
        <w:ind w:right="952"/>
        <w:jc w:val="left"/>
      </w:pPr>
      <w:hyperlink r:id="rId12">
        <w:r>
          <w:rPr/>
          <w:t>事会第十七次会议审议通过，详细信息参见公司在巨潮资讯网（www.cninfo.com.cn</w:t>
        </w:r>
      </w:hyperlink>
      <w:r>
        <w:rPr/>
        <w:t>）的相关公告。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952"/>
        <w:jc w:val="left"/>
      </w:pPr>
      <w:r>
        <w:rPr/>
        <w:t>股份变动的过户情况</w:t>
      </w:r>
    </w:p>
    <w:p>
      <w:pPr>
        <w:pStyle w:val="BodyText"/>
        <w:spacing w:line="357" w:lineRule="auto" w:before="117"/>
        <w:ind w:right="7154"/>
        <w:jc w:val="left"/>
      </w:pPr>
      <w:r>
        <w:rPr/>
        <w:t>√ 适用 □ 不适用 报告期内，公司历次股份变动已经过户完毕。 股份回购的实施进展情况</w:t>
      </w:r>
    </w:p>
    <w:p>
      <w:pPr>
        <w:pStyle w:val="BodyText"/>
        <w:spacing w:line="357" w:lineRule="auto" w:before="29"/>
        <w:ind w:left="292" w:right="952" w:hanging="180"/>
        <w:jc w:val="left"/>
      </w:pPr>
      <w:r>
        <w:rPr/>
        <w:t>√适用 □</w:t>
      </w:r>
      <w:r>
        <w:rPr>
          <w:spacing w:val="-1"/>
        </w:rPr>
        <w:t> </w:t>
      </w:r>
      <w:r>
        <w:rPr/>
        <w:t>不适用</w:t>
      </w:r>
      <w:r>
        <w:rPr/>
        <w:t> </w:t>
      </w:r>
      <w:r>
        <w:rPr>
          <w:spacing w:val="-2"/>
        </w:rPr>
        <w:t>1、公司2016年限制性股票原授予的激励对象冷林勇、李杨、李申、李莘共计4人因个人原因申请离职，经公司第三届董事</w:t>
      </w:r>
    </w:p>
    <w:p>
      <w:pPr>
        <w:pStyle w:val="BodyText"/>
        <w:spacing w:line="224" w:lineRule="exact"/>
        <w:ind w:right="952"/>
        <w:jc w:val="left"/>
      </w:pPr>
      <w:r>
        <w:rPr/>
        <w:t>会第十八次会议和第三届监事会第十七次会议审议通过</w:t>
      </w:r>
      <w:r>
        <w:rPr>
          <w:spacing w:val="-82"/>
        </w:rPr>
        <w:t>，</w:t>
      </w:r>
      <w:r>
        <w:rPr/>
        <w:t>同意对</w:t>
      </w:r>
      <w:r>
        <w:rPr>
          <w:spacing w:val="1"/>
        </w:rPr>
        <w:t>4</w:t>
      </w:r>
      <w:r>
        <w:rPr/>
        <w:t>名激励对象已授予尚未解锁的限制性股票合计</w:t>
      </w:r>
      <w:r>
        <w:rPr>
          <w:spacing w:val="1"/>
        </w:rPr>
        <w:t>1</w:t>
      </w:r>
      <w:r>
        <w:rPr>
          <w:spacing w:val="-2"/>
        </w:rPr>
        <w:t>6</w:t>
      </w:r>
      <w:r>
        <w:rPr>
          <w:spacing w:val="1"/>
        </w:rPr>
        <w:t>8</w:t>
      </w:r>
      <w:r>
        <w:rPr>
          <w:spacing w:val="-2"/>
        </w:rPr>
        <w:t>,</w:t>
      </w:r>
      <w:r>
        <w:rPr>
          <w:spacing w:val="1"/>
        </w:rPr>
        <w:t>7</w:t>
      </w:r>
      <w:r>
        <w:rPr>
          <w:spacing w:val="-2"/>
        </w:rPr>
        <w:t>50</w:t>
      </w:r>
      <w:r>
        <w:rPr/>
        <w:t>股进</w:t>
      </w:r>
    </w:p>
    <w:p>
      <w:pPr>
        <w:pStyle w:val="BodyText"/>
        <w:spacing w:line="312" w:lineRule="auto" w:before="76"/>
        <w:ind w:right="1034"/>
        <w:jc w:val="left"/>
      </w:pPr>
      <w:r>
        <w:rPr/>
        <w:t>行回购注销，回购价格9.398元/股，回购总金额1,585,912.50元。本次限制性股票回购注销事宜已于2018年11月28日完成， 本次回购注销完成后，公司股份总数由742,383,330股变更为742,214,580股</w:t>
      </w:r>
      <w:r>
        <w:rPr>
          <w:sz w:val="21"/>
          <w:szCs w:val="21"/>
        </w:rPr>
        <w:t>。</w:t>
      </w:r>
      <w:r>
        <w:rPr>
          <w:w w:val="99"/>
          <w:sz w:val="21"/>
          <w:szCs w:val="21"/>
        </w:rPr>
        <w:t> </w:t>
      </w:r>
      <w:r>
        <w:rPr/>
        <w:t>采用集中竞价方式减持回购股份的实施进展情况</w:t>
      </w:r>
    </w:p>
    <w:p>
      <w:pPr>
        <w:pStyle w:val="BodyText"/>
        <w:spacing w:line="357" w:lineRule="auto" w:before="63"/>
        <w:ind w:right="1394"/>
        <w:jc w:val="left"/>
      </w:pPr>
      <w:r>
        <w:rPr/>
        <w:t>□ 适用 √ 不适用 股份变动对最近一年和最近一期基本每股收益和稀释每股收益、归属于公司普通股股东的每股净资产等财务指标的影响</w:t>
      </w:r>
    </w:p>
    <w:p>
      <w:pPr>
        <w:pStyle w:val="BodyText"/>
        <w:spacing w:line="360" w:lineRule="auto" w:before="29"/>
        <w:ind w:right="6794"/>
        <w:jc w:val="left"/>
      </w:pPr>
      <w:r>
        <w:rPr/>
        <w:t>□ 适用 √ 不适用 公司认为必要或证券监管机构要求披露的其他内容</w:t>
      </w:r>
    </w:p>
    <w:p>
      <w:pPr>
        <w:pStyle w:val="BodyText"/>
        <w:spacing w:line="240" w:lineRule="auto" w:before="25"/>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5"/>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13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5" w:right="133"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132,255,527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132,255,529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高管锁定股； 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日解锁</w:t>
            </w:r>
          </w:p>
          <w:p>
            <w:pPr>
              <w:pStyle w:val="TableParagraph"/>
              <w:spacing w:line="240" w:lineRule="auto" w:before="7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18,833,330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32,862,937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32,862,937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67"/>
              <w:jc w:val="left"/>
              <w:rPr>
                <w:rFonts w:ascii="宋体" w:hAnsi="宋体" w:cs="宋体" w:eastAsia="宋体" w:hint="default"/>
                <w:sz w:val="18"/>
                <w:szCs w:val="18"/>
              </w:rPr>
            </w:pPr>
            <w:r>
              <w:rPr>
                <w:rFonts w:ascii="宋体" w:hAnsi="宋体" w:cs="宋体" w:eastAsia="宋体" w:hint="default"/>
                <w:sz w:val="18"/>
                <w:szCs w:val="18"/>
              </w:rPr>
              <w:t>按相关法规办 理</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32,336,150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8,084,038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24,252,112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67"/>
              <w:jc w:val="left"/>
              <w:rPr>
                <w:rFonts w:ascii="宋体" w:hAnsi="宋体" w:cs="宋体" w:eastAsia="宋体" w:hint="default"/>
                <w:sz w:val="18"/>
                <w:szCs w:val="18"/>
              </w:rPr>
            </w:pPr>
            <w:r>
              <w:rPr>
                <w:rFonts w:ascii="宋体" w:hAnsi="宋体" w:cs="宋体" w:eastAsia="宋体" w:hint="default"/>
                <w:sz w:val="18"/>
                <w:szCs w:val="18"/>
              </w:rPr>
              <w:t>按相关法规办 理</w:t>
            </w:r>
          </w:p>
        </w:tc>
      </w:tr>
      <w:tr>
        <w:trPr>
          <w:trHeight w:val="71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18,688,910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2,311,090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67"/>
              <w:jc w:val="left"/>
              <w:rPr>
                <w:rFonts w:ascii="宋体" w:hAnsi="宋体" w:cs="宋体" w:eastAsia="宋体" w:hint="default"/>
                <w:sz w:val="18"/>
                <w:szCs w:val="18"/>
              </w:rPr>
            </w:pPr>
            <w:r>
              <w:rPr>
                <w:rFonts w:ascii="宋体" w:hAnsi="宋体" w:cs="宋体" w:eastAsia="宋体" w:hint="default"/>
                <w:sz w:val="18"/>
                <w:szCs w:val="18"/>
              </w:rPr>
              <w:t>按相关法规办 理</w:t>
            </w:r>
          </w:p>
        </w:tc>
      </w:tr>
    </w:tbl>
    <w:p>
      <w:pPr>
        <w:spacing w:after="0" w:line="316"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11,546,662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3,848,888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15,395,550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102"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日解锁持有公 司股份总数的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309" w:lineRule="auto"/>
              <w:ind w:left="102" w:right="16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日解锁持 有公司股份总 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67"/>
              <w:jc w:val="left"/>
              <w:rPr>
                <w:rFonts w:ascii="宋体" w:hAnsi="宋体" w:cs="宋体" w:eastAsia="宋体" w:hint="default"/>
                <w:sz w:val="18"/>
                <w:szCs w:val="18"/>
              </w:rPr>
            </w:pPr>
            <w:r>
              <w:rPr>
                <w:rFonts w:ascii="宋体" w:hAnsi="宋体" w:cs="宋体" w:eastAsia="宋体" w:hint="default"/>
                <w:sz w:val="18"/>
                <w:szCs w:val="18"/>
              </w:rPr>
              <w:t>按相关法规办 理</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68"/>
              <w:jc w:val="left"/>
              <w:rPr>
                <w:rFonts w:ascii="宋体" w:hAnsi="宋体" w:cs="宋体" w:eastAsia="宋体" w:hint="default"/>
                <w:sz w:val="18"/>
                <w:szCs w:val="18"/>
              </w:rPr>
            </w:pPr>
            <w:r>
              <w:rPr>
                <w:rFonts w:ascii="宋体" w:hAnsi="宋体" w:cs="宋体" w:eastAsia="宋体" w:hint="default"/>
                <w:sz w:val="18"/>
                <w:szCs w:val="18"/>
              </w:rPr>
              <w:t>其他股权激励 限售股股东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4,995,000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3,753,750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2" w:right="123"/>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 激励计划（草 案）的有关规 定执行解锁。</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232,685,186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9,325,288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6,167,580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229,527,478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52"/>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472" w:right="1124" w:hanging="360"/>
        <w:jc w:val="left"/>
      </w:pPr>
      <w:r>
        <w:rPr/>
        <w:t>√ 适用 □ 不适用 公司2016年限制性股票原授予的激励对象冷林勇、李杨、李申、李莘共计4人因个人原因申请离职，经公司第三届董事</w:t>
      </w:r>
    </w:p>
    <w:p>
      <w:pPr>
        <w:pStyle w:val="BodyText"/>
        <w:spacing w:line="222" w:lineRule="exact"/>
        <w:ind w:right="952"/>
        <w:jc w:val="left"/>
      </w:pPr>
      <w:r>
        <w:rPr/>
        <w:t>会第十八次会议和第三届监事会第十七次会议审议通过</w:t>
      </w:r>
      <w:r>
        <w:rPr>
          <w:spacing w:val="-82"/>
        </w:rPr>
        <w:t>，</w:t>
      </w:r>
      <w:r>
        <w:rPr/>
        <w:t>同意对</w:t>
      </w:r>
      <w:r>
        <w:rPr>
          <w:spacing w:val="1"/>
        </w:rPr>
        <w:t>4</w:t>
      </w:r>
      <w:r>
        <w:rPr/>
        <w:t>名激励对象已授予尚未解锁的限制性股票合计</w:t>
      </w:r>
      <w:r>
        <w:rPr>
          <w:spacing w:val="1"/>
        </w:rPr>
        <w:t>1</w:t>
      </w:r>
      <w:r>
        <w:rPr>
          <w:spacing w:val="-2"/>
        </w:rPr>
        <w:t>6</w:t>
      </w:r>
      <w:r>
        <w:rPr>
          <w:spacing w:val="1"/>
        </w:rPr>
        <w:t>8</w:t>
      </w:r>
      <w:r>
        <w:rPr>
          <w:spacing w:val="-2"/>
        </w:rPr>
        <w:t>,</w:t>
      </w:r>
      <w:r>
        <w:rPr>
          <w:spacing w:val="1"/>
        </w:rPr>
        <w:t>7</w:t>
      </w:r>
      <w:r>
        <w:rPr>
          <w:spacing w:val="-2"/>
        </w:rPr>
        <w:t>50</w:t>
      </w:r>
      <w:r>
        <w:rPr/>
        <w:t>股进</w:t>
      </w:r>
    </w:p>
    <w:p>
      <w:pPr>
        <w:pStyle w:val="BodyText"/>
        <w:spacing w:line="292" w:lineRule="auto" w:before="76"/>
        <w:ind w:right="1034"/>
        <w:jc w:val="left"/>
        <w:rPr>
          <w:sz w:val="21"/>
          <w:szCs w:val="21"/>
        </w:rPr>
      </w:pPr>
      <w:r>
        <w:rPr/>
        <w:t>行回购注销，回购价格9.398元/股，回购总金额1,585,912.50元。本次限制性股票回购注销事宜已于2018年11月28日完成， 本次回购注销完成后，公司股份总数由742,383,330股变更为742,214,580股</w:t>
      </w:r>
      <w:r>
        <w:rPr>
          <w:sz w:val="21"/>
          <w:szCs w:val="21"/>
        </w:rPr>
        <w:t>。</w:t>
      </w:r>
    </w:p>
    <w:p>
      <w:pPr>
        <w:spacing w:line="240" w:lineRule="auto" w:before="3"/>
        <w:rPr>
          <w:rFonts w:ascii="宋体" w:hAnsi="宋体" w:cs="宋体" w:eastAsia="宋体" w:hint="default"/>
          <w:sz w:val="22"/>
          <w:szCs w:val="22"/>
        </w:rPr>
      </w:pPr>
    </w:p>
    <w:p>
      <w:pPr>
        <w:pStyle w:val="Heading3"/>
        <w:spacing w:line="240" w:lineRule="auto"/>
        <w:ind w:right="952"/>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796"/>
        <w:gridCol w:w="1462"/>
        <w:gridCol w:w="1195"/>
        <w:gridCol w:w="1329"/>
        <w:gridCol w:w="1063"/>
        <w:gridCol w:w="1329"/>
        <w:gridCol w:w="1059"/>
      </w:tblGrid>
      <w:tr>
        <w:trPr>
          <w:trHeight w:val="366" w:hRule="exact"/>
        </w:trPr>
        <w:tc>
          <w:tcPr>
            <w:tcW w:w="13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195"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69"/>
              <w:ind w:left="102" w:right="0"/>
              <w:jc w:val="left"/>
              <w:rPr>
                <w:rFonts w:ascii="宋体" w:hAnsi="宋体" w:cs="宋体" w:eastAsia="宋体" w:hint="default"/>
                <w:sz w:val="18"/>
                <w:szCs w:val="18"/>
              </w:rPr>
            </w:pPr>
            <w:r>
              <w:rPr>
                <w:rFonts w:ascii="宋体" w:hAnsi="宋体" w:cs="宋体" w:eastAsia="宋体" w:hint="default"/>
                <w:sz w:val="18"/>
                <w:szCs w:val="18"/>
              </w:rPr>
              <w:t>报告期末表决</w:t>
            </w:r>
          </w:p>
        </w:tc>
        <w:tc>
          <w:tcPr>
            <w:tcW w:w="1063"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
              <w:ind w:left="101" w:right="14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48,418</w:t>
            </w:r>
          </w:p>
        </w:tc>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
              <w:ind w:left="103" w:right="267"/>
              <w:jc w:val="left"/>
              <w:rPr>
                <w:rFonts w:ascii="宋体" w:hAnsi="宋体" w:cs="宋体" w:eastAsia="宋体" w:hint="default"/>
                <w:sz w:val="18"/>
                <w:szCs w:val="18"/>
              </w:rPr>
            </w:pPr>
            <w:r>
              <w:rPr>
                <w:rFonts w:ascii="宋体" w:hAnsi="宋体" w:cs="宋体" w:eastAsia="宋体" w:hint="default"/>
                <w:sz w:val="18"/>
                <w:szCs w:val="18"/>
              </w:rPr>
              <w:t>日前上一月末 普通股股东总</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48,877</w:t>
            </w: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20"/>
              <w:ind w:left="102" w:right="134"/>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20"/>
              <w:ind w:left="103" w:right="133"/>
              <w:jc w:val="left"/>
              <w:rPr>
                <w:rFonts w:ascii="宋体" w:hAnsi="宋体" w:cs="宋体" w:eastAsia="宋体" w:hint="default"/>
                <w:sz w:val="18"/>
                <w:szCs w:val="18"/>
              </w:rPr>
            </w:pPr>
            <w:r>
              <w:rPr>
                <w:rFonts w:ascii="宋体" w:hAnsi="宋体" w:cs="宋体" w:eastAsia="宋体" w:hint="default"/>
                <w:sz w:val="18"/>
                <w:szCs w:val="18"/>
              </w:rPr>
              <w:t>日前上一月末 表决权恢复的</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46" w:hRule="exact"/>
        </w:trPr>
        <w:tc>
          <w:tcPr>
            <w:tcW w:w="13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195"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47"/>
                <w:sz w:val="18"/>
                <w:szCs w:val="18"/>
              </w:rPr>
              <w:t>）</w:t>
            </w:r>
            <w:r>
              <w:rPr>
                <w:rFonts w:ascii="宋体" w:hAnsi="宋体" w:cs="宋体" w:eastAsia="宋体" w:hint="default"/>
                <w:sz w:val="18"/>
                <w:szCs w:val="18"/>
              </w:rPr>
              <w:t>（参见</w:t>
            </w:r>
          </w:p>
        </w:tc>
        <w:tc>
          <w:tcPr>
            <w:tcW w:w="1063"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优先股股东总</w:t>
            </w:r>
          </w:p>
        </w:tc>
        <w:tc>
          <w:tcPr>
            <w:tcW w:w="105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674"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57" w:type="dxa"/>
            <w:gridSpan w:val="2"/>
            <w:tcBorders>
              <w:top w:val="single" w:sz="4" w:space="0" w:color="000000"/>
              <w:left w:val="single" w:sz="4" w:space="0" w:color="000000"/>
              <w:bottom w:val="single" w:sz="4" w:space="0" w:color="000000"/>
              <w:right w:val="single" w:sz="4" w:space="0" w:color="000000"/>
            </w:tcBorders>
          </w:tcPr>
          <w:p>
            <w:pP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22"/>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9" w:right="118"/>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pacing w:val="-1"/>
                <w:sz w:val="18"/>
              </w:rPr>
              <w:t>23.00%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170,74</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0,705</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132,25</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5,529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38,485,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94,560,000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6.49%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48,147,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300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48,147,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35,617,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-8,200,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32,862,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937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2,754,3</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31,336,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150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24,252,</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pacing w:val="-2"/>
                <w:sz w:val="18"/>
              </w:rPr>
              <w:t>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7,084,0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3,300,000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27,836,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150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27,836,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3.36%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24,918,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550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3,918,5</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both"/>
              <w:rPr>
                <w:rFonts w:ascii="宋体" w:hAnsi="宋体" w:cs="宋体" w:eastAsia="宋体" w:hint="default"/>
                <w:sz w:val="18"/>
                <w:szCs w:val="18"/>
              </w:rPr>
            </w:pPr>
            <w:r>
              <w:rPr>
                <w:rFonts w:ascii="宋体" w:hAnsi="宋体" w:cs="宋体" w:eastAsia="宋体" w:hint="default"/>
                <w:sz w:val="18"/>
                <w:szCs w:val="18"/>
              </w:rPr>
              <w:t>深圳市大蓝筹 基金管理有限 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4" w:right="21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2.37%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17,604,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100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17,604,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17,604,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2.07%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15,395,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550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15,395,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550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5,300,000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left"/>
              <w:rPr>
                <w:rFonts w:ascii="宋体" w:hAnsi="宋体" w:cs="宋体" w:eastAsia="宋体" w:hint="default"/>
                <w:sz w:val="18"/>
                <w:szCs w:val="18"/>
              </w:rPr>
            </w:pPr>
            <w:r>
              <w:rPr>
                <w:rFonts w:ascii="宋体" w:hAnsi="宋体" w:cs="宋体" w:eastAsia="宋体" w:hint="default"/>
                <w:sz w:val="18"/>
                <w:szCs w:val="18"/>
              </w:rPr>
              <w:t>中信证券股份 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15,021,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15,021,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15,021,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55"/>
              <w:jc w:val="left"/>
              <w:rPr>
                <w:rFonts w:ascii="宋体" w:hAnsi="宋体" w:cs="宋体" w:eastAsia="宋体" w:hint="default"/>
                <w:sz w:val="18"/>
                <w:szCs w:val="18"/>
              </w:rPr>
            </w:pPr>
            <w:r>
              <w:rPr>
                <w:rFonts w:ascii="宋体" w:hAnsi="宋体" w:cs="宋体" w:eastAsia="宋体" w:hint="default"/>
                <w:sz w:val="18"/>
                <w:szCs w:val="18"/>
              </w:rPr>
              <w:t>中国工商银行 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易方达创业板 交易型开放式 指数证券投资 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1.26%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7,297,7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唐球与鄢建红为夫妻关系，鄢建红与鄢建兵为姐弟关系。</w:t>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0"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80"/>
        <w:gridCol w:w="3989"/>
        <w:gridCol w:w="1349"/>
        <w:gridCol w:w="1349"/>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48,147,300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48,147,300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38,485,176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38,485,176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27,836,150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27,836,150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深圳市大蓝筹基金管理有限公司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17,604,100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17,604,100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15,021,000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15,021,000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26"/>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易方 达创业板交易型开放式指数证券 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9,347,062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9,347,062</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26"/>
              <w:jc w:val="both"/>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华安 创业板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 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7,957,951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7,957,951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7,084,038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7,084,038</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86"/>
              <w:jc w:val="left"/>
              <w:rPr>
                <w:rFonts w:ascii="宋体" w:hAnsi="宋体" w:cs="宋体" w:eastAsia="宋体" w:hint="default"/>
                <w:sz w:val="18"/>
                <w:szCs w:val="18"/>
              </w:rPr>
            </w:pPr>
            <w:r>
              <w:rPr>
                <w:rFonts w:ascii="宋体" w:hAnsi="宋体" w:cs="宋体" w:eastAsia="宋体" w:hint="default"/>
                <w:sz w:val="18"/>
                <w:szCs w:val="18"/>
              </w:rPr>
              <w:t>中银基金公司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中行</w:t>
            </w:r>
            <w:r>
              <w:rPr>
                <w:rFonts w:ascii="Times New Roman" w:hAnsi="Times New Roman" w:cs="Times New Roman" w:eastAsia="Times New Roman" w:hint="default"/>
                <w:sz w:val="18"/>
                <w:szCs w:val="18"/>
              </w:rPr>
              <w:t>--</w:t>
            </w:r>
            <w:r>
              <w:rPr>
                <w:rFonts w:ascii="宋体" w:hAnsi="宋体" w:cs="宋体" w:eastAsia="宋体" w:hint="default"/>
                <w:sz w:val="18"/>
                <w:szCs w:val="18"/>
              </w:rPr>
              <w:t>中国银行股 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5,910,950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5,910,950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26"/>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 富社会责任混合型证券投资基金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5,673,552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5,673,552</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101"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唐球与鄢建红为夫妻关系，鄢建红与鄢建兵为姐弟关系。</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52"/>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952"/>
        <w:jc w:val="left"/>
      </w:pPr>
      <w:r>
        <w:rPr/>
        <w:t>□ 是 √ 否</w:t>
      </w:r>
    </w:p>
    <w:p>
      <w:pPr>
        <w:pStyle w:val="BodyText"/>
        <w:spacing w:line="240" w:lineRule="auto" w:before="115"/>
        <w:ind w:right="952"/>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952"/>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3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15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唐球先生，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月任深圳市赢时胜信息技术有限公司执</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5"/>
                <w:sz w:val="18"/>
                <w:szCs w:val="18"/>
              </w:rPr>
              <w:t>行董事、总经理；</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月起任深圳市赢时胜信息技术股份有限公司董事</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3"/>
                <w:sz w:val="18"/>
                <w:szCs w:val="18"/>
              </w:rPr>
              <w:t>长、总经理。</w:t>
            </w:r>
            <w:r>
              <w:rPr>
                <w:rFonts w:ascii="宋体" w:hAnsi="宋体" w:cs="宋体" w:eastAsia="宋体" w:hint="default"/>
                <w:spacing w:val="-20"/>
                <w:sz w:val="18"/>
                <w:szCs w:val="18"/>
              </w:rPr>
              <w:t> </w:t>
            </w:r>
            <w:r>
              <w:rPr>
                <w:rFonts w:ascii="宋体" w:hAnsi="宋体" w:cs="宋体" w:eastAsia="宋体" w:hint="default"/>
                <w:sz w:val="18"/>
                <w:szCs w:val="18"/>
              </w:rPr>
              <w:t>鄢建红女士，</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月任深圳市赢时胜信息</w:t>
            </w:r>
          </w:p>
        </w:tc>
      </w:tr>
      <w:tr>
        <w:trPr>
          <w:trHeight w:val="312" w:hRule="exact"/>
        </w:trPr>
        <w:tc>
          <w:tcPr>
            <w:tcW w:w="3417"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4"/>
                <w:sz w:val="18"/>
                <w:szCs w:val="18"/>
              </w:rPr>
              <w:t>技术有限公司财务负责人；</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月起任深圳市赢时胜信息技术股份有限</w:t>
            </w:r>
          </w:p>
        </w:tc>
      </w:tr>
      <w:tr>
        <w:trPr>
          <w:trHeight w:val="351" w:hRule="exact"/>
        </w:trPr>
        <w:tc>
          <w:tcPr>
            <w:tcW w:w="3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5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公司董事。</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1"/>
        <w:rPr>
          <w:rFonts w:ascii="宋体" w:hAnsi="宋体" w:cs="宋体" w:eastAsia="宋体" w:hint="default"/>
          <w:sz w:val="23"/>
          <w:szCs w:val="23"/>
        </w:rPr>
      </w:pPr>
    </w:p>
    <w:p>
      <w:pPr>
        <w:spacing w:line="728" w:lineRule="exact"/>
        <w:ind w:left="10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450pt;mso-position-horizontal-relative:char;mso-position-vertical-relative:line" coordorigin="0,0" coordsize="9587,729">
            <v:group style="position:absolute;left:13;top:13;width:3412;height:709" coordorigin="13,13" coordsize="3412,709">
              <v:shape style="position:absolute;left:13;top:13;width:3412;height:709" coordorigin="13,13" coordsize="3412,709" path="m13,13l3425,13,3425,722,13,722,13,13xe" filled="true" fillcolor="#d2d2d2" stroked="false">
                <v:path arrowok="t"/>
                <v:fill type="solid"/>
              </v:shape>
            </v:group>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724;width:9577;height:2" coordorigin="5,724" coordsize="9577,2">
              <v:shape style="position:absolute;left:5;top:724;width:9577;height:2" coordorigin="5,724" coordsize="9577,0" path="m5,724l9581,724e" filled="false" stroked="true" strokeweight=".48pt" strokecolor="#000000">
                <v:path arrowok="t"/>
              </v:shape>
            </v:group>
            <v:group style="position:absolute;left:10;top:5;width:2;height:714" coordorigin="10,5" coordsize="2,714">
              <v:shape style="position:absolute;left:10;top:5;width:2;height:714" coordorigin="10,5" coordsize="0,714" path="m10,5l10,719e" filled="false" stroked="true" strokeweight=".48pt" strokecolor="#000000">
                <v:path arrowok="t"/>
              </v:shape>
            </v:group>
            <v:group style="position:absolute;left:3427;top:5;width:2;height:714" coordorigin="3427,5" coordsize="2,714">
              <v:shape style="position:absolute;left:3427;top:5;width:2;height:714" coordorigin="3427,5" coordsize="0,714" path="m3427,5l3427,719e" filled="false" stroked="true" strokeweight=".48pt" strokecolor="#000000">
                <v:path arrowok="t"/>
              </v:shape>
            </v:group>
            <v:group style="position:absolute;left:9577;top:5;width:2;height:714" coordorigin="9577,5" coordsize="2,714">
              <v:shape style="position:absolute;left:9577;top:5;width:2;height:714" coordorigin="9577,5" coordsize="0,714" path="m9577,5l9577,719e" filled="false" stroked="true" strokeweight=".48pt" strokecolor="#000000">
                <v:path arrowok="t"/>
              </v:shape>
              <v:shape style="position:absolute;left:10;top:10;width:3417;height:714" type="#_x0000_t202" filled="false" stroked="false">
                <v:textbox inset="0,0,0,0">
                  <w:txbxContent>
                    <w:p>
                      <w:pPr>
                        <w:spacing w:line="316" w:lineRule="auto" w:before="54"/>
                        <w:ind w:left="106" w:right="248" w:firstLine="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xbxContent>
                </v:textbox>
                <w10:wrap type="none"/>
              </v:shape>
              <v:shape style="position:absolute;left:3534;top:2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14"/>
          <w:sz w:val="20"/>
          <w:szCs w:val="20"/>
        </w:rPr>
      </w:r>
    </w:p>
    <w:p>
      <w:pPr>
        <w:pStyle w:val="BodyText"/>
        <w:spacing w:line="240" w:lineRule="auto" w:before="51"/>
        <w:ind w:right="952"/>
        <w:jc w:val="left"/>
      </w:pPr>
      <w:r>
        <w:rPr/>
        <w:t>控股股东报告期内变更</w:t>
      </w:r>
    </w:p>
    <w:p>
      <w:pPr>
        <w:pStyle w:val="BodyText"/>
        <w:spacing w:line="357" w:lineRule="auto" w:before="117"/>
        <w:ind w:right="7694"/>
        <w:jc w:val="left"/>
      </w:pPr>
      <w:r>
        <w:rPr/>
        <w:t>□ 适用 √ 不适用 公司报告期控股股东未发生变更。</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7"/>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0"/>
              <w:jc w:val="left"/>
              <w:rPr>
                <w:rFonts w:ascii="宋体" w:hAnsi="宋体" w:cs="宋体" w:eastAsia="宋体" w:hint="default"/>
                <w:sz w:val="18"/>
                <w:szCs w:val="18"/>
              </w:rPr>
            </w:pPr>
            <w:r>
              <w:rPr>
                <w:rFonts w:ascii="宋体" w:hAnsi="宋体" w:cs="宋体" w:eastAsia="宋体" w:hint="default"/>
                <w:sz w:val="18"/>
                <w:szCs w:val="18"/>
              </w:rPr>
              <w:t>唐球先生，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月任深圳市赢时胜信息技术有限公司执行董事、总经 </w:t>
            </w:r>
            <w:r>
              <w:rPr>
                <w:rFonts w:ascii="宋体" w:hAnsi="宋体" w:cs="宋体" w:eastAsia="宋体" w:hint="default"/>
                <w:spacing w:val="-6"/>
                <w:sz w:val="18"/>
                <w:szCs w:val="18"/>
              </w:rPr>
              <w:t>理；</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月起任深圳市赢时胜信息技术股份有限公司董事长、总经理；</w:t>
            </w:r>
            <w:r>
              <w:rPr>
                <w:rFonts w:ascii="宋体" w:hAnsi="宋体" w:cs="宋体" w:eastAsia="宋体" w:hint="default"/>
                <w:spacing w:val="-44"/>
                <w:sz w:val="18"/>
                <w:szCs w:val="18"/>
              </w:rPr>
              <w:t> </w:t>
            </w:r>
            <w:r>
              <w:rPr>
                <w:rFonts w:ascii="宋体" w:hAnsi="宋体" w:cs="宋体" w:eastAsia="宋体" w:hint="default"/>
                <w:sz w:val="18"/>
                <w:szCs w:val="18"/>
              </w:rPr>
              <w:t>鄢建红女士，</w:t>
            </w:r>
            <w:r>
              <w:rPr>
                <w:rFonts w:ascii="宋体" w:hAnsi="宋体" w:cs="宋体" w:eastAsia="宋体" w:hint="default"/>
                <w:sz w:val="18"/>
                <w:szCs w:val="18"/>
              </w:rPr>
              <w:t> </w:t>
            </w: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月任深圳市赢时胜信息技术有限公司财务负责人；</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月起</w:t>
            </w:r>
          </w:p>
          <w:p>
            <w:pPr>
              <w:pStyle w:val="TableParagraph"/>
              <w:spacing w:line="300" w:lineRule="auto" w:before="13"/>
              <w:ind w:left="102" w:right="101"/>
              <w:jc w:val="left"/>
              <w:rPr>
                <w:rFonts w:ascii="宋体" w:hAnsi="宋体" w:cs="宋体" w:eastAsia="宋体" w:hint="default"/>
                <w:sz w:val="18"/>
                <w:szCs w:val="18"/>
              </w:rPr>
            </w:pPr>
            <w:r>
              <w:rPr>
                <w:rFonts w:ascii="宋体" w:hAnsi="宋体" w:cs="宋体" w:eastAsia="宋体" w:hint="default"/>
                <w:sz w:val="18"/>
                <w:szCs w:val="18"/>
              </w:rPr>
              <w:t>任深圳市赢时胜信息技术股份有限公司董事。鄢建兵先生，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 深圳市赢时胜信息技术有限公司董事、副总经理；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月起任深圳市赢时胜信息技 术股份有限公司董事。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52"/>
        <w:jc w:val="left"/>
      </w:pPr>
      <w:r>
        <w:rPr/>
        <w:t>实际控制人报告期内变更</w:t>
      </w:r>
    </w:p>
    <w:p>
      <w:pPr>
        <w:pStyle w:val="BodyText"/>
        <w:spacing w:line="357" w:lineRule="auto" w:before="117"/>
        <w:ind w:right="6794"/>
        <w:jc w:val="left"/>
      </w:pPr>
      <w:r>
        <w:rPr/>
        <w:t>□ 适用 √ 不适用 公司报告期实际控制人未发生变更。 公司与实际控制人之间的产权及控制关系的方框图</w:t>
      </w:r>
    </w:p>
    <w:p>
      <w:pPr>
        <w:spacing w:line="240" w:lineRule="auto" w:before="8"/>
        <w:rPr>
          <w:rFonts w:ascii="宋体" w:hAnsi="宋体" w:cs="宋体" w:eastAsia="宋体" w:hint="default"/>
          <w:sz w:val="13"/>
          <w:szCs w:val="13"/>
        </w:rPr>
      </w:pPr>
    </w:p>
    <w:p>
      <w:pPr>
        <w:spacing w:line="3135" w:lineRule="exact"/>
        <w:ind w:left="2522"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075492" cy="199110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3075492" cy="1991106"/>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3"/>
        <w:rPr>
          <w:rFonts w:ascii="宋体" w:hAnsi="宋体" w:cs="宋体" w:eastAsia="宋体" w:hint="default"/>
          <w:sz w:val="14"/>
          <w:szCs w:val="14"/>
        </w:rPr>
      </w:pPr>
    </w:p>
    <w:p>
      <w:pPr>
        <w:pStyle w:val="BodyText"/>
        <w:spacing w:line="240" w:lineRule="auto"/>
        <w:ind w:right="952"/>
        <w:jc w:val="left"/>
      </w:pPr>
      <w:r>
        <w:rPr/>
        <w:t>实际控制人通过信托或其他资产管理方式控制公司</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72" w:right="952" w:hanging="360"/>
        <w:jc w:val="left"/>
      </w:pPr>
      <w:r>
        <w:rPr/>
        <w:t>√ 适用 □ 不适用 </w:t>
      </w:r>
      <w:r>
        <w:rPr>
          <w:spacing w:val="-2"/>
        </w:rPr>
        <w:t>1、2018年8月14日，公司董事会收到董事、副总经理庞军先生的书面辞职申请，庞军先生因个人原因申请辞去公司第三</w:t>
      </w:r>
    </w:p>
    <w:p>
      <w:pPr>
        <w:pStyle w:val="BodyText"/>
        <w:spacing w:line="222" w:lineRule="exact"/>
        <w:ind w:right="952"/>
        <w:jc w:val="left"/>
      </w:pPr>
      <w:r>
        <w:rPr/>
        <w:t>届董事会董事、副总经理职务。截至庞军先生递交辞职申请之日，其持有公司股份15,395,550股，占公司总股份的2.07%，</w:t>
      </w:r>
    </w:p>
    <w:p>
      <w:pPr>
        <w:pStyle w:val="BodyText"/>
        <w:spacing w:line="316" w:lineRule="auto" w:before="76"/>
        <w:ind w:right="952"/>
        <w:jc w:val="left"/>
      </w:pPr>
      <w:r>
        <w:rPr>
          <w:spacing w:val="-2"/>
        </w:rPr>
        <w:t>原定任期为2016年3月4日至2019年3月3日。根据《深圳证券交易所上市公司股东及董事、监事、高级管理人员减持股份实施</w:t>
      </w:r>
      <w:r>
        <w:rPr>
          <w:spacing w:val="-60"/>
        </w:rPr>
        <w:t> </w:t>
      </w:r>
      <w:r>
        <w:rPr>
          <w:spacing w:val="-60"/>
        </w:rPr>
      </w:r>
      <w:r>
        <w:rPr/>
        <w:t>细则》的相关规定，庞军先生离职后半年内不得转让其所持本公司股份。</w:t>
      </w:r>
    </w:p>
    <w:p>
      <w:pPr>
        <w:pStyle w:val="BodyText"/>
        <w:spacing w:line="316" w:lineRule="auto" w:before="19"/>
        <w:ind w:right="952" w:firstLine="360"/>
        <w:jc w:val="left"/>
      </w:pPr>
      <w:r>
        <w:rPr>
          <w:spacing w:val="-2"/>
        </w:rPr>
        <w:t>2、2018年9月7日，公司选举赵欣先生为公司第三届董事会非独立董事并聘任赵欣先生为公司副总经理，按照相关规定，</w:t>
      </w:r>
      <w:r>
        <w:rPr/>
        <w:t> 其持有的股份中有7600股转为高管锁定股。</w:t>
      </w:r>
    </w:p>
    <w:p>
      <w:pPr>
        <w:spacing w:after="0" w:line="316"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247" w:right="952"/>
        <w:jc w:val="left"/>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57" w:lineRule="auto" w:before="44"/>
        <w:ind w:right="8594"/>
        <w:jc w:val="left"/>
      </w:pPr>
      <w:r>
        <w:rPr/>
        <w:t>□ 适用 √ 不适用 报告期公司不存在优先股。</w:t>
      </w:r>
    </w:p>
    <w:p>
      <w:pPr>
        <w:spacing w:after="0" w:line="357"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1643" w:right="952"/>
        <w:jc w:val="left"/>
        <w:rPr>
          <w:b w:val="0"/>
          <w:bCs w:val="0"/>
        </w:rPr>
      </w:pPr>
      <w:bookmarkStart w:name="第八节 董事、监事、高级管理人员和员工情况" w:id="124"/>
      <w:bookmarkEnd w:id="124"/>
      <w:r>
        <w:rPr>
          <w:b w:val="0"/>
          <w:bCs w:val="0"/>
        </w:rPr>
      </w:r>
      <w:bookmarkStart w:name="_bookmark7" w:id="125"/>
      <w:bookmarkEnd w:id="125"/>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52"/>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176,34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0,705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170,74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0,705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43,817,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8,200,0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35,617,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250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32,336,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31,336,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24,918,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24,918,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15,395,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15,395,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董事、 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董事会 秘书、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292,93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3,205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14,800,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278,13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4,005</w:t>
            </w:r>
          </w:p>
        </w:tc>
      </w:tr>
    </w:tbl>
    <w:p>
      <w:pPr>
        <w:spacing w:line="240" w:lineRule="auto" w:before="0"/>
        <w:rPr>
          <w:rFonts w:ascii="宋体" w:hAnsi="宋体" w:cs="宋体" w:eastAsia="宋体" w:hint="default"/>
          <w:b/>
          <w:bCs/>
          <w:sz w:val="18"/>
          <w:szCs w:val="18"/>
        </w:rPr>
      </w:pPr>
    </w:p>
    <w:p>
      <w:pPr>
        <w:pStyle w:val="Heading2"/>
        <w:spacing w:line="240" w:lineRule="auto" w:before="26"/>
        <w:ind w:right="952"/>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35"/>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952"/>
        <w:jc w:val="left"/>
        <w:rPr>
          <w:b w:val="0"/>
          <w:bCs w:val="0"/>
        </w:rPr>
      </w:pPr>
      <w:bookmarkStart w:name="三、任职情况" w:id="128"/>
      <w:bookmarkEnd w:id="128"/>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3734"/>
        <w:jc w:val="left"/>
      </w:pPr>
      <w:r>
        <w:rPr/>
        <w:t>公司现任董事、监事、高级管理人员专业背景、主要工作经历以及目前在公司的主要职责 1、董事会成员</w:t>
      </w:r>
    </w:p>
    <w:p>
      <w:pPr>
        <w:pStyle w:val="BodyText"/>
        <w:spacing w:line="222" w:lineRule="exact"/>
        <w:ind w:right="0" w:firstLine="360"/>
        <w:jc w:val="both"/>
      </w:pPr>
      <w:r>
        <w:rPr/>
        <w:t>（1）唐球先生，1971年出生，中国国籍，无境外居留权，大学本科学历；1993年至1994年任长沙电表厂技术员；1994</w:t>
      </w:r>
    </w:p>
    <w:p>
      <w:pPr>
        <w:pStyle w:val="BodyText"/>
        <w:spacing w:line="316" w:lineRule="auto" w:before="76"/>
        <w:ind w:right="952"/>
        <w:jc w:val="left"/>
      </w:pPr>
      <w:r>
        <w:rPr/>
        <w:t>年至1998年任深圳市深软电子技术有限公司开发工程师；1998年至2001年任深圳市亚美联电子技术有限公司职员；2001年9 月至2004年8月任深圳市赢时胜电子技术有限公司执行董事、总经理；2004年8月至2010年3月任深圳市赢时胜信息技术有限 </w:t>
      </w:r>
      <w:r>
        <w:rPr>
          <w:spacing w:val="-2"/>
        </w:rPr>
        <w:t>公司执行董事、总经理；2010年3月起任深圳市赢时胜信息技术股份有限公司董事长、总经理。唐球先生的董事任职由唐球、</w:t>
      </w:r>
      <w:r>
        <w:rPr>
          <w:spacing w:val="-61"/>
        </w:rPr>
        <w:t> </w:t>
      </w:r>
      <w:r>
        <w:rPr>
          <w:spacing w:val="-61"/>
        </w:rPr>
      </w:r>
      <w:r>
        <w:rPr>
          <w:spacing w:val="-2"/>
        </w:rPr>
        <w:t>鄢建红提名，经公司2010年3月20日召开的创立大会选举产生，任期三年。2013年4月，当选赢时胜第二届董事会董事长、总</w:t>
      </w:r>
      <w:r>
        <w:rPr>
          <w:spacing w:val="-58"/>
        </w:rPr>
        <w:t> </w:t>
      </w:r>
      <w:r>
        <w:rPr>
          <w:spacing w:val="-58"/>
        </w:rPr>
      </w:r>
      <w:r>
        <w:rPr/>
        <w:t>经理，任期三年。2016年3月，继续当选赢时胜第三届董事会董事长、总经理。现任本公司董事长、总经理。</w:t>
      </w:r>
    </w:p>
    <w:p>
      <w:pPr>
        <w:pStyle w:val="BodyText"/>
        <w:spacing w:line="316" w:lineRule="auto" w:before="19"/>
        <w:ind w:right="1132" w:firstLine="360"/>
        <w:jc w:val="both"/>
      </w:pPr>
      <w:r>
        <w:rPr>
          <w:spacing w:val="-2"/>
        </w:rPr>
        <w:t>（2）鄢建红女士，1971年出生，中国国籍，无境外居留权，硕士研究生；1994年9月至1995年12月任深圳市中达信会计</w:t>
      </w:r>
      <w:r>
        <w:rPr/>
        <w:t> </w:t>
      </w:r>
      <w:r>
        <w:rPr>
          <w:spacing w:val="-2"/>
        </w:rPr>
        <w:t>师事务所职员；1996年至1998年任中国水电八局贵阳分局普定电站项目部财务科职员；1998年至2001年任深圳市亚美联电子</w:t>
      </w:r>
      <w:r>
        <w:rPr>
          <w:spacing w:val="-56"/>
        </w:rPr>
        <w:t> </w:t>
      </w:r>
      <w:r>
        <w:rPr>
          <w:spacing w:val="-56"/>
        </w:rPr>
      </w:r>
      <w:r>
        <w:rPr>
          <w:spacing w:val="-2"/>
        </w:rPr>
        <w:t>技术有限公司财务经理；2001年9月至2004年8月任深圳市赢时胜电子技术有限公司财务负责人；2004年8月至2010年3月任深</w:t>
      </w:r>
      <w:r>
        <w:rPr>
          <w:spacing w:val="-54"/>
        </w:rPr>
        <w:t> </w:t>
      </w:r>
      <w:r>
        <w:rPr>
          <w:spacing w:val="-54"/>
        </w:rPr>
      </w:r>
      <w:r>
        <w:rPr/>
        <w:t>圳市赢时胜信息技术有限公司财务负责人；2010年3月起任深圳市赢时胜信息技术股份有限公司董事。鄢建红女士的董事任</w:t>
      </w:r>
      <w:r>
        <w:rPr/>
        <w:t> </w:t>
      </w:r>
      <w:r>
        <w:rPr>
          <w:spacing w:val="-2"/>
        </w:rPr>
        <w:t>职由唐球、鄢建红提名，经公司2010年3月20日召开的创立大会选举产生，任期三年。2013年4月，当选赢时胜第二届董事会</w:t>
      </w:r>
      <w:r>
        <w:rPr>
          <w:spacing w:val="-59"/>
        </w:rPr>
        <w:t> </w:t>
      </w:r>
      <w:r>
        <w:rPr>
          <w:spacing w:val="-59"/>
        </w:rPr>
      </w:r>
      <w:r>
        <w:rPr/>
        <w:t>董事，任期三年。2016年3月，继续当选赢时胜第三届董事会董事。现任本公司董事。</w:t>
      </w:r>
    </w:p>
    <w:p>
      <w:pPr>
        <w:pStyle w:val="BodyText"/>
        <w:spacing w:line="316" w:lineRule="auto" w:before="19"/>
        <w:ind w:right="1132" w:firstLine="360"/>
        <w:jc w:val="both"/>
      </w:pPr>
      <w:r>
        <w:rPr/>
        <w:t>（3）鄢建兵先生，1975年出生，中国国籍，无境外居留权，大学本科学历；1998年至2001年任中国水电八局贵阳分局 </w:t>
      </w:r>
      <w:r>
        <w:rPr>
          <w:spacing w:val="-2"/>
        </w:rPr>
        <w:t>技术员；2001年9月至2004年8月任深圳市赢时胜电子技术有限公司监事；2004年8月至2010年3月任深圳市赢时胜信息技术有</w:t>
      </w:r>
      <w:r>
        <w:rPr>
          <w:spacing w:val="-54"/>
        </w:rPr>
        <w:t> </w:t>
      </w:r>
      <w:r>
        <w:rPr>
          <w:spacing w:val="-54"/>
        </w:rPr>
      </w:r>
      <w:r>
        <w:rPr/>
        <w:t>限公司监事；2010年3月起任深圳市赢时胜信息技术股份有限公司董事、副总经理。鄢建兵先生的董事任职由唐球、鄢建红</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051"/>
        <w:jc w:val="both"/>
      </w:pPr>
      <w:r>
        <w:rPr/>
        <w:t>提名，经公司2010年3月20日召开的创立大会选举产生，任期三年。2013年4月，当选赢时胜第二届董事会董事、副总经理， 任期三年。2016年3月，鄢建兵先生辞任副总经理，继续担任公司董事。现任本公司董事。</w:t>
      </w:r>
    </w:p>
    <w:p>
      <w:pPr>
        <w:pStyle w:val="BodyText"/>
        <w:spacing w:line="316" w:lineRule="auto" w:before="19"/>
        <w:ind w:right="1034" w:firstLine="360"/>
        <w:jc w:val="left"/>
      </w:pPr>
      <w:r>
        <w:rPr>
          <w:spacing w:val="-3"/>
        </w:rPr>
        <w:t>（4）周云杉先生，1978年出生，中国国籍，无境外居留权，硕士研究生；1999年至2000年任三一重工物质部职员；2001</w:t>
      </w:r>
      <w:r>
        <w:rPr/>
        <w:t> </w:t>
      </w:r>
      <w:r>
        <w:rPr>
          <w:spacing w:val="-2"/>
        </w:rPr>
        <w:t>年9月至2004年8月任深圳市赢时胜电子技术有限公司助理总经理；2004年8月至2010年3月任深圳市赢时胜信息技术有限公司</w:t>
      </w:r>
      <w:r>
        <w:rPr>
          <w:spacing w:val="-56"/>
        </w:rPr>
        <w:t> </w:t>
      </w:r>
      <w:r>
        <w:rPr>
          <w:spacing w:val="-56"/>
        </w:rPr>
      </w:r>
      <w:r>
        <w:rPr/>
        <w:t>助理总经理；2010年3月起任深圳市赢时胜信息技术股份有限公司董事、副总经理。周云杉先生的董事任职由唐球、鄢建红</w:t>
      </w:r>
      <w:r>
        <w:rPr/>
        <w:t> 提名，经公司2010年3月20日召开的创立大会选举产生，任期三年。2013年4月，当选赢时胜第二届董事会董事、副总经理， 任期三年。2016年3月，周云杉先生的董事任职获得连任、继续担任公司副总经理。现任本公司董事、副总经理。</w:t>
      </w:r>
    </w:p>
    <w:p>
      <w:pPr>
        <w:pStyle w:val="BodyText"/>
        <w:spacing w:line="316" w:lineRule="auto" w:before="19"/>
        <w:ind w:right="1034" w:firstLine="360"/>
        <w:jc w:val="left"/>
      </w:pPr>
      <w:r>
        <w:rPr/>
        <w:t>（5）赵欣先生，1978年生，中国国籍，无境外居留权，硕士研究生；2004年9月至2007年8月就职于东软集团政府事业 部，历任软件工程师、高级软件工程师、系统架构师；2007年8月至2011年8月就职于东软集团天津分公司，担任技术总监； </w:t>
      </w:r>
      <w:r>
        <w:rPr>
          <w:spacing w:val="-2"/>
        </w:rPr>
        <w:t>2011年8月至2014年9月就职于厦门巨龙软件工程有限公司，担任技术总监；2014年9月至2018年4月就职于深圳市赢时胜信息</w:t>
      </w:r>
      <w:r>
        <w:rPr>
          <w:spacing w:val="-54"/>
        </w:rPr>
        <w:t> </w:t>
      </w:r>
      <w:r>
        <w:rPr>
          <w:spacing w:val="-54"/>
        </w:rPr>
      </w:r>
      <w:r>
        <w:rPr/>
        <w:t>技术股份有限公司，担任研发中心总监和赢时胜公司首席技术官；2018年5月至今就职于深圳市赢时胜信息技术股份有限公</w:t>
      </w:r>
      <w:r>
        <w:rPr/>
        <w:t> 司，担任研究院院长和赢时胜公司首席技术官。2018年8月，赵欣先生当选赢时胜董事、担任公司副总经理，任期至第三届 董事会结束。现任本公司董事、副总经理。</w:t>
      </w:r>
    </w:p>
    <w:p>
      <w:pPr>
        <w:pStyle w:val="BodyText"/>
        <w:spacing w:line="316" w:lineRule="auto" w:before="19"/>
        <w:ind w:right="952" w:firstLine="360"/>
        <w:jc w:val="left"/>
      </w:pPr>
      <w:r>
        <w:rPr>
          <w:spacing w:val="-2"/>
        </w:rPr>
        <w:t>（6）伍国安先生，1966年生，中国国籍，无境外居留权，大学本科学历；1987年7月至2003年10月任湘潭烟草中专学校</w:t>
      </w:r>
      <w:r>
        <w:rPr/>
        <w:t> </w:t>
      </w:r>
      <w:r>
        <w:rPr>
          <w:spacing w:val="-3"/>
        </w:rPr>
        <w:t>教务科财务会计专业讲师；2003年11月至2007年2月任湘潭烟草中专学校（湖南省烟草职工培训中心）财务部主管会计；2007</w:t>
      </w:r>
      <w:r>
        <w:rPr>
          <w:spacing w:val="-85"/>
        </w:rPr>
        <w:t> </w:t>
      </w:r>
      <w:r>
        <w:rPr>
          <w:spacing w:val="-85"/>
        </w:rPr>
      </w:r>
      <w:r>
        <w:rPr/>
        <w:t>年3月至2010年11月湘潭烟草中专学校（湖南省烟草职工培训中心）财务部科长；2010年12月起任深圳市赢时胜信息技术股</w:t>
      </w:r>
      <w:r>
        <w:rPr/>
        <w:t> </w:t>
      </w:r>
      <w:r>
        <w:rPr>
          <w:spacing w:val="-2"/>
        </w:rPr>
        <w:t>份有限公司财务总监。伍国安先生的财务总监任职经2010年12月31日召开的第一届董事会第五次会议聘任。2013年4月28日，</w:t>
      </w:r>
      <w:r>
        <w:rPr>
          <w:spacing w:val="-54"/>
        </w:rPr>
        <w:t> </w:t>
      </w:r>
      <w:r>
        <w:rPr>
          <w:spacing w:val="-54"/>
        </w:rPr>
      </w:r>
      <w:r>
        <w:rPr/>
        <w:t>继续担任公司财务总监，任期三年。2016年3月，当选赢时胜第三届董事会董事、担任总务总监。任期三年。现任本公司董</w:t>
      </w:r>
      <w:r>
        <w:rPr/>
        <w:t> 事、财务总监。</w:t>
      </w:r>
    </w:p>
    <w:p>
      <w:pPr>
        <w:pStyle w:val="BodyText"/>
        <w:spacing w:line="316" w:lineRule="auto" w:before="19"/>
        <w:ind w:right="1034" w:firstLine="360"/>
        <w:jc w:val="left"/>
      </w:pPr>
      <w:r>
        <w:rPr/>
        <w:t>（7）陈朝琳先生，1973年生，中国国籍，无境外居留权，博士；1995年8月至1997年10月任福建省饲料工业公司职员； 1997年11月至1999年8月任连江瑞邦金属制品有限公司总经理助理；1999年9月至2002年7月在厦门大学就读工商管理硕士；</w:t>
      </w:r>
    </w:p>
    <w:p>
      <w:pPr>
        <w:pStyle w:val="BodyText"/>
        <w:spacing w:line="316" w:lineRule="auto" w:before="19"/>
        <w:ind w:right="1132"/>
        <w:jc w:val="both"/>
      </w:pPr>
      <w:r>
        <w:rPr>
          <w:spacing w:val="-2"/>
        </w:rPr>
        <w:t>2001年8月至2004年10月任厦门高能投资咨询有限公司项目经理；2004年11月至2008年7月任厦门市企业经营管理人才评价推</w:t>
      </w:r>
      <w:r>
        <w:rPr>
          <w:spacing w:val="-53"/>
        </w:rPr>
        <w:t> </w:t>
      </w:r>
      <w:r>
        <w:rPr>
          <w:spacing w:val="-53"/>
        </w:rPr>
      </w:r>
      <w:r>
        <w:rPr/>
        <w:t>荐中心项目经理；2008年9月至2011年6月在厦门大学会计学专业就读管理学博士；2011年7月至今任厦门国家会计学院副教</w:t>
      </w:r>
      <w:r>
        <w:rPr/>
        <w:t> 授。2016年3月，当选赢时胜第三届董事会独立董事，任期三年。现任公司独立董事。</w:t>
      </w:r>
    </w:p>
    <w:p>
      <w:pPr>
        <w:pStyle w:val="BodyText"/>
        <w:spacing w:line="316" w:lineRule="auto" w:before="19"/>
        <w:ind w:right="1131" w:firstLine="360"/>
        <w:jc w:val="both"/>
      </w:pPr>
      <w:r>
        <w:rPr/>
        <w:t>（8）兰邦胜先生，1978年生，中国国籍，无境外居留权，硕士研究生；2005年9月至2007年2月任厦门金友诚软件有限 </w:t>
      </w:r>
      <w:r>
        <w:rPr>
          <w:spacing w:val="-2"/>
        </w:rPr>
        <w:t>公司销售部经理；2007年3月至2008年2月任诺基亚中国有限公司深圳分公司大客户专员；2008年3月至2008年5月任劲霸男装</w:t>
      </w:r>
      <w:r>
        <w:rPr>
          <w:spacing w:val="-54"/>
        </w:rPr>
        <w:t> </w:t>
      </w:r>
      <w:r>
        <w:rPr>
          <w:spacing w:val="-54"/>
        </w:rPr>
      </w:r>
      <w:r>
        <w:rPr>
          <w:spacing w:val="-3"/>
        </w:rPr>
        <w:t>股份有限公司证券事务代表；2008年6月至2009年9月任厦门美亚柏科资讯科技有限公司风险控制部副经理；2009年9月至2011</w:t>
      </w:r>
      <w:r>
        <w:rPr>
          <w:spacing w:val="-78"/>
        </w:rPr>
        <w:t> </w:t>
      </w:r>
      <w:r>
        <w:rPr>
          <w:spacing w:val="-78"/>
        </w:rPr>
      </w:r>
      <w:r>
        <w:rPr/>
        <w:t>年4月任厦门美亚柏科信息股份有限公司监事会主席；2011年4月至2012年6月任福州百洋海味食品有限公司副总经理、董事</w:t>
      </w:r>
      <w:r>
        <w:rPr/>
        <w:t> </w:t>
      </w:r>
      <w:r>
        <w:rPr>
          <w:spacing w:val="-2"/>
        </w:rPr>
        <w:t>会秘书；2012年6月至2012年12月任福建省晋江市华宇织造有限公司董事长助理、董事会秘书；2013年1月至2014年12月任厦</w:t>
      </w:r>
      <w:r>
        <w:rPr>
          <w:spacing w:val="-55"/>
        </w:rPr>
        <w:t> </w:t>
      </w:r>
      <w:r>
        <w:rPr>
          <w:spacing w:val="-55"/>
        </w:rPr>
      </w:r>
      <w:r>
        <w:rPr>
          <w:spacing w:val="-3"/>
        </w:rPr>
        <w:t>门明翰电气股份有限公司副总经理、董事会秘书；2015年1月至今任厦门纳网科技股份有限公司副总经理、董事会秘书；2016</w:t>
      </w:r>
      <w:r>
        <w:rPr/>
        <w:t> </w:t>
      </w:r>
      <w:r>
        <w:rPr>
          <w:spacing w:val="-2"/>
        </w:rPr>
        <w:t>年6月任，长城证券股份有限公司江西分公司业务董事。2016年3月，当选赢时胜第三届董事会独立董事，任期三年。现任公</w:t>
      </w:r>
      <w:r>
        <w:rPr>
          <w:spacing w:val="-61"/>
        </w:rPr>
        <w:t> </w:t>
      </w:r>
      <w:r>
        <w:rPr>
          <w:spacing w:val="-61"/>
        </w:rPr>
      </w:r>
      <w:r>
        <w:rPr/>
        <w:t>司独立董事。</w:t>
      </w:r>
    </w:p>
    <w:p>
      <w:pPr>
        <w:pStyle w:val="BodyText"/>
        <w:spacing w:line="316" w:lineRule="auto" w:before="19"/>
        <w:ind w:right="952" w:firstLine="360"/>
        <w:jc w:val="left"/>
      </w:pPr>
      <w:r>
        <w:rPr>
          <w:spacing w:val="-2"/>
        </w:rPr>
        <w:t>（9）胡琴女士，1967年生，中国国籍，无境外居留权，硕士研究生；1988年9月至1990年11月任武汉水利电力大学年级</w:t>
      </w:r>
      <w:r>
        <w:rPr/>
        <w:t> </w:t>
      </w:r>
      <w:r>
        <w:rPr>
          <w:spacing w:val="-5"/>
        </w:rPr>
        <w:t>辅导员、心理辅导老师负责学生思想教育和行为管理等相关事宜，兼职学校思想品德课部下设的心理咨询中心辅导老师；1991</w:t>
      </w:r>
      <w:r>
        <w:rPr>
          <w:spacing w:val="-68"/>
        </w:rPr>
        <w:t> </w:t>
      </w:r>
      <w:r>
        <w:rPr>
          <w:spacing w:val="-68"/>
        </w:rPr>
      </w:r>
      <w:r>
        <w:rPr/>
        <w:t>年2月至1994年7月任深圳南山热电股份有限公司工程技术人员、行政人员；1994年7月至2003年10月任深圳南山热电股份有</w:t>
      </w:r>
      <w:r>
        <w:rPr/>
        <w:t> 限公司证券事务主管、投资部主管、女工委员；2003年10月至2005年2月任深圳南山热电股份有限公司证券事务代表；2005 </w:t>
      </w:r>
      <w:r>
        <w:rPr>
          <w:spacing w:val="-2"/>
        </w:rPr>
        <w:t>年3月至2015年10月任深圳南山热电股份有限公司董事会秘书兼董事会秘书处主任；2015年10月至今任深圳市康达尔（集团）</w:t>
      </w:r>
      <w:r>
        <w:rPr>
          <w:spacing w:val="-55"/>
        </w:rPr>
        <w:t> </w:t>
      </w:r>
      <w:r>
        <w:rPr>
          <w:spacing w:val="-55"/>
        </w:rPr>
      </w:r>
      <w:r>
        <w:rPr/>
        <w:t>股份有限公司副总裁兼董事会秘书。2016年3月，当选赢时胜第三届董事会独立董事，任期三年。现任公司独立董事。</w:t>
      </w:r>
    </w:p>
    <w:p>
      <w:pPr>
        <w:spacing w:line="240" w:lineRule="auto" w:before="4"/>
        <w:rPr>
          <w:rFonts w:ascii="宋体" w:hAnsi="宋体" w:cs="宋体" w:eastAsia="宋体" w:hint="default"/>
          <w:sz w:val="25"/>
          <w:szCs w:val="25"/>
        </w:rPr>
      </w:pPr>
    </w:p>
    <w:p>
      <w:pPr>
        <w:pStyle w:val="BodyText"/>
        <w:spacing w:line="240" w:lineRule="auto"/>
        <w:ind w:right="0"/>
        <w:jc w:val="both"/>
      </w:pPr>
      <w:r>
        <w:rPr/>
        <w:t>2、监事会成员</w:t>
      </w:r>
    </w:p>
    <w:p>
      <w:pPr>
        <w:pStyle w:val="BodyText"/>
        <w:spacing w:line="316" w:lineRule="auto" w:before="76"/>
        <w:ind w:right="1132" w:firstLine="360"/>
        <w:jc w:val="both"/>
      </w:pPr>
      <w:r>
        <w:rPr>
          <w:spacing w:val="-2"/>
        </w:rPr>
        <w:t>（1）张建科先生，1990年生，中国国籍，无境外居留权，大学本科学历；2014年2月起任深圳市赢时胜信息技术股份有</w:t>
      </w:r>
      <w:r>
        <w:rPr/>
        <w:t> </w:t>
      </w:r>
      <w:r>
        <w:rPr>
          <w:spacing w:val="-2"/>
        </w:rPr>
        <w:t>限公司财务部员工。张建科先生的监事任职经公司2015年5月28日召开的第二届监事会第八次会议及2015年6月12日召开的公</w:t>
      </w:r>
      <w:r>
        <w:rPr>
          <w:spacing w:val="-57"/>
        </w:rPr>
        <w:t> </w:t>
      </w:r>
      <w:r>
        <w:rPr>
          <w:spacing w:val="-57"/>
        </w:rPr>
      </w:r>
      <w:r>
        <w:rPr>
          <w:spacing w:val="-2"/>
        </w:rPr>
        <w:t>司2015年第一次临时股东大会审议通过产生。2016年3月4日，继续当选赢时胜第三届监事会监事，担任监事会主席，任期三</w:t>
      </w:r>
      <w:r>
        <w:rPr>
          <w:spacing w:val="-61"/>
        </w:rPr>
        <w:t> </w:t>
      </w:r>
      <w:r>
        <w:rPr>
          <w:spacing w:val="-61"/>
        </w:rPr>
      </w:r>
      <w:r>
        <w:rPr/>
        <w:t>年。</w:t>
      </w:r>
    </w:p>
    <w:p>
      <w:pPr>
        <w:spacing w:after="0" w:line="316" w:lineRule="auto"/>
        <w:jc w:val="both"/>
        <w:sectPr>
          <w:footerReference w:type="default" r:id="rId20"/>
          <w:pgSz w:w="11910" w:h="16840"/>
          <w:pgMar w:footer="1009" w:header="919" w:top="1120" w:bottom="1200" w:left="1020" w:right="0"/>
          <w:pgNumType w:start="70"/>
        </w:sectPr>
      </w:pPr>
    </w:p>
    <w:p>
      <w:pPr>
        <w:spacing w:line="240" w:lineRule="auto" w:before="12"/>
        <w:rPr>
          <w:rFonts w:ascii="宋体" w:hAnsi="宋体" w:cs="宋体" w:eastAsia="宋体" w:hint="default"/>
          <w:sz w:val="20"/>
          <w:szCs w:val="20"/>
        </w:rPr>
      </w:pPr>
    </w:p>
    <w:p>
      <w:pPr>
        <w:pStyle w:val="BodyText"/>
        <w:spacing w:line="316" w:lineRule="auto" w:before="44"/>
        <w:ind w:right="1124" w:firstLine="360"/>
        <w:jc w:val="left"/>
      </w:pPr>
      <w:r>
        <w:rPr/>
        <w:t>（2）张海波先生，1982年生，中国国籍，无境外居留权，大学本科学历；2005年3月至2007年5月任台达电源股份有限 </w:t>
      </w:r>
      <w:r>
        <w:rPr>
          <w:spacing w:val="-3"/>
        </w:rPr>
        <w:t>公司TE工程师；2007年5月至2007年12月任贝汉安仪实业(深圳)有限公司测试工程师；2007年12月至2008年3月任浚信工业(深</w:t>
      </w:r>
      <w:r>
        <w:rPr>
          <w:spacing w:val="-72"/>
        </w:rPr>
        <w:t> </w:t>
      </w:r>
      <w:r>
        <w:rPr>
          <w:spacing w:val="-72"/>
        </w:rPr>
      </w:r>
      <w:r>
        <w:rPr/>
        <w:t>圳)有限公司TE工程师；2008年3月至2009年3月任山特电子(深圳)有限公司</w:t>
      </w:r>
      <w:r>
        <w:rPr>
          <w:spacing w:val="-8"/>
        </w:rPr>
        <w:t> </w:t>
      </w:r>
      <w:r>
        <w:rPr/>
        <w:t>TE工程师；2009年3月至2010年1月自学；2010</w:t>
      </w:r>
      <w:r>
        <w:rPr/>
        <w:t> 年1月至2011年4月任深圳博度科技有限公司软件工程师；2011年4月起任深圳市赢时胜信息技术股份有限公司产品中心软件 工程师。张海波先生的监事任职经公司2015年10月22日召开的第二届监事会第十一次会议及2015年11月9日召开的公司2015 年第三次临时股东大会审议通过产生。2016年3月继续当选赢时胜第三届监事会非职工监事，任期三年。</w:t>
      </w:r>
    </w:p>
    <w:p>
      <w:pPr>
        <w:pStyle w:val="BodyText"/>
        <w:spacing w:line="316" w:lineRule="auto" w:before="19"/>
        <w:ind w:right="1132" w:firstLine="360"/>
        <w:jc w:val="both"/>
      </w:pPr>
      <w:r>
        <w:rPr>
          <w:spacing w:val="-2"/>
        </w:rPr>
        <w:t>（3）宾鸽女士，1986年出生，中国国籍，无境外居留权，大学专科学历；2007年1月至11月任湖南喜乐地动漫股份有限</w:t>
      </w:r>
      <w:r>
        <w:rPr/>
        <w:t> </w:t>
      </w:r>
      <w:r>
        <w:rPr>
          <w:spacing w:val="-2"/>
        </w:rPr>
        <w:t>公司项目专员；2007年12月至2010年3月任深圳市赢时胜信息技术有限公司人力专员；2010年3月至今任深圳市赢时胜信息技</w:t>
      </w:r>
      <w:r>
        <w:rPr>
          <w:spacing w:val="-56"/>
        </w:rPr>
        <w:t> </w:t>
      </w:r>
      <w:r>
        <w:rPr>
          <w:spacing w:val="-56"/>
        </w:rPr>
      </w:r>
      <w:r>
        <w:rPr/>
        <w:t>术股份有限公司人力专员。公司于2016年2月当选赢时胜第三届监事会职工代表监事，任期三年。</w:t>
      </w:r>
    </w:p>
    <w:p>
      <w:pPr>
        <w:spacing w:line="240" w:lineRule="auto" w:before="4"/>
        <w:rPr>
          <w:rFonts w:ascii="宋体" w:hAnsi="宋体" w:cs="宋体" w:eastAsia="宋体" w:hint="default"/>
          <w:sz w:val="25"/>
          <w:szCs w:val="25"/>
        </w:rPr>
      </w:pPr>
    </w:p>
    <w:p>
      <w:pPr>
        <w:pStyle w:val="BodyText"/>
        <w:spacing w:line="240" w:lineRule="auto"/>
        <w:ind w:right="952"/>
        <w:jc w:val="left"/>
      </w:pPr>
      <w:r>
        <w:rPr/>
        <w:t>3、高级管理人员</w:t>
      </w:r>
    </w:p>
    <w:p>
      <w:pPr>
        <w:pStyle w:val="BodyText"/>
        <w:spacing w:line="240" w:lineRule="auto" w:before="76"/>
        <w:ind w:left="472" w:right="952"/>
        <w:jc w:val="left"/>
      </w:pPr>
      <w:r>
        <w:rPr/>
        <w:t>（1）唐球先生，总经理，简历详见本节</w:t>
      </w:r>
      <w:r>
        <w:rPr>
          <w:rFonts w:ascii="Times New Roman" w:hAnsi="Times New Roman" w:cs="Times New Roman" w:eastAsia="Times New Roman" w:hint="default"/>
        </w:rPr>
        <w:t>“</w:t>
      </w:r>
      <w:r>
        <w:rPr/>
        <w:t>1、董事会成员</w:t>
      </w:r>
      <w:r>
        <w:rPr>
          <w:rFonts w:ascii="Times New Roman" w:hAnsi="Times New Roman" w:cs="Times New Roman" w:eastAsia="Times New Roman" w:hint="default"/>
        </w:rPr>
        <w:t>”</w:t>
      </w:r>
      <w:r>
        <w:rPr/>
        <w:t>。</w:t>
      </w:r>
    </w:p>
    <w:p>
      <w:pPr>
        <w:pStyle w:val="BodyText"/>
        <w:spacing w:line="240" w:lineRule="auto" w:before="63"/>
        <w:ind w:left="472" w:right="952"/>
        <w:jc w:val="left"/>
      </w:pPr>
      <w:r>
        <w:rPr/>
        <w:t>（2）周云杉先生，副总经理，简历详见本节</w:t>
      </w:r>
      <w:r>
        <w:rPr>
          <w:rFonts w:ascii="Times New Roman" w:hAnsi="Times New Roman" w:cs="Times New Roman" w:eastAsia="Times New Roman" w:hint="default"/>
        </w:rPr>
        <w:t>“</w:t>
      </w:r>
      <w:r>
        <w:rPr/>
        <w:t>1、董事会成员</w:t>
      </w:r>
      <w:r>
        <w:rPr>
          <w:rFonts w:ascii="Times New Roman" w:hAnsi="Times New Roman" w:cs="Times New Roman" w:eastAsia="Times New Roman" w:hint="default"/>
        </w:rPr>
        <w:t>”</w:t>
      </w:r>
      <w:r>
        <w:rPr/>
        <w:t>。</w:t>
      </w:r>
    </w:p>
    <w:p>
      <w:pPr>
        <w:pStyle w:val="BodyText"/>
        <w:spacing w:line="240" w:lineRule="auto" w:before="63"/>
        <w:ind w:left="472" w:right="952"/>
        <w:jc w:val="left"/>
      </w:pPr>
      <w:r>
        <w:rPr/>
        <w:t>（3）赵欣先生，副总经理，简历详见本节</w:t>
      </w:r>
      <w:r>
        <w:rPr>
          <w:rFonts w:ascii="Times New Roman" w:hAnsi="Times New Roman" w:cs="Times New Roman" w:eastAsia="Times New Roman" w:hint="default"/>
        </w:rPr>
        <w:t>“</w:t>
      </w:r>
      <w:r>
        <w:rPr/>
        <w:t>1、董事会成员</w:t>
      </w:r>
      <w:r>
        <w:rPr>
          <w:rFonts w:ascii="Times New Roman" w:hAnsi="Times New Roman" w:cs="Times New Roman" w:eastAsia="Times New Roman" w:hint="default"/>
        </w:rPr>
        <w:t>”</w:t>
      </w:r>
      <w:r>
        <w:rPr/>
        <w:t>。</w:t>
      </w:r>
    </w:p>
    <w:p>
      <w:pPr>
        <w:pStyle w:val="BodyText"/>
        <w:spacing w:line="240" w:lineRule="auto" w:before="63"/>
        <w:ind w:left="472" w:right="952"/>
        <w:jc w:val="left"/>
        <w:rPr>
          <w:rFonts w:ascii="Times New Roman" w:hAnsi="Times New Roman" w:cs="Times New Roman" w:eastAsia="Times New Roman" w:hint="default"/>
        </w:rPr>
      </w:pPr>
      <w:r>
        <w:rPr/>
        <w:t>（4）伍国安先生，财务总监，简历详见本节</w:t>
      </w:r>
      <w:r>
        <w:rPr>
          <w:rFonts w:ascii="Times New Roman" w:hAnsi="Times New Roman" w:cs="Times New Roman" w:eastAsia="Times New Roman" w:hint="default"/>
        </w:rPr>
        <w:t>“</w:t>
      </w:r>
      <w:r>
        <w:rPr/>
        <w:t>1、董事会成员</w:t>
      </w:r>
      <w:r>
        <w:rPr>
          <w:rFonts w:ascii="Times New Roman" w:hAnsi="Times New Roman" w:cs="Times New Roman" w:eastAsia="Times New Roman" w:hint="default"/>
        </w:rPr>
        <w:t>”</w:t>
      </w:r>
    </w:p>
    <w:p>
      <w:pPr>
        <w:pStyle w:val="BodyText"/>
        <w:spacing w:line="316" w:lineRule="auto" w:before="101"/>
        <w:ind w:right="1037" w:firstLine="360"/>
        <w:jc w:val="left"/>
      </w:pPr>
      <w:r>
        <w:rPr/>
        <w:t>（5）程霞女士，1975年生，中国国籍，无境外居留权，工商管理硕士；1998年3月至2001年1月任深圳市文正明信息技 术有限公司董事会秘书、证券事业部副总经理；2001年1月至2004年12月任深圳市脉山龙信息技术股份有限公司营销总监； 2005年12月至2009年6月任深圳市今日投资财经资讯有限公司市场策划总监兼金融渠道营销中心总经理；2009年6月至2010</w:t>
      </w:r>
      <w:r>
        <w:rPr>
          <w:spacing w:val="-14"/>
        </w:rPr>
        <w:t> </w:t>
      </w:r>
      <w:r>
        <w:rPr>
          <w:spacing w:val="-14"/>
        </w:rPr>
      </w:r>
      <w:r>
        <w:rPr>
          <w:spacing w:val="-2"/>
        </w:rPr>
        <w:t>年8月任深圳市国泰安信息技术有限公司助理总裁；2010年9月起任深圳市赢时胜信息技术股份有限公司董事会秘书兼营销中</w:t>
      </w:r>
      <w:r>
        <w:rPr>
          <w:spacing w:val="-61"/>
        </w:rPr>
        <w:t> </w:t>
      </w:r>
      <w:r>
        <w:rPr>
          <w:spacing w:val="-61"/>
        </w:rPr>
      </w:r>
      <w:r>
        <w:rPr>
          <w:spacing w:val="-3"/>
        </w:rPr>
        <w:t>心负责人，2010年12月起任深圳市赢时胜信息技术股份有限公司副总经理。2016年3月4日，担任公司副总经理、董事会秘书，</w:t>
      </w:r>
      <w:r>
        <w:rPr>
          <w:spacing w:val="-86"/>
        </w:rPr>
        <w:t> </w:t>
      </w:r>
      <w:r>
        <w:rPr>
          <w:spacing w:val="-86"/>
        </w:rPr>
      </w:r>
      <w:r>
        <w:rPr/>
        <w:t>任期三年。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952"/>
        <w:jc w:val="left"/>
      </w:pPr>
      <w:r>
        <w:rPr/>
        <w:t>在股东单位任职情况</w:t>
      </w:r>
    </w:p>
    <w:p>
      <w:pPr>
        <w:pStyle w:val="BodyText"/>
        <w:spacing w:line="360" w:lineRule="auto" w:before="115"/>
        <w:ind w:right="9134"/>
        <w:jc w:val="left"/>
      </w:pPr>
      <w:r>
        <w:rPr/>
        <w:t>□ 适用 √ 不适用 在其他单位任职情况</w:t>
      </w:r>
    </w:p>
    <w:p>
      <w:pPr>
        <w:pStyle w:val="BodyText"/>
        <w:spacing w:line="240" w:lineRule="auto" w:before="27"/>
        <w:ind w:right="952"/>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2" w:right="15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1"/>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11"/>
                <w:sz w:val="18"/>
                <w:szCs w:val="18"/>
              </w:rPr>
              <w:t>人、董事长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上海怀若智能科技有限公司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1"/>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11"/>
                <w:sz w:val="18"/>
                <w:szCs w:val="18"/>
              </w:rPr>
              <w:t>人、董事长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怀光智能科技（武汉）有限公司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left"/>
              <w:rPr>
                <w:rFonts w:ascii="宋体" w:hAnsi="宋体" w:cs="宋体" w:eastAsia="宋体" w:hint="default"/>
                <w:sz w:val="18"/>
                <w:szCs w:val="18"/>
              </w:rPr>
            </w:pPr>
            <w:r>
              <w:rPr>
                <w:rFonts w:ascii="宋体" w:hAnsi="宋体" w:cs="宋体" w:eastAsia="宋体" w:hint="default"/>
                <w:sz w:val="18"/>
                <w:szCs w:val="18"/>
              </w:rPr>
              <w:t>法定代表 </w:t>
            </w:r>
            <w:r>
              <w:rPr>
                <w:rFonts w:ascii="宋体" w:hAnsi="宋体" w:cs="宋体" w:eastAsia="宋体" w:hint="default"/>
                <w:spacing w:val="-11"/>
                <w:sz w:val="18"/>
                <w:szCs w:val="18"/>
              </w:rPr>
              <w:t>人、董事长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厦门博芮投资股份有限公司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百應租賃控股有限公司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福建阿石创新材料股份有限公司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7"/>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唐球、周云杉、伍国安等人所任职的公司均为本公司旗下的子公司。</w:t>
            </w:r>
          </w:p>
        </w:tc>
      </w:tr>
    </w:tbl>
    <w:p>
      <w:pPr>
        <w:pStyle w:val="BodyText"/>
        <w:spacing w:line="240" w:lineRule="auto" w:before="51"/>
        <w:ind w:right="952"/>
        <w:jc w:val="left"/>
      </w:pPr>
      <w:r>
        <w:rPr/>
        <w:t>公司现任及报告期内离任董事、监事和高级管理人员近三年证券监管机构处罚的情况</w:t>
      </w:r>
    </w:p>
    <w:p>
      <w:pPr>
        <w:pStyle w:val="BodyText"/>
        <w:spacing w:line="240" w:lineRule="auto" w:before="117"/>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952" w:hanging="360"/>
        <w:jc w:val="left"/>
      </w:pPr>
      <w:r>
        <w:rPr/>
        <w:t>董事、监事、高级管理人员报酬的决策程序、确定依据、实际支付情况 </w:t>
      </w:r>
      <w:r>
        <w:rPr>
          <w:spacing w:val="-2"/>
        </w:rPr>
        <w:t>公司董事、监事报酬由股东大会决定，高级管理人员报酬由董事会决定；在公司担任职务的董事、监事、高级管理人员</w:t>
      </w:r>
    </w:p>
    <w:p>
      <w:pPr>
        <w:pStyle w:val="BodyText"/>
        <w:spacing w:line="222" w:lineRule="exact"/>
        <w:ind w:right="952"/>
        <w:jc w:val="left"/>
      </w:pPr>
      <w:r>
        <w:rPr/>
        <w:t>报酬由公司根据担任的其他职务支付，董事、监事不另外支付津贴。独立董事津贴根据股东大会所通过的决议来进行支付。</w:t>
      </w:r>
    </w:p>
    <w:p>
      <w:pPr>
        <w:pStyle w:val="BodyText"/>
        <w:spacing w:line="357" w:lineRule="auto" w:before="76"/>
        <w:ind w:right="2114"/>
        <w:jc w:val="left"/>
      </w:pPr>
      <w:r>
        <w:rPr/>
        <w:t>董事、监事、高级管理人员报酬确定依据是公司盈利水平及各董事、监事、高级管理人员的分工及履职情况。 公司报告期内董事、监事和高级管理人员报酬情况</w:t>
      </w:r>
    </w:p>
    <w:p>
      <w:pPr>
        <w:pStyle w:val="BodyText"/>
        <w:spacing w:line="240" w:lineRule="auto" w:before="29"/>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377.91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09" w:top="1120" w:bottom="1200" w:left="1020" w:right="0"/>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100" w:bottom="1200" w:left="1020" w:right="0"/>
          <w:cols w:num="2" w:equalWidth="0">
            <w:col w:w="4613" w:space="4305"/>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96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35" w:right="133" w:firstLine="24"/>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157"/>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249" w:right="223"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9" w:right="159"/>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9" w:right="159"/>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34" w:right="134" w:firstLine="26"/>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9" w:right="159"/>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24.17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87,500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87,500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18"/>
                <w:sz w:val="18"/>
                <w:szCs w:val="18"/>
              </w:rPr>
              <w:t>备注（如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赵欣先生总共持有股权激励限制股票数量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股，已解锁股份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股，未解锁股份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2"/>
        <w:spacing w:line="240" w:lineRule="auto" w:before="26"/>
        <w:ind w:right="952"/>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2,480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2,359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董事会成员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2,480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2,057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2,480</w:t>
            </w:r>
          </w:p>
        </w:tc>
      </w:tr>
    </w:tbl>
    <w:p>
      <w:pPr>
        <w:spacing w:line="240" w:lineRule="auto" w:before="4"/>
        <w:rPr>
          <w:rFonts w:ascii="宋体" w:hAnsi="宋体" w:cs="宋体" w:eastAsia="宋体" w:hint="default"/>
          <w:b/>
          <w:bCs/>
          <w:sz w:val="19"/>
          <w:szCs w:val="19"/>
        </w:rPr>
      </w:pPr>
    </w:p>
    <w:p>
      <w:pPr>
        <w:pStyle w:val="Heading3"/>
        <w:spacing w:line="240" w:lineRule="auto" w:before="34"/>
        <w:ind w:right="952"/>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52" w:firstLine="360"/>
        <w:jc w:val="left"/>
      </w:pPr>
      <w:r>
        <w:rPr>
          <w:spacing w:val="-2"/>
        </w:rPr>
        <w:t>公司根据员工岗位、司龄、能力、责任、贡献及行业薪酬水平等因素作为判定员工薪酬的依据，建立了合法、规范、有</w:t>
      </w:r>
      <w:r>
        <w:rPr/>
        <w:t> </w:t>
      </w:r>
      <w:r>
        <w:rPr>
          <w:spacing w:val="-2"/>
        </w:rPr>
        <w:t>效的薪酬福利体系，建立了薪酬政策与岗位价值相匹配的薪酬管理体系及薪酬等级制度，建立了适应公司参与竞争、体现员</w:t>
      </w:r>
      <w:r>
        <w:rPr>
          <w:spacing w:val="-65"/>
        </w:rPr>
        <w:t> </w:t>
      </w:r>
      <w:r>
        <w:rPr>
          <w:spacing w:val="-65"/>
        </w:rPr>
      </w:r>
      <w:r>
        <w:rPr/>
        <w:t>工贡献价值、能够有效激励员工的薪酬福利机制，</w:t>
      </w:r>
      <w:r>
        <w:rPr>
          <w:color w:val="333333"/>
        </w:rPr>
        <w:t>秉承</w:t>
      </w:r>
      <w:r>
        <w:rPr>
          <w:rFonts w:ascii="Times New Roman" w:hAnsi="Times New Roman" w:cs="Times New Roman" w:eastAsia="Times New Roman" w:hint="default"/>
        </w:rPr>
        <w:t>“</w:t>
      </w:r>
      <w:r>
        <w:rPr/>
        <w:t>价值共享、外部竞争力、内部公平、奖优罚劣、薪酬保密</w:t>
      </w:r>
      <w:r>
        <w:rPr>
          <w:rFonts w:ascii="Times New Roman" w:hAnsi="Times New Roman" w:cs="Times New Roman" w:eastAsia="Times New Roman" w:hint="default"/>
        </w:rPr>
        <w:t>”</w:t>
      </w:r>
      <w:r>
        <w:rPr/>
        <w:t>的薪酬分 </w:t>
      </w:r>
      <w:r>
        <w:rPr>
          <w:spacing w:val="-2"/>
        </w:rPr>
        <w:t>配原则的基础上，公司凸显人文关怀，为员工提供年度带薪假期、绩效奖金激励、社保公积金、各项补贴、员工活动等福利</w:t>
      </w:r>
      <w:r>
        <w:rPr>
          <w:spacing w:val="-66"/>
        </w:rPr>
        <w:t> </w:t>
      </w:r>
      <w:r>
        <w:rPr>
          <w:spacing w:val="-66"/>
        </w:rPr>
      </w:r>
      <w:r>
        <w:rPr>
          <w:spacing w:val="-4"/>
        </w:rPr>
        <w:t>政策，保障员工劳逸结合、身心健康；同时，公司还增设多元的福利活动，如</w:t>
      </w:r>
      <w:r>
        <w:rPr>
          <w:color w:val="333333"/>
          <w:spacing w:val="-4"/>
        </w:rPr>
        <w:t>结婚、生子、生日、节日福利，</w:t>
      </w:r>
      <w:r>
        <w:rPr>
          <w:spacing w:val="-4"/>
        </w:rPr>
        <w:t>部门活动经费，</w:t>
      </w:r>
      <w:r>
        <w:rPr>
          <w:spacing w:val="-49"/>
        </w:rPr>
        <w:t> </w:t>
      </w:r>
      <w:r>
        <w:rPr>
          <w:spacing w:val="-49"/>
        </w:rPr>
      </w:r>
      <w:r>
        <w:rPr/>
        <w:t>定期体育活动等，调动员工积极性，增强公司凝聚力，提升公司综合竞争力。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52"/>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spacing w:val="-2"/>
        </w:rPr>
        <w:t>员工培训作为现代企业人力资源管理的重要内容备受公司关注，为加强人才队伍建设，提升公司核心竞争力，保证公司</w:t>
      </w:r>
      <w:r>
        <w:rPr/>
        <w:t> </w:t>
      </w:r>
      <w:r>
        <w:rPr>
          <w:spacing w:val="-2"/>
        </w:rPr>
        <w:t>可持续发展，公司结合发展战略布局、人才需求，制定了科学、系统、规范的培训计划。公司现有的培训体系包括，对新员</w:t>
      </w:r>
      <w:r>
        <w:rPr>
          <w:spacing w:val="-64"/>
        </w:rPr>
        <w:t> </w:t>
      </w:r>
      <w:r>
        <w:rPr>
          <w:spacing w:val="-64"/>
        </w:rPr>
      </w:r>
      <w:r>
        <w:rPr>
          <w:spacing w:val="-2"/>
        </w:rPr>
        <w:t>工进行的一年多期培训，以企业文化、运作流程、规章制度介绍为主，结合实地参观体验；对客服体系全方位培训，提升产</w:t>
      </w:r>
      <w:r>
        <w:rPr>
          <w:spacing w:val="-66"/>
        </w:rPr>
        <w:t> </w:t>
      </w:r>
      <w:r>
        <w:rPr>
          <w:spacing w:val="-66"/>
        </w:rPr>
      </w:r>
      <w:r>
        <w:rPr>
          <w:spacing w:val="-2"/>
        </w:rPr>
        <w:t>品技术认知，沟通交流技巧等；对技术体进行系统一宣导，与时俱进探讨新技术发展，进行重难点技术问题答疑及常见问题</w:t>
      </w:r>
      <w:r>
        <w:rPr>
          <w:spacing w:val="-66"/>
        </w:rPr>
        <w:t> </w:t>
      </w:r>
      <w:r>
        <w:rPr>
          <w:spacing w:val="-66"/>
        </w:rPr>
      </w:r>
      <w:r>
        <w:rPr/>
        <w:t>排查，热点分析等。对不同阶段不同工作性质的员工进行多元化针对性的培训，有的放矢，提升员工企业认知，职业技能， 增强公司活力。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52"/>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after="0" w:line="240"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1530"/>
        <w:jc w:val="center"/>
        <w:rPr>
          <w:b w:val="0"/>
          <w:bCs w:val="0"/>
        </w:rPr>
      </w:pPr>
      <w:bookmarkStart w:name="第九节 公司治理" w:id="135"/>
      <w:bookmarkEnd w:id="135"/>
      <w:r>
        <w:rPr>
          <w:b w:val="0"/>
          <w:bCs w:val="0"/>
        </w:rPr>
      </w:r>
      <w:bookmarkStart w:name="_bookmark8" w:id="136"/>
      <w:bookmarkEnd w:id="136"/>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2"/>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spacing w:val="-15"/>
        </w:rPr>
        <w:t>报告期内，公司严格按照《公司法》、《证券法》、《上市公司治理准则》、《深圳证券交易所创业板股票上市规则》、《深圳</w:t>
      </w:r>
      <w:r>
        <w:rPr/>
        <w:t> </w:t>
      </w:r>
      <w:r>
        <w:rPr>
          <w:spacing w:val="-2"/>
        </w:rPr>
        <w:t>证券交易所创业板上市公司规范运作指引》和其它有关法律法规、规范性文件的要求，确立了股东大会、董事会、监事会及</w:t>
      </w:r>
      <w:r>
        <w:rPr>
          <w:spacing w:val="-65"/>
        </w:rPr>
        <w:t> </w:t>
      </w:r>
      <w:r>
        <w:rPr>
          <w:spacing w:val="-65"/>
        </w:rPr>
      </w:r>
      <w:r>
        <w:rPr>
          <w:spacing w:val="-2"/>
        </w:rPr>
        <w:t>经营管理层的分层治理结构，不断完善公司法人治理结构，建立健全公司内部控制制度，进一步规范公司运作，提高公司治</w:t>
      </w:r>
      <w:r>
        <w:rPr>
          <w:spacing w:val="-66"/>
        </w:rPr>
        <w:t> </w:t>
      </w:r>
      <w:r>
        <w:rPr>
          <w:spacing w:val="-66"/>
        </w:rPr>
      </w:r>
      <w:r>
        <w:rPr/>
        <w:t>理水平。截至本报告期末，公司股东大会、董事会及各专门委员会、监事会、独立董事、董事会秘书和管理层均依法运作， </w:t>
      </w:r>
      <w:r>
        <w:rPr>
          <w:spacing w:val="-2"/>
        </w:rPr>
        <w:t>切实履行应尽的职责和义务，未出现违法、违规现象，公司治理的实际状况符合《上市公司治理准则》和《深圳证券交易所</w:t>
      </w:r>
      <w:r>
        <w:rPr>
          <w:spacing w:val="-66"/>
        </w:rPr>
        <w:t> </w:t>
      </w:r>
      <w:r>
        <w:rPr>
          <w:spacing w:val="-66"/>
        </w:rPr>
      </w:r>
      <w:r>
        <w:rPr/>
        <w:t>创业板上市公司规范运作指引》的要求。</w:t>
      </w:r>
    </w:p>
    <w:p>
      <w:pPr>
        <w:pStyle w:val="BodyText"/>
        <w:spacing w:line="316" w:lineRule="auto" w:before="19"/>
        <w:ind w:left="472" w:right="1119"/>
        <w:jc w:val="left"/>
      </w:pPr>
      <w:r>
        <w:rPr/>
        <w:t>1、关于股东和股东大会 </w:t>
      </w:r>
      <w:r>
        <w:rPr>
          <w:spacing w:val="-5"/>
        </w:rPr>
        <w:t>公司严格按照《公司法》、《公司章程》和《股东大会议事规则》等法律、法规要求，规范股东大会召集、召开、表决程</w:t>
      </w:r>
    </w:p>
    <w:p>
      <w:pPr>
        <w:pStyle w:val="BodyText"/>
        <w:spacing w:line="316" w:lineRule="auto" w:before="19"/>
        <w:ind w:right="1130"/>
        <w:jc w:val="both"/>
      </w:pPr>
      <w:r>
        <w:rPr>
          <w:spacing w:val="-2"/>
        </w:rPr>
        <w:t>序，确保所有股东享有平等地位、平等权利，充分行使自己的权利，并承担相应的义务。</w:t>
      </w:r>
      <w:r>
        <w:rPr/>
        <w:t> </w:t>
      </w:r>
      <w:r>
        <w:rPr>
          <w:spacing w:val="-1"/>
        </w:rPr>
        <w:t>报告期内，公司共召开了1次年度</w:t>
      </w:r>
      <w:r>
        <w:rPr>
          <w:spacing w:val="-80"/>
        </w:rPr>
        <w:t> </w:t>
      </w:r>
      <w:r>
        <w:rPr>
          <w:spacing w:val="-80"/>
        </w:rPr>
      </w:r>
      <w:r>
        <w:rPr/>
        <w:t>股东大会，1次临时股东大会，会议均由董事会召集、召开。</w:t>
      </w:r>
    </w:p>
    <w:p>
      <w:pPr>
        <w:pStyle w:val="BodyText"/>
        <w:spacing w:line="316" w:lineRule="auto" w:before="19"/>
        <w:ind w:left="472" w:right="952"/>
        <w:jc w:val="left"/>
      </w:pPr>
      <w:r>
        <w:rPr/>
        <w:t>2、关于公司与控股股东 </w:t>
      </w:r>
      <w:r>
        <w:rPr>
          <w:spacing w:val="-2"/>
        </w:rPr>
        <w:t>公司控股股东严格规范自己的行为，没有超越股东大会直接或间接干预公司的决策和经营活动。公司拥有独立完整的业</w:t>
      </w:r>
    </w:p>
    <w:p>
      <w:pPr>
        <w:pStyle w:val="BodyText"/>
        <w:spacing w:line="316" w:lineRule="auto" w:before="19"/>
        <w:ind w:left="472" w:right="1034" w:hanging="360"/>
        <w:jc w:val="left"/>
      </w:pPr>
      <w:r>
        <w:rPr/>
        <w:t>务和自主经营能力，在业务、人员、资产、机构、财务上独立于控股股东，公司董事会、监事会和内部机构独立运作。 3、关于董事和董事会 报告期内，公司董事会设董事9名，其中独立董事3名，董事会人数及人员构成符合法律、法规和《公司章程》的要求。</w:t>
      </w:r>
    </w:p>
    <w:p>
      <w:pPr>
        <w:pStyle w:val="BodyText"/>
        <w:spacing w:line="316" w:lineRule="auto" w:before="19"/>
        <w:ind w:right="1132"/>
        <w:jc w:val="both"/>
      </w:pPr>
      <w:r>
        <w:rPr>
          <w:spacing w:val="-5"/>
        </w:rPr>
        <w:t>各位董事能够依据《深圳证券交易所创业板上市公司规范运作指引》、《董事会议事规则》和《独立董事工作制度》等开展工</w:t>
      </w:r>
      <w:r>
        <w:rPr>
          <w:spacing w:val="-79"/>
        </w:rPr>
        <w:t> </w:t>
      </w:r>
      <w:r>
        <w:rPr>
          <w:spacing w:val="-79"/>
        </w:rPr>
      </w:r>
      <w:r>
        <w:rPr>
          <w:spacing w:val="-2"/>
        </w:rPr>
        <w:t>作，诚信、勤勉地履行职责和义务，同时积极参加有关培训，熟悉有关法律法规。</w:t>
      </w:r>
      <w:r>
        <w:rPr>
          <w:spacing w:val="20"/>
        </w:rPr>
        <w:t> </w:t>
      </w:r>
      <w:r>
        <w:rPr>
          <w:spacing w:val="-2"/>
        </w:rPr>
        <w:t>报告期内，公司共召开7次董事会，均由</w:t>
      </w:r>
      <w:r>
        <w:rPr>
          <w:spacing w:val="-86"/>
        </w:rPr>
        <w:t> </w:t>
      </w:r>
      <w:r>
        <w:rPr>
          <w:spacing w:val="-86"/>
        </w:rPr>
      </w:r>
      <w:r>
        <w:rPr>
          <w:spacing w:val="-2"/>
        </w:rPr>
        <w:t>董事长召集、召开。董事会下设薪酬与考核委员会、战略决策委员会、提名委员会和审计委员会，各委员会中独立董事占比</w:t>
      </w:r>
      <w:r>
        <w:rPr>
          <w:spacing w:val="-65"/>
        </w:rPr>
        <w:t> </w:t>
      </w:r>
      <w:r>
        <w:rPr>
          <w:spacing w:val="-65"/>
        </w:rPr>
      </w:r>
      <w:r>
        <w:rPr/>
        <w:t>均超过1/2，提高了董事会履职能力和专业化程度，保障了董事会决策的科学性和规范性。公司独立董事独立履行职责，不</w:t>
      </w:r>
      <w:r>
        <w:rPr/>
        <w:t> 受公司主要股东、实际控制人以及其他与公司有利害关系的单位或个人影响。</w:t>
      </w:r>
    </w:p>
    <w:p>
      <w:pPr>
        <w:pStyle w:val="BodyText"/>
        <w:spacing w:line="316" w:lineRule="auto" w:before="19"/>
        <w:ind w:left="472" w:right="952"/>
        <w:jc w:val="left"/>
      </w:pPr>
      <w:r>
        <w:rPr/>
        <w:t>4、关于监事和监事会 </w:t>
      </w:r>
      <w:r>
        <w:rPr>
          <w:spacing w:val="-4"/>
        </w:rPr>
        <w:t>公司监事会设监事3名，其中职工监事1名，监事会的人数和构成符合法律、法规的要求。各位监事严格按照《公司法》、</w:t>
      </w:r>
    </w:p>
    <w:p>
      <w:pPr>
        <w:pStyle w:val="BodyText"/>
        <w:spacing w:line="316" w:lineRule="auto" w:before="19"/>
        <w:ind w:right="1132"/>
        <w:jc w:val="both"/>
      </w:pPr>
      <w:r>
        <w:rPr>
          <w:spacing w:val="-2"/>
        </w:rPr>
        <w:t>《公司章程》和《监事会议事规则》的有关规定认真履行职责，对公司财务状况、重大事项以及公司董事及高级管理人员履</w:t>
      </w:r>
      <w:r>
        <w:rPr>
          <w:spacing w:val="-65"/>
        </w:rPr>
        <w:t> </w:t>
      </w:r>
      <w:r>
        <w:rPr>
          <w:spacing w:val="-65"/>
        </w:rPr>
      </w:r>
      <w:r>
        <w:rPr>
          <w:spacing w:val="-1"/>
        </w:rPr>
        <w:t>行职责的合法合规性等进行监督，维护公司及股东的合法权益。</w:t>
      </w:r>
      <w:r>
        <w:rPr>
          <w:spacing w:val="-7"/>
        </w:rPr>
        <w:t> </w:t>
      </w:r>
      <w:r>
        <w:rPr>
          <w:spacing w:val="-2"/>
        </w:rPr>
        <w:t>报告期内，公司共召开4次监事会，会议均由监事会主席召</w:t>
      </w:r>
      <w:r>
        <w:rPr>
          <w:spacing w:val="-88"/>
        </w:rPr>
        <w:t> </w:t>
      </w:r>
      <w:r>
        <w:rPr>
          <w:spacing w:val="-88"/>
        </w:rPr>
      </w:r>
      <w:r>
        <w:rPr/>
        <w:t>集、召开。</w:t>
      </w:r>
    </w:p>
    <w:p>
      <w:pPr>
        <w:pStyle w:val="BodyText"/>
        <w:spacing w:line="316" w:lineRule="auto" w:before="19"/>
        <w:ind w:left="472" w:right="952"/>
        <w:jc w:val="left"/>
      </w:pPr>
      <w:r>
        <w:rPr/>
        <w:t>5、关于绩效评价与激励约束机制 </w:t>
      </w:r>
      <w:r>
        <w:rPr>
          <w:spacing w:val="-2"/>
        </w:rPr>
        <w:t>公司已建立企业绩效激励与评价体系，并不断完善。公司董事、监事和高级管理人员的绩效评价标准和激励约束机制公</w:t>
      </w:r>
    </w:p>
    <w:p>
      <w:pPr>
        <w:pStyle w:val="BodyText"/>
        <w:spacing w:line="316" w:lineRule="auto" w:before="19"/>
        <w:ind w:right="1132"/>
        <w:jc w:val="both"/>
      </w:pPr>
      <w:r>
        <w:rPr>
          <w:spacing w:val="-2"/>
        </w:rPr>
        <w:t>开、透明，符合法律、法规的规定。公司董事会设立了薪酬与考核委员会，负责薪酬政策及方案的制定与审定。公司高级管</w:t>
      </w:r>
      <w:r>
        <w:rPr>
          <w:spacing w:val="-66"/>
        </w:rPr>
        <w:t> </w:t>
      </w:r>
      <w:r>
        <w:rPr>
          <w:spacing w:val="-66"/>
        </w:rPr>
      </w:r>
      <w:r>
        <w:rPr/>
        <w:t>理人员均认真履行工作职责，较好地完成了董事会制定的经营管理任务。</w:t>
      </w:r>
    </w:p>
    <w:p>
      <w:pPr>
        <w:pStyle w:val="BodyText"/>
        <w:spacing w:line="316" w:lineRule="auto" w:before="19"/>
        <w:ind w:left="472" w:right="952"/>
        <w:jc w:val="left"/>
      </w:pPr>
      <w:r>
        <w:rPr/>
        <w:t>6、关于相关利益者 </w:t>
      </w:r>
      <w:r>
        <w:rPr>
          <w:spacing w:val="-4"/>
        </w:rPr>
        <w:t>公司能够充分尊重和维护相关利益者的合法权益，积极与相关利益者合作，加强与各方的沟通和交流，实现社会、股东、</w:t>
      </w:r>
    </w:p>
    <w:p>
      <w:pPr>
        <w:pStyle w:val="BodyText"/>
        <w:spacing w:line="316" w:lineRule="auto" w:before="19"/>
        <w:ind w:left="472" w:right="5174" w:hanging="360"/>
        <w:jc w:val="left"/>
      </w:pPr>
      <w:r>
        <w:rPr/>
        <w:t>公司、员工等各方利益的协调平衡，推动公司持续、稳定、健康发展。 7、关于信息披露与透明度</w:t>
      </w:r>
    </w:p>
    <w:p>
      <w:pPr>
        <w:pStyle w:val="BodyText"/>
        <w:spacing w:line="316" w:lineRule="auto" w:before="59"/>
        <w:ind w:right="952"/>
        <w:jc w:val="left"/>
      </w:pPr>
      <w:r>
        <w:rPr>
          <w:spacing w:val="-2"/>
        </w:rPr>
        <w:t>公司严格按照有关法律法规和公司《信息披露管理办法》的规定，加强信息披露事务管理，履行信息披露义务，并指定《证</w:t>
      </w:r>
      <w:r>
        <w:rPr>
          <w:spacing w:val="-63"/>
        </w:rPr>
        <w:t> </w:t>
      </w:r>
      <w:r>
        <w:rPr>
          <w:spacing w:val="-63"/>
        </w:rPr>
      </w:r>
      <w:r>
        <w:rPr>
          <w:spacing w:val="-15"/>
        </w:rPr>
        <w:t>券时报》、《中国证券报》、《上海证券报》、《证券日报》和中国证监会创业板指定信息披露网站（</w:t>
      </w:r>
      <w:hyperlink r:id="rId12">
        <w:r>
          <w:rPr>
            <w:spacing w:val="-15"/>
          </w:rPr>
          <w:t>巨潮资讯网www.cninfo.com.cn</w:t>
        </w:r>
      </w:hyperlink>
      <w:r>
        <w:rPr>
          <w:spacing w:val="-15"/>
        </w:rPr>
        <w:t>）</w:t>
      </w:r>
      <w:r>
        <w:rPr>
          <w:spacing w:val="-61"/>
        </w:rPr>
        <w:t> </w:t>
      </w:r>
      <w:r>
        <w:rPr>
          <w:spacing w:val="-61"/>
        </w:rPr>
      </w:r>
      <w:r>
        <w:rPr/>
        <w:t>为公司信息披露报纸和网站，真实、准确、及时、完整的披露信息，确保所有投资者公平获取公司信息。 报告期内，公司</w:t>
      </w:r>
      <w:r>
        <w:rPr>
          <w:spacing w:val="-84"/>
        </w:rPr>
        <w:t> </w:t>
      </w:r>
      <w:r>
        <w:rPr>
          <w:spacing w:val="-84"/>
        </w:rPr>
      </w:r>
      <w:r>
        <w:rPr/>
        <w:t>未发生信息披露不规范而受到监管部门批评的情形。</w:t>
      </w:r>
    </w:p>
    <w:p>
      <w:pPr>
        <w:spacing w:after="0" w:line="316"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公司治理的实际状况与中国证监会发布的有关上市公司治理的规范性文件是否存在重大差异</w:t>
      </w:r>
    </w:p>
    <w:p>
      <w:pPr>
        <w:pStyle w:val="BodyText"/>
        <w:spacing w:line="360" w:lineRule="auto" w:before="115"/>
        <w:ind w:right="3554"/>
        <w:jc w:val="left"/>
      </w:pPr>
      <w:r>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2"/>
        <w:spacing w:line="240" w:lineRule="auto"/>
        <w:ind w:right="952"/>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5" w:firstLine="360"/>
        <w:jc w:val="both"/>
      </w:pPr>
      <w:r>
        <w:rPr>
          <w:spacing w:val="-7"/>
        </w:rPr>
        <w:t>报告期内，公司严格按照《公司法》、《证券法》等有关法律法规和《公司章程》的要求规范运作，在业务、人员、资产、</w:t>
      </w:r>
      <w:r>
        <w:rPr/>
        <w:t> 机构、财务等方面与公司股东完全分开，具有独立、完整的资产和业务及面向市场、自主经营的能力。</w:t>
      </w:r>
    </w:p>
    <w:p>
      <w:pPr>
        <w:pStyle w:val="BodyText"/>
        <w:spacing w:line="316" w:lineRule="auto" w:before="19"/>
        <w:ind w:left="472" w:right="952"/>
        <w:jc w:val="left"/>
      </w:pPr>
      <w:r>
        <w:rPr/>
        <w:t>1、业务独立情况 </w:t>
      </w:r>
      <w:r>
        <w:rPr>
          <w:spacing w:val="-2"/>
        </w:rPr>
        <w:t>公司业务独立于公司控股股东。公司拥有完整独立的研发、生产、销售和服务系统，具有独立完整的业务体系及面向市</w:t>
      </w:r>
    </w:p>
    <w:p>
      <w:pPr>
        <w:pStyle w:val="BodyText"/>
        <w:spacing w:line="316" w:lineRule="auto" w:before="19"/>
        <w:ind w:left="472" w:right="6434" w:hanging="360"/>
        <w:jc w:val="left"/>
      </w:pPr>
      <w:r>
        <w:rPr/>
        <w:t>场独立经营的能力，不依赖于股东或其它任何关联方。 2、人员独立情况</w:t>
      </w:r>
    </w:p>
    <w:p>
      <w:pPr>
        <w:pStyle w:val="BodyText"/>
        <w:spacing w:line="316" w:lineRule="auto" w:before="19"/>
        <w:ind w:right="1132" w:firstLine="360"/>
        <w:jc w:val="both"/>
      </w:pPr>
      <w:r>
        <w:rPr>
          <w:spacing w:val="-2"/>
        </w:rPr>
        <w:t>公司人员、劳动、人事及工资完全独立。公司总经理、副总经理、董事会秘书、财务负责人等高级管理人员均在公司工</w:t>
      </w:r>
      <w:r>
        <w:rPr/>
        <w:t> </w:t>
      </w:r>
      <w:r>
        <w:rPr>
          <w:spacing w:val="-2"/>
        </w:rPr>
        <w:t>作并领取薪酬，未在控股股东及其下属企业担任除董事、监事以外的任何职务和领取报酬；公司财务人员没有在控股股东及</w:t>
      </w:r>
      <w:r>
        <w:rPr>
          <w:spacing w:val="-65"/>
        </w:rPr>
        <w:t> </w:t>
      </w:r>
      <w:r>
        <w:rPr>
          <w:spacing w:val="-65"/>
        </w:rPr>
      </w:r>
      <w:r>
        <w:rPr/>
        <w:t>下属企业兼职。</w:t>
      </w:r>
    </w:p>
    <w:p>
      <w:pPr>
        <w:pStyle w:val="BodyText"/>
        <w:spacing w:line="316" w:lineRule="auto" w:before="19"/>
        <w:ind w:left="472" w:right="952"/>
        <w:jc w:val="left"/>
      </w:pPr>
      <w:r>
        <w:rPr/>
        <w:t>3、资产完整情况 </w:t>
      </w:r>
      <w:r>
        <w:rPr>
          <w:spacing w:val="-2"/>
        </w:rPr>
        <w:t>公司资产完整，拥有独立于股东单位及其他关联方的机器设备、房屋建筑物，也独立拥有注册商标、非专利技术等无形</w:t>
      </w:r>
    </w:p>
    <w:p>
      <w:pPr>
        <w:pStyle w:val="BodyText"/>
        <w:spacing w:line="240" w:lineRule="auto" w:before="19"/>
        <w:ind w:right="952"/>
        <w:jc w:val="left"/>
      </w:pPr>
      <w:r>
        <w:rPr/>
        <w:t>资产。</w:t>
      </w:r>
    </w:p>
    <w:p>
      <w:pPr>
        <w:pStyle w:val="BodyText"/>
        <w:spacing w:line="316" w:lineRule="auto" w:before="76"/>
        <w:ind w:left="472" w:right="952"/>
        <w:jc w:val="left"/>
      </w:pPr>
      <w:r>
        <w:rPr/>
        <w:t>4、机构独立情况 </w:t>
      </w:r>
      <w:r>
        <w:rPr>
          <w:spacing w:val="-4"/>
        </w:rPr>
        <w:t>公司各部门独立履行其职责，负责公司的生产经营活动，其履行职能不受控股股东、其他有关部门或单位、个人的干预，</w:t>
      </w:r>
    </w:p>
    <w:p>
      <w:pPr>
        <w:pStyle w:val="BodyText"/>
        <w:spacing w:line="316" w:lineRule="auto" w:before="19"/>
        <w:ind w:right="952"/>
        <w:jc w:val="left"/>
      </w:pPr>
      <w:r>
        <w:rPr>
          <w:spacing w:val="-2"/>
        </w:rPr>
        <w:t>并且与控股股东及其职能部门之间不存在隶属关系，公司生产经营和办公场所与股东单位完全分开，不存在混合经营、合署</w:t>
      </w:r>
      <w:r>
        <w:rPr>
          <w:spacing w:val="-65"/>
        </w:rPr>
        <w:t> </w:t>
      </w:r>
      <w:r>
        <w:rPr>
          <w:spacing w:val="-65"/>
        </w:rPr>
      </w:r>
      <w:r>
        <w:rPr/>
        <w:t>办公的情况。</w:t>
      </w:r>
    </w:p>
    <w:p>
      <w:pPr>
        <w:pStyle w:val="BodyText"/>
        <w:spacing w:line="360" w:lineRule="auto" w:before="19"/>
        <w:ind w:left="472" w:right="952"/>
        <w:jc w:val="left"/>
      </w:pPr>
      <w:r>
        <w:rPr/>
        <w:t>5、财务独立情况 </w:t>
      </w:r>
      <w:r>
        <w:rPr>
          <w:spacing w:val="-2"/>
        </w:rPr>
        <w:t>公司设有独立的财务会计部门、财务负责人，建立了独立的财务规章制度，有完整独立的财务核算体系，能够独立出财</w:t>
      </w:r>
    </w:p>
    <w:p>
      <w:pPr>
        <w:pStyle w:val="BodyText"/>
        <w:spacing w:line="222" w:lineRule="exact"/>
        <w:ind w:right="952"/>
        <w:jc w:val="left"/>
      </w:pPr>
      <w:r>
        <w:rPr>
          <w:spacing w:val="-4"/>
        </w:rPr>
        <w:t>务决策，开设了独立的银行账户，并依法独立纳税，公司不存在与股东单位及其关联方共用银行账户的情况，也不存在资金、</w:t>
      </w:r>
    </w:p>
    <w:p>
      <w:pPr>
        <w:pStyle w:val="BodyText"/>
        <w:spacing w:line="240" w:lineRule="auto" w:before="76"/>
        <w:ind w:right="952"/>
        <w:jc w:val="left"/>
      </w:pPr>
      <w:r>
        <w:rPr/>
        <w:t>资产被股东单位及其关联方非法占用的情况。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952"/>
        <w:jc w:val="left"/>
        <w:rPr>
          <w:b w:val="0"/>
          <w:bCs w:val="0"/>
        </w:rPr>
      </w:pPr>
      <w:bookmarkStart w:name="三、同业竞争情况" w:id="139"/>
      <w:bookmarkEnd w:id="139"/>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www.cninfo.co</w:t>
              </w:r>
            </w:hyperlink>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27" w:right="0"/>
              <w:jc w:val="left"/>
              <w:rPr>
                <w:rFonts w:ascii="Times New Roman" w:hAnsi="Times New Roman" w:cs="Times New Roman" w:eastAsia="Times New Roman" w:hint="default"/>
                <w:sz w:val="18"/>
                <w:szCs w:val="18"/>
              </w:rPr>
            </w:pPr>
            <w:r>
              <w:rPr>
                <w:rFonts w:ascii="Times New Roman"/>
                <w:sz w:val="18"/>
              </w:rPr>
              <w:t>45.00%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102" w:right="102"/>
              <w:jc w:val="left"/>
              <w:rPr>
                <w:rFonts w:ascii="宋体" w:hAnsi="宋体" w:cs="宋体" w:eastAsia="宋体" w:hint="default"/>
                <w:sz w:val="18"/>
                <w:szCs w:val="18"/>
              </w:rPr>
            </w:pPr>
            <w:r>
              <w:rPr>
                <w:rFonts w:ascii="Times New Roman" w:hAnsi="Times New Roman" w:cs="Times New Roman" w:eastAsia="Times New Roman" w:hint="default"/>
                <w:spacing w:val="-11"/>
                <w:w w:val="99"/>
                <w:sz w:val="18"/>
                <w:szCs w:val="18"/>
              </w:rPr>
              <w:t>m.cn</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89"/>
                <w:sz w:val="18"/>
                <w:szCs w:val="18"/>
              </w:rPr>
              <w:t>》</w:t>
            </w:r>
            <w:r>
              <w:rPr>
                <w:rFonts w:ascii="宋体" w:hAnsi="宋体" w:cs="宋体" w:eastAsia="宋体" w:hint="default"/>
                <w:sz w:val="18"/>
                <w:szCs w:val="18"/>
              </w:rPr>
              <w:t>（公告编码：</w:t>
            </w:r>
          </w:p>
        </w:tc>
      </w:tr>
      <w:tr>
        <w:trPr>
          <w:trHeight w:val="354"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6"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www.cninfo.co</w:t>
              </w:r>
            </w:hyperlink>
          </w:p>
        </w:tc>
      </w:tr>
      <w:tr>
        <w:trPr>
          <w:trHeight w:val="93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927" w:right="0"/>
              <w:jc w:val="left"/>
              <w:rPr>
                <w:rFonts w:ascii="Times New Roman" w:hAnsi="Times New Roman" w:cs="Times New Roman" w:eastAsia="Times New Roman" w:hint="default"/>
                <w:sz w:val="18"/>
                <w:szCs w:val="18"/>
              </w:rPr>
            </w:pPr>
            <w:r>
              <w:rPr>
                <w:rFonts w:ascii="Times New Roman"/>
                <w:sz w:val="18"/>
              </w:rPr>
              <w:t>33.33%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01"/>
              <w:jc w:val="righ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01"/>
              <w:jc w:val="righ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2" w:right="102"/>
              <w:jc w:val="left"/>
              <w:rPr>
                <w:rFonts w:ascii="宋体" w:hAnsi="宋体" w:cs="宋体" w:eastAsia="宋体" w:hint="default"/>
                <w:sz w:val="18"/>
                <w:szCs w:val="18"/>
              </w:rPr>
            </w:pPr>
            <w:r>
              <w:rPr>
                <w:rFonts w:ascii="Times New Roman" w:hAnsi="Times New Roman" w:cs="Times New Roman" w:eastAsia="Times New Roman" w:hint="default"/>
                <w:spacing w:val="-11"/>
                <w:w w:val="99"/>
                <w:sz w:val="18"/>
                <w:szCs w:val="18"/>
              </w:rPr>
              <w:t>m.cn</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2018</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一次临时股东大</w:t>
            </w:r>
            <w:r>
              <w:rPr>
                <w:rFonts w:ascii="宋体" w:hAnsi="宋体" w:cs="宋体" w:eastAsia="宋体" w:hint="default"/>
                <w:sz w:val="18"/>
                <w:szCs w:val="18"/>
              </w:rPr>
              <w:t> </w:t>
            </w:r>
            <w:r>
              <w:rPr>
                <w:rFonts w:ascii="宋体" w:hAnsi="宋体" w:cs="宋体" w:eastAsia="宋体" w:hint="default"/>
                <w:spacing w:val="-12"/>
                <w:sz w:val="18"/>
                <w:szCs w:val="18"/>
              </w:rPr>
              <w:t>会决议公告》（公</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告编码：</w:t>
            </w:r>
          </w:p>
        </w:tc>
      </w:tr>
      <w:tr>
        <w:trPr>
          <w:trHeight w:val="358"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2018-056</w:t>
            </w:r>
            <w:r>
              <w:rPr>
                <w:rFonts w:ascii="宋体" w:hAnsi="宋体" w:cs="宋体" w:eastAsia="宋体" w:hint="default"/>
                <w:sz w:val="18"/>
                <w:szCs w:val="18"/>
              </w:rPr>
              <w:t>）</w:t>
            </w:r>
          </w:p>
        </w:tc>
      </w:tr>
    </w:tbl>
    <w:p>
      <w:pPr>
        <w:spacing w:line="240" w:lineRule="auto" w:before="4"/>
        <w:rPr>
          <w:rFonts w:ascii="宋体" w:hAnsi="宋体" w:cs="宋体" w:eastAsia="宋体" w:hint="default"/>
          <w:b/>
          <w:bCs/>
          <w:sz w:val="19"/>
          <w:szCs w:val="19"/>
        </w:rPr>
      </w:pPr>
    </w:p>
    <w:p>
      <w:pPr>
        <w:pStyle w:val="Heading3"/>
        <w:spacing w:line="240" w:lineRule="auto" w:before="34"/>
        <w:ind w:right="952"/>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0"/>
        <w:ind w:right="952"/>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独立董事对公司有关事项是否提出异议</w:t>
      </w:r>
    </w:p>
    <w:p>
      <w:pPr>
        <w:pStyle w:val="BodyText"/>
        <w:spacing w:line="360" w:lineRule="auto" w:before="115"/>
        <w:ind w:right="6974"/>
        <w:jc w:val="left"/>
      </w:pPr>
      <w:r>
        <w:rPr/>
        <w:t>□ 是 √ 否 报告期内独立董事对公司有关事项未提出异议。</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独立董事对公司有关建议是否被采纳</w:t>
      </w:r>
    </w:p>
    <w:p>
      <w:pPr>
        <w:pStyle w:val="BodyText"/>
        <w:spacing w:line="360" w:lineRule="auto" w:before="117"/>
        <w:ind w:right="6794"/>
        <w:jc w:val="left"/>
      </w:pPr>
      <w:r>
        <w:rPr/>
        <w:t>√ 是 □ 否 独立董事对公司有关建议被采纳或未被采纳的说明</w:t>
      </w:r>
    </w:p>
    <w:p>
      <w:pPr>
        <w:pStyle w:val="BodyText"/>
        <w:spacing w:line="316" w:lineRule="auto" w:before="25"/>
        <w:ind w:right="1132" w:firstLine="360"/>
        <w:jc w:val="both"/>
      </w:pPr>
      <w:r>
        <w:rPr>
          <w:spacing w:val="-2"/>
        </w:rPr>
        <w:t>报告期内，独立董事秉着对公司及全体股东诚信与勤勉的义务，严格按照相关法律、法规和《公司章程》的要求，认真</w:t>
      </w:r>
      <w:r>
        <w:rPr/>
        <w:t> </w:t>
      </w:r>
      <w:r>
        <w:rPr>
          <w:spacing w:val="-2"/>
        </w:rPr>
        <w:t>履行职责，维护公司整体利益，尤其关注中小股东的合法权益不受侵害。了解公司运作，主动调查、获取做出决策所需要的</w:t>
      </w:r>
      <w:r>
        <w:rPr>
          <w:spacing w:val="-65"/>
        </w:rPr>
        <w:t> </w:t>
      </w:r>
      <w:r>
        <w:rPr>
          <w:spacing w:val="-65"/>
        </w:rPr>
      </w:r>
      <w:r>
        <w:rPr>
          <w:spacing w:val="-2"/>
        </w:rPr>
        <w:t>情况和资料，对公司内部控制建设、管理体系建设、人才建设以及重大决策等方面提出了很多宝贵的专业性建议，对公司财</w:t>
      </w:r>
      <w:r>
        <w:rPr>
          <w:spacing w:val="-66"/>
        </w:rPr>
        <w:t> </w:t>
      </w:r>
      <w:r>
        <w:rPr>
          <w:spacing w:val="-66"/>
        </w:rPr>
      </w:r>
      <w:r>
        <w:rPr>
          <w:spacing w:val="-2"/>
        </w:rPr>
        <w:t>务及生产经营活动进行了有效监督，提高了公司决策的科学性，为完善公司监督机制，维护公司和全体股东的合法权益发挥</w:t>
      </w:r>
      <w:r>
        <w:rPr>
          <w:spacing w:val="-65"/>
        </w:rPr>
        <w:t> </w:t>
      </w:r>
      <w:r>
        <w:rPr>
          <w:spacing w:val="-65"/>
        </w:rPr>
      </w:r>
      <w:r>
        <w:rPr/>
        <w:t>了应有的作用。</w:t>
      </w:r>
    </w:p>
    <w:p>
      <w:pPr>
        <w:spacing w:after="0" w:line="316" w:lineRule="auto"/>
        <w:jc w:val="both"/>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26"/>
        <w:ind w:right="952"/>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1124" w:hanging="360"/>
        <w:jc w:val="left"/>
      </w:pPr>
      <w:r>
        <w:rPr/>
        <w:t>1、战略决策委员会 公司董事会战略决策委员会由5名成员组成，董事长为召集人。报告期内，战略决策委员会根据《董事会专门委员会工</w:t>
      </w:r>
    </w:p>
    <w:p>
      <w:pPr>
        <w:pStyle w:val="BodyText"/>
        <w:spacing w:line="316" w:lineRule="auto" w:before="19"/>
        <w:ind w:right="2654"/>
        <w:jc w:val="left"/>
      </w:pPr>
      <w:r>
        <w:rPr>
          <w:spacing w:val="-3"/>
        </w:rPr>
        <w:t>作制度》，对《公司章程》规定须经董事会批准的重大资本运作项目进行研究并提出建议。</w:t>
      </w:r>
      <w:r>
        <w:rPr>
          <w:spacing w:val="-59"/>
        </w:rPr>
        <w:t> </w:t>
      </w:r>
      <w:r>
        <w:rPr>
          <w:spacing w:val="-59"/>
        </w:rPr>
      </w:r>
      <w:r>
        <w:rPr/>
        <w:t>2、审计委员会</w:t>
      </w:r>
    </w:p>
    <w:p>
      <w:pPr>
        <w:pStyle w:val="BodyText"/>
        <w:spacing w:line="316" w:lineRule="auto" w:before="19"/>
        <w:ind w:right="1132" w:firstLine="360"/>
        <w:jc w:val="both"/>
      </w:pPr>
      <w:r>
        <w:rPr>
          <w:spacing w:val="-2"/>
        </w:rPr>
        <w:t>公司董事会审计委员会由3名成员组成，其中2名为独立董事，并由会计专业的独立董事担任召集人。报告期内，审议委</w:t>
      </w:r>
      <w:r>
        <w:rPr/>
        <w:t> </w:t>
      </w:r>
      <w:r>
        <w:rPr>
          <w:spacing w:val="-2"/>
        </w:rPr>
        <w:t>员会对公司内控情况、对外担保、续聘会计师事务所等事项进行核查，并定期召开会议，审议了定期报告相关事项及内部审</w:t>
      </w:r>
      <w:r>
        <w:rPr>
          <w:spacing w:val="-66"/>
        </w:rPr>
        <w:t> </w:t>
      </w:r>
      <w:r>
        <w:rPr>
          <w:spacing w:val="-66"/>
        </w:rPr>
      </w:r>
      <w:r>
        <w:rPr>
          <w:spacing w:val="-2"/>
        </w:rPr>
        <w:t>计部门提交的工作计划和报告等事项。审计委员会与年审注册会计师进行沟通，督促其按计划进行审计工作，就年度审计事</w:t>
      </w:r>
      <w:r>
        <w:rPr>
          <w:spacing w:val="-65"/>
        </w:rPr>
        <w:t> </w:t>
      </w:r>
      <w:r>
        <w:rPr>
          <w:spacing w:val="-65"/>
        </w:rPr>
      </w:r>
      <w:r>
        <w:rPr>
          <w:spacing w:val="-2"/>
        </w:rPr>
        <w:t>宜与公司管理层、年审机构进行了沟通，并对会计师事务所从事公司年度审计的工作进行了总结评价，提出续聘会计师事务</w:t>
      </w:r>
      <w:r>
        <w:rPr>
          <w:spacing w:val="-65"/>
        </w:rPr>
        <w:t> </w:t>
      </w:r>
      <w:r>
        <w:rPr>
          <w:spacing w:val="-65"/>
        </w:rPr>
      </w:r>
      <w:r>
        <w:rPr/>
        <w:t>所的建议。</w:t>
      </w:r>
    </w:p>
    <w:p>
      <w:pPr>
        <w:pStyle w:val="BodyText"/>
        <w:spacing w:line="316" w:lineRule="auto" w:before="19"/>
        <w:ind w:left="472" w:right="952" w:hanging="360"/>
        <w:jc w:val="left"/>
      </w:pPr>
      <w:r>
        <w:rPr/>
        <w:t>3、薪酬与考核委员会 </w:t>
      </w:r>
      <w:r>
        <w:rPr>
          <w:spacing w:val="-2"/>
        </w:rPr>
        <w:t>公司董事会薪酬与考核委员会成员由3名成员组成，其中2名为独立董事，并由独立董事担任召集人。报告期内，薪酬与</w:t>
      </w:r>
    </w:p>
    <w:p>
      <w:pPr>
        <w:pStyle w:val="BodyText"/>
        <w:spacing w:line="316" w:lineRule="auto" w:before="19"/>
        <w:ind w:right="1132"/>
        <w:jc w:val="both"/>
      </w:pPr>
      <w:r>
        <w:rPr>
          <w:spacing w:val="-2"/>
        </w:rPr>
        <w:t>考核委员会严格遵照根据中国证监会、深圳证券交易所的有关规定及公司《薪酬与考核委员会工作细则》，切实履行职责，</w:t>
      </w:r>
      <w:r>
        <w:rPr>
          <w:spacing w:val="-71"/>
        </w:rPr>
        <w:t> </w:t>
      </w:r>
      <w:r>
        <w:rPr>
          <w:spacing w:val="-71"/>
        </w:rPr>
      </w:r>
      <w:r>
        <w:rPr>
          <w:spacing w:val="-2"/>
        </w:rPr>
        <w:t>主要负责制定公司董事及高级管理人员的考核标准并进行考核，制定、审查公司董事及高级管理人员的薪酬政策与方案，并</w:t>
      </w:r>
      <w:r>
        <w:rPr>
          <w:spacing w:val="-65"/>
        </w:rPr>
        <w:t> </w:t>
      </w:r>
      <w:r>
        <w:rPr>
          <w:spacing w:val="-65"/>
        </w:rPr>
      </w:r>
      <w:r>
        <w:rPr/>
        <w:t>指导董事会完善公司薪酬体系。</w:t>
      </w:r>
    </w:p>
    <w:p>
      <w:pPr>
        <w:pStyle w:val="BodyText"/>
        <w:spacing w:line="240" w:lineRule="auto" w:before="19"/>
        <w:ind w:right="952"/>
        <w:jc w:val="left"/>
      </w:pPr>
      <w:r>
        <w:rPr/>
        <w:t>4、提名委员会</w:t>
      </w:r>
    </w:p>
    <w:p>
      <w:pPr>
        <w:pStyle w:val="BodyText"/>
        <w:spacing w:line="316" w:lineRule="auto" w:before="117"/>
        <w:ind w:right="1130" w:firstLine="360"/>
        <w:jc w:val="both"/>
      </w:pPr>
      <w:r>
        <w:rPr>
          <w:spacing w:val="-2"/>
        </w:rPr>
        <w:t>公司董事会提名委员会由3名成员组成，其中2名为独立董事，并由独立董事担任召集人。报告期内，提名委员会积极关</w:t>
      </w:r>
      <w:r>
        <w:rPr/>
        <w:t> 注和参与研究公司的发展，对公司拟选举的董事及聘任的高管任职资格进行审查，并提交董事会审议。</w:t>
      </w:r>
    </w:p>
    <w:p>
      <w:pPr>
        <w:pStyle w:val="BodyText"/>
        <w:spacing w:line="360" w:lineRule="auto" w:before="57"/>
        <w:ind w:left="472" w:right="952" w:hanging="360"/>
        <w:jc w:val="left"/>
      </w:pPr>
      <w:r>
        <w:rPr/>
        <w:t>5、信息披露委员会 </w:t>
      </w:r>
      <w:r>
        <w:rPr>
          <w:spacing w:val="-2"/>
        </w:rPr>
        <w:t>公司信息披露委员会由5名成员组成，其中3名为独立董事，并由独立董事担任召集人。报告期内，信息披露委员会积极</w:t>
      </w:r>
    </w:p>
    <w:p>
      <w:pPr>
        <w:pStyle w:val="BodyText"/>
        <w:spacing w:line="222" w:lineRule="exact"/>
        <w:ind w:right="952"/>
        <w:jc w:val="left"/>
      </w:pPr>
      <w:r>
        <w:rPr/>
        <w:t>推动建立、完善信息披露内部控制机制，定期检视公司需披露信息的收集、传递和披露情况。对疑难、无先例需披露事项组</w:t>
      </w:r>
    </w:p>
    <w:p>
      <w:pPr>
        <w:pStyle w:val="BodyText"/>
        <w:spacing w:line="240" w:lineRule="auto" w:before="76"/>
        <w:ind w:right="952"/>
        <w:jc w:val="left"/>
      </w:pPr>
      <w:r>
        <w:rPr/>
        <w:t>织讨论并提供咨询和建议。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952"/>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监事会在报告期内的监督活动中发现公司是否存在风险</w:t>
      </w:r>
    </w:p>
    <w:p>
      <w:pPr>
        <w:pStyle w:val="BodyText"/>
        <w:spacing w:line="357" w:lineRule="auto" w:before="117"/>
        <w:ind w:right="7334"/>
        <w:jc w:val="left"/>
      </w:pPr>
      <w:r>
        <w:rPr/>
        <w:t>□ 是 √ 否 公司监事会对报告期内的监督事项无异议。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952"/>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52" w:firstLine="360"/>
        <w:jc w:val="left"/>
      </w:pPr>
      <w:r>
        <w:rPr>
          <w:spacing w:val="-2"/>
        </w:rPr>
        <w:t>公司建立了完善的高级管理人员绩效考评体系，明确了高级管理人员考核内容与流程。公司高级管理人员的薪资由由基</w:t>
      </w:r>
      <w:r>
        <w:rPr/>
        <w:t> </w:t>
      </w:r>
      <w:r>
        <w:rPr>
          <w:spacing w:val="-4"/>
        </w:rPr>
        <w:t>本工资、绩效工资、保密津贴及经考核后核定的奖金构成，参考市场同类薪酬标准，结合考虑职位、责任、能力等因素确定，</w:t>
      </w:r>
      <w:r>
        <w:rPr>
          <w:spacing w:val="-43"/>
        </w:rPr>
        <w:t> </w:t>
      </w:r>
      <w:r>
        <w:rPr>
          <w:spacing w:val="-43"/>
        </w:rPr>
      </w:r>
      <w:r>
        <w:rPr>
          <w:spacing w:val="-5"/>
        </w:rPr>
        <w:t>薪资水平与其承担责任、风险和经营业绩挂钩。报告期内，公司高级管理人员能够按照《公司法》、《公司章程》及国家有关</w:t>
      </w:r>
      <w:r>
        <w:rPr>
          <w:spacing w:val="-80"/>
        </w:rPr>
        <w:t> </w:t>
      </w:r>
      <w:r>
        <w:rPr>
          <w:spacing w:val="-80"/>
        </w:rPr>
      </w:r>
      <w:r>
        <w:rPr>
          <w:spacing w:val="-2"/>
        </w:rPr>
        <w:t>法律法规的规定认真履行职责，积极落实公司股东大会和董事会相关决议。高级管理人员薪酬合理，薪酬发放的程序符合有</w:t>
      </w:r>
      <w:r>
        <w:rPr>
          <w:spacing w:val="-65"/>
        </w:rPr>
        <w:t> </w:t>
      </w:r>
      <w:r>
        <w:rPr>
          <w:spacing w:val="-65"/>
        </w:rPr>
      </w:r>
      <w:r>
        <w:rPr/>
        <w:t>关法律、法规及《公司章程》的规定。</w:t>
      </w:r>
    </w:p>
    <w:p>
      <w:pPr>
        <w:pStyle w:val="BodyText"/>
        <w:spacing w:line="316" w:lineRule="auto" w:before="19"/>
        <w:ind w:right="1132" w:firstLine="360"/>
        <w:jc w:val="both"/>
      </w:pPr>
      <w:r>
        <w:rPr/>
        <w:t>2018年8月13日公司董事会薪酬与考核委员会审议通过了《关于公司2016年限制性股票激励计划第二哥解锁期可解锁的 </w:t>
      </w:r>
      <w:r>
        <w:rPr>
          <w:spacing w:val="-3"/>
        </w:rPr>
        <w:t>议案》，经2018年8月14日召开的第三届董事会第十八次会议审议通过，对符合解锁条件的96名激励对象的限制性股票进行解</w:t>
      </w:r>
      <w:r>
        <w:rPr/>
        <w:t> 锁。</w:t>
      </w:r>
    </w:p>
    <w:p>
      <w:pPr>
        <w:spacing w:after="0" w:line="316" w:lineRule="auto"/>
        <w:jc w:val="both"/>
        <w:sectPr>
          <w:pgSz w:w="11910" w:h="16840"/>
          <w:pgMar w:header="919" w:footer="1009"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52"/>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2" w:right="12" w:firstLine="81"/>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财务报告重大缺陷的迹象主要包括： 公司董事、监事和高级管理人员舞弊； 公司更正已经公布的财务报告；注册会 计师发现当期财务报告存在重大错报， 而内部控制在运行过程中未能发现该错 报；审计委员会和内部审计机构对内部 控制的监督无效。</w:t>
            </w:r>
            <w:r>
              <w:rPr>
                <w:rFonts w:ascii="Times New Roman" w:hAnsi="Times New Roman" w:cs="Times New Roman" w:eastAsia="Times New Roman" w:hint="default"/>
                <w:sz w:val="18"/>
                <w:szCs w:val="18"/>
              </w:rPr>
              <w:t>B.</w:t>
            </w:r>
            <w:r>
              <w:rPr>
                <w:rFonts w:ascii="宋体" w:hAnsi="宋体" w:cs="宋体" w:eastAsia="宋体" w:hint="default"/>
                <w:sz w:val="18"/>
                <w:szCs w:val="18"/>
              </w:rPr>
              <w:t>重要缺陷：在缺陷 识别的时候，同时考虑缺陷发生的可能 性，缺陷发生可能性为中等则认定为重 </w:t>
            </w:r>
            <w:r>
              <w:rPr>
                <w:rFonts w:ascii="宋体" w:hAnsi="宋体" w:cs="宋体" w:eastAsia="宋体" w:hint="default"/>
                <w:spacing w:val="-2"/>
                <w:sz w:val="18"/>
                <w:szCs w:val="18"/>
              </w:rPr>
              <w:t>要缺陷。</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一般缺陷：未构成重大缺陷、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重要缺陷标准的其他内部控制缺陷。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tabs>
                <w:tab w:pos="2623" w:val="left" w:leader="none"/>
              </w:tabs>
              <w:spacing w:line="312" w:lineRule="auto" w:before="50"/>
              <w:ind w:left="103" w:right="10" w:firstLine="7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、重大缺陷：如果缺陷发生的可能</w:t>
            </w:r>
            <w:r>
              <w:rPr>
                <w:rFonts w:ascii="宋体" w:hAnsi="宋体" w:cs="宋体" w:eastAsia="宋体" w:hint="default"/>
                <w:sz w:val="18"/>
                <w:szCs w:val="18"/>
              </w:rPr>
              <w:t> 性高，会严重降低工作效率或效果、 </w:t>
            </w:r>
            <w:r>
              <w:rPr>
                <w:rFonts w:ascii="宋体" w:hAnsi="宋体" w:cs="宋体" w:eastAsia="宋体" w:hint="default"/>
                <w:spacing w:val="-3"/>
                <w:sz w:val="18"/>
                <w:szCs w:val="18"/>
              </w:rPr>
              <w:t>或严重加大效果的不确定性，或使之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严重偏离预期目标的。</w:t>
              <w:tab/>
            </w:r>
            <w:r>
              <w:rPr>
                <w:rFonts w:ascii="Times New Roman" w:hAnsi="Times New Roman" w:cs="Times New Roman" w:eastAsia="Times New Roman" w:hint="default"/>
                <w:sz w:val="18"/>
                <w:szCs w:val="18"/>
              </w:rPr>
              <w:t>B</w:t>
            </w:r>
            <w:r>
              <w:rPr>
                <w:rFonts w:ascii="宋体" w:hAnsi="宋体" w:cs="宋体" w:eastAsia="宋体" w:hint="default"/>
                <w:sz w:val="18"/>
                <w:szCs w:val="18"/>
              </w:rPr>
              <w:t>、 </w:t>
            </w:r>
            <w:r>
              <w:rPr>
                <w:rFonts w:ascii="宋体" w:hAnsi="宋体" w:cs="宋体" w:eastAsia="宋体" w:hint="default"/>
                <w:spacing w:val="-3"/>
                <w:sz w:val="18"/>
                <w:szCs w:val="18"/>
              </w:rPr>
              <w:t>重要缺陷：如果缺陷发生的可能性较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高，会显著降低工作效率或效果、或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显著加大效果的不确定性，或使之显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著偏离预期目标的。</w:t>
            </w:r>
            <w:r>
              <w:rPr>
                <w:rFonts w:ascii="宋体" w:hAnsi="宋体" w:cs="宋体" w:eastAsia="宋体" w:hint="default"/>
                <w:spacing w:val="8"/>
                <w:sz w:val="18"/>
                <w:szCs w:val="18"/>
              </w:rPr>
              <w:t> </w:t>
            </w:r>
            <w:r>
              <w:rPr>
                <w:rFonts w:ascii="Times New Roman" w:hAnsi="Times New Roman" w:cs="Times New Roman" w:eastAsia="Times New Roman" w:hint="default"/>
                <w:spacing w:val="-12"/>
                <w:w w:val="99"/>
                <w:sz w:val="18"/>
                <w:szCs w:val="18"/>
              </w:rPr>
              <w:t>C</w:t>
            </w:r>
            <w:r>
              <w:rPr>
                <w:rFonts w:ascii="宋体" w:hAnsi="宋体" w:cs="宋体" w:eastAsia="宋体" w:hint="default"/>
                <w:spacing w:val="-12"/>
                <w:w w:val="99"/>
                <w:sz w:val="18"/>
                <w:szCs w:val="18"/>
              </w:rPr>
              <w:t>、一般缺陷：</w:t>
            </w:r>
            <w:r>
              <w:rPr>
                <w:rFonts w:ascii="宋体" w:hAnsi="宋体" w:cs="宋体" w:eastAsia="宋体" w:hint="default"/>
                <w:sz w:val="18"/>
                <w:szCs w:val="18"/>
              </w:rPr>
              <w:t> </w:t>
            </w:r>
            <w:r>
              <w:rPr>
                <w:rFonts w:ascii="宋体" w:hAnsi="宋体" w:cs="宋体" w:eastAsia="宋体" w:hint="default"/>
                <w:spacing w:val="-3"/>
                <w:sz w:val="18"/>
                <w:szCs w:val="18"/>
              </w:rPr>
              <w:t>如果缺陷发生的可能性较小，会降低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工作效率或效果、或加大效果的不确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定性，或使之偏离预期目标的。</w:t>
            </w:r>
          </w:p>
        </w:tc>
      </w:tr>
      <w:tr>
        <w:trPr>
          <w:trHeight w:val="25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tabs>
                <w:tab w:pos="2151" w:val="left" w:leader="none"/>
                <w:tab w:pos="2262" w:val="left" w:leader="none"/>
              </w:tabs>
              <w:spacing w:line="307" w:lineRule="auto" w:before="49"/>
              <w:ind w:left="102" w:right="14"/>
              <w:jc w:val="left"/>
              <w:rPr>
                <w:rFonts w:ascii="宋体" w:hAnsi="宋体" w:cs="宋体" w:eastAsia="宋体" w:hint="default"/>
                <w:sz w:val="18"/>
                <w:szCs w:val="18"/>
              </w:rPr>
            </w:pPr>
            <w:r>
              <w:rPr>
                <w:rFonts w:ascii="宋体" w:hAnsi="宋体" w:cs="宋体" w:eastAsia="宋体" w:hint="default"/>
                <w:sz w:val="18"/>
                <w:szCs w:val="18"/>
              </w:rPr>
              <w:t>一、营业收入潜在错报</w:t>
              <w:tab/>
              <w:tab/>
              <w:t>重大缺陷： 错报</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；重要缺陷：错 报介于营业收入的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5%-10%</w:t>
            </w:r>
            <w:r>
              <w:rPr>
                <w:rFonts w:ascii="宋体" w:hAnsi="宋体" w:cs="宋体" w:eastAsia="宋体" w:hint="default"/>
                <w:sz w:val="18"/>
                <w:szCs w:val="18"/>
              </w:rPr>
              <w:t>；一般缺陷： 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3"/>
                <w:sz w:val="18"/>
                <w:szCs w:val="18"/>
              </w:rPr>
              <w:t>二、资产总额潜在错报</w:t>
              <w:tab/>
            </w:r>
            <w:r>
              <w:rPr>
                <w:rFonts w:ascii="宋体" w:hAnsi="宋体" w:cs="宋体" w:eastAsia="宋体" w:hint="default"/>
                <w:spacing w:val="-4"/>
                <w:sz w:val="18"/>
                <w:szCs w:val="18"/>
              </w:rPr>
              <w:t>重大缺陷：错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；重要缺陷：错报介</w:t>
            </w:r>
            <w:r>
              <w:rPr>
                <w:rFonts w:ascii="宋体" w:hAnsi="宋体" w:cs="宋体" w:eastAsia="宋体" w:hint="default"/>
                <w:sz w:val="18"/>
                <w:szCs w:val="18"/>
              </w:rPr>
              <w:t> 于资产总额的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5%-10%</w:t>
            </w:r>
            <w:r>
              <w:rPr>
                <w:rFonts w:ascii="宋体" w:hAnsi="宋体" w:cs="宋体" w:eastAsia="宋体" w:hint="default"/>
                <w:spacing w:val="-7"/>
                <w:sz w:val="18"/>
                <w:szCs w:val="18"/>
              </w:rPr>
              <w:t>：一般缺陷：错报</w:t>
            </w:r>
          </w:p>
          <w:p>
            <w:pPr>
              <w:pStyle w:val="TableParagraph"/>
              <w:spacing w:line="240" w:lineRule="auto" w:before="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6"/>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直接财产损失金额</w:t>
            </w:r>
            <w:r>
              <w:rPr>
                <w:rFonts w:ascii="宋体" w:hAnsi="宋体" w:cs="宋体" w:eastAsia="宋体" w:hint="default"/>
                <w:spacing w:val="2"/>
                <w:sz w:val="18"/>
                <w:szCs w:val="18"/>
              </w:rPr>
              <w:t> </w:t>
            </w:r>
            <w:r>
              <w:rPr>
                <w:rFonts w:ascii="宋体" w:hAnsi="宋体" w:cs="宋体" w:eastAsia="宋体" w:hint="default"/>
                <w:spacing w:val="-7"/>
                <w:sz w:val="18"/>
                <w:szCs w:val="18"/>
              </w:rPr>
              <w:t>重大缺陷定：上</w:t>
            </w:r>
            <w:r>
              <w:rPr>
                <w:rFonts w:ascii="宋体" w:hAnsi="宋体" w:cs="宋体" w:eastAsia="宋体" w:hint="default"/>
                <w:sz w:val="18"/>
                <w:szCs w:val="18"/>
              </w:rPr>
              <w:t> 一会计年度净资产的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及以上；重</w:t>
            </w:r>
            <w:r>
              <w:rPr>
                <w:rFonts w:ascii="宋体" w:hAnsi="宋体" w:cs="宋体" w:eastAsia="宋体" w:hint="default"/>
                <w:sz w:val="18"/>
                <w:szCs w:val="18"/>
              </w:rPr>
              <w:t> 要缺陷：上一会计年度净资产的 </w:t>
            </w:r>
            <w:r>
              <w:rPr>
                <w:rFonts w:ascii="Times New Roman" w:hAnsi="Times New Roman" w:cs="Times New Roman" w:eastAsia="Times New Roman" w:hint="default"/>
                <w:sz w:val="18"/>
                <w:szCs w:val="18"/>
              </w:rPr>
              <w:t>2.5%-</w:t>
            </w:r>
            <w:r>
              <w:rPr>
                <w:rFonts w:ascii="宋体" w:hAnsi="宋体" w:cs="宋体" w:eastAsia="宋体" w:hint="default"/>
                <w:sz w:val="18"/>
                <w:szCs w:val="18"/>
              </w:rPr>
              <w:t>上一会计年度净资产的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宋体" w:hAnsi="宋体" w:cs="宋体" w:eastAsia="宋体" w:hint="default"/>
                <w:spacing w:val="-3"/>
                <w:sz w:val="18"/>
                <w:szCs w:val="18"/>
              </w:rPr>
              <w:t>一般缺陷：小于上一会计年度净资产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8"/>
        <w:rPr>
          <w:rFonts w:ascii="宋体" w:hAnsi="宋体" w:cs="宋体" w:eastAsia="宋体" w:hint="default"/>
          <w:b/>
          <w:bCs/>
          <w:sz w:val="18"/>
          <w:szCs w:val="18"/>
        </w:rPr>
      </w:pPr>
    </w:p>
    <w:p>
      <w:pPr>
        <w:pStyle w:val="Heading2"/>
        <w:spacing w:line="240" w:lineRule="auto" w:before="26"/>
        <w:ind w:right="952"/>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不适用</w:t>
      </w:r>
    </w:p>
    <w:p>
      <w:pPr>
        <w:spacing w:after="0" w:line="240" w:lineRule="auto"/>
        <w:jc w:val="left"/>
        <w:sectPr>
          <w:footerReference w:type="default" r:id="rId22"/>
          <w:pgSz w:w="11910" w:h="16840"/>
          <w:pgMar w:footer="1009" w:header="919" w:top="1120" w:bottom="1200" w:left="102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086" w:right="952"/>
        <w:jc w:val="left"/>
        <w:rPr>
          <w:b w:val="0"/>
          <w:bCs w:val="0"/>
        </w:rPr>
      </w:pPr>
      <w:bookmarkStart w:name="第十节 公司债券相关情况" w:id="154"/>
      <w:bookmarkEnd w:id="154"/>
      <w:r>
        <w:rPr>
          <w:b w:val="0"/>
          <w:bCs w:val="0"/>
        </w:rPr>
      </w:r>
      <w:bookmarkStart w:name="_bookmark9" w:id="155"/>
      <w:bookmarkEnd w:id="155"/>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568" w:right="952"/>
        <w:jc w:val="left"/>
        <w:rPr>
          <w:b w:val="0"/>
          <w:bCs w:val="0"/>
        </w:rPr>
      </w:pPr>
      <w:bookmarkStart w:name="第十一节 财务报告" w:id="156"/>
      <w:bookmarkEnd w:id="156"/>
      <w:r>
        <w:rPr>
          <w:b w:val="0"/>
          <w:bCs w:val="0"/>
        </w:rPr>
      </w:r>
      <w:bookmarkStart w:name="_bookmark10" w:id="157"/>
      <w:bookmarkEnd w:id="157"/>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2"/>
        <w:jc w:val="left"/>
        <w:rPr>
          <w:b w:val="0"/>
          <w:bCs w:val="0"/>
        </w:rPr>
      </w:pPr>
      <w:bookmarkStart w:name="一、审计报告" w:id="158"/>
      <w:bookmarkEnd w:id="158"/>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 23385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屈先富、陈子涵</w:t>
            </w:r>
          </w:p>
        </w:tc>
      </w:tr>
    </w:tbl>
    <w:p>
      <w:pPr>
        <w:spacing w:line="240" w:lineRule="auto" w:before="3"/>
        <w:rPr>
          <w:rFonts w:ascii="宋体" w:hAnsi="宋体" w:cs="宋体" w:eastAsia="宋体" w:hint="default"/>
          <w:b/>
          <w:bCs/>
          <w:sz w:val="27"/>
          <w:szCs w:val="27"/>
        </w:rPr>
      </w:pPr>
    </w:p>
    <w:p>
      <w:pPr>
        <w:pStyle w:val="BodyText"/>
        <w:spacing w:line="240" w:lineRule="auto" w:before="44"/>
        <w:ind w:left="513" w:right="1534"/>
        <w:jc w:val="center"/>
      </w:pPr>
      <w:r>
        <w:rPr/>
        <w:t>审计报告正文</w:t>
      </w:r>
    </w:p>
    <w:p>
      <w:pPr>
        <w:spacing w:line="240" w:lineRule="auto" w:before="0"/>
        <w:rPr>
          <w:rFonts w:ascii="宋体" w:hAnsi="宋体" w:cs="宋体" w:eastAsia="宋体" w:hint="default"/>
          <w:sz w:val="18"/>
          <w:szCs w:val="18"/>
        </w:rPr>
      </w:pPr>
    </w:p>
    <w:p>
      <w:pPr>
        <w:pStyle w:val="Heading2"/>
        <w:spacing w:line="513" w:lineRule="auto" w:before="152"/>
        <w:ind w:left="592" w:right="5694" w:hanging="480"/>
        <w:jc w:val="left"/>
        <w:rPr>
          <w:b w:val="0"/>
          <w:bCs w:val="0"/>
        </w:rPr>
      </w:pPr>
      <w:r>
        <w:rPr/>
        <w:t>深圳市赢时胜信息技术股份有限公司全体股东：</w:t>
      </w:r>
      <w:r>
        <w:rPr>
          <w:w w:val="99"/>
        </w:rPr>
        <w:t> </w:t>
      </w:r>
      <w:r>
        <w:rPr/>
        <w:t>一、审计意见</w:t>
      </w:r>
      <w:r>
        <w:rPr>
          <w:b w:val="0"/>
          <w:bCs w:val="0"/>
        </w:rPr>
      </w:r>
    </w:p>
    <w:p>
      <w:pPr>
        <w:pStyle w:val="BodyText"/>
        <w:spacing w:line="367" w:lineRule="auto" w:before="154"/>
        <w:ind w:right="1131" w:firstLine="360"/>
        <w:jc w:val="both"/>
      </w:pPr>
      <w:r>
        <w:rPr/>
        <w:t>我们审计了后附的深圳市赢时胜信息技术股份有限公司（以下简称“赢时胜公司”）财务报表，包括</w:t>
      </w:r>
      <w:r>
        <w:rPr>
          <w:spacing w:val="-42"/>
        </w:rPr>
        <w:t> </w:t>
      </w:r>
      <w:r>
        <w:rPr/>
        <w:t>2018</w:t>
      </w:r>
      <w:r>
        <w:rPr>
          <w:spacing w:val="-41"/>
        </w:rPr>
        <w:t> </w:t>
      </w:r>
      <w:r>
        <w:rPr/>
        <w:t>年</w:t>
      </w:r>
      <w:r>
        <w:rPr>
          <w:spacing w:val="-39"/>
        </w:rPr>
        <w:t> </w:t>
      </w:r>
      <w:r>
        <w:rPr/>
        <w:t>12</w:t>
      </w:r>
      <w:r>
        <w:rPr>
          <w:spacing w:val="-41"/>
        </w:rPr>
        <w:t> </w:t>
      </w:r>
      <w:r>
        <w:rPr/>
        <w:t>月</w:t>
      </w:r>
      <w:r>
        <w:rPr>
          <w:spacing w:val="-39"/>
        </w:rPr>
        <w:t> </w:t>
      </w:r>
      <w:r>
        <w:rPr/>
        <w:t>31</w:t>
      </w:r>
      <w:r>
        <w:rPr/>
        <w:t> 日的合并及母公司资产负债表，2018</w:t>
      </w:r>
      <w:r>
        <w:rPr>
          <w:spacing w:val="-16"/>
        </w:rPr>
        <w:t> </w:t>
      </w:r>
      <w:r>
        <w:rPr/>
        <w:t>年度的合并及母公司利润表、合并及母公司现金流量表、合并及母公司股东权益变动</w:t>
      </w:r>
      <w:r>
        <w:rPr>
          <w:spacing w:val="-77"/>
        </w:rPr>
        <w:t> </w:t>
      </w:r>
      <w:r>
        <w:rPr>
          <w:spacing w:val="-77"/>
        </w:rPr>
      </w:r>
      <w:r>
        <w:rPr/>
        <w:t>表，以及财务报表附注。</w:t>
      </w:r>
    </w:p>
    <w:p>
      <w:pPr>
        <w:spacing w:line="240" w:lineRule="auto" w:before="2"/>
        <w:rPr>
          <w:rFonts w:ascii="宋体" w:hAnsi="宋体" w:cs="宋体" w:eastAsia="宋体" w:hint="default"/>
          <w:sz w:val="14"/>
          <w:szCs w:val="14"/>
        </w:rPr>
      </w:pPr>
    </w:p>
    <w:p>
      <w:pPr>
        <w:pStyle w:val="BodyText"/>
        <w:spacing w:line="240" w:lineRule="auto"/>
        <w:ind w:left="472" w:right="952"/>
        <w:jc w:val="left"/>
      </w:pPr>
      <w:r>
        <w:rPr/>
        <w:t>我们认为，后附的财务报表在所有重大方面按照企业会计准则的规定编制，公允反映了赢时胜公司</w:t>
      </w:r>
      <w:r>
        <w:rPr>
          <w:spacing w:val="-44"/>
        </w:rPr>
        <w:t> </w:t>
      </w:r>
      <w:r>
        <w:rPr/>
        <w:t>2018</w:t>
      </w:r>
      <w:r>
        <w:rPr>
          <w:spacing w:val="-45"/>
        </w:rPr>
        <w:t> </w:t>
      </w:r>
      <w:r>
        <w:rPr/>
        <w:t>年</w:t>
      </w:r>
      <w:r>
        <w:rPr>
          <w:spacing w:val="-44"/>
        </w:rPr>
        <w:t> </w:t>
      </w:r>
      <w:r>
        <w:rPr/>
        <w:t>12</w:t>
      </w:r>
      <w:r>
        <w:rPr>
          <w:spacing w:val="-47"/>
        </w:rPr>
        <w:t> </w:t>
      </w:r>
      <w:r>
        <w:rPr/>
        <w:t>月</w:t>
      </w:r>
      <w:r>
        <w:rPr>
          <w:spacing w:val="-44"/>
        </w:rPr>
        <w:t> </w:t>
      </w:r>
      <w:r>
        <w:rPr/>
        <w:t>31</w:t>
      </w:r>
      <w:r>
        <w:rPr>
          <w:spacing w:val="-45"/>
        </w:rPr>
        <w:t> </w:t>
      </w:r>
      <w:r>
        <w:rPr/>
        <w:t>日</w:t>
      </w:r>
    </w:p>
    <w:p>
      <w:pPr>
        <w:pStyle w:val="BodyText"/>
        <w:spacing w:line="240" w:lineRule="auto" w:before="124"/>
        <w:ind w:right="952"/>
        <w:jc w:val="left"/>
      </w:pPr>
      <w:r>
        <w:rPr/>
        <w:t>的合并及母公司财务状况以及</w:t>
      </w:r>
      <w:r>
        <w:rPr>
          <w:spacing w:val="-45"/>
        </w:rPr>
        <w:t> </w:t>
      </w:r>
      <w:r>
        <w:rPr/>
        <w:t>2018</w:t>
      </w:r>
      <w:r>
        <w:rPr>
          <w:spacing w:val="-46"/>
        </w:rPr>
        <w:t> </w:t>
      </w:r>
      <w:r>
        <w:rPr/>
        <w:t>年度的合并及母公司经营成果和现金流量。</w:t>
      </w:r>
    </w:p>
    <w:p>
      <w:pPr>
        <w:spacing w:line="240" w:lineRule="auto" w:before="0"/>
        <w:rPr>
          <w:rFonts w:ascii="宋体" w:hAnsi="宋体" w:cs="宋体" w:eastAsia="宋体" w:hint="default"/>
          <w:sz w:val="18"/>
          <w:szCs w:val="18"/>
        </w:rPr>
      </w:pPr>
    </w:p>
    <w:p>
      <w:pPr>
        <w:pStyle w:val="Heading2"/>
        <w:spacing w:line="240" w:lineRule="auto" w:before="131"/>
        <w:ind w:left="592" w:right="952"/>
        <w:jc w:val="left"/>
        <w:rPr>
          <w:b w:val="0"/>
          <w:bCs w:val="0"/>
        </w:rPr>
      </w:pPr>
      <w:r>
        <w:rPr/>
        <w:t>二、形成审计意见的基础</w:t>
      </w:r>
      <w:r>
        <w:rPr>
          <w:b w:val="0"/>
          <w:bCs w:val="0"/>
        </w:rPr>
      </w:r>
    </w:p>
    <w:p>
      <w:pPr>
        <w:spacing w:line="240" w:lineRule="auto" w:before="9"/>
        <w:rPr>
          <w:rFonts w:ascii="宋体" w:hAnsi="宋体" w:cs="宋体" w:eastAsia="宋体" w:hint="default"/>
          <w:b/>
          <w:bCs/>
          <w:sz w:val="32"/>
          <w:szCs w:val="32"/>
        </w:rPr>
      </w:pPr>
    </w:p>
    <w:p>
      <w:pPr>
        <w:pStyle w:val="BodyText"/>
        <w:spacing w:line="367" w:lineRule="auto"/>
        <w:ind w:right="1130"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步阐述了我们在这些准则下的责任。按照中国注册会计师职业道德守则，我们独立于赢时胜公司，并履行了职业道德方面的</w:t>
      </w:r>
      <w:r>
        <w:rPr>
          <w:spacing w:val="-63"/>
        </w:rPr>
        <w:t> </w:t>
      </w:r>
      <w:r>
        <w:rPr>
          <w:spacing w:val="-63"/>
        </w:rPr>
      </w:r>
      <w:r>
        <w:rPr/>
        <w:t>其他责任。我们相信，我们获取的审计证据是充分、适当的，为发表审计意见提供了基础。</w:t>
      </w:r>
    </w:p>
    <w:p>
      <w:pPr>
        <w:spacing w:line="240" w:lineRule="auto" w:before="9"/>
        <w:rPr>
          <w:rFonts w:ascii="宋体" w:hAnsi="宋体" w:cs="宋体" w:eastAsia="宋体" w:hint="default"/>
          <w:sz w:val="20"/>
          <w:szCs w:val="20"/>
        </w:rPr>
      </w:pPr>
    </w:p>
    <w:p>
      <w:pPr>
        <w:pStyle w:val="Heading2"/>
        <w:spacing w:line="240" w:lineRule="auto"/>
        <w:ind w:left="592" w:right="952"/>
        <w:jc w:val="left"/>
        <w:rPr>
          <w:b w:val="0"/>
          <w:bCs w:val="0"/>
        </w:rPr>
      </w:pPr>
      <w:r>
        <w:rPr/>
        <w:t>三、关键审计事项</w:t>
      </w:r>
      <w:r>
        <w:rPr>
          <w:b w:val="0"/>
          <w:bCs w:val="0"/>
        </w:rPr>
      </w:r>
    </w:p>
    <w:p>
      <w:pPr>
        <w:spacing w:line="240" w:lineRule="auto" w:before="9"/>
        <w:rPr>
          <w:rFonts w:ascii="宋体" w:hAnsi="宋体" w:cs="宋体" w:eastAsia="宋体" w:hint="default"/>
          <w:b/>
          <w:bCs/>
          <w:sz w:val="32"/>
          <w:szCs w:val="32"/>
        </w:rPr>
      </w:pPr>
    </w:p>
    <w:p>
      <w:pPr>
        <w:pStyle w:val="BodyText"/>
        <w:spacing w:line="367" w:lineRule="auto"/>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after="0" w:line="367" w:lineRule="auto"/>
        <w:jc w:val="both"/>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4924"/>
        <w:gridCol w:w="4930"/>
      </w:tblGrid>
      <w:tr>
        <w:trPr>
          <w:trHeight w:val="516" w:hRule="exact"/>
        </w:trPr>
        <w:tc>
          <w:tcPr>
            <w:tcW w:w="4924" w:type="dxa"/>
            <w:tcBorders>
              <w:top w:val="dotted" w:sz="4" w:space="0" w:color="000000"/>
              <w:left w:val="dotted" w:sz="4" w:space="0" w:color="000000"/>
              <w:bottom w:val="dotted" w:sz="4" w:space="0" w:color="000000"/>
              <w:right w:val="dotted" w:sz="4" w:space="0" w:color="000000"/>
            </w:tcBorders>
            <w:shd w:val="clear" w:color="auto" w:fill="BDBDBD"/>
          </w:tcPr>
          <w:p>
            <w:pPr>
              <w:pStyle w:val="TableParagraph"/>
              <w:spacing w:line="240" w:lineRule="auto" w:before="82"/>
              <w:ind w:left="3"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930" w:type="dxa"/>
            <w:tcBorders>
              <w:top w:val="dotted" w:sz="4" w:space="0" w:color="000000"/>
              <w:left w:val="dotted" w:sz="4" w:space="0" w:color="000000"/>
              <w:bottom w:val="dotted" w:sz="4" w:space="0" w:color="000000"/>
              <w:right w:val="dotted" w:sz="4" w:space="0" w:color="000000"/>
            </w:tcBorders>
            <w:shd w:val="clear" w:color="auto" w:fill="BDBDBD"/>
          </w:tcPr>
          <w:p>
            <w:pPr>
              <w:pStyle w:val="TableParagraph"/>
              <w:spacing w:line="240" w:lineRule="auto" w:before="82"/>
              <w:ind w:left="1093"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44" w:hRule="exact"/>
        </w:trPr>
        <w:tc>
          <w:tcPr>
            <w:tcW w:w="9854" w:type="dxa"/>
            <w:gridSpan w:val="2"/>
            <w:tcBorders>
              <w:top w:val="dotted" w:sz="4" w:space="0" w:color="000000"/>
              <w:left w:val="dotted" w:sz="4" w:space="0" w:color="000000"/>
              <w:bottom w:val="dotted" w:sz="4" w:space="0" w:color="000000"/>
              <w:right w:val="dotted" w:sz="4" w:space="0" w:color="000000"/>
            </w:tcBorders>
            <w:shd w:val="clear" w:color="auto" w:fill="F0F0F0"/>
          </w:tcPr>
          <w:p>
            <w:pPr>
              <w:pStyle w:val="TableParagraph"/>
              <w:spacing w:line="240" w:lineRule="auto" w:before="43"/>
              <w:ind w:left="102" w:right="0"/>
              <w:jc w:val="left"/>
              <w:rPr>
                <w:rFonts w:ascii="宋体" w:hAnsi="宋体" w:cs="宋体" w:eastAsia="宋体" w:hint="default"/>
                <w:sz w:val="21"/>
                <w:szCs w:val="21"/>
              </w:rPr>
            </w:pPr>
            <w:r>
              <w:rPr>
                <w:rFonts w:ascii="宋体" w:hAnsi="宋体" w:cs="宋体" w:eastAsia="宋体" w:hint="default"/>
                <w:b/>
                <w:bCs/>
                <w:sz w:val="21"/>
                <w:szCs w:val="21"/>
              </w:rPr>
              <w:t>1、软件业务相关收入的确认与计量</w:t>
            </w:r>
            <w:r>
              <w:rPr>
                <w:rFonts w:ascii="宋体" w:hAnsi="宋体" w:cs="宋体" w:eastAsia="宋体" w:hint="default"/>
                <w:sz w:val="21"/>
                <w:szCs w:val="21"/>
              </w:rPr>
            </w:r>
          </w:p>
        </w:tc>
      </w:tr>
      <w:tr>
        <w:trPr>
          <w:trHeight w:val="442" w:hRule="exact"/>
        </w:trPr>
        <w:tc>
          <w:tcPr>
            <w:tcW w:w="4924"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宋体" w:hAnsi="宋体" w:cs="宋体" w:eastAsia="宋体" w:hint="default"/>
                <w:sz w:val="15"/>
                <w:szCs w:val="15"/>
              </w:rPr>
            </w:pPr>
            <w:r>
              <w:rPr>
                <w:rFonts w:ascii="宋体" w:hAnsi="宋体" w:cs="宋体" w:eastAsia="宋体" w:hint="default"/>
                <w:spacing w:val="2"/>
                <w:w w:val="95"/>
                <w:sz w:val="15"/>
                <w:szCs w:val="15"/>
              </w:rPr>
              <w:t>赢时胜公司收入主要来源于标准化软件产品、定制软件产品的销售</w:t>
            </w:r>
            <w:r>
              <w:rPr>
                <w:rFonts w:ascii="宋体" w:hAnsi="宋体" w:cs="宋体" w:eastAsia="宋体" w:hint="default"/>
                <w:spacing w:val="2"/>
                <w:sz w:val="15"/>
                <w:szCs w:val="15"/>
              </w:rPr>
            </w:r>
          </w:p>
        </w:tc>
        <w:tc>
          <w:tcPr>
            <w:tcW w:w="493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我们针对这一关键审计事项实施的审计程序主要包括：</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75"/>
              <w:ind w:left="102" w:right="0"/>
              <w:jc w:val="left"/>
              <w:rPr>
                <w:rFonts w:ascii="宋体" w:hAnsi="宋体" w:cs="宋体" w:eastAsia="宋体" w:hint="default"/>
                <w:sz w:val="15"/>
                <w:szCs w:val="15"/>
              </w:rPr>
            </w:pPr>
            <w:r>
              <w:rPr>
                <w:rFonts w:ascii="宋体" w:hAnsi="宋体" w:cs="宋体" w:eastAsia="宋体" w:hint="default"/>
                <w:sz w:val="15"/>
                <w:szCs w:val="15"/>
              </w:rPr>
              <w:t>及开发收入，以及技术服务收入。2018</w:t>
            </w:r>
            <w:r>
              <w:rPr>
                <w:rFonts w:ascii="宋体" w:hAnsi="宋体" w:cs="宋体" w:eastAsia="宋体" w:hint="default"/>
                <w:spacing w:val="-32"/>
                <w:sz w:val="15"/>
                <w:szCs w:val="15"/>
              </w:rPr>
              <w:t> </w:t>
            </w:r>
            <w:r>
              <w:rPr>
                <w:rFonts w:ascii="宋体" w:hAnsi="宋体" w:cs="宋体" w:eastAsia="宋体" w:hint="default"/>
                <w:sz w:val="15"/>
                <w:szCs w:val="15"/>
              </w:rPr>
              <w:t>年度，赢时胜公司软件业务相关</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hAnsi="宋体" w:cs="宋体" w:eastAsia="宋体" w:hint="default"/>
                <w:sz w:val="18"/>
                <w:szCs w:val="18"/>
              </w:rPr>
              <w:t>评估和测试了与软件业务相关的关键内部控制措施设计</w:t>
            </w:r>
          </w:p>
        </w:tc>
      </w:tr>
      <w:tr>
        <w:trPr>
          <w:trHeight w:val="377"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75"/>
              <w:ind w:left="102" w:right="0"/>
              <w:jc w:val="left"/>
              <w:rPr>
                <w:rFonts w:ascii="宋体" w:hAnsi="宋体" w:cs="宋体" w:eastAsia="宋体" w:hint="default"/>
                <w:sz w:val="15"/>
                <w:szCs w:val="15"/>
              </w:rPr>
            </w:pPr>
            <w:r>
              <w:rPr>
                <w:rFonts w:ascii="宋体" w:hAnsi="宋体" w:cs="宋体" w:eastAsia="宋体" w:hint="default"/>
                <w:sz w:val="15"/>
                <w:szCs w:val="15"/>
              </w:rPr>
              <w:t>收入为</w:t>
            </w:r>
            <w:r>
              <w:rPr>
                <w:rFonts w:ascii="宋体" w:hAnsi="宋体" w:cs="宋体" w:eastAsia="宋体" w:hint="default"/>
                <w:spacing w:val="-35"/>
                <w:sz w:val="15"/>
                <w:szCs w:val="15"/>
              </w:rPr>
              <w:t> </w:t>
            </w:r>
            <w:r>
              <w:rPr>
                <w:rFonts w:ascii="宋体" w:hAnsi="宋体" w:cs="宋体" w:eastAsia="宋体" w:hint="default"/>
                <w:sz w:val="15"/>
                <w:szCs w:val="15"/>
              </w:rPr>
              <w:t>58,306.72</w:t>
            </w:r>
            <w:r>
              <w:rPr>
                <w:rFonts w:ascii="宋体" w:hAnsi="宋体" w:cs="宋体" w:eastAsia="宋体" w:hint="default"/>
                <w:spacing w:val="-37"/>
                <w:sz w:val="15"/>
                <w:szCs w:val="15"/>
              </w:rPr>
              <w:t> </w:t>
            </w:r>
            <w:r>
              <w:rPr>
                <w:rFonts w:ascii="宋体" w:hAnsi="宋体" w:cs="宋体" w:eastAsia="宋体" w:hint="default"/>
                <w:sz w:val="15"/>
                <w:szCs w:val="15"/>
              </w:rPr>
              <w:t>万元，占合并营业收入总额的比例为</w:t>
            </w:r>
            <w:r>
              <w:rPr>
                <w:rFonts w:ascii="宋体" w:hAnsi="宋体" w:cs="宋体" w:eastAsia="宋体" w:hint="default"/>
                <w:spacing w:val="-37"/>
                <w:sz w:val="15"/>
                <w:szCs w:val="15"/>
              </w:rPr>
              <w:t> </w:t>
            </w:r>
            <w:r>
              <w:rPr>
                <w:rFonts w:ascii="宋体" w:hAnsi="宋体" w:cs="宋体" w:eastAsia="宋体" w:hint="default"/>
                <w:sz w:val="15"/>
                <w:szCs w:val="15"/>
              </w:rPr>
              <w:t>91.23%，公司对</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3"/>
              <w:ind w:left="102" w:right="0"/>
              <w:jc w:val="left"/>
              <w:rPr>
                <w:rFonts w:ascii="宋体" w:hAnsi="宋体" w:cs="宋体" w:eastAsia="宋体" w:hint="default"/>
                <w:sz w:val="18"/>
                <w:szCs w:val="18"/>
              </w:rPr>
            </w:pPr>
            <w:r>
              <w:rPr>
                <w:rFonts w:ascii="宋体" w:hAnsi="宋体" w:cs="宋体" w:eastAsia="宋体" w:hint="default"/>
                <w:sz w:val="18"/>
                <w:szCs w:val="18"/>
              </w:rPr>
              <w:t>的合理性和执行的有效性。</w:t>
            </w:r>
          </w:p>
        </w:tc>
      </w:tr>
      <w:tr>
        <w:trPr>
          <w:trHeight w:val="437"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58"/>
              <w:ind w:left="102" w:right="0"/>
              <w:jc w:val="left"/>
              <w:rPr>
                <w:rFonts w:ascii="宋体" w:hAnsi="宋体" w:cs="宋体" w:eastAsia="宋体" w:hint="default"/>
                <w:sz w:val="15"/>
                <w:szCs w:val="15"/>
              </w:rPr>
            </w:pPr>
            <w:r>
              <w:rPr>
                <w:rFonts w:ascii="宋体" w:hAnsi="宋体" w:cs="宋体" w:eastAsia="宋体" w:hint="default"/>
                <w:spacing w:val="2"/>
                <w:sz w:val="15"/>
                <w:szCs w:val="15"/>
              </w:rPr>
              <w:t>于不同的软件业务相关收入制订了不同的收入确认原则。其中自行开发</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分析软件业务合同或协议的主要条款，并与管理层讨论</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78" w:lineRule="exact"/>
              <w:ind w:left="102" w:right="0"/>
              <w:jc w:val="left"/>
              <w:rPr>
                <w:rFonts w:ascii="宋体" w:hAnsi="宋体" w:cs="宋体" w:eastAsia="宋体" w:hint="default"/>
                <w:sz w:val="15"/>
                <w:szCs w:val="15"/>
              </w:rPr>
            </w:pPr>
            <w:r>
              <w:rPr>
                <w:rFonts w:ascii="宋体" w:hAnsi="宋体" w:cs="宋体" w:eastAsia="宋体" w:hint="default"/>
                <w:spacing w:val="2"/>
                <w:sz w:val="15"/>
                <w:szCs w:val="15"/>
              </w:rPr>
              <w:t>研制、定制的软件产品销售及开发收入按照通过客户最终验收后确认收</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95"/>
              <w:ind w:left="102" w:right="0"/>
              <w:jc w:val="left"/>
              <w:rPr>
                <w:rFonts w:ascii="宋体" w:hAnsi="宋体" w:cs="宋体" w:eastAsia="宋体" w:hint="default"/>
                <w:sz w:val="18"/>
                <w:szCs w:val="18"/>
              </w:rPr>
            </w:pPr>
            <w:r>
              <w:rPr>
                <w:rFonts w:ascii="宋体" w:hAnsi="宋体" w:cs="宋体" w:eastAsia="宋体" w:hint="default"/>
                <w:sz w:val="18"/>
                <w:szCs w:val="18"/>
              </w:rPr>
              <w:t>软件业务相关收入确认原则的合理性，并检查其在报告期内</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78" w:lineRule="exact"/>
              <w:ind w:left="102" w:right="0"/>
              <w:jc w:val="left"/>
              <w:rPr>
                <w:rFonts w:ascii="宋体" w:hAnsi="宋体" w:cs="宋体" w:eastAsia="宋体" w:hint="default"/>
                <w:sz w:val="15"/>
                <w:szCs w:val="15"/>
              </w:rPr>
            </w:pPr>
            <w:r>
              <w:rPr>
                <w:rFonts w:ascii="宋体" w:hAnsi="宋体" w:cs="宋体" w:eastAsia="宋体" w:hint="default"/>
                <w:spacing w:val="2"/>
                <w:sz w:val="15"/>
                <w:szCs w:val="15"/>
              </w:rPr>
              <w:t>入，技术服务收入按照合同约定的经客户确认的工作量或者服务期限确</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95"/>
              <w:ind w:left="102" w:right="0"/>
              <w:jc w:val="left"/>
              <w:rPr>
                <w:rFonts w:ascii="宋体" w:hAnsi="宋体" w:cs="宋体" w:eastAsia="宋体" w:hint="default"/>
                <w:sz w:val="18"/>
                <w:szCs w:val="18"/>
              </w:rPr>
            </w:pPr>
            <w:r>
              <w:rPr>
                <w:rFonts w:ascii="宋体" w:hAnsi="宋体" w:cs="宋体" w:eastAsia="宋体" w:hint="default"/>
                <w:sz w:val="18"/>
                <w:szCs w:val="18"/>
              </w:rPr>
              <w:t>执行的一贯性。</w:t>
            </w:r>
          </w:p>
        </w:tc>
      </w:tr>
      <w:tr>
        <w:trPr>
          <w:trHeight w:val="242"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78" w:lineRule="exact"/>
              <w:ind w:left="102" w:right="0"/>
              <w:jc w:val="left"/>
              <w:rPr>
                <w:rFonts w:ascii="宋体" w:hAnsi="宋体" w:cs="宋体" w:eastAsia="宋体" w:hint="default"/>
                <w:sz w:val="15"/>
                <w:szCs w:val="15"/>
              </w:rPr>
            </w:pPr>
            <w:r>
              <w:rPr>
                <w:rFonts w:ascii="宋体" w:hAnsi="宋体" w:cs="宋体" w:eastAsia="宋体" w:hint="default"/>
                <w:sz w:val="15"/>
                <w:szCs w:val="15"/>
              </w:rPr>
              <w:t>认收入。</w:t>
            </w:r>
          </w:p>
        </w:tc>
        <w:tc>
          <w:tcPr>
            <w:tcW w:w="4930" w:type="dxa"/>
            <w:tcBorders>
              <w:top w:val="nil" w:sz="6" w:space="0" w:color="auto"/>
              <w:left w:val="dotted" w:sz="4" w:space="0" w:color="000000"/>
              <w:bottom w:val="nil" w:sz="6" w:space="0" w:color="auto"/>
              <w:right w:val="dotted" w:sz="4" w:space="0" w:color="000000"/>
            </w:tcBorders>
          </w:tcPr>
          <w:p>
            <w:pPr/>
          </w:p>
        </w:tc>
      </w:tr>
      <w:tr>
        <w:trPr>
          <w:trHeight w:val="274" w:hRule="exact"/>
        </w:trPr>
        <w:tc>
          <w:tcPr>
            <w:tcW w:w="4924" w:type="dxa"/>
            <w:tcBorders>
              <w:top w:val="nil" w:sz="6" w:space="0" w:color="auto"/>
              <w:left w:val="dotted" w:sz="4" w:space="0" w:color="000000"/>
              <w:bottom w:val="nil" w:sz="6" w:space="0" w:color="auto"/>
              <w:right w:val="dotted" w:sz="4" w:space="0" w:color="000000"/>
            </w:tcBorders>
          </w:tcPr>
          <w:p>
            <w:pP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hAnsi="宋体" w:cs="宋体" w:eastAsia="宋体" w:hint="default"/>
                <w:sz w:val="18"/>
                <w:szCs w:val="18"/>
              </w:rPr>
              <w:t>针对自行开发研制、定制的软件产品销售及开发收入，</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78" w:lineRule="exact"/>
              <w:ind w:right="104"/>
              <w:jc w:val="right"/>
              <w:rPr>
                <w:rFonts w:ascii="宋体" w:hAnsi="宋体" w:cs="宋体" w:eastAsia="宋体" w:hint="default"/>
                <w:sz w:val="15"/>
                <w:szCs w:val="15"/>
              </w:rPr>
            </w:pPr>
            <w:r>
              <w:rPr>
                <w:rFonts w:ascii="宋体" w:hAnsi="宋体" w:cs="宋体" w:eastAsia="宋体" w:hint="default"/>
                <w:spacing w:val="2"/>
                <w:w w:val="95"/>
                <w:sz w:val="15"/>
                <w:szCs w:val="15"/>
              </w:rPr>
              <w:t>有关软件业务相关收入的会计政策及详情参阅财务报表附注三（二</w:t>
            </w:r>
            <w:r>
              <w:rPr>
                <w:rFonts w:ascii="宋体" w:hAnsi="宋体" w:cs="宋体" w:eastAsia="宋体" w:hint="default"/>
                <w:spacing w:val="2"/>
                <w:sz w:val="15"/>
                <w:szCs w:val="15"/>
              </w:rPr>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95"/>
              <w:ind w:right="10"/>
              <w:jc w:val="right"/>
              <w:rPr>
                <w:rFonts w:ascii="宋体" w:hAnsi="宋体" w:cs="宋体" w:eastAsia="宋体" w:hint="default"/>
                <w:sz w:val="18"/>
                <w:szCs w:val="18"/>
              </w:rPr>
            </w:pPr>
            <w:r>
              <w:rPr>
                <w:rFonts w:ascii="宋体" w:hAnsi="宋体" w:cs="宋体" w:eastAsia="宋体" w:hint="default"/>
                <w:spacing w:val="-3"/>
                <w:sz w:val="18"/>
                <w:szCs w:val="18"/>
              </w:rPr>
              <w:t>获取验收报告、开票与结算情况等资料；针对技术服务收入，</w:t>
            </w:r>
          </w:p>
        </w:tc>
      </w:tr>
      <w:tr>
        <w:trPr>
          <w:trHeight w:val="421"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78" w:lineRule="exact"/>
              <w:ind w:left="102" w:right="0"/>
              <w:jc w:val="left"/>
              <w:rPr>
                <w:rFonts w:ascii="宋体" w:hAnsi="宋体" w:cs="宋体" w:eastAsia="宋体" w:hint="default"/>
                <w:sz w:val="15"/>
                <w:szCs w:val="15"/>
              </w:rPr>
            </w:pPr>
            <w:r>
              <w:rPr>
                <w:rFonts w:ascii="宋体" w:hAnsi="宋体" w:cs="宋体" w:eastAsia="宋体" w:hint="default"/>
                <w:sz w:val="15"/>
                <w:szCs w:val="15"/>
              </w:rPr>
              <w:t>十六）、六（三十二）。</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95"/>
              <w:ind w:left="102" w:right="0"/>
              <w:jc w:val="left"/>
              <w:rPr>
                <w:rFonts w:ascii="宋体" w:hAnsi="宋体" w:cs="宋体" w:eastAsia="宋体" w:hint="default"/>
                <w:sz w:val="18"/>
                <w:szCs w:val="18"/>
              </w:rPr>
            </w:pPr>
            <w:r>
              <w:rPr>
                <w:rFonts w:ascii="宋体" w:hAnsi="宋体" w:cs="宋体" w:eastAsia="宋体" w:hint="default"/>
                <w:sz w:val="18"/>
                <w:szCs w:val="18"/>
              </w:rPr>
              <w:t>获取工作量结算单、开票与结算情况等资料，检查相关收入</w:t>
            </w:r>
          </w:p>
        </w:tc>
      </w:tr>
      <w:tr>
        <w:trPr>
          <w:trHeight w:val="378"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76"/>
              <w:ind w:right="104"/>
              <w:jc w:val="right"/>
              <w:rPr>
                <w:rFonts w:ascii="宋体" w:hAnsi="宋体" w:cs="宋体" w:eastAsia="宋体" w:hint="default"/>
                <w:sz w:val="15"/>
                <w:szCs w:val="15"/>
              </w:rPr>
            </w:pPr>
            <w:r>
              <w:rPr>
                <w:rFonts w:ascii="宋体" w:hAnsi="宋体" w:cs="宋体" w:eastAsia="宋体" w:hint="default"/>
                <w:spacing w:val="2"/>
                <w:w w:val="95"/>
                <w:sz w:val="15"/>
                <w:szCs w:val="15"/>
              </w:rPr>
              <w:t>软件业务相关收入的确认与计量对公司经营成果有重大影响且涉及</w:t>
            </w:r>
            <w:r>
              <w:rPr>
                <w:rFonts w:ascii="宋体" w:hAnsi="宋体" w:cs="宋体" w:eastAsia="宋体" w:hint="default"/>
                <w:spacing w:val="2"/>
                <w:sz w:val="15"/>
                <w:szCs w:val="15"/>
              </w:rPr>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确认依据的真实性、充分性及合理性。</w:t>
            </w:r>
          </w:p>
        </w:tc>
      </w:tr>
      <w:tr>
        <w:trPr>
          <w:trHeight w:val="437"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58"/>
              <w:ind w:left="102" w:right="0"/>
              <w:jc w:val="left"/>
              <w:rPr>
                <w:rFonts w:ascii="宋体" w:hAnsi="宋体" w:cs="宋体" w:eastAsia="宋体" w:hint="default"/>
                <w:sz w:val="15"/>
                <w:szCs w:val="15"/>
              </w:rPr>
            </w:pPr>
            <w:r>
              <w:rPr>
                <w:rFonts w:ascii="宋体" w:hAnsi="宋体" w:cs="宋体" w:eastAsia="宋体" w:hint="default"/>
                <w:sz w:val="15"/>
                <w:szCs w:val="15"/>
              </w:rPr>
              <w:t>管理层的重大判断，可能计量不准确或可能被确认在不恰当的会计期间，</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对重要客户实施函证程序，以评估报告期软件业务相关</w:t>
            </w:r>
          </w:p>
        </w:tc>
      </w:tr>
      <w:tr>
        <w:trPr>
          <w:trHeight w:val="499"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78" w:lineRule="exact"/>
              <w:ind w:left="102" w:right="0"/>
              <w:jc w:val="left"/>
              <w:rPr>
                <w:rFonts w:ascii="宋体" w:hAnsi="宋体" w:cs="宋体" w:eastAsia="宋体" w:hint="default"/>
                <w:sz w:val="15"/>
                <w:szCs w:val="15"/>
              </w:rPr>
            </w:pPr>
            <w:r>
              <w:rPr>
                <w:rFonts w:ascii="宋体" w:hAnsi="宋体" w:cs="宋体" w:eastAsia="宋体" w:hint="default"/>
                <w:sz w:val="15"/>
                <w:szCs w:val="15"/>
              </w:rPr>
              <w:t>因此我们将软件业务相关收入的确认与计量作为关键审计事项。</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95"/>
              <w:ind w:left="102" w:right="0"/>
              <w:jc w:val="left"/>
              <w:rPr>
                <w:rFonts w:ascii="宋体" w:hAnsi="宋体" w:cs="宋体" w:eastAsia="宋体" w:hint="default"/>
                <w:sz w:val="18"/>
                <w:szCs w:val="18"/>
              </w:rPr>
            </w:pPr>
            <w:r>
              <w:rPr>
                <w:rFonts w:ascii="宋体" w:hAnsi="宋体" w:cs="宋体" w:eastAsia="宋体" w:hint="default"/>
                <w:sz w:val="18"/>
                <w:szCs w:val="18"/>
              </w:rPr>
              <w:t>收入金额的准确性。</w:t>
            </w:r>
          </w:p>
        </w:tc>
      </w:tr>
      <w:tr>
        <w:trPr>
          <w:trHeight w:val="438" w:hRule="exact"/>
        </w:trPr>
        <w:tc>
          <w:tcPr>
            <w:tcW w:w="4924" w:type="dxa"/>
            <w:tcBorders>
              <w:top w:val="nil" w:sz="6" w:space="0" w:color="auto"/>
              <w:left w:val="dotted" w:sz="4" w:space="0" w:color="000000"/>
              <w:bottom w:val="nil" w:sz="6" w:space="0" w:color="auto"/>
              <w:right w:val="dotted" w:sz="4" w:space="0" w:color="000000"/>
            </w:tcBorders>
          </w:tcPr>
          <w:p>
            <w:pP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hAnsi="宋体" w:cs="宋体" w:eastAsia="宋体" w:hint="default"/>
                <w:sz w:val="18"/>
                <w:szCs w:val="18"/>
              </w:rPr>
              <w:t>针对资产负债表日前后记录的收入交易，选取样本核对</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至各模式下收入确认的支持性凭证，评估收入确认是否记录</w:t>
            </w:r>
          </w:p>
        </w:tc>
      </w:tr>
      <w:tr>
        <w:trPr>
          <w:trHeight w:val="438" w:hRule="exact"/>
        </w:trPr>
        <w:tc>
          <w:tcPr>
            <w:tcW w:w="4924" w:type="dxa"/>
            <w:tcBorders>
              <w:top w:val="nil" w:sz="6" w:space="0" w:color="auto"/>
              <w:left w:val="dotted" w:sz="4" w:space="0" w:color="000000"/>
              <w:bottom w:val="nil" w:sz="6" w:space="0" w:color="auto"/>
              <w:right w:val="dotted" w:sz="4" w:space="0" w:color="000000"/>
            </w:tcBorders>
          </w:tcPr>
          <w:p>
            <w:pP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在恰当的会计期间。</w:t>
            </w:r>
          </w:p>
        </w:tc>
      </w:tr>
      <w:tr>
        <w:trPr>
          <w:trHeight w:val="438" w:hRule="exact"/>
        </w:trPr>
        <w:tc>
          <w:tcPr>
            <w:tcW w:w="4924" w:type="dxa"/>
            <w:tcBorders>
              <w:top w:val="nil" w:sz="6" w:space="0" w:color="auto"/>
              <w:left w:val="dotted" w:sz="4" w:space="0" w:color="000000"/>
              <w:bottom w:val="nil" w:sz="6" w:space="0" w:color="auto"/>
              <w:right w:val="dotted" w:sz="4" w:space="0" w:color="000000"/>
            </w:tcBorders>
          </w:tcPr>
          <w:p>
            <w:pP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hAnsi="宋体" w:cs="宋体" w:eastAsia="宋体" w:hint="default"/>
                <w:sz w:val="18"/>
                <w:szCs w:val="18"/>
              </w:rPr>
              <w:t>检查了公司新增客户和销售变动较大的客户及其关联方</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right="10"/>
              <w:jc w:val="right"/>
              <w:rPr>
                <w:rFonts w:ascii="宋体" w:hAnsi="宋体" w:cs="宋体" w:eastAsia="宋体" w:hint="default"/>
                <w:sz w:val="18"/>
                <w:szCs w:val="18"/>
              </w:rPr>
            </w:pPr>
            <w:r>
              <w:rPr>
                <w:rFonts w:ascii="宋体" w:hAnsi="宋体" w:cs="宋体" w:eastAsia="宋体" w:hint="default"/>
                <w:spacing w:val="-3"/>
                <w:sz w:val="18"/>
                <w:szCs w:val="18"/>
              </w:rPr>
              <w:t>的工商信息，以评估是否存在未识别潜在关联方关系和交易。</w:t>
            </w:r>
          </w:p>
        </w:tc>
      </w:tr>
      <w:tr>
        <w:trPr>
          <w:trHeight w:val="478" w:hRule="exact"/>
        </w:trPr>
        <w:tc>
          <w:tcPr>
            <w:tcW w:w="4924" w:type="dxa"/>
            <w:tcBorders>
              <w:top w:val="nil" w:sz="6" w:space="0" w:color="auto"/>
              <w:left w:val="dotted" w:sz="4" w:space="0" w:color="000000"/>
              <w:bottom w:val="dotted" w:sz="4" w:space="0" w:color="000000"/>
              <w:right w:val="dotted" w:sz="4" w:space="0" w:color="000000"/>
            </w:tcBorders>
          </w:tcPr>
          <w:p>
            <w:pPr/>
          </w:p>
        </w:tc>
        <w:tc>
          <w:tcPr>
            <w:tcW w:w="493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复核财务报告中与软件业务相关收入的披露。</w:t>
            </w:r>
          </w:p>
        </w:tc>
      </w:tr>
      <w:tr>
        <w:trPr>
          <w:trHeight w:val="444" w:hRule="exact"/>
        </w:trPr>
        <w:tc>
          <w:tcPr>
            <w:tcW w:w="9854" w:type="dxa"/>
            <w:gridSpan w:val="2"/>
            <w:tcBorders>
              <w:top w:val="dotted" w:sz="4" w:space="0" w:color="000000"/>
              <w:left w:val="dotted" w:sz="4" w:space="0" w:color="000000"/>
              <w:bottom w:val="dotted" w:sz="4" w:space="0" w:color="000000"/>
              <w:right w:val="dotted" w:sz="4" w:space="0" w:color="000000"/>
            </w:tcBorders>
            <w:shd w:val="clear" w:color="auto" w:fill="F0F0F0"/>
          </w:tcPr>
          <w:p>
            <w:pPr>
              <w:pStyle w:val="TableParagraph"/>
              <w:spacing w:line="240" w:lineRule="auto" w:before="45"/>
              <w:ind w:left="102" w:right="0"/>
              <w:jc w:val="left"/>
              <w:rPr>
                <w:rFonts w:ascii="宋体" w:hAnsi="宋体" w:cs="宋体" w:eastAsia="宋体" w:hint="default"/>
                <w:sz w:val="21"/>
                <w:szCs w:val="21"/>
              </w:rPr>
            </w:pPr>
            <w:r>
              <w:rPr>
                <w:rFonts w:ascii="宋体" w:hAnsi="宋体" w:cs="宋体" w:eastAsia="宋体" w:hint="default"/>
                <w:b/>
                <w:bCs/>
                <w:sz w:val="21"/>
                <w:szCs w:val="21"/>
              </w:rPr>
              <w:t>2、长期股权投资的减值判断</w:t>
            </w:r>
            <w:r>
              <w:rPr>
                <w:rFonts w:ascii="宋体" w:hAnsi="宋体" w:cs="宋体" w:eastAsia="宋体" w:hint="default"/>
                <w:sz w:val="21"/>
                <w:szCs w:val="21"/>
              </w:rPr>
            </w:r>
          </w:p>
        </w:tc>
      </w:tr>
      <w:tr>
        <w:trPr>
          <w:trHeight w:val="445" w:hRule="exact"/>
        </w:trPr>
        <w:tc>
          <w:tcPr>
            <w:tcW w:w="4924"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3"/>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5"/>
                <w:sz w:val="18"/>
                <w:szCs w:val="18"/>
              </w:rPr>
              <w:t>日，赢时胜公司对东吴（苏州）金</w:t>
            </w:r>
          </w:p>
        </w:tc>
        <w:tc>
          <w:tcPr>
            <w:tcW w:w="493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我们针对这一关键审计事项实施的审计程序主要包括：</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8"/>
              <w:ind w:left="102" w:right="0"/>
              <w:jc w:val="left"/>
              <w:rPr>
                <w:rFonts w:ascii="宋体" w:hAnsi="宋体" w:cs="宋体" w:eastAsia="宋体" w:hint="default"/>
                <w:sz w:val="18"/>
                <w:szCs w:val="18"/>
              </w:rPr>
            </w:pPr>
            <w:r>
              <w:rPr>
                <w:rFonts w:ascii="宋体" w:hAnsi="宋体" w:cs="宋体" w:eastAsia="宋体" w:hint="default"/>
                <w:sz w:val="18"/>
                <w:szCs w:val="18"/>
              </w:rPr>
              <w:t>融科技服务有限公司（简称“东吴金融科技”）股权投资的</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hAnsi="宋体" w:cs="宋体" w:eastAsia="宋体" w:hint="default"/>
                <w:sz w:val="18"/>
                <w:szCs w:val="18"/>
              </w:rPr>
              <w:t>评估并测试了与识别长期股权投资减值迹象和减值评估</w:t>
            </w:r>
          </w:p>
        </w:tc>
      </w:tr>
      <w:tr>
        <w:trPr>
          <w:trHeight w:val="364"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8"/>
              <w:ind w:left="102" w:right="0"/>
              <w:jc w:val="left"/>
              <w:rPr>
                <w:rFonts w:ascii="宋体" w:hAnsi="宋体" w:cs="宋体" w:eastAsia="宋体" w:hint="default"/>
                <w:sz w:val="18"/>
                <w:szCs w:val="18"/>
              </w:rPr>
            </w:pPr>
            <w:r>
              <w:rPr>
                <w:rFonts w:ascii="宋体" w:hAnsi="宋体" w:cs="宋体" w:eastAsia="宋体" w:hint="default"/>
                <w:spacing w:val="2"/>
                <w:sz w:val="18"/>
                <w:szCs w:val="18"/>
              </w:rPr>
              <w:t>账面价值为</w:t>
            </w:r>
            <w:r>
              <w:rPr>
                <w:rFonts w:ascii="宋体" w:hAnsi="宋体" w:cs="宋体" w:eastAsia="宋体" w:hint="default"/>
                <w:spacing w:val="-39"/>
                <w:sz w:val="18"/>
                <w:szCs w:val="18"/>
              </w:rPr>
              <w:t> </w:t>
            </w:r>
            <w:r>
              <w:rPr>
                <w:rFonts w:ascii="宋体" w:hAnsi="宋体" w:cs="宋体" w:eastAsia="宋体" w:hint="default"/>
                <w:sz w:val="18"/>
                <w:szCs w:val="18"/>
              </w:rPr>
              <w:t>52,751.92</w:t>
            </w:r>
            <w:r>
              <w:rPr>
                <w:rFonts w:ascii="宋体" w:hAnsi="宋体" w:cs="宋体" w:eastAsia="宋体" w:hint="default"/>
                <w:spacing w:val="-43"/>
                <w:sz w:val="18"/>
                <w:szCs w:val="18"/>
              </w:rPr>
              <w:t> </w:t>
            </w:r>
            <w:r>
              <w:rPr>
                <w:rFonts w:ascii="宋体" w:hAnsi="宋体" w:cs="宋体" w:eastAsia="宋体" w:hint="default"/>
                <w:spacing w:val="2"/>
                <w:sz w:val="18"/>
                <w:szCs w:val="18"/>
              </w:rPr>
              <w:t>万元，持股比例为</w:t>
            </w:r>
            <w:r>
              <w:rPr>
                <w:rFonts w:ascii="宋体" w:hAnsi="宋体" w:cs="宋体" w:eastAsia="宋体" w:hint="default"/>
                <w:spacing w:val="-41"/>
                <w:sz w:val="18"/>
                <w:szCs w:val="18"/>
              </w:rPr>
              <w:t> </w:t>
            </w:r>
            <w:r>
              <w:rPr>
                <w:rFonts w:ascii="宋体" w:hAnsi="宋体" w:cs="宋体" w:eastAsia="宋体" w:hint="default"/>
                <w:spacing w:val="2"/>
                <w:sz w:val="18"/>
                <w:szCs w:val="18"/>
              </w:rPr>
              <w:t>32%。有关长期股</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相关的内部控制措施设计的合理性和执行的有效性。</w:t>
            </w:r>
          </w:p>
        </w:tc>
      </w:tr>
      <w:tr>
        <w:trPr>
          <w:trHeight w:val="509"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权投资的详情请参阅财务报表附注六（八）。</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与管理层讨论减值评估政策和相关重要判断标准，检查</w:t>
            </w:r>
          </w:p>
        </w:tc>
      </w:tr>
      <w:tr>
        <w:trPr>
          <w:trHeight w:val="364"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hAnsi="宋体" w:cs="宋体" w:eastAsia="宋体" w:hint="default"/>
                <w:sz w:val="18"/>
                <w:szCs w:val="18"/>
              </w:rPr>
              <w:t>管理层对该项股权投资是否存在减值迹象进行了评估，</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是否存在减值政策的改变，评估管理层制订的减值政策合理</w:t>
            </w:r>
          </w:p>
        </w:tc>
      </w:tr>
      <w:tr>
        <w:trPr>
          <w:trHeight w:val="364"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8"/>
              <w:ind w:left="102" w:right="0"/>
              <w:jc w:val="left"/>
              <w:rPr>
                <w:rFonts w:ascii="宋体" w:hAnsi="宋体" w:cs="宋体" w:eastAsia="宋体" w:hint="default"/>
                <w:sz w:val="18"/>
                <w:szCs w:val="18"/>
              </w:rPr>
            </w:pPr>
            <w:r>
              <w:rPr>
                <w:rFonts w:ascii="宋体" w:hAnsi="宋体" w:cs="宋体" w:eastAsia="宋体" w:hint="default"/>
                <w:sz w:val="18"/>
                <w:szCs w:val="18"/>
              </w:rPr>
              <w:t>并通过计算可收回金额进行减值测试。预计可收回金额根据</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性，检查其在报告期内执行的一贯性。</w:t>
            </w:r>
          </w:p>
        </w:tc>
      </w:tr>
      <w:tr>
        <w:trPr>
          <w:trHeight w:val="434"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资产的公允价值减去处置费用后的净额与资产预计未来现金</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获取了管理层减值测试的过程，复核评估了管理层用于</w:t>
            </w:r>
          </w:p>
        </w:tc>
      </w:tr>
      <w:tr>
        <w:trPr>
          <w:trHeight w:val="434"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196" w:lineRule="exact"/>
              <w:ind w:left="102" w:right="0"/>
              <w:jc w:val="left"/>
              <w:rPr>
                <w:rFonts w:ascii="宋体" w:hAnsi="宋体" w:cs="宋体" w:eastAsia="宋体" w:hint="default"/>
                <w:sz w:val="18"/>
                <w:szCs w:val="18"/>
              </w:rPr>
            </w:pPr>
            <w:r>
              <w:rPr>
                <w:rFonts w:ascii="宋体" w:hAnsi="宋体" w:cs="宋体" w:eastAsia="宋体" w:hint="default"/>
                <w:sz w:val="18"/>
                <w:szCs w:val="18"/>
              </w:rPr>
              <w:t>流量的现值两者之间较高者确定。</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109"/>
              <w:ind w:left="102" w:right="0"/>
              <w:jc w:val="left"/>
              <w:rPr>
                <w:rFonts w:ascii="宋体" w:hAnsi="宋体" w:cs="宋体" w:eastAsia="宋体" w:hint="default"/>
                <w:sz w:val="18"/>
                <w:szCs w:val="18"/>
              </w:rPr>
            </w:pPr>
            <w:r>
              <w:rPr>
                <w:rFonts w:ascii="宋体" w:hAnsi="宋体" w:cs="宋体" w:eastAsia="宋体" w:hint="default"/>
                <w:sz w:val="18"/>
                <w:szCs w:val="18"/>
              </w:rPr>
              <w:t>减值测试所采用的关键假设和重要参数是否恰当、合理，复</w:t>
            </w:r>
          </w:p>
        </w:tc>
      </w:tr>
      <w:tr>
        <w:trPr>
          <w:trHeight w:val="367"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hAnsi="宋体" w:cs="宋体" w:eastAsia="宋体" w:hint="default"/>
                <w:sz w:val="18"/>
                <w:szCs w:val="18"/>
              </w:rPr>
              <w:t>由于东吴金融科技的账面价值对财务报表的重要性，同</w:t>
            </w:r>
          </w:p>
        </w:tc>
        <w:tc>
          <w:tcPr>
            <w:tcW w:w="4930"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核了管理层对该项股权投资可收回金额的测试过程。</w:t>
            </w: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时减值评估涉及管理层的重大判断和估计，可能存在错误或</w:t>
            </w:r>
          </w:p>
        </w:tc>
        <w:tc>
          <w:tcPr>
            <w:tcW w:w="4930" w:type="dxa"/>
            <w:tcBorders>
              <w:top w:val="nil" w:sz="6" w:space="0" w:color="auto"/>
              <w:left w:val="dotted" w:sz="4" w:space="0" w:color="000000"/>
              <w:bottom w:val="nil" w:sz="6" w:space="0" w:color="auto"/>
              <w:right w:val="dotted" w:sz="4" w:space="0" w:color="000000"/>
            </w:tcBorders>
          </w:tcPr>
          <w:p>
            <w:pPr/>
          </w:p>
        </w:tc>
      </w:tr>
      <w:tr>
        <w:trPr>
          <w:trHeight w:val="360" w:hRule="exact"/>
        </w:trPr>
        <w:tc>
          <w:tcPr>
            <w:tcW w:w="4924" w:type="dxa"/>
            <w:tcBorders>
              <w:top w:val="nil" w:sz="6" w:space="0" w:color="auto"/>
              <w:left w:val="dotted" w:sz="4" w:space="0" w:color="000000"/>
              <w:bottom w:val="nil" w:sz="6" w:space="0" w:color="auto"/>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潜在的管理层偏向的情况，因此我们将对东吴金融科技长期</w:t>
            </w:r>
          </w:p>
        </w:tc>
        <w:tc>
          <w:tcPr>
            <w:tcW w:w="4930" w:type="dxa"/>
            <w:tcBorders>
              <w:top w:val="nil" w:sz="6" w:space="0" w:color="auto"/>
              <w:left w:val="dotted" w:sz="4" w:space="0" w:color="000000"/>
              <w:bottom w:val="nil" w:sz="6" w:space="0" w:color="auto"/>
              <w:right w:val="dotted" w:sz="4" w:space="0" w:color="000000"/>
            </w:tcBorders>
          </w:tcPr>
          <w:p>
            <w:pPr/>
          </w:p>
        </w:tc>
      </w:tr>
      <w:tr>
        <w:trPr>
          <w:trHeight w:val="477" w:hRule="exact"/>
        </w:trPr>
        <w:tc>
          <w:tcPr>
            <w:tcW w:w="4924"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股权投资的减值判断作为关键审计事项。</w:t>
            </w:r>
          </w:p>
        </w:tc>
        <w:tc>
          <w:tcPr>
            <w:tcW w:w="4930" w:type="dxa"/>
            <w:tcBorders>
              <w:top w:val="nil" w:sz="6" w:space="0" w:color="auto"/>
              <w:left w:val="dotted" w:sz="4" w:space="0" w:color="000000"/>
              <w:bottom w:val="dotted" w:sz="4" w:space="0" w:color="000000"/>
              <w:right w:val="dotted" w:sz="4" w:space="0" w:color="000000"/>
            </w:tcBorders>
          </w:tcPr>
          <w:p>
            <w:pPr/>
          </w:p>
        </w:tc>
      </w:tr>
    </w:tbl>
    <w:p>
      <w:pPr>
        <w:spacing w:after="0"/>
        <w:sectPr>
          <w:pgSz w:w="11910" w:h="16840"/>
          <w:pgMar w:header="919" w:footer="1009" w:top="1120" w:bottom="1200" w:left="920" w:right="0"/>
        </w:sectPr>
      </w:pPr>
    </w:p>
    <w:p>
      <w:pPr>
        <w:spacing w:line="240" w:lineRule="auto" w:before="2"/>
        <w:rPr>
          <w:rFonts w:ascii="Times New Roman" w:hAnsi="Times New Roman" w:cs="Times New Roman" w:eastAsia="Times New Roman" w:hint="default"/>
          <w:sz w:val="25"/>
          <w:szCs w:val="25"/>
        </w:rPr>
      </w:pPr>
    </w:p>
    <w:p>
      <w:pPr>
        <w:pStyle w:val="Heading2"/>
        <w:spacing w:line="240" w:lineRule="auto" w:before="26"/>
        <w:ind w:left="592" w:right="952"/>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spacing w:line="240" w:lineRule="auto" w:before="10"/>
        <w:rPr>
          <w:rFonts w:ascii="黑体" w:hAnsi="黑体" w:cs="黑体" w:eastAsia="黑体" w:hint="default"/>
          <w:b/>
          <w:bCs/>
          <w:sz w:val="20"/>
          <w:szCs w:val="20"/>
        </w:rPr>
      </w:pPr>
    </w:p>
    <w:p>
      <w:pPr>
        <w:pStyle w:val="BodyText"/>
        <w:spacing w:line="367" w:lineRule="auto"/>
        <w:ind w:right="1121" w:firstLine="360"/>
        <w:jc w:val="left"/>
      </w:pPr>
      <w:r>
        <w:rPr/>
        <w:t>赢时胜公司管理层（以下简称管理层）对其他信息负责。其他信息包括</w:t>
      </w:r>
      <w:r>
        <w:rPr>
          <w:spacing w:val="-43"/>
        </w:rPr>
        <w:t> </w:t>
      </w:r>
      <w:r>
        <w:rPr/>
        <w:t>2018</w:t>
      </w:r>
      <w:r>
        <w:rPr>
          <w:spacing w:val="-44"/>
        </w:rPr>
        <w:t> </w:t>
      </w:r>
      <w:r>
        <w:rPr/>
        <w:t>年度报告中涵盖的信息，但不包括财务报</w:t>
      </w:r>
      <w:r>
        <w:rPr/>
        <w:t> 表和我们的审计报告。</w:t>
      </w:r>
    </w:p>
    <w:p>
      <w:pPr>
        <w:spacing w:line="240" w:lineRule="auto" w:before="2"/>
        <w:rPr>
          <w:rFonts w:ascii="宋体" w:hAnsi="宋体" w:cs="宋体" w:eastAsia="宋体" w:hint="default"/>
          <w:sz w:val="14"/>
          <w:szCs w:val="14"/>
        </w:rPr>
      </w:pPr>
    </w:p>
    <w:p>
      <w:pPr>
        <w:pStyle w:val="BodyText"/>
        <w:spacing w:line="240" w:lineRule="auto"/>
        <w:ind w:left="472" w:right="952"/>
        <w:jc w:val="left"/>
      </w:pPr>
      <w:r>
        <w:rPr/>
        <w:t>我们对财务报表发表的审计意见不涵盖其他信息，我们也不对其他信息发表任何形式的鉴证结论。</w:t>
      </w:r>
    </w:p>
    <w:p>
      <w:pPr>
        <w:spacing w:line="240" w:lineRule="auto" w:before="6"/>
        <w:rPr>
          <w:rFonts w:ascii="宋体" w:hAnsi="宋体" w:cs="宋体" w:eastAsia="宋体" w:hint="default"/>
          <w:sz w:val="21"/>
          <w:szCs w:val="21"/>
        </w:rPr>
      </w:pPr>
    </w:p>
    <w:p>
      <w:pPr>
        <w:pStyle w:val="BodyText"/>
        <w:spacing w:line="367" w:lineRule="auto"/>
        <w:ind w:right="952"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spacing w:line="240" w:lineRule="auto" w:before="2"/>
        <w:rPr>
          <w:rFonts w:ascii="宋体" w:hAnsi="宋体" w:cs="宋体" w:eastAsia="宋体" w:hint="default"/>
          <w:sz w:val="14"/>
          <w:szCs w:val="14"/>
        </w:rPr>
      </w:pPr>
    </w:p>
    <w:p>
      <w:pPr>
        <w:pStyle w:val="BodyText"/>
        <w:spacing w:line="367" w:lineRule="auto"/>
        <w:ind w:right="952"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9"/>
        <w:rPr>
          <w:rFonts w:ascii="宋体" w:hAnsi="宋体" w:cs="宋体" w:eastAsia="宋体" w:hint="default"/>
          <w:sz w:val="20"/>
          <w:szCs w:val="20"/>
        </w:rPr>
      </w:pPr>
    </w:p>
    <w:p>
      <w:pPr>
        <w:pStyle w:val="Heading2"/>
        <w:spacing w:line="240" w:lineRule="auto"/>
        <w:ind w:left="592" w:right="952"/>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952"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line="240" w:lineRule="auto" w:before="2"/>
        <w:rPr>
          <w:rFonts w:ascii="宋体" w:hAnsi="宋体" w:cs="宋体" w:eastAsia="宋体" w:hint="default"/>
          <w:sz w:val="14"/>
          <w:szCs w:val="14"/>
        </w:rPr>
      </w:pPr>
    </w:p>
    <w:p>
      <w:pPr>
        <w:pStyle w:val="BodyText"/>
        <w:spacing w:line="367" w:lineRule="auto"/>
        <w:ind w:right="952" w:firstLine="360"/>
        <w:jc w:val="left"/>
      </w:pPr>
      <w:r>
        <w:rPr>
          <w:spacing w:val="-2"/>
        </w:rPr>
        <w:t>在编制财务报表时，管理层负责评估赢时胜公司的持续经营能力，披露与持续经营相关的事项（如适用），并运用持续</w:t>
      </w:r>
      <w:r>
        <w:rPr/>
        <w:t> 经营假设，除非计划进行清算、终止运营或别无其他现实的选择。</w:t>
      </w:r>
    </w:p>
    <w:p>
      <w:pPr>
        <w:spacing w:line="240" w:lineRule="auto" w:before="2"/>
        <w:rPr>
          <w:rFonts w:ascii="宋体" w:hAnsi="宋体" w:cs="宋体" w:eastAsia="宋体" w:hint="default"/>
          <w:sz w:val="14"/>
          <w:szCs w:val="14"/>
        </w:rPr>
      </w:pPr>
    </w:p>
    <w:p>
      <w:pPr>
        <w:pStyle w:val="BodyText"/>
        <w:spacing w:line="240" w:lineRule="auto"/>
        <w:ind w:left="472" w:right="952"/>
        <w:jc w:val="left"/>
      </w:pPr>
      <w:r>
        <w:rPr/>
        <w:t>治理层负责监督赢时胜公司的财务报告过程。</w:t>
      </w:r>
    </w:p>
    <w:p>
      <w:pPr>
        <w:spacing w:line="240" w:lineRule="auto" w:before="0"/>
        <w:rPr>
          <w:rFonts w:ascii="宋体" w:hAnsi="宋体" w:cs="宋体" w:eastAsia="宋体" w:hint="default"/>
          <w:sz w:val="18"/>
          <w:szCs w:val="18"/>
        </w:rPr>
      </w:pPr>
    </w:p>
    <w:p>
      <w:pPr>
        <w:pStyle w:val="Heading2"/>
        <w:spacing w:line="240" w:lineRule="auto" w:before="131"/>
        <w:ind w:left="592" w:right="952"/>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2"/>
        <w:rPr>
          <w:rFonts w:ascii="宋体" w:hAnsi="宋体" w:cs="宋体" w:eastAsia="宋体" w:hint="default"/>
          <w:sz w:val="14"/>
          <w:szCs w:val="14"/>
        </w:rPr>
      </w:pPr>
    </w:p>
    <w:p>
      <w:pPr>
        <w:pStyle w:val="BodyText"/>
        <w:spacing w:line="240" w:lineRule="auto"/>
        <w:ind w:left="472" w:right="952"/>
        <w:jc w:val="left"/>
      </w:pP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21"/>
          <w:szCs w:val="21"/>
        </w:rPr>
      </w:pPr>
    </w:p>
    <w:p>
      <w:pPr>
        <w:pStyle w:val="BodyText"/>
        <w:spacing w:line="367" w:lineRule="auto"/>
        <w:ind w:right="1034" w:firstLine="360"/>
        <w:jc w:val="left"/>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2"/>
        <w:rPr>
          <w:rFonts w:ascii="宋体" w:hAnsi="宋体" w:cs="宋体" w:eastAsia="宋体" w:hint="default"/>
          <w:sz w:val="14"/>
          <w:szCs w:val="14"/>
        </w:rPr>
      </w:pPr>
    </w:p>
    <w:p>
      <w:pPr>
        <w:pStyle w:val="BodyText"/>
        <w:spacing w:line="240" w:lineRule="auto"/>
        <w:ind w:left="472" w:right="952"/>
        <w:jc w:val="left"/>
      </w:pPr>
      <w:r>
        <w:rPr/>
        <w:t>（2）了解与审计相关的内部控制，以设计恰当的审计程序，但目的并非对内部控制的有效性发表意见。</w:t>
      </w:r>
    </w:p>
    <w:p>
      <w:pPr>
        <w:spacing w:line="240" w:lineRule="auto" w:before="6"/>
        <w:rPr>
          <w:rFonts w:ascii="宋体" w:hAnsi="宋体" w:cs="宋体" w:eastAsia="宋体" w:hint="default"/>
          <w:sz w:val="21"/>
          <w:szCs w:val="21"/>
        </w:rPr>
      </w:pPr>
    </w:p>
    <w:p>
      <w:pPr>
        <w:pStyle w:val="BodyText"/>
        <w:spacing w:line="240" w:lineRule="auto"/>
        <w:ind w:left="472" w:right="952"/>
        <w:jc w:val="left"/>
      </w:pPr>
      <w:r>
        <w:rPr/>
        <w:t>（3）评价管理层选用会计政策的恰当性和作出会计估计及相关披露的合理性。</w:t>
      </w:r>
    </w:p>
    <w:p>
      <w:pPr>
        <w:spacing w:line="240" w:lineRule="auto" w:before="6"/>
        <w:rPr>
          <w:rFonts w:ascii="宋体" w:hAnsi="宋体" w:cs="宋体" w:eastAsia="宋体" w:hint="default"/>
          <w:sz w:val="21"/>
          <w:szCs w:val="21"/>
        </w:rPr>
      </w:pPr>
    </w:p>
    <w:p>
      <w:pPr>
        <w:pStyle w:val="BodyText"/>
        <w:spacing w:line="367" w:lineRule="auto"/>
        <w:ind w:right="1130" w:firstLine="360"/>
        <w:jc w:val="both"/>
      </w:pPr>
      <w:r>
        <w:rPr/>
        <w:t>（4）对管理层使用持续经营假设的恰当性得出结论。同时，根据获取的审计证据，就可能导致对赢时胜公司持续经营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3"/>
        </w:rPr>
        <w:t> </w:t>
      </w:r>
      <w:r>
        <w:rPr>
          <w:spacing w:val="-63"/>
        </w:rPr>
      </w:r>
      <w:r>
        <w:rPr/>
        <w:t>基于截至审计报告日可获得的信息。然而，未来的事项或情况可能导致赢时胜公司不能持续经营。</w:t>
      </w:r>
    </w:p>
    <w:p>
      <w:pPr>
        <w:spacing w:line="240" w:lineRule="auto" w:before="2"/>
        <w:rPr>
          <w:rFonts w:ascii="宋体" w:hAnsi="宋体" w:cs="宋体" w:eastAsia="宋体" w:hint="default"/>
          <w:sz w:val="14"/>
          <w:szCs w:val="14"/>
        </w:rPr>
      </w:pPr>
    </w:p>
    <w:p>
      <w:pPr>
        <w:pStyle w:val="BodyText"/>
        <w:spacing w:line="240" w:lineRule="auto"/>
        <w:ind w:left="472" w:right="952"/>
        <w:jc w:val="left"/>
      </w:pPr>
      <w:r>
        <w:rPr/>
        <w:t>（</w:t>
      </w:r>
      <w:r>
        <w:rPr>
          <w:spacing w:val="1"/>
        </w:rPr>
        <w:t>5</w:t>
      </w:r>
      <w:r>
        <w:rPr/>
        <w:t>）评价财务报表的总体列报、结构和内容（包括披露</w:t>
      </w:r>
      <w:r>
        <w:rPr>
          <w:spacing w:val="-92"/>
        </w:rPr>
        <w:t>）</w:t>
      </w:r>
      <w:r>
        <w:rPr/>
        <w:t>，并评价财务报表是否公允反映相关交易和事项。</w:t>
      </w:r>
    </w:p>
    <w:p>
      <w:pPr>
        <w:spacing w:after="0" w:line="240" w:lineRule="auto"/>
        <w:jc w:val="left"/>
        <w:sectPr>
          <w:pgSz w:w="11910" w:h="16840"/>
          <w:pgMar w:header="919" w:footer="1009" w:top="1120" w:bottom="1200" w:left="1020" w:right="0"/>
        </w:sectPr>
      </w:pPr>
    </w:p>
    <w:p>
      <w:pPr>
        <w:spacing w:line="240" w:lineRule="auto" w:before="0"/>
        <w:rPr>
          <w:rFonts w:ascii="宋体" w:hAnsi="宋体" w:cs="宋体" w:eastAsia="宋体" w:hint="default"/>
          <w:sz w:val="26"/>
          <w:szCs w:val="26"/>
        </w:rPr>
      </w:pPr>
    </w:p>
    <w:p>
      <w:pPr>
        <w:pStyle w:val="BodyText"/>
        <w:spacing w:line="367" w:lineRule="auto" w:before="44"/>
        <w:ind w:right="1132" w:firstLine="360"/>
        <w:jc w:val="both"/>
      </w:pPr>
      <w:r>
        <w:rPr/>
        <w:t>（6）就赢时胜公司中实体或业务活动的财务信息获取充分、适当的审计证据，以对财务报表发表审计意见。我们负责 指导、监督和执行集团审计，并对审计意见承担全部责任。</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89"/>
        </w:rPr>
        <w:t>）</w:t>
      </w:r>
      <w:r>
        <w:rPr/>
        <w:t>。</w:t>
      </w:r>
    </w:p>
    <w:p>
      <w:pPr>
        <w:spacing w:line="240" w:lineRule="auto" w:before="2"/>
        <w:rPr>
          <w:rFonts w:ascii="宋体" w:hAnsi="宋体" w:cs="宋体" w:eastAsia="宋体" w:hint="default"/>
          <w:sz w:val="14"/>
          <w:szCs w:val="14"/>
        </w:rPr>
      </w:pPr>
    </w:p>
    <w:p>
      <w:pPr>
        <w:pStyle w:val="BodyText"/>
        <w:spacing w:line="367" w:lineRule="auto"/>
        <w:ind w:right="1130" w:firstLine="360"/>
        <w:jc w:val="both"/>
      </w:pPr>
      <w:r>
        <w:rPr>
          <w:spacing w:val="-2"/>
        </w:rPr>
        <w:t>从与治理层沟通过的事项中，我们确定哪些事项对本期合并财务报表审计最为重要，因而构成关键审计事项。我们在审</w:t>
      </w:r>
      <w:r>
        <w:rPr/>
        <w:t> </w:t>
      </w:r>
      <w:r>
        <w:rPr>
          <w:spacing w:val="-2"/>
        </w:rPr>
        <w:t>计报告中描述这些事项，除非法律法规禁止公开披露这些事项，或在极少数情形下，如果合理预期在审计报告中沟通某事项</w:t>
      </w:r>
      <w:r>
        <w:rPr>
          <w:spacing w:val="-63"/>
        </w:rPr>
        <w:t> </w:t>
      </w:r>
      <w:r>
        <w:rPr>
          <w:spacing w:val="-63"/>
        </w:rPr>
      </w:r>
      <w:r>
        <w:rPr/>
        <w:t>造成的负面后果超过在公众利益方面产生的益处，我们确定不应在审计报告中沟通该事项。</w:t>
      </w:r>
    </w:p>
    <w:p>
      <w:pPr>
        <w:spacing w:line="240" w:lineRule="auto" w:before="4"/>
        <w:rPr>
          <w:rFonts w:ascii="宋体" w:hAnsi="宋体" w:cs="宋体" w:eastAsia="宋体" w:hint="default"/>
          <w:sz w:val="16"/>
          <w:szCs w:val="16"/>
        </w:rPr>
      </w:pPr>
    </w:p>
    <w:p>
      <w:pPr>
        <w:pStyle w:val="Heading2"/>
        <w:spacing w:line="240" w:lineRule="auto"/>
        <w:ind w:right="952"/>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52"/>
        <w:jc w:val="left"/>
      </w:pPr>
      <w:r>
        <w:rPr/>
        <w:t>编制单位：深圳市赢时胜信息技术股份有限公司</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372,220,940.35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786,980,024.60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0"/>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538,306,992.52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394,567,838.42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46,255,836.96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538,306,992.52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348,312,001.46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7,012,059.67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1,932,221.85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0"/>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366,451,052.71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262,975,064.75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299,547.71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1,668,540.09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2,302,205.43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347,588,175.23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26,622,001.39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1,633,247,760.57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1,475,379,356.44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35,425,700.00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35,425,700.00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618,739,687.62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586,024,351.73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87,297,329.92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46,407,605.05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815,844,646.64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521,847,354.41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264,660,736.97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1,326,568.00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1,100,883.63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1,504,511.33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1,504,511.33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561,918.11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832,505.89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7,826,810.66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2,558,375.57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8,139,400.17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2,969,146.95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1,576,666,572.45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1,463,331,171.53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3,209,914,333.02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2,938,710,527.97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2,031,543.16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6,432,590.15</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6,579,148.01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8,518,774.92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27,294,615.03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42,565,005.56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57,449,816.12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42,533,044.42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39,668,160.21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62,397,384.70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380,107.47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14,015.04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717,965.33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2,061,758.55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368,741,247.86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164,508,558.30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4,243,144.59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4,961,109.92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6,443,144.59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14,661,109.92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375,184,392.45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179,169,668.22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742,214,580.00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742,383,330.00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1,540,992,220.53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1,595,867,610.51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35,277,742.50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47,692,260.00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-6,129,536.47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2,105,438.65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72,193,645.96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55,224,954.04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399,658,743.99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350,159,000.84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2,713,651,911.51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2,698,048,074.04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121,078,029.06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61,492,785.71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2,834,729,940.57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2,759,540,859.75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3,209,914,333.02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2,938,710,527.97</w:t>
            </w:r>
          </w:p>
        </w:tc>
      </w:tr>
    </w:tbl>
    <w:p>
      <w:pPr>
        <w:spacing w:line="240" w:lineRule="auto" w:before="1"/>
        <w:rPr>
          <w:rFonts w:ascii="Times New Roman" w:hAnsi="Times New Roman" w:cs="Times New Roman" w:eastAsia="Times New Roman" w:hint="default"/>
          <w:sz w:val="23"/>
          <w:szCs w:val="23"/>
        </w:rPr>
      </w:pPr>
    </w:p>
    <w:p>
      <w:pPr>
        <w:pStyle w:val="BodyText"/>
        <w:tabs>
          <w:tab w:pos="3331" w:val="left" w:leader="none"/>
          <w:tab w:pos="7559" w:val="left" w:leader="none"/>
        </w:tabs>
        <w:spacing w:line="240" w:lineRule="auto" w:before="44"/>
        <w:ind w:left="0" w:right="1231"/>
        <w:jc w:val="right"/>
      </w:pPr>
      <w:r>
        <w:rPr/>
        <w:t>法定代表人：唐球</w:t>
        <w:tab/>
        <w:t>主管会计工作负责人：伍国安</w:t>
        <w:tab/>
        <w:t>会计机构负责人：廖拾秀</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349,922,956.66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771,007,806.21</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395,938,215.90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241,621,739.63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395,938,215.90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241,621,739.63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5,793,878.73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1,682,248.98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15,061,725.42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10,910,905.93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327,587,894.37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5,155,232.21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1,094,304,671.08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1,030,377,932.96</w:t>
            </w: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877,739,687.62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933,024,351.73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87,297,329.92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46,407,605.05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815,176,089.53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520,988,985.50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264,660,736.97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1,317,108.64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1,086,013.37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561,918.11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789,148.61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3,508,107.10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2,409,474.64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8,139,400.17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2,969,146.95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1,813,739,641.09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1,792,335,462.82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2,908,044,312.17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2,822,713,395.78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1,877,552.31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6,202,050.02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4,760,277.02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5,606,855.87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26,295,442.28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41,908,412.67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43,730,853.59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27,523,363.67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37,831,508.50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51,877,184.70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91,755.76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14,015.04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717,965.33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2,061,758.55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165,213,599.03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135,179,625.48</w:t>
            </w: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4,243,144.59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4,961,109.92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6,443,144.59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14,661,109.92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171,656,743.62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149,840,735.40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742,214,580.00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742,383,330.00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1,596,996,744.15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1,595,867,610.51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35,277,742.50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47,692,260.00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-6,129,536.47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2,105,438.65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72,193,645.96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55,224,954.04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366,389,877.41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324,983,587.18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2,736,387,568.55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2,672,872,660.38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2,908,044,312.17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2,822,713,395.78</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952"/>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639,100,493.81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537,017,966.08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639,100,493.81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537,017,966.08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1009" w:header="919" w:top="1120" w:bottom="1200" w:left="1020" w:right="0"/>
          <w:pgNumType w:start="9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490,360,447.94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344,826,583.71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128,194,401.18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92,901,170.82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11"/>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4,591,307.75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7,049,533.07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21,545,758.35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16,315,753.97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82,687,709.72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51,645,496.01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230,379,106.38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192,527,309.75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-5,449,557.83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-19,523,620.36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5,716,525.04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398,372.61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11,219,653.60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19,976,149.57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28,411,722.39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3,910,940.45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39,332,975.01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15,704,614.39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4,658,447.37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34,798,508.43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-1,121,088.99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27,922,503.89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-52,015.37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50,387.52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192,679,452.88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242,744,892.71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545,151.15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40,648.08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20,263.46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111,866.93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193,204,340.57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242,673,673.86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11,843,248.77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21,897,523.02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181,361,091.80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220,776,150.84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181,361,091.80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220,776,150.84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177,780,372.07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208,463,060.81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3,580,719.73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12,313,090.03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173,126,116.68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220,862,735.37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169,545,396.95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208,549,645.34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3,580,719.73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12,313,090.03</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0.2808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0.2395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0.2808</w:t>
            </w:r>
          </w:p>
        </w:tc>
      </w:tr>
    </w:tbl>
    <w:p>
      <w:pPr>
        <w:pStyle w:val="BodyText"/>
        <w:tabs>
          <w:tab w:pos="3443" w:val="left" w:leader="none"/>
          <w:tab w:pos="7672" w:val="left" w:leader="none"/>
        </w:tabs>
        <w:spacing w:line="595" w:lineRule="auto" w:before="50"/>
        <w:ind w:right="1231"/>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 </w:t>
      </w:r>
      <w:r>
        <w:rPr/>
        <w:t>元。 法定代表人：唐球</w:t>
        <w:tab/>
        <w:t>主管会计工作负责人：伍国安</w:t>
        <w:tab/>
        <w:t>会计机构负责人：廖拾秀 </w:t>
      </w: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593,683,831.85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479,024,456.48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125,103,128.32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88,594,598.95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4,004,144.78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5,847,530.63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16,406,919.28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12,197,544.44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79,425,105.47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48,661,947.62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223,636,839.69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188,573,354.61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-4,751,486.29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-16,556,310.85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2,759,565.57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398,372.61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7,529,187.23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16,975,204.04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10,391,460.69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4,241,576.22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38,448,553.42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15,497,454.39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2,359,014.25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32,882,354.54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-1,121,088.99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27,922,503.89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-14,838.45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51,429.04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180,260,449.13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195,895,452.83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45,145.16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35,947.19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12,881.46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110,628.52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180,292,712.83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195,820,771.50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10,605,793.68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12,031,731.21</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四、净利润（净亏损以“－”号填</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169,686,919.15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183,789,040.29</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169,686,919.15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183,789,040.29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86,584.53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3"/>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161,451,944.03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183,875,624.82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952"/>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505,454,949.97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2" w:right="0"/>
              <w:jc w:val="left"/>
              <w:rPr>
                <w:rFonts w:ascii="Times New Roman" w:hAnsi="Times New Roman" w:cs="Times New Roman" w:eastAsia="Times New Roman" w:hint="default"/>
                <w:sz w:val="18"/>
                <w:szCs w:val="18"/>
              </w:rPr>
            </w:pPr>
            <w:r>
              <w:rPr>
                <w:rFonts w:ascii="Times New Roman"/>
                <w:sz w:val="18"/>
              </w:rPr>
              <w:t>494,897,896.68</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15,987,372.48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3,539,799.79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106,285,720.21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52,650,855.35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627,728,042.66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551,088,551.82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15,525,344.90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6,590,824.96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373,747,412.58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258,790,475.30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48,002,034.97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33,371,177.90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239,498,138.55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369,686,506.11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676,772,931.00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668,438,984.27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-49,044,888.34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-117,350,432.45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189,325,336.30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684,378,991.96</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74,023.85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122,152,830.19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10,550,179.24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311,528,666.49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695,003,195.05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114,987,516.56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219,053,190.24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557,198,580.13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577,125,700.00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792,186,096.69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796,178,890.24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-480,657,430.20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-101,175,695.19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235,520,000.00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235,520,000.00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2,581,758.55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1,930,424.88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116,551,532.22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90,052,097.67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1,631,475.00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2,150,200.01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120,764,765.77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94,132,722.56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114,755,234.23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-77,132,722.56</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-414,947,084.25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-295,658,850.28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786,950,024.60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1,082,608,874.88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372,002,940.35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786,950,024.60</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952"/>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482,468,989.47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451,181,197.08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15,987,372.48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3,539,799.79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20,598,320.90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27,137,948.93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519,054,682.85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481,858,945.80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10,891,741.00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2,857,651.91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362,232,947.71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250,148,060.63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36,738,673.83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31,653,559.69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67,979,700.85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42,590,645.25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477,843,063.39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327,249,917.48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41,211,619.46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154,609,028.32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257,278,733.37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414,959,850.65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73,929.83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257,329,233.37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415,033,780.48</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114,862,671.06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218,223,185.18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537,198,580.13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652,061,251.19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714,223,185.18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-394,732,017.82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-299,189,404.70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2,061,758.55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1,930,424.88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114,059,217.70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90,052,097.67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1,631,475.00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2,150,200.01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117,752,451.25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94,132,722.56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-67,752,451.25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-94,132,722.56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-421,272,849.55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-238,713,099.02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770,977,806.21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1,009,690,905.23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349,704,956.66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770,977,806.21</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本期金额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1"/>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8" w:right="145"/>
              <w:jc w:val="left"/>
              <w:rPr>
                <w:rFonts w:ascii="宋体" w:hAnsi="宋体" w:cs="宋体" w:eastAsia="宋体" w:hint="default"/>
                <w:sz w:val="18"/>
                <w:szCs w:val="18"/>
              </w:rPr>
            </w:pPr>
            <w:r>
              <w:rPr>
                <w:rFonts w:ascii="宋体" w:hAnsi="宋体" w:cs="宋体" w:eastAsia="宋体" w:hint="default"/>
                <w:sz w:val="18"/>
                <w:szCs w:val="18"/>
              </w:rPr>
              <w:t>减： 库存</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7" w:right="145"/>
              <w:jc w:val="left"/>
              <w:rPr>
                <w:rFonts w:ascii="宋体" w:hAnsi="宋体" w:cs="宋体" w:eastAsia="宋体" w:hint="default"/>
                <w:sz w:val="18"/>
                <w:szCs w:val="18"/>
              </w:rPr>
            </w:pPr>
            <w:r>
              <w:rPr>
                <w:rFonts w:ascii="宋体" w:hAnsi="宋体" w:cs="宋体" w:eastAsia="宋体" w:hint="default"/>
                <w:sz w:val="18"/>
                <w:szCs w:val="18"/>
              </w:rPr>
              <w:t>其他 综合</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6" w:right="147"/>
              <w:jc w:val="left"/>
              <w:rPr>
                <w:rFonts w:ascii="宋体" w:hAnsi="宋体" w:cs="宋体" w:eastAsia="宋体" w:hint="default"/>
                <w:sz w:val="18"/>
                <w:szCs w:val="18"/>
              </w:rPr>
            </w:pPr>
            <w:r>
              <w:rPr>
                <w:rFonts w:ascii="宋体" w:hAnsi="宋体" w:cs="宋体" w:eastAsia="宋体" w:hint="default"/>
                <w:sz w:val="18"/>
                <w:szCs w:val="18"/>
              </w:rPr>
              <w:t>一般 风险</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8" w:right="145"/>
              <w:jc w:val="left"/>
              <w:rPr>
                <w:rFonts w:ascii="宋体" w:hAnsi="宋体" w:cs="宋体" w:eastAsia="宋体" w:hint="default"/>
                <w:sz w:val="18"/>
                <w:szCs w:val="18"/>
              </w:rPr>
            </w:pPr>
            <w:r>
              <w:rPr>
                <w:rFonts w:ascii="宋体" w:hAnsi="宋体" w:cs="宋体" w:eastAsia="宋体" w:hint="default"/>
                <w:sz w:val="18"/>
                <w:szCs w:val="18"/>
              </w:rPr>
              <w:t>未分 配利</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360"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优</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永</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70" w:right="168"/>
              <w:jc w:val="left"/>
              <w:rPr>
                <w:rFonts w:ascii="宋体" w:hAnsi="宋体" w:cs="宋体" w:eastAsia="宋体" w:hint="default"/>
                <w:sz w:val="18"/>
                <w:szCs w:val="18"/>
              </w:rPr>
            </w:pPr>
            <w:r>
              <w:rPr>
                <w:rFonts w:ascii="宋体" w:hAnsi="宋体" w:cs="宋体" w:eastAsia="宋体" w:hint="default"/>
                <w:sz w:val="18"/>
                <w:szCs w:val="18"/>
              </w:rPr>
              <w:t>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70" w:right="169"/>
              <w:jc w:val="left"/>
              <w:rPr>
                <w:rFonts w:ascii="宋体" w:hAnsi="宋体" w:cs="宋体" w:eastAsia="宋体" w:hint="default"/>
                <w:sz w:val="18"/>
                <w:szCs w:val="18"/>
              </w:rPr>
            </w:pPr>
            <w:r>
              <w:rPr>
                <w:rFonts w:ascii="宋体" w:hAnsi="宋体" w:cs="宋体" w:eastAsia="宋体" w:hint="default"/>
                <w:sz w:val="18"/>
                <w:szCs w:val="18"/>
              </w:rPr>
              <w:t>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1,595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47,69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55,22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61,49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4"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1,595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47,69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55,22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61,49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4"/>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122"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-54,8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75,38</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14,51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4,975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16,96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49,49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9,743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59,58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5,243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75,18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9,080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4,975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177,7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80,37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2.07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3,580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173,1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26,11</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6.68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122"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-54,8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75,38</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14,51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13,37</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122"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67,24</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8.62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14,51</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3,042</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,858.</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,858.</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16,96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311,9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37.00</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16,96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68,69</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311,9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311,9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37.00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1,540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220.5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35,27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7,742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-6,12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9,536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72,19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3,645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399,6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58,74</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3.99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78,02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,729,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940.5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952"/>
        <w:jc w:val="left"/>
      </w:pPr>
      <w:r>
        <w:rPr/>
        <w:t>上期金额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5"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7"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9" w:right="170"/>
              <w:jc w:val="left"/>
              <w:rPr>
                <w:rFonts w:ascii="宋体" w:hAnsi="宋体" w:cs="宋体" w:eastAsia="宋体" w:hint="default"/>
                <w:sz w:val="18"/>
                <w:szCs w:val="18"/>
              </w:rPr>
            </w:pPr>
            <w:r>
              <w:rPr>
                <w:rFonts w:ascii="宋体" w:hAnsi="宋体" w:cs="宋体" w:eastAsia="宋体" w:hint="default"/>
                <w:sz w:val="18"/>
                <w:szCs w:val="18"/>
              </w:rPr>
              <w:t>优 先</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1" w:right="168"/>
              <w:jc w:val="left"/>
              <w:rPr>
                <w:rFonts w:ascii="宋体" w:hAnsi="宋体" w:cs="宋体" w:eastAsia="宋体" w:hint="default"/>
                <w:sz w:val="18"/>
                <w:szCs w:val="18"/>
              </w:rPr>
            </w:pPr>
            <w:r>
              <w:rPr>
                <w:rFonts w:ascii="宋体" w:hAnsi="宋体" w:cs="宋体" w:eastAsia="宋体" w:hint="default"/>
                <w:sz w:val="18"/>
                <w:szCs w:val="18"/>
              </w:rPr>
              <w:t>永 续</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4"/>
          <w:pgSz w:w="11910" w:h="16840"/>
          <w:pgMar w:footer="1009" w:header="919" w:top="1120" w:bottom="1200" w:left="1020" w:right="0"/>
          <w:pgNumType w:start="10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073.5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249,1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32,17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013,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073.5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36,84</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249,1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32,17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249.0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556,4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63.08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98,15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7.19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29,31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05,61</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0.69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208,4</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63,06</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12,31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220,8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62,73</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5.37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21"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3,963</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,534.</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28,22</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8,874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21"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0,200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22,96</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5,140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5,263</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5,263</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464,9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03.62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9.60</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78,90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4.02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9.60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9.60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519,9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519,9</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1,595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610.5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47,69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0.84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61,49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952"/>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本期金额</w:t>
      </w:r>
    </w:p>
    <w:p>
      <w:pPr>
        <w:pStyle w:val="BodyText"/>
        <w:spacing w:line="240" w:lineRule="auto" w:before="115"/>
        <w:ind w:left="0" w:right="1132"/>
        <w:jc w:val="right"/>
      </w:pPr>
      <w:r>
        <w:rPr/>
        <w:t>单位：元</w:t>
      </w:r>
    </w:p>
    <w:p>
      <w:pPr>
        <w:spacing w:after="0" w:line="240" w:lineRule="auto"/>
        <w:jc w:val="right"/>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83,33</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1,595,8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67,610.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47,692,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260.00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38.65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55,224,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954.04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324,9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2,672,8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72,660.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83,33</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1,595,8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67,610.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47,692,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260.00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38.65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55,224,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954.04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324,9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2,672,8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72,660.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1,129,1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-12,414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16,968,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691.92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41,40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6,290.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63,514,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908.17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169,6</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1,944.0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1,129,1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1" w:right="0"/>
              <w:jc w:val="left"/>
              <w:rPr>
                <w:rFonts w:ascii="Times New Roman" w:hAnsi="Times New Roman" w:cs="Times New Roman" w:eastAsia="Times New Roman" w:hint="default"/>
                <w:sz w:val="18"/>
                <w:szCs w:val="18"/>
              </w:rPr>
            </w:pPr>
            <w:r>
              <w:rPr>
                <w:rFonts w:ascii="Times New Roman"/>
                <w:sz w:val="18"/>
              </w:rPr>
              <w:t>-12,414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,517.50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13,374,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901.14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-12,414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,517.50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10,783,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042.50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2,591,8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2,591,8</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58.64</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16,968,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691.92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28.92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2"/>
                <w:sz w:val="18"/>
              </w:rPr>
              <w:t>-111,31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1,937.0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16,968,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691.92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68,69</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1.92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pacing w:val="-3"/>
                <w:sz w:val="18"/>
              </w:rPr>
              <w:t>-111,3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4" w:right="0"/>
              <w:jc w:val="left"/>
              <w:rPr>
                <w:rFonts w:ascii="Times New Roman" w:hAnsi="Times New Roman" w:cs="Times New Roman" w:eastAsia="Times New Roman" w:hint="default"/>
                <w:sz w:val="18"/>
                <w:szCs w:val="18"/>
              </w:rPr>
            </w:pPr>
            <w:r>
              <w:rPr>
                <w:rFonts w:ascii="Times New Roman"/>
                <w:sz w:val="18"/>
              </w:rPr>
              <w:t>-111,31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Times New Roman" w:hAnsi="Times New Roman" w:cs="Times New Roman" w:eastAsia="Times New Roman" w:hint="default"/>
                <w:sz w:val="18"/>
                <w:szCs w:val="18"/>
              </w:rPr>
            </w:pPr>
            <w:r>
              <w:rPr>
                <w:rFonts w:ascii="Times New Roman"/>
                <w:sz w:val="18"/>
              </w:rPr>
              <w:t>11,93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1,937.0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742,2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14,58</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1,596,9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96,744.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35,277,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742.50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536.47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72,193,</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645.96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366,3</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89,87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2,736,3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87,568.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55</w:t>
            </w:r>
          </w:p>
        </w:tc>
      </w:tr>
    </w:tbl>
    <w:p>
      <w:pPr>
        <w:pStyle w:val="BodyText"/>
        <w:spacing w:line="240" w:lineRule="auto" w:before="50"/>
        <w:ind w:right="952"/>
        <w:jc w:val="left"/>
      </w:pPr>
      <w:r>
        <w:rPr/>
        <w:t>上期金额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Times New Roman" w:hAnsi="Times New Roman" w:cs="Times New Roman" w:eastAsia="Times New Roman" w:hint="default"/>
                <w:sz w:val="18"/>
                <w:szCs w:val="18"/>
              </w:rPr>
            </w:pPr>
            <w:r>
              <w:rPr>
                <w:rFonts w:ascii="Times New Roman"/>
                <w:sz w:val="18"/>
              </w:rPr>
              <w:t>2,037,4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36,846,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050.02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248,6</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2,566,8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54,160.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2,037,4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55,107,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2,018,8</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54.12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36,846,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050.02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248,6</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2,566,8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54,160.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-441,55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6,463.0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-7,415,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18,378,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904.02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76,32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4,136.</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8,500.1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86,584.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89,04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5,624.8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r>
        <w:trPr>
          <w:trHeight w:val="362"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（二）所有者投</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3,963,5</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-7,415,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11,228,</w:t>
            </w:r>
          </w:p>
        </w:tc>
      </w:tr>
      <w:tr>
        <w:trPr>
          <w:trHeight w:val="352"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00.00</w:t>
            </w: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34.92</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85" w:right="0"/>
              <w:jc w:val="center"/>
              <w:rPr>
                <w:rFonts w:ascii="Times New Roman" w:hAnsi="Times New Roman" w:cs="Times New Roman" w:eastAsia="Times New Roman" w:hint="default"/>
                <w:sz w:val="18"/>
                <w:szCs w:val="18"/>
              </w:rPr>
            </w:pPr>
            <w:r>
              <w:rPr>
                <w:rFonts w:ascii="Times New Roman"/>
                <w:sz w:val="18"/>
              </w:rPr>
              <w:t>340.00</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69" w:right="0"/>
              <w:jc w:val="center"/>
              <w:rPr>
                <w:rFonts w:ascii="Times New Roman" w:hAnsi="Times New Roman" w:cs="Times New Roman" w:eastAsia="Times New Roman" w:hint="default"/>
                <w:sz w:val="18"/>
                <w:szCs w:val="18"/>
              </w:rPr>
            </w:pPr>
            <w:r>
              <w:rPr>
                <w:rFonts w:ascii="Times New Roman"/>
                <w:sz w:val="18"/>
              </w:rPr>
              <w:t>874.92</w:t>
            </w:r>
          </w:p>
        </w:tc>
      </w:tr>
      <w:tr>
        <w:trPr>
          <w:trHeight w:val="361"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-1,300,</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-7,415,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5,965,1</w:t>
            </w:r>
          </w:p>
        </w:tc>
      </w:tr>
      <w:tr>
        <w:trPr>
          <w:trHeight w:val="353"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00.00</w:t>
            </w: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85" w:right="0"/>
              <w:jc w:val="center"/>
              <w:rPr>
                <w:rFonts w:ascii="Times New Roman" w:hAnsi="Times New Roman" w:cs="Times New Roman" w:eastAsia="Times New Roman" w:hint="default"/>
                <w:sz w:val="18"/>
                <w:szCs w:val="18"/>
              </w:rPr>
            </w:pPr>
            <w:r>
              <w:rPr>
                <w:rFonts w:ascii="Times New Roman"/>
                <w:sz w:val="18"/>
              </w:rPr>
              <w:t>340.00</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60" w:right="0"/>
              <w:jc w:val="center"/>
              <w:rPr>
                <w:rFonts w:ascii="Times New Roman" w:hAnsi="Times New Roman" w:cs="Times New Roman" w:eastAsia="Times New Roman" w:hint="default"/>
                <w:sz w:val="18"/>
                <w:szCs w:val="18"/>
              </w:rPr>
            </w:pPr>
            <w:r>
              <w:rPr>
                <w:rFonts w:ascii="Times New Roman"/>
                <w:sz w:val="18"/>
              </w:rPr>
              <w:t>40.00</w:t>
            </w:r>
          </w:p>
        </w:tc>
      </w:tr>
      <w:tr>
        <w:trPr>
          <w:trHeight w:val="362"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69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r>
      <w:tr>
        <w:trPr>
          <w:trHeight w:val="307" w:hRule="exact"/>
        </w:trPr>
        <w:tc>
          <w:tcPr>
            <w:tcW w:w="1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69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56"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9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5,263,7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34.92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5,263,7</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34.92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18,378,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904.02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464,9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03.62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-89,085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,999.60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18,378,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904.02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78,90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4.02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-89,0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-89,085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,999.60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445,5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-445,51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9,998.0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445,5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-445,51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r>
      <w:tr>
        <w:trPr>
          <w:trHeight w:val="312" w:hRule="exact"/>
        </w:trPr>
        <w:tc>
          <w:tcPr>
            <w:tcW w:w="1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19,99</w:t>
            </w: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9,998.0</w:t>
            </w: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52"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8.00</w:t>
            </w: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61"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9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r>
      <w:tr>
        <w:trPr>
          <w:trHeight w:val="307" w:hRule="exact"/>
        </w:trPr>
        <w:tc>
          <w:tcPr>
            <w:tcW w:w="1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9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58"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83,33</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1,595,8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67,610.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47,692,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260.00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2,105,4</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38.65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55,224,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954.04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324,9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2,672,8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72,660.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8"/>
      <w:bookmarkEnd w:id="168"/>
      <w:r>
        <w:rPr>
          <w:b w:val="0"/>
          <w:bCs w:val="0"/>
        </w:rPr>
      </w:r>
      <w:r>
        <w:rPr/>
        <w:t>三、公司基本情况</w:t>
      </w:r>
      <w:r>
        <w:rPr>
          <w:b w:val="0"/>
          <w:bCs w:val="0"/>
        </w:rPr>
      </w:r>
    </w:p>
    <w:p>
      <w:pPr>
        <w:pStyle w:val="BodyText"/>
        <w:spacing w:line="480" w:lineRule="atLeast" w:before="104"/>
        <w:ind w:left="532" w:right="952"/>
        <w:jc w:val="left"/>
      </w:pPr>
      <w:r>
        <w:rPr/>
        <w:t>1. 公司的历史沿革 深圳市赢时胜信息技术股份有限公司（以下简称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）经深圳市工商行政管理局批准，于2001年9月3日</w:t>
      </w:r>
    </w:p>
    <w:p>
      <w:pPr>
        <w:pStyle w:val="BodyText"/>
        <w:spacing w:line="312" w:lineRule="auto" w:before="63"/>
        <w:ind w:right="1130"/>
        <w:jc w:val="both"/>
      </w:pPr>
      <w:r>
        <w:rPr/>
        <w:t>成立，原名</w:t>
      </w:r>
      <w:r>
        <w:rPr>
          <w:rFonts w:ascii="Times New Roman" w:hAnsi="Times New Roman" w:cs="Times New Roman" w:eastAsia="Times New Roman" w:hint="default"/>
        </w:rPr>
        <w:t>“</w:t>
      </w:r>
      <w:r>
        <w:rPr/>
        <w:t>深圳市赢时胜电子技术有限公司</w:t>
      </w:r>
      <w:r>
        <w:rPr>
          <w:rFonts w:ascii="Times New Roman" w:hAnsi="Times New Roman" w:cs="Times New Roman" w:eastAsia="Times New Roman" w:hint="default"/>
        </w:rPr>
        <w:t>”</w:t>
      </w:r>
      <w:r>
        <w:rPr/>
        <w:t>，企业法人营业执照注册号：4403012073335，法定代表人唐球，最初登记住</w:t>
      </w:r>
      <w:r>
        <w:rPr>
          <w:spacing w:val="-75"/>
        </w:rPr>
        <w:t> </w:t>
      </w:r>
      <w:r>
        <w:rPr>
          <w:spacing w:val="-75"/>
        </w:rPr>
      </w:r>
      <w:r>
        <w:rPr>
          <w:spacing w:val="-2"/>
        </w:rPr>
        <w:t>所为：深圳市福田区福中路紫玉大厦1幢25J室，初始投资额为注册资本500,000.00元，业经深圳远东会计师事务所深远东验</w:t>
      </w:r>
      <w:r>
        <w:rPr>
          <w:spacing w:val="-56"/>
        </w:rPr>
        <w:t> </w:t>
      </w:r>
      <w:r>
        <w:rPr>
          <w:spacing w:val="-56"/>
        </w:rPr>
      </w:r>
      <w:r>
        <w:rPr/>
        <w:t>字[2001]第495号验资报告验证。出资人及持股比例为：唐球出资230,000.00元，持股比例为46%；鄢建兵出资135,000.00</w:t>
      </w:r>
      <w:r>
        <w:rPr>
          <w:spacing w:val="-20"/>
        </w:rPr>
        <w:t> </w:t>
      </w:r>
      <w:r>
        <w:rPr>
          <w:spacing w:val="-20"/>
        </w:rPr>
      </w:r>
      <w:r>
        <w:rPr/>
        <w:t>元，持股比例为27%；张列出资135,000.00元，持股比例为27%。</w:t>
      </w:r>
    </w:p>
    <w:p>
      <w:pPr>
        <w:spacing w:line="240" w:lineRule="auto" w:before="3"/>
        <w:rPr>
          <w:rFonts w:ascii="宋体" w:hAnsi="宋体" w:cs="宋体" w:eastAsia="宋体" w:hint="default"/>
          <w:sz w:val="10"/>
          <w:szCs w:val="10"/>
        </w:rPr>
      </w:pPr>
    </w:p>
    <w:p>
      <w:pPr>
        <w:pStyle w:val="BodyText"/>
        <w:spacing w:line="240" w:lineRule="auto" w:before="44"/>
        <w:ind w:left="532" w:right="952"/>
        <w:jc w:val="left"/>
      </w:pPr>
      <w:r>
        <w:rPr>
          <w:spacing w:val="1"/>
        </w:rPr>
        <w:t>2</w:t>
      </w:r>
      <w:r>
        <w:rPr>
          <w:spacing w:val="-2"/>
        </w:rPr>
        <w:t>0</w:t>
      </w:r>
      <w:r>
        <w:rPr>
          <w:spacing w:val="1"/>
        </w:rPr>
        <w:t>0</w:t>
      </w:r>
      <w:r>
        <w:rPr>
          <w:spacing w:val="-2"/>
        </w:rPr>
        <w:t>3</w:t>
      </w:r>
      <w:r>
        <w:rPr/>
        <w:t>年</w:t>
      </w:r>
      <w:r>
        <w:rPr>
          <w:spacing w:val="1"/>
        </w:rPr>
        <w:t>5</w:t>
      </w:r>
      <w:r>
        <w:rPr/>
        <w:t>月</w:t>
      </w:r>
      <w:r>
        <w:rPr>
          <w:spacing w:val="1"/>
        </w:rPr>
        <w:t>2</w:t>
      </w:r>
      <w:r>
        <w:rPr>
          <w:spacing w:val="-2"/>
        </w:rPr>
        <w:t>8</w:t>
      </w:r>
      <w:r>
        <w:rPr/>
        <w:t>日</w:t>
      </w:r>
      <w:r>
        <w:rPr>
          <w:spacing w:val="-72"/>
        </w:rPr>
        <w:t>，</w:t>
      </w:r>
      <w:r>
        <w:rPr/>
        <w:t>根据公司</w:t>
      </w:r>
      <w:r>
        <w:rPr>
          <w:spacing w:val="1"/>
        </w:rPr>
        <w:t>2</w:t>
      </w:r>
      <w:r>
        <w:rPr>
          <w:spacing w:val="-2"/>
        </w:rPr>
        <w:t>0</w:t>
      </w:r>
      <w:r>
        <w:rPr>
          <w:spacing w:val="1"/>
        </w:rPr>
        <w:t>0</w:t>
      </w:r>
      <w:r>
        <w:rPr>
          <w:spacing w:val="-2"/>
        </w:rPr>
        <w:t>3</w:t>
      </w:r>
      <w:r>
        <w:rPr/>
        <w:t>年</w:t>
      </w:r>
      <w:r>
        <w:rPr>
          <w:spacing w:val="1"/>
        </w:rPr>
        <w:t>5</w:t>
      </w:r>
      <w:r>
        <w:rPr/>
        <w:t>月</w:t>
      </w:r>
      <w:r>
        <w:rPr>
          <w:spacing w:val="1"/>
        </w:rPr>
        <w:t>1</w:t>
      </w:r>
      <w:r>
        <w:rPr>
          <w:spacing w:val="-2"/>
        </w:rPr>
        <w:t>2</w:t>
      </w:r>
      <w:r>
        <w:rPr/>
        <w:t>日股东会决议</w:t>
      </w:r>
      <w:r>
        <w:rPr>
          <w:spacing w:val="-72"/>
        </w:rPr>
        <w:t>，</w:t>
      </w:r>
      <w:r>
        <w:rPr/>
        <w:t>变更公司住所为深圳市福田区深南中路</w:t>
      </w:r>
      <w:r>
        <w:rPr>
          <w:spacing w:val="1"/>
        </w:rPr>
        <w:t>3</w:t>
      </w:r>
      <w:r>
        <w:rPr>
          <w:spacing w:val="-2"/>
        </w:rPr>
        <w:t>0</w:t>
      </w:r>
      <w:r>
        <w:rPr>
          <w:spacing w:val="1"/>
        </w:rPr>
        <w:t>3</w:t>
      </w:r>
      <w:r>
        <w:rPr>
          <w:spacing w:val="-2"/>
        </w:rPr>
        <w:t>7</w:t>
      </w:r>
      <w:r>
        <w:rPr/>
        <w:t>号南光捷佳大厦</w:t>
      </w:r>
      <w:r>
        <w:rPr>
          <w:spacing w:val="1"/>
        </w:rPr>
        <w:t>1</w:t>
      </w:r>
      <w:r>
        <w:rPr>
          <w:spacing w:val="-2"/>
        </w:rPr>
        <w:t>7</w:t>
      </w:r>
      <w:r>
        <w:rPr>
          <w:spacing w:val="1"/>
        </w:rPr>
        <w:t>1</w:t>
      </w:r>
      <w:r>
        <w:rPr/>
        <w:t>6</w:t>
      </w:r>
    </w:p>
    <w:p>
      <w:pPr>
        <w:pStyle w:val="BodyText"/>
        <w:spacing w:line="240" w:lineRule="auto" w:before="76"/>
        <w:ind w:right="952"/>
        <w:jc w:val="left"/>
      </w:pPr>
      <w:r>
        <w:rPr/>
        <w:t>室。</w:t>
      </w:r>
    </w:p>
    <w:p>
      <w:pPr>
        <w:spacing w:line="240" w:lineRule="auto" w:before="5"/>
        <w:rPr>
          <w:rFonts w:ascii="宋体" w:hAnsi="宋体" w:cs="宋体" w:eastAsia="宋体" w:hint="default"/>
          <w:sz w:val="14"/>
          <w:szCs w:val="14"/>
        </w:rPr>
      </w:pPr>
    </w:p>
    <w:p>
      <w:pPr>
        <w:pStyle w:val="BodyText"/>
        <w:spacing w:line="316" w:lineRule="auto" w:before="44"/>
        <w:ind w:right="1081" w:firstLine="420"/>
        <w:jc w:val="both"/>
      </w:pPr>
      <w:r>
        <w:rPr/>
        <w:t>2004年8月9日，根据公司2004年7月16日股东会决议，以现金方式增加注册资本人民币4,500,000.00元，由股东唐球、 </w:t>
      </w:r>
      <w:r>
        <w:rPr>
          <w:spacing w:val="-2"/>
        </w:rPr>
        <w:t>张列及鄢建兵分别认缴出资1,770,000.00元、1,365,000.00元、1,365,000.00元，变更后的注册资本为人民币5,000,000.00</w:t>
      </w:r>
      <w:r>
        <w:rPr>
          <w:spacing w:val="-37"/>
        </w:rPr>
        <w:t> </w:t>
      </w:r>
      <w:r>
        <w:rPr>
          <w:spacing w:val="-37"/>
        </w:rPr>
      </w:r>
      <w:r>
        <w:rPr/>
        <w:t>元，业经深圳国安会计师事务所有限公司深国安验字[2004]第596号验资报告验证。增资后的出资人及持股比例为：唐球出</w:t>
      </w:r>
      <w:r>
        <w:rPr>
          <w:spacing w:val="-85"/>
        </w:rPr>
        <w:t> </w:t>
      </w:r>
      <w:r>
        <w:rPr>
          <w:spacing w:val="-85"/>
        </w:rPr>
      </w:r>
      <w:r>
        <w:rPr>
          <w:spacing w:val="-2"/>
        </w:rPr>
        <w:t>资2,000,000.00元，持股比例为40%；鄢建兵出资1,500,000.00元，持股比例为30%；张列出资1,500,000.00元，持股比例为</w:t>
      </w:r>
      <w:r>
        <w:rPr>
          <w:spacing w:val="-43"/>
        </w:rPr>
        <w:t> </w:t>
      </w:r>
      <w:r>
        <w:rPr>
          <w:spacing w:val="-43"/>
        </w:rPr>
      </w:r>
      <w:r>
        <w:rPr/>
        <w:t>30%。同时变更公司名称为：深圳市赢时胜信息技术有限公司。</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2005年8月10日，根据公司2005年8月9日股东会决议，变更公司住所为深圳市福田区深南大道4019号航天大厦611室。</w:t>
      </w:r>
    </w:p>
    <w:p>
      <w:pPr>
        <w:spacing w:line="240" w:lineRule="auto" w:before="10"/>
        <w:rPr>
          <w:rFonts w:ascii="宋体" w:hAnsi="宋体" w:cs="宋体" w:eastAsia="宋体" w:hint="default"/>
          <w:sz w:val="17"/>
          <w:szCs w:val="17"/>
        </w:rPr>
      </w:pPr>
    </w:p>
    <w:p>
      <w:pPr>
        <w:pStyle w:val="BodyText"/>
        <w:spacing w:line="316" w:lineRule="auto"/>
        <w:ind w:right="1034" w:firstLine="420"/>
        <w:jc w:val="left"/>
      </w:pPr>
      <w:r>
        <w:rPr/>
        <w:t>2006年7月20日，根据2006年7月16日股东会决议，公司股东进行股权转让，新增股东鄢建红、周云杉、庞军三人，股 权变更后公司股东出资情况分别为：唐球出资1,800,000.00元，持股比例36%；鄢建兵出资1,100,000.00元，持股比例22%； </w:t>
      </w:r>
      <w:r>
        <w:rPr>
          <w:spacing w:val="-3"/>
        </w:rPr>
        <w:t>张列出资1,100,000.00元，持股比例22%；鄢建红出资500,000.00元，持股比例10%；周云杉出资300,000.00元，持股比例6%；</w:t>
      </w:r>
      <w:r>
        <w:rPr>
          <w:spacing w:val="-54"/>
        </w:rPr>
        <w:t> </w:t>
      </w:r>
      <w:r>
        <w:rPr>
          <w:spacing w:val="-54"/>
        </w:rPr>
      </w:r>
      <w:r>
        <w:rPr>
          <w:spacing w:val="-2"/>
        </w:rPr>
        <w:t>庞军出资200,000.00元，持股比例4%。此次股权转让业经广东省深圳市公证处公证，公证书编号：[2006]深证字第86134号。</w:t>
      </w:r>
      <w:r>
        <w:rPr>
          <w:spacing w:val="-51"/>
        </w:rPr>
        <w:t> </w:t>
      </w:r>
      <w:r>
        <w:rPr>
          <w:spacing w:val="-51"/>
        </w:rPr>
      </w:r>
      <w:r>
        <w:rPr/>
        <w:t>深圳市工商行政管理局予以变更登记并核发新的企业法人营业执照，法定代表人唐球。</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2009年4月13日，根据2009年3月23日股东会决议，变更公司住所为：深圳市福田区深南中路与广深高速公路交界东南 金运世纪大厦13层13F，企业法人营业执照注册号升级为：440301103944755。</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根据2009年11月30日及12月7日的股东会决议，股东张列将其持有的4.1809%股权转让给周云杉、庞军、管文源等19名 自然人，股东鄢建兵将其持有的4.1809%股权转让给唐球、鄢建红、何丹等24名自然人。此次股权转让业经广东省深圳市公</w:t>
      </w:r>
      <w:r>
        <w:rPr>
          <w:spacing w:val="-87"/>
        </w:rPr>
        <w:t> </w:t>
      </w:r>
      <w:r>
        <w:rPr>
          <w:spacing w:val="-87"/>
        </w:rPr>
      </w:r>
      <w:r>
        <w:rPr/>
        <w:t>证处（2009）深证字第195779至195821号(共43份)公证书公证。股权转让后，公司的股东共44名。</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2" w:firstLine="420"/>
        <w:jc w:val="both"/>
      </w:pPr>
      <w:r>
        <w:rPr/>
        <w:t>根据2009年12月10日的股东会决议，公司注册资本由5,000,000.00元增加至5,319,149.00元。无锡华软投资管理有限 公司为新增股东，新增股东以现金实际出资15,000,000.00元，认购公司注册资本319,149.00元，占注册资本的6%。变更后 的注册资本为人民币5,319,149.00元，业经天职国际会计师事务所有限公司天职深核字[2009]377号验资报告验证。</w:t>
      </w:r>
    </w:p>
    <w:p>
      <w:pPr>
        <w:spacing w:line="240" w:lineRule="auto" w:before="5"/>
        <w:rPr>
          <w:rFonts w:ascii="宋体" w:hAnsi="宋体" w:cs="宋体" w:eastAsia="宋体" w:hint="default"/>
          <w:sz w:val="13"/>
          <w:szCs w:val="13"/>
        </w:rPr>
      </w:pPr>
    </w:p>
    <w:p>
      <w:pPr>
        <w:pStyle w:val="BodyText"/>
        <w:spacing w:line="309" w:lineRule="auto"/>
        <w:ind w:right="1130" w:firstLine="420"/>
        <w:jc w:val="both"/>
      </w:pPr>
      <w:r>
        <w:rPr>
          <w:spacing w:val="-1"/>
        </w:rPr>
        <w:t>根据2010年3月19日的股东会决议：1、公司名称由</w:t>
      </w:r>
      <w:r>
        <w:rPr>
          <w:rFonts w:ascii="Times New Roman" w:hAnsi="Times New Roman" w:cs="Times New Roman" w:eastAsia="Times New Roman" w:hint="default"/>
          <w:spacing w:val="-1"/>
        </w:rPr>
        <w:t>“</w:t>
      </w:r>
      <w:r>
        <w:rPr>
          <w:spacing w:val="-1"/>
        </w:rPr>
        <w:t>深圳市赢时胜信息技术有限公司</w:t>
      </w:r>
      <w:r>
        <w:rPr>
          <w:rFonts w:ascii="Times New Roman" w:hAnsi="Times New Roman" w:cs="Times New Roman" w:eastAsia="Times New Roman" w:hint="default"/>
          <w:spacing w:val="-1"/>
        </w:rPr>
        <w:t>”</w:t>
      </w:r>
      <w:r>
        <w:rPr>
          <w:spacing w:val="-1"/>
        </w:rPr>
        <w:t>整体变更为</w:t>
      </w:r>
      <w:r>
        <w:rPr>
          <w:rFonts w:ascii="Times New Roman" w:hAnsi="Times New Roman" w:cs="Times New Roman" w:eastAsia="Times New Roman" w:hint="default"/>
          <w:spacing w:val="-1"/>
        </w:rPr>
        <w:t>“</w:t>
      </w:r>
      <w:r>
        <w:rPr>
          <w:spacing w:val="-1"/>
        </w:rPr>
        <w:t>深圳市赢时胜信息技</w:t>
      </w:r>
      <w:r>
        <w:rPr/>
        <w:t> 术股份有限公司</w:t>
      </w:r>
      <w:r>
        <w:rPr>
          <w:rFonts w:ascii="Times New Roman" w:hAnsi="Times New Roman" w:cs="Times New Roman" w:eastAsia="Times New Roman" w:hint="default"/>
        </w:rPr>
        <w:t>”</w:t>
      </w:r>
      <w:r>
        <w:rPr/>
        <w:t>；2、根据天职国际会计师事务所有限公司于2010年3月15日出具的天职深审字[2010]84-1号审计报告，公</w:t>
      </w:r>
      <w:r>
        <w:rPr>
          <w:spacing w:val="-85"/>
        </w:rPr>
        <w:t> </w:t>
      </w:r>
      <w:r>
        <w:rPr>
          <w:spacing w:val="-85"/>
        </w:rPr>
      </w:r>
      <w:r>
        <w:rPr/>
        <w:t>司以截至2009年12月31日的净资产55,407,464.99元为基准，按1：0.5956的比例折为33,000,000.00股，作为公司发起人股</w:t>
      </w:r>
      <w:r>
        <w:rPr/>
        <w:t> 份，其余22,407,464.99元净资产作为公司的资本公积；3、本次变更后公司注册资本为人民币33,000,000.00元，业经天职 国际会计师事务所有限公司天职深核字[2010]266号验资报告验证。</w:t>
      </w:r>
    </w:p>
    <w:p>
      <w:pPr>
        <w:spacing w:line="240" w:lineRule="auto" w:before="10"/>
        <w:rPr>
          <w:rFonts w:ascii="宋体" w:hAnsi="宋体" w:cs="宋体" w:eastAsia="宋体" w:hint="default"/>
          <w:sz w:val="13"/>
          <w:szCs w:val="13"/>
        </w:rPr>
      </w:pPr>
    </w:p>
    <w:p>
      <w:pPr>
        <w:pStyle w:val="BodyText"/>
        <w:spacing w:line="316" w:lineRule="auto"/>
        <w:ind w:right="1129" w:firstLine="420"/>
        <w:jc w:val="both"/>
      </w:pPr>
      <w:r>
        <w:rPr>
          <w:spacing w:val="-1"/>
        </w:rPr>
        <w:t>根据公司2010年5月4日第一届董事会第二次会议决议，2010年5月25日第一次临时股东大会决议和修改后的公司章程的</w:t>
      </w:r>
      <w:r>
        <w:rPr/>
        <w:t> </w:t>
      </w:r>
      <w:r>
        <w:rPr>
          <w:spacing w:val="-2"/>
        </w:rPr>
        <w:t>规定，公司注册资本由33,000,000.00元增加至33,100,000.00元，王安锋为新增股东，新增股东以现金实际出资180,000.00</w:t>
      </w:r>
      <w:r>
        <w:rPr>
          <w:spacing w:val="-43"/>
        </w:rPr>
        <w:t> </w:t>
      </w:r>
      <w:r>
        <w:rPr>
          <w:spacing w:val="-43"/>
        </w:rPr>
      </w:r>
      <w:r>
        <w:rPr/>
        <w:t>元，认购公司注册资本100,000.00元，占注册资本的0.30%，其余80,000.00元作为公司的资本公积。变更后的注册资本为</w:t>
      </w:r>
      <w:r>
        <w:rPr>
          <w:spacing w:val="-19"/>
        </w:rPr>
        <w:t> </w:t>
      </w:r>
      <w:r>
        <w:rPr>
          <w:spacing w:val="-19"/>
        </w:rPr>
      </w:r>
      <w:r>
        <w:rPr/>
        <w:t>33,100,000.00元，业经天职国际会计师事务所有限公司天职深核字[2010]443号验资报告验证。</w:t>
      </w:r>
    </w:p>
    <w:p>
      <w:pPr>
        <w:spacing w:line="240" w:lineRule="auto" w:before="5"/>
        <w:rPr>
          <w:rFonts w:ascii="宋体" w:hAnsi="宋体" w:cs="宋体" w:eastAsia="宋体" w:hint="default"/>
          <w:sz w:val="13"/>
          <w:szCs w:val="13"/>
        </w:rPr>
      </w:pPr>
    </w:p>
    <w:p>
      <w:pPr>
        <w:pStyle w:val="BodyText"/>
        <w:spacing w:line="316" w:lineRule="auto"/>
        <w:ind w:right="1131" w:firstLine="420"/>
        <w:jc w:val="both"/>
      </w:pPr>
      <w:r>
        <w:rPr/>
        <w:t>根据公司2010年第二次临时股东大会决议，公司由资本公积转增注册资本11,900,000.00元，转增基准日期为2010年6 </w:t>
      </w:r>
      <w:r>
        <w:rPr>
          <w:spacing w:val="-2"/>
        </w:rPr>
        <w:t>月30日。变更后的注册资本为人民45,000,000.00元，业经天职国际会计师事务所有限公司天职深核字[2010]499号验资报告</w:t>
      </w:r>
      <w:r>
        <w:rPr>
          <w:spacing w:val="-52"/>
        </w:rPr>
        <w:t> </w:t>
      </w:r>
      <w:r>
        <w:rPr>
          <w:spacing w:val="-52"/>
        </w:rPr>
      </w:r>
      <w:r>
        <w:rPr/>
        <w:t>验证。</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公司股东无锡华软投资管理有限公司于2011年3月31日将其持有的5.9819%股权转让给华软创业投资无锡合伙企业（有 </w:t>
      </w:r>
      <w:r>
        <w:rPr>
          <w:spacing w:val="-4"/>
        </w:rPr>
        <w:t>限合伙），公司于2011年4月1日办理工商变更登记。</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2013年1月17日，根据2013年1月13日股东大会决议，变更公司住所为：深圳市福田区深南路与新洲路交汇处东南侧航 天大厦A座611A。</w:t>
      </w:r>
    </w:p>
    <w:p>
      <w:pPr>
        <w:spacing w:line="240" w:lineRule="auto" w:before="5"/>
        <w:rPr>
          <w:rFonts w:ascii="宋体" w:hAnsi="宋体" w:cs="宋体" w:eastAsia="宋体" w:hint="default"/>
          <w:sz w:val="13"/>
          <w:szCs w:val="13"/>
        </w:rPr>
      </w:pPr>
    </w:p>
    <w:p>
      <w:pPr>
        <w:pStyle w:val="BodyText"/>
        <w:spacing w:line="316" w:lineRule="auto"/>
        <w:ind w:right="1034" w:firstLine="420"/>
        <w:jc w:val="left"/>
      </w:pPr>
      <w:r>
        <w:rPr/>
        <w:t>2014年1月3日，经中国证券监督管理委员会证监许可[2014]28号文的核准，公司首次公开发行1,385.00万股人民币普 </w:t>
      </w:r>
      <w:r>
        <w:rPr>
          <w:spacing w:val="-2"/>
        </w:rPr>
        <w:t>通股股票，本次发行采用公开发行新股及公司股东公开发售股份两种方式，其中，公开发行新股1,035.00万股，鄢建兵在内</w:t>
      </w:r>
      <w:r>
        <w:rPr>
          <w:spacing w:val="-60"/>
        </w:rPr>
        <w:t> </w:t>
      </w:r>
      <w:r>
        <w:rPr>
          <w:spacing w:val="-60"/>
        </w:rPr>
      </w:r>
      <w:r>
        <w:rPr/>
        <w:t>的10位公司股东公开发售股份350万股。发行后公司总股本为5,535.00万股，每股面值1元，注册资本变更为5,535.00万元，</w:t>
      </w:r>
      <w:r>
        <w:rPr/>
        <w:t> </w:t>
      </w:r>
      <w:r>
        <w:rPr>
          <w:spacing w:val="-2"/>
        </w:rPr>
        <w:t>本次增资业经天职国际会计师事务所（特殊普通合伙）天职业字[2014]1637号验资报告验证。公司于2014年3月6日办理了工</w:t>
      </w:r>
      <w:r>
        <w:rPr>
          <w:spacing w:val="-55"/>
        </w:rPr>
        <w:t> </w:t>
      </w:r>
      <w:r>
        <w:rPr>
          <w:spacing w:val="-55"/>
        </w:rPr>
      </w:r>
      <w:r>
        <w:rPr/>
        <w:t>商变更登记。</w:t>
      </w:r>
    </w:p>
    <w:p>
      <w:pPr>
        <w:pStyle w:val="BodyText"/>
        <w:spacing w:line="468" w:lineRule="exact" w:before="10"/>
        <w:ind w:left="532" w:right="1033"/>
        <w:jc w:val="left"/>
      </w:pPr>
      <w:r>
        <w:rPr/>
        <w:t>本次公开发行的1,385万股于2014年1月27日起在深圳证券交易所创业板上市交易。 </w:t>
      </w:r>
      <w:r>
        <w:rPr>
          <w:spacing w:val="-1"/>
        </w:rPr>
        <w:t>根据公司2014年8月24日第二届董事会第八次会议决议，2014年9月23日第一次临时股东大会决议和修改后的公司章程：</w:t>
      </w:r>
    </w:p>
    <w:p>
      <w:pPr>
        <w:pStyle w:val="BodyText"/>
        <w:spacing w:line="316" w:lineRule="auto" w:before="8"/>
        <w:ind w:right="1129"/>
        <w:jc w:val="both"/>
      </w:pPr>
      <w:r>
        <w:rPr>
          <w:spacing w:val="-3"/>
        </w:rPr>
        <w:t>公司以截至2014年6月30日公司股份总数55,350,000股为基数，以资本公积向全体股东每10股转增10股，合计转增55,350,000</w:t>
      </w:r>
      <w:r>
        <w:rPr>
          <w:spacing w:val="-66"/>
        </w:rPr>
        <w:t> </w:t>
      </w:r>
      <w:r>
        <w:rPr>
          <w:spacing w:val="-66"/>
        </w:rPr>
      </w:r>
      <w:r>
        <w:rPr>
          <w:spacing w:val="-5"/>
        </w:rPr>
        <w:t>股。转增后，公司总股本变更为110,700,000股。本次增资业经天职国际会计师事务所（特殊普通合伙）天职业字[2014]12134</w:t>
      </w:r>
      <w:r>
        <w:rPr>
          <w:spacing w:val="-30"/>
        </w:rPr>
        <w:t> </w:t>
      </w:r>
      <w:r>
        <w:rPr>
          <w:spacing w:val="-30"/>
        </w:rPr>
      </w:r>
      <w:r>
        <w:rPr/>
        <w:t>号验资报告验证。</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根据公司第二届董事会第十二次会议及2015年第二次临时股东大会审议通过的非公开发行A股股票议案，并经2016年2 月23日中国证券监督管理委员会《关于核准深圳市赢时胜信息技术股份有限公司非公开发行股票的批复》核准（证监许可</w:t>
      </w:r>
      <w:r>
        <w:rPr>
          <w:spacing w:val="-9"/>
        </w:rPr>
        <w:t> </w:t>
      </w:r>
      <w:r>
        <w:rPr>
          <w:spacing w:val="-9"/>
        </w:rPr>
      </w:r>
      <w:r>
        <w:rPr>
          <w:spacing w:val="-3"/>
        </w:rPr>
        <w:t>[2016]319号），公司于2016年3月18日非公开发行A股股票36,666,666股，每股面值人民币1.00元，每股实际发行价格为人民</w:t>
      </w:r>
      <w:r>
        <w:rPr>
          <w:spacing w:val="-67"/>
        </w:rPr>
        <w:t> </w:t>
      </w:r>
      <w:r>
        <w:rPr>
          <w:spacing w:val="-67"/>
        </w:rPr>
      </w:r>
      <w:r>
        <w:rPr/>
        <w:t>币56.88元，募集资金总额为人民币2,085,599,962.08元，扣除各项发行费用合计人民币57,924,607.09</w:t>
      </w:r>
      <w:r>
        <w:rPr>
          <w:spacing w:val="-7"/>
        </w:rPr>
        <w:t> </w:t>
      </w:r>
      <w:r>
        <w:rPr/>
        <w:t>元后，募集资金净</w:t>
      </w:r>
      <w:r>
        <w:rPr/>
        <w:t> 额</w:t>
      </w:r>
      <w:r>
        <w:rPr>
          <w:spacing w:val="-67"/>
        </w:rPr>
        <w:t> </w:t>
      </w:r>
      <w:r>
        <w:rPr/>
        <w:t>为</w:t>
      </w:r>
      <w:r>
        <w:rPr>
          <w:spacing w:val="-65"/>
        </w:rPr>
        <w:t> </w:t>
      </w:r>
      <w:r>
        <w:rPr/>
        <w:t>人</w:t>
      </w:r>
      <w:r>
        <w:rPr>
          <w:spacing w:val="-67"/>
        </w:rPr>
        <w:t> </w:t>
      </w:r>
      <w:r>
        <w:rPr/>
        <w:t>民</w:t>
      </w:r>
      <w:r>
        <w:rPr>
          <w:spacing w:val="-65"/>
        </w:rPr>
        <w:t> </w:t>
      </w:r>
      <w:r>
        <w:rPr/>
        <w:t>币</w:t>
      </w:r>
      <w:r>
        <w:rPr>
          <w:spacing w:val="-65"/>
        </w:rPr>
        <w:t> </w:t>
      </w:r>
      <w:r>
        <w:rPr/>
        <w:t>2,027,675,354.99</w:t>
      </w:r>
      <w:r>
        <w:rPr>
          <w:spacing w:val="-69"/>
        </w:rPr>
        <w:t> </w:t>
      </w:r>
      <w:r>
        <w:rPr/>
        <w:t>元</w:t>
      </w:r>
      <w:r>
        <w:rPr>
          <w:spacing w:val="-67"/>
        </w:rPr>
        <w:t> </w:t>
      </w:r>
      <w:r>
        <w:rPr/>
        <w:t>，</w:t>
      </w:r>
      <w:r>
        <w:rPr>
          <w:spacing w:val="-65"/>
        </w:rPr>
        <w:t> </w:t>
      </w:r>
      <w:r>
        <w:rPr/>
        <w:t>其</w:t>
      </w:r>
      <w:r>
        <w:rPr>
          <w:spacing w:val="-67"/>
        </w:rPr>
        <w:t> </w:t>
      </w:r>
      <w:r>
        <w:rPr/>
        <w:t>中</w:t>
      </w:r>
      <w:r>
        <w:rPr>
          <w:spacing w:val="-65"/>
        </w:rPr>
        <w:t> </w:t>
      </w:r>
      <w:r>
        <w:rPr/>
        <w:t>股</w:t>
      </w:r>
      <w:r>
        <w:rPr>
          <w:spacing w:val="-67"/>
        </w:rPr>
        <w:t> </w:t>
      </w:r>
      <w:r>
        <w:rPr/>
        <w:t>本</w:t>
      </w:r>
      <w:r>
        <w:rPr>
          <w:spacing w:val="-65"/>
        </w:rPr>
        <w:t> </w:t>
      </w:r>
      <w:r>
        <w:rPr/>
        <w:t>36,666,666.00</w:t>
      </w:r>
      <w:r>
        <w:rPr>
          <w:spacing w:val="-66"/>
        </w:rPr>
        <w:t> </w:t>
      </w:r>
      <w:r>
        <w:rPr/>
        <w:t>元</w:t>
      </w:r>
      <w:r>
        <w:rPr>
          <w:spacing w:val="-67"/>
        </w:rPr>
        <w:t> </w:t>
      </w:r>
      <w:r>
        <w:rPr/>
        <w:t>，</w:t>
      </w:r>
      <w:r>
        <w:rPr>
          <w:spacing w:val="-65"/>
        </w:rPr>
        <w:t> </w:t>
      </w:r>
      <w:r>
        <w:rPr/>
        <w:t>资</w:t>
      </w:r>
      <w:r>
        <w:rPr>
          <w:spacing w:val="-67"/>
        </w:rPr>
        <w:t> </w:t>
      </w:r>
      <w:r>
        <w:rPr/>
        <w:t>本</w:t>
      </w:r>
      <w:r>
        <w:rPr>
          <w:spacing w:val="-65"/>
        </w:rPr>
        <w:t> </w:t>
      </w:r>
      <w:r>
        <w:rPr/>
        <w:t>公</w:t>
      </w:r>
      <w:r>
        <w:rPr>
          <w:spacing w:val="-67"/>
        </w:rPr>
        <w:t> </w:t>
      </w:r>
      <w:r>
        <w:rPr/>
        <w:t>积</w:t>
      </w:r>
      <w:r>
        <w:rPr>
          <w:spacing w:val="-67"/>
        </w:rPr>
        <w:t> </w:t>
      </w:r>
      <w:r>
        <w:rPr/>
        <w:t>1,991,008,688.99</w:t>
      </w:r>
      <w:r>
        <w:rPr>
          <w:spacing w:val="-66"/>
        </w:rPr>
        <w:t> </w:t>
      </w:r>
      <w:r>
        <w:rPr/>
        <w:t>元</w:t>
      </w:r>
      <w:r>
        <w:rPr>
          <w:spacing w:val="-67"/>
        </w:rPr>
        <w:t> </w:t>
      </w:r>
      <w:r>
        <w:rPr/>
        <w:t>。</w:t>
      </w:r>
      <w:r>
        <w:rPr>
          <w:spacing w:val="-65"/>
        </w:rPr>
        <w:t> </w:t>
      </w:r>
      <w:r>
        <w:rPr/>
        <w:t>变</w:t>
      </w:r>
      <w:r>
        <w:rPr>
          <w:spacing w:val="-67"/>
        </w:rPr>
        <w:t> </w:t>
      </w:r>
      <w:r>
        <w:rPr/>
        <w:t>更</w:t>
      </w:r>
      <w:r>
        <w:rPr>
          <w:spacing w:val="-65"/>
        </w:rPr>
        <w:t> </w:t>
      </w:r>
      <w:r>
        <w:rPr/>
        <w:t>后</w:t>
      </w:r>
      <w:r>
        <w:rPr>
          <w:spacing w:val="-67"/>
        </w:rPr>
        <w:t> </w:t>
      </w:r>
      <w:r>
        <w:rPr/>
        <w:t>的</w:t>
      </w:r>
      <w:r>
        <w:rPr>
          <w:spacing w:val="-65"/>
        </w:rPr>
        <w:t> </w:t>
      </w:r>
      <w:r>
        <w:rPr/>
        <w:t>注</w:t>
      </w:r>
      <w:r>
        <w:rPr>
          <w:spacing w:val="-67"/>
        </w:rPr>
        <w:t> </w:t>
      </w:r>
      <w:r>
        <w:rPr/>
        <w:t>册</w:t>
      </w:r>
      <w:r>
        <w:rPr>
          <w:spacing w:val="-65"/>
        </w:rPr>
        <w:t> </w:t>
      </w:r>
      <w:r>
        <w:rPr/>
        <w:t>资</w:t>
      </w:r>
      <w:r>
        <w:rPr>
          <w:spacing w:val="-67"/>
        </w:rPr>
        <w:t> </w:t>
      </w:r>
      <w:r>
        <w:rPr/>
        <w:t>本</w:t>
      </w:r>
      <w:r>
        <w:rPr/>
        <w:t> 147,366,666.00元。本次增资业经天职国际会计师事务所（特殊普通合伙）天职业字[2016]8484号验资报告验证。</w:t>
      </w:r>
    </w:p>
    <w:p>
      <w:pPr>
        <w:spacing w:line="240" w:lineRule="auto" w:before="5"/>
        <w:rPr>
          <w:rFonts w:ascii="宋体" w:hAnsi="宋体" w:cs="宋体" w:eastAsia="宋体" w:hint="default"/>
          <w:sz w:val="13"/>
          <w:szCs w:val="13"/>
        </w:rPr>
      </w:pPr>
    </w:p>
    <w:p>
      <w:pPr>
        <w:pStyle w:val="BodyText"/>
        <w:spacing w:line="316" w:lineRule="auto"/>
        <w:ind w:right="1129" w:firstLine="420"/>
        <w:jc w:val="both"/>
      </w:pPr>
      <w:r>
        <w:rPr/>
        <w:t>根据公司2016年4月22日第二届董事会第八次会议决议，2016年5月18日2015年度股东大会决议和修改后的公司章程规 </w:t>
      </w:r>
      <w:r>
        <w:rPr>
          <w:spacing w:val="-2"/>
        </w:rPr>
        <w:t>定公司：公司以股本147,366,666股为基数，以资本公积向全体股东每10股转增10股，合计转增147,366,666股。转增后，公</w:t>
      </w:r>
      <w:r>
        <w:rPr>
          <w:spacing w:val="-49"/>
        </w:rPr>
        <w:t> </w:t>
      </w:r>
      <w:r>
        <w:rPr>
          <w:spacing w:val="-49"/>
        </w:rPr>
      </w:r>
      <w:r>
        <w:rPr/>
        <w:t>司总股本变更为294,733,332股。</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公司分别于2016年7月1日召开了第三届董事会第四次会议、2016年7月18日召开了2016年第二次临时股东大会，审议通</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952"/>
        <w:jc w:val="left"/>
      </w:pPr>
      <w:r>
        <w:rPr>
          <w:spacing w:val="-5"/>
        </w:rPr>
        <w:t>过了《深圳市赢时胜信息技术股份有限公司限制性股票激励计划（草案）及其摘要》、《深圳市赢时胜信息技术股份有限公司</w:t>
      </w:r>
      <w:r>
        <w:rPr>
          <w:spacing w:val="-77"/>
        </w:rPr>
        <w:t> </w:t>
      </w:r>
      <w:r>
        <w:rPr>
          <w:spacing w:val="-77"/>
        </w:rPr>
      </w:r>
      <w:r>
        <w:rPr>
          <w:spacing w:val="-4"/>
        </w:rPr>
        <w:t>限制性股票激励计划实施考核管理办法》、《关于提请股东大会授权董事会办理公司限制性股票激励计划相关事宜》的议案；</w:t>
      </w:r>
      <w:r>
        <w:rPr>
          <w:spacing w:val="-51"/>
        </w:rPr>
        <w:t> </w:t>
      </w:r>
      <w:r>
        <w:rPr>
          <w:spacing w:val="-51"/>
        </w:rPr>
      </w:r>
      <w:r>
        <w:rPr>
          <w:spacing w:val="-3"/>
        </w:rPr>
        <w:t>于2016年7月21日召开了第三届董事会第五次会议，审议通过了《关于向激励对象授予限制性股票的议案》。根据《深圳市赢</w:t>
      </w:r>
      <w:r>
        <w:rPr/>
        <w:t> </w:t>
      </w:r>
      <w:r>
        <w:rPr>
          <w:spacing w:val="-6"/>
        </w:rPr>
        <w:t>时胜信息技术股份有限公司限制性股票激励计划（草案）》，本次激励计划涉及的激励对象共计</w:t>
      </w:r>
      <w:r>
        <w:rPr/>
        <w:t> </w:t>
      </w:r>
      <w:r>
        <w:rPr>
          <w:spacing w:val="-2"/>
        </w:rPr>
        <w:t>105人，计划授予限制性股票</w:t>
      </w:r>
      <w:r>
        <w:rPr>
          <w:spacing w:val="-74"/>
        </w:rPr>
        <w:t> </w:t>
      </w:r>
      <w:r>
        <w:rPr>
          <w:spacing w:val="-74"/>
        </w:rPr>
      </w:r>
      <w:r>
        <w:rPr/>
        <w:t>的数量为230万股，约占本次激励计划签署时公司股本总额29,473.33万股的0.78%。截至2016年7月21日，公司最终向104名</w:t>
      </w:r>
      <w:r>
        <w:rPr/>
        <w:t> </w:t>
      </w:r>
      <w:r>
        <w:rPr>
          <w:spacing w:val="2"/>
        </w:rPr>
        <w:t>激励对象人数授予限制性股票数量228万股，授予激励对象限制性股票的价格为24.17元/股，限制性股票的总额为人民币</w:t>
      </w:r>
      <w:r>
        <w:rPr>
          <w:spacing w:val="-51"/>
        </w:rPr>
        <w:t> </w:t>
      </w:r>
      <w:r>
        <w:rPr>
          <w:spacing w:val="-51"/>
        </w:rPr>
      </w:r>
      <w:r>
        <w:rPr>
          <w:spacing w:val="8"/>
        </w:rPr>
        <w:t>55,107,600.00元，申请增加注册资本与股本2,280,000.00元，其余资金计入资本公积。变更后的注册资本为人民币</w:t>
      </w:r>
    </w:p>
    <w:p>
      <w:pPr>
        <w:pStyle w:val="BodyText"/>
        <w:spacing w:line="240" w:lineRule="auto" w:before="19"/>
        <w:ind w:right="952"/>
        <w:jc w:val="left"/>
      </w:pPr>
      <w:r>
        <w:rPr/>
        <w:t>297,013,332.00元。本次增资业经天职国际会计师事务所（特殊普通合伙）天职业字[2016]13726号验资报告验证。</w:t>
      </w:r>
    </w:p>
    <w:p>
      <w:pPr>
        <w:spacing w:line="240" w:lineRule="auto" w:before="10"/>
        <w:rPr>
          <w:rFonts w:ascii="宋体" w:hAnsi="宋体" w:cs="宋体" w:eastAsia="宋体" w:hint="default"/>
          <w:sz w:val="17"/>
          <w:szCs w:val="17"/>
        </w:rPr>
      </w:pPr>
    </w:p>
    <w:p>
      <w:pPr>
        <w:pStyle w:val="BodyText"/>
        <w:spacing w:line="316" w:lineRule="auto"/>
        <w:ind w:right="1034" w:firstLine="420"/>
        <w:jc w:val="left"/>
      </w:pPr>
      <w:r>
        <w:rPr/>
        <w:t>根据公司2017年4月24日第三届董事会第十二次会议决议，2017年5月19日2016年度股东大会决议和修改后的公司章程 规定公司：公司以股本297,013,332股为基数，以资本公积向全体股东每10股转增15股，合计转增445,519,998股。转增后， 公司总股本变更为742,533,330股。</w:t>
      </w:r>
    </w:p>
    <w:p>
      <w:pPr>
        <w:spacing w:line="240" w:lineRule="auto" w:before="5"/>
        <w:rPr>
          <w:rFonts w:ascii="宋体" w:hAnsi="宋体" w:cs="宋体" w:eastAsia="宋体" w:hint="default"/>
          <w:sz w:val="13"/>
          <w:szCs w:val="13"/>
        </w:rPr>
      </w:pPr>
    </w:p>
    <w:p>
      <w:pPr>
        <w:pStyle w:val="BodyText"/>
        <w:spacing w:line="316" w:lineRule="auto"/>
        <w:ind w:right="1081" w:firstLine="420"/>
        <w:jc w:val="both"/>
      </w:pPr>
      <w:r>
        <w:rPr/>
        <w:t>2017年8月14日，经第三届董事会第十四次会议审议通过，公司2016年限制性股票原授予的激励对象彭洪斌、逯进军、 </w:t>
      </w:r>
      <w:r>
        <w:rPr>
          <w:spacing w:val="-2"/>
        </w:rPr>
        <w:t>张少帅、刘宇共计4人因个人原因申请离职，已不具备股权激励对象的条件，对其持有的已获授权但尚未解锁的150,000股限</w:t>
      </w:r>
      <w:r>
        <w:rPr>
          <w:spacing w:val="-58"/>
        </w:rPr>
        <w:t> </w:t>
      </w:r>
      <w:r>
        <w:rPr>
          <w:spacing w:val="-58"/>
        </w:rPr>
      </w:r>
      <w:r>
        <w:rPr/>
        <w:t>制性股票进行回购注销，公司总股本由742,533,330股变更为742,383,330股。</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spacing w:val="-3"/>
        </w:rPr>
        <w:t>2018年5月28日，根据2018年5月18日股东大会决议，变更公司住所为：深圳市福田区华富街道莲花一村社区皇岗路5001</w:t>
      </w:r>
      <w:r>
        <w:rPr/>
        <w:t> 号深业上城(南区)T2栋3701。</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2018年8月14日，经第三届董事会第十八次会议审议通过，公司2016年限制性股票原授予的激励对象冷林勇、李杨、李</w:t>
      </w:r>
      <w:r>
        <w:rPr/>
        <w:t> </w:t>
      </w:r>
      <w:r>
        <w:rPr>
          <w:spacing w:val="-2"/>
        </w:rPr>
        <w:t>申、李莘共计4人因个人原因申请离职，已不具备股权激励对象的条件，现对其持有的已获授权但尚未解锁的168,750股限制</w:t>
      </w:r>
      <w:r>
        <w:rPr>
          <w:spacing w:val="-59"/>
        </w:rPr>
        <w:t> </w:t>
      </w:r>
      <w:r>
        <w:rPr>
          <w:spacing w:val="-59"/>
        </w:rPr>
      </w:r>
      <w:r>
        <w:rPr/>
        <w:t>性股票进行回购注销，公司总股本由742,383,330股变更为742,214,580股。</w:t>
      </w:r>
    </w:p>
    <w:p>
      <w:pPr>
        <w:pStyle w:val="BodyText"/>
        <w:spacing w:line="468" w:lineRule="exact" w:before="10"/>
        <w:ind w:left="532" w:right="952"/>
        <w:jc w:val="left"/>
      </w:pPr>
      <w:r>
        <w:rPr/>
        <w:t>2.公司注册地、组织形式和总部地址。 公司为股份制公司，注册地址为深圳市福田区华富街道莲花一村社区皇岗路5001号深业上城(南区)T2栋3701。现总部</w:t>
      </w:r>
    </w:p>
    <w:p>
      <w:pPr>
        <w:pStyle w:val="BodyText"/>
        <w:spacing w:line="477" w:lineRule="auto" w:before="8"/>
        <w:ind w:left="532" w:right="4094" w:hanging="420"/>
        <w:jc w:val="left"/>
      </w:pPr>
      <w:r>
        <w:rPr/>
        <w:t>地址为深圳市福田区华富街道莲花一村社区皇岗路5001号深业上城(南区)T2栋3701。 3.公司的业务性质和主要经营活动。</w:t>
      </w:r>
    </w:p>
    <w:p>
      <w:pPr>
        <w:pStyle w:val="BodyText"/>
        <w:spacing w:line="316" w:lineRule="auto" w:before="54"/>
        <w:ind w:right="952" w:firstLine="420"/>
        <w:jc w:val="left"/>
      </w:pPr>
      <w:r>
        <w:rPr>
          <w:spacing w:val="-3"/>
        </w:rPr>
        <w:t>公司经营范围：计算机软件的技术开发、咨询（不含限制项目）、销售及售后服务（法律、行政法规、国务院决定禁止</w:t>
      </w:r>
      <w:r>
        <w:rPr/>
        <w:t> </w:t>
      </w:r>
      <w:r>
        <w:rPr>
          <w:spacing w:val="-4"/>
        </w:rPr>
        <w:t>的项目除外，限制的项目须取得许可后方可经营）；计算机系统集成的技术开发；计算机硬件及外部设备的开发及销售;软件</w:t>
      </w:r>
      <w:r>
        <w:rPr>
          <w:spacing w:val="-41"/>
        </w:rPr>
        <w:t> </w:t>
      </w:r>
      <w:r>
        <w:rPr>
          <w:spacing w:val="-41"/>
        </w:rPr>
      </w:r>
      <w:r>
        <w:rPr>
          <w:spacing w:val="-4"/>
        </w:rPr>
        <w:t>业务外包及相关服务；受金融机构委托从事金融业务流程外包、金融信息技术外包、金融知识流程外包、金融信息数据服务；</w:t>
      </w:r>
      <w:r>
        <w:rPr>
          <w:spacing w:val="-43"/>
        </w:rPr>
        <w:t> </w:t>
      </w:r>
      <w:r>
        <w:rPr>
          <w:spacing w:val="-43"/>
        </w:rPr>
      </w:r>
      <w:r>
        <w:rPr/>
        <w:t>金融信息咨询；房屋租赁。</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公司的主营业务是为金融机构的资产管理和资产托管业务系统提供系统解决方案和服务。同时，公司在聚集主业的基 </w:t>
      </w:r>
      <w:r>
        <w:rPr>
          <w:spacing w:val="-2"/>
        </w:rPr>
        <w:t>础上，利用公司的行业经验、技术优势和人才优势，积极布局科技金融和普惠金融，充分发挥金融科技和科技金融的协同效</w:t>
      </w:r>
      <w:r>
        <w:rPr>
          <w:spacing w:val="-64"/>
        </w:rPr>
        <w:t> </w:t>
      </w:r>
      <w:r>
        <w:rPr>
          <w:spacing w:val="-64"/>
        </w:rPr>
      </w:r>
      <w:r>
        <w:rPr/>
        <w:t>应。</w:t>
      </w:r>
    </w:p>
    <w:p>
      <w:pPr>
        <w:pStyle w:val="BodyText"/>
        <w:spacing w:line="468" w:lineRule="exact" w:before="10"/>
        <w:ind w:right="4184" w:firstLine="420"/>
        <w:jc w:val="left"/>
      </w:pPr>
      <w:r>
        <w:rPr/>
        <w:t>4.财务报告的批准报出机构和财务报告批准报出日。 本财务报告业经本公司2019年4月23日第三届董事会第二十三次会议会议批准报出。</w:t>
      </w:r>
    </w:p>
    <w:p>
      <w:pPr>
        <w:pStyle w:val="BodyText"/>
        <w:spacing w:line="240" w:lineRule="auto" w:before="8"/>
        <w:ind w:left="532" w:right="952"/>
        <w:jc w:val="left"/>
      </w:pPr>
      <w:r>
        <w:rPr/>
        <w:t>5.本期的合并财务报表范围及其变化情况。</w:t>
      </w:r>
    </w:p>
    <w:p>
      <w:pPr>
        <w:spacing w:line="240" w:lineRule="auto" w:before="10"/>
        <w:rPr>
          <w:rFonts w:ascii="宋体" w:hAnsi="宋体" w:cs="宋体" w:eastAsia="宋体" w:hint="default"/>
          <w:sz w:val="17"/>
          <w:szCs w:val="17"/>
        </w:rPr>
      </w:pPr>
    </w:p>
    <w:p>
      <w:pPr>
        <w:pStyle w:val="BodyText"/>
        <w:spacing w:line="316" w:lineRule="auto"/>
        <w:ind w:right="952" w:firstLine="420"/>
        <w:jc w:val="left"/>
      </w:pPr>
      <w:r>
        <w:rPr/>
        <w:t>本公司合并财务报表的合并范围以控制为基础确定，包括本公司及全部子公司的财务报表。子公司，是指被本公司控 制的企业或主体。</w:t>
      </w:r>
    </w:p>
    <w:p>
      <w:pPr>
        <w:spacing w:line="240" w:lineRule="auto" w:before="5"/>
        <w:rPr>
          <w:rFonts w:ascii="宋体" w:hAnsi="宋体" w:cs="宋体" w:eastAsia="宋体" w:hint="default"/>
          <w:sz w:val="13"/>
          <w:szCs w:val="13"/>
        </w:rPr>
      </w:pPr>
    </w:p>
    <w:p>
      <w:pPr>
        <w:pStyle w:val="BodyText"/>
        <w:spacing w:line="300" w:lineRule="auto"/>
        <w:ind w:right="1124"/>
        <w:jc w:val="left"/>
      </w:pPr>
      <w:r>
        <w:rPr/>
        <w:t>本公司2018</w:t>
      </w:r>
      <w:r>
        <w:rPr>
          <w:spacing w:val="10"/>
        </w:rPr>
        <w:t> </w:t>
      </w:r>
      <w:r>
        <w:rPr/>
        <w:t>年度纳入合并范围的下属公司共6户，本报告期合并财务报表范围及其变化情况详见本附注</w:t>
      </w:r>
      <w:r>
        <w:rPr>
          <w:rFonts w:ascii="Times New Roman" w:hAnsi="Times New Roman" w:cs="Times New Roman" w:eastAsia="Times New Roman" w:hint="default"/>
        </w:rPr>
        <w:t>“</w:t>
      </w:r>
      <w:r>
        <w:rPr/>
        <w:t>八、合并范围的变</w:t>
      </w:r>
      <w:r>
        <w:rPr>
          <w:spacing w:val="-88"/>
        </w:rPr>
        <w:t> </w:t>
      </w:r>
      <w:r>
        <w:rPr>
          <w:spacing w:val="-88"/>
        </w:rPr>
      </w:r>
      <w:r>
        <w:rPr/>
        <w:t>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300" w:lineRule="auto"/>
        <w:jc w:val="left"/>
        <w:sectPr>
          <w:pgSz w:w="11910" w:h="16840"/>
          <w:pgMar w:header="919" w:footer="1009"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52"/>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52" w:firstLine="405"/>
        <w:jc w:val="left"/>
      </w:pPr>
      <w:r>
        <w:rPr/>
        <w:t>本财务报表以公司持续经营假设为基础，根据实际发生的交易事项，按照企业会计准则的有关规定，并基于以下所述 重要会计政策、会计估计进行编制。</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952"/>
        <w:jc w:val="left"/>
      </w:pPr>
      <w:r>
        <w:rPr/>
        <w:t>本公司自本报告期末至少12个月内具备持续经营能力，无影响持续经营能力的重大事项。</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60" w:lineRule="auto" w:before="29"/>
        <w:ind w:right="8094"/>
        <w:jc w:val="left"/>
      </w:pPr>
      <w:r>
        <w:rPr/>
        <w:t>具体会计政策和会计估计提示：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2" w:firstLine="420"/>
        <w:jc w:val="left"/>
      </w:pPr>
      <w:r>
        <w:rPr/>
        <w:t>本公司基于上述编制基础编制的财务报表符合财政部已颁布的最新企业会计准则及其应用指南、解释以及其他相关规 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pStyle w:val="BodyText"/>
        <w:spacing w:line="240" w:lineRule="auto" w:before="155"/>
        <w:ind w:left="532" w:right="952"/>
        <w:jc w:val="left"/>
      </w:pPr>
      <w:r>
        <w:rPr/>
        <w:t>此外，本财务报告编制参照了证监会发布的《公开发行证券的公司信息披露编报规则第15号</w:t>
      </w:r>
      <w:r>
        <w:rPr>
          <w:rFonts w:ascii="Times New Roman" w:hAnsi="Times New Roman" w:cs="Times New Roman" w:eastAsia="Times New Roman" w:hint="default"/>
        </w:rPr>
        <w:t>——</w:t>
      </w:r>
      <w:r>
        <w:rPr/>
        <w:t>财务报告的一般规定》</w:t>
      </w:r>
    </w:p>
    <w:p>
      <w:pPr>
        <w:pStyle w:val="BodyText"/>
        <w:spacing w:line="240" w:lineRule="auto" w:before="63"/>
        <w:ind w:right="952"/>
        <w:jc w:val="left"/>
      </w:pPr>
      <w:r>
        <w:rPr/>
        <w:t>（</w:t>
      </w:r>
      <w:r>
        <w:rPr>
          <w:spacing w:val="1"/>
        </w:rPr>
        <w:t>2</w:t>
      </w:r>
      <w:r>
        <w:rPr>
          <w:spacing w:val="-2"/>
        </w:rPr>
        <w:t>0</w:t>
      </w:r>
      <w:r>
        <w:rPr>
          <w:spacing w:val="1"/>
        </w:rPr>
        <w:t>1</w:t>
      </w:r>
      <w:r>
        <w:rPr>
          <w:spacing w:val="-2"/>
        </w:rPr>
        <w:t>4</w:t>
      </w:r>
      <w:r>
        <w:rPr/>
        <w:t>年修订）以及《关于上市公司执行新企业会计准则有关事项的通知</w:t>
      </w:r>
      <w:r>
        <w:rPr>
          <w:spacing w:val="-89"/>
        </w:rPr>
        <w:t>》</w:t>
      </w:r>
      <w:r>
        <w:rPr/>
        <w:t>（会计部函〔</w:t>
      </w:r>
      <w:r>
        <w:rPr>
          <w:spacing w:val="1"/>
        </w:rPr>
        <w:t>2</w:t>
      </w:r>
      <w:r>
        <w:rPr>
          <w:spacing w:val="-2"/>
        </w:rPr>
        <w:t>0</w:t>
      </w:r>
      <w:r>
        <w:rPr>
          <w:spacing w:val="1"/>
        </w:rPr>
        <w:t>1</w:t>
      </w:r>
      <w:r>
        <w:rPr>
          <w:spacing w:val="-2"/>
        </w:rPr>
        <w:t>8</w:t>
      </w:r>
      <w:r>
        <w:rPr/>
        <w:t>〕</w:t>
      </w:r>
      <w:r>
        <w:rPr>
          <w:spacing w:val="1"/>
        </w:rPr>
        <w:t>4</w:t>
      </w:r>
      <w:r>
        <w:rPr>
          <w:spacing w:val="-2"/>
        </w:rPr>
        <w:t>53</w:t>
      </w:r>
      <w:r>
        <w:rPr/>
        <w:t>号）的列报和披露要求。</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29" w:right="952"/>
        <w:jc w:val="left"/>
      </w:pPr>
      <w:r>
        <w:rPr/>
        <w:t>本公司的会计年度从公历1月1日至12月31日止。</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52"/>
        <w:jc w:val="left"/>
      </w:pPr>
      <w:r>
        <w:rPr/>
        <w:t>本公司的会计年度从公历1月1日至12月31日止。</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52"/>
        <w:jc w:val="left"/>
      </w:pPr>
      <w:r>
        <w:rPr/>
        <w:t>本公司采用人民币作为记账本位币。</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70" w:lineRule="atLeast" w:before="112"/>
        <w:ind w:left="532" w:right="952"/>
        <w:jc w:val="left"/>
      </w:pPr>
      <w:r>
        <w:rPr/>
        <w:t>1. 同一控制下企业合并的会计处理方法 本公司在一次交易取得或通过多次交易分步实现同一控制下企业合并，企业合并中取得的资产和负债，按照合并日被</w:t>
      </w:r>
    </w:p>
    <w:p>
      <w:pPr>
        <w:pStyle w:val="BodyText"/>
        <w:spacing w:line="316" w:lineRule="auto" w:before="76"/>
        <w:ind w:right="952"/>
        <w:jc w:val="left"/>
      </w:pPr>
      <w:r>
        <w:rPr>
          <w:spacing w:val="-2"/>
        </w:rPr>
        <w:t>合并方在最终控制方合并财务报表中的的账面价值计量。本公司取得的净资产账面价值与支付的合并对价账面价值（或发行</w:t>
      </w:r>
      <w:r>
        <w:rPr>
          <w:spacing w:val="-64"/>
        </w:rPr>
        <w:t> </w:t>
      </w:r>
      <w:r>
        <w:rPr>
          <w:spacing w:val="-64"/>
        </w:rPr>
      </w:r>
      <w:r>
        <w:rPr/>
        <w:t>股份面值总额）的差额，调整资本公积；资本公积不足冲减的，调整留存收益。</w:t>
      </w:r>
    </w:p>
    <w:p>
      <w:pPr>
        <w:spacing w:after="0" w:line="316"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532" w:right="952"/>
        <w:jc w:val="left"/>
      </w:pPr>
      <w:r>
        <w:rPr/>
        <w:t>2.</w:t>
      </w:r>
      <w:r>
        <w:rPr>
          <w:spacing w:val="1"/>
        </w:rPr>
        <w:t> </w:t>
      </w:r>
      <w:r>
        <w:rPr/>
        <w:t>非同一控制下企业合并的会计处理方法</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本公司在购买日对合并成本大于合并中取得的被购买方可辨认净资产公允价值份额的差额，确认为商誉；如果合并成 </w:t>
      </w: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通过多次交易分步实现非同一控制下企业合并，应按以下顺序处理：</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（1）调整长期股权投资初始投资成本。购买日之前持有股权采用权益法核算的，按照该股权在购买日的公允价值进行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3"/>
        </w:rPr>
        <w:t> </w:t>
      </w:r>
      <w:r>
        <w:rPr>
          <w:spacing w:val="-63"/>
        </w:rPr>
      </w:r>
      <w:r>
        <w:rPr/>
        <w:t>生的其他综合收益除外。</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2"/>
        </w:rPr>
        <w:t>（2）确认商誉（或计入当期损益的金额）。将第一步调整后长期股权投资初始投资成本与购买日应享有子公司可辨认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通过多次交易分步处置股权至丧失对子公司控制权的情形</w:t>
      </w:r>
    </w:p>
    <w:p>
      <w:pPr>
        <w:pStyle w:val="BodyText"/>
        <w:spacing w:line="450" w:lineRule="atLeast" w:before="31"/>
        <w:ind w:left="532" w:right="952"/>
        <w:jc w:val="left"/>
      </w:pPr>
      <w:r>
        <w:rPr/>
        <w:t>（1）判断分步处置股权至丧失对子公司控制权过程中的各项交易是否属于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处置对子公司股权投资的各项交易的条款、条件以及经济影响符合以下一种或多种情况，通常表明应将多次交易事项</w:t>
      </w:r>
    </w:p>
    <w:p>
      <w:pPr>
        <w:pStyle w:val="BodyText"/>
        <w:spacing w:line="477" w:lineRule="auto" w:before="76"/>
        <w:ind w:left="638" w:right="5458" w:hanging="526"/>
        <w:jc w:val="left"/>
      </w:pPr>
      <w:r>
        <w:rPr/>
        <w:t>作为一揽子交易进行会计处理： 1）这些交易是同时或者在考虑了彼此影响的情况下订立的；</w:t>
      </w:r>
    </w:p>
    <w:p>
      <w:pPr>
        <w:pStyle w:val="BodyText"/>
        <w:spacing w:line="240" w:lineRule="auto" w:before="54"/>
        <w:ind w:left="638" w:right="952"/>
        <w:jc w:val="left"/>
      </w:pPr>
      <w:r>
        <w:rPr/>
        <w:t>2）这些交易整体才能达成一项完整的商业结果；</w:t>
      </w:r>
    </w:p>
    <w:p>
      <w:pPr>
        <w:spacing w:line="240" w:lineRule="auto" w:before="10"/>
        <w:rPr>
          <w:rFonts w:ascii="宋体" w:hAnsi="宋体" w:cs="宋体" w:eastAsia="宋体" w:hint="default"/>
          <w:sz w:val="17"/>
          <w:szCs w:val="17"/>
        </w:rPr>
      </w:pPr>
    </w:p>
    <w:p>
      <w:pPr>
        <w:pStyle w:val="BodyText"/>
        <w:spacing w:line="240" w:lineRule="auto"/>
        <w:ind w:left="638" w:right="952"/>
        <w:jc w:val="left"/>
      </w:pPr>
      <w:r>
        <w:rPr/>
        <w:t>3）一项交易的发生取决于其他至少一项交易的发生；</w:t>
      </w:r>
    </w:p>
    <w:p>
      <w:pPr>
        <w:spacing w:line="240" w:lineRule="auto" w:before="10"/>
        <w:rPr>
          <w:rFonts w:ascii="宋体" w:hAnsi="宋体" w:cs="宋体" w:eastAsia="宋体" w:hint="default"/>
          <w:sz w:val="17"/>
          <w:szCs w:val="17"/>
        </w:rPr>
      </w:pPr>
    </w:p>
    <w:p>
      <w:pPr>
        <w:pStyle w:val="BodyText"/>
        <w:spacing w:line="240" w:lineRule="auto"/>
        <w:ind w:left="638" w:right="952"/>
        <w:jc w:val="left"/>
      </w:pPr>
      <w:r>
        <w:rPr/>
        <w:t>4）一项交易单独看是不经济的，但是和其他交易一并考虑时是经济的。</w:t>
      </w:r>
    </w:p>
    <w:p>
      <w:pPr>
        <w:pStyle w:val="BodyText"/>
        <w:spacing w:line="450" w:lineRule="atLeast" w:before="31"/>
        <w:ind w:left="532" w:right="952"/>
        <w:jc w:val="left"/>
      </w:pPr>
      <w:r>
        <w:rPr/>
        <w:t>（2）分步处置股权至丧失对子公司控制权过程中的各项交易属于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处置对子公司股权投资直至丧失控制权的各项交易属于一揽子交易的，应当将各项交易作为一项处置子公司并丧失控</w:t>
      </w:r>
    </w:p>
    <w:p>
      <w:pPr>
        <w:pStyle w:val="BodyText"/>
        <w:spacing w:line="316" w:lineRule="auto" w:before="76"/>
        <w:ind w:right="952"/>
        <w:jc w:val="left"/>
      </w:pPr>
      <w:r>
        <w:rPr>
          <w:spacing w:val="-2"/>
        </w:rPr>
        <w:t>制权的交易进行会计处理；但是，在丧失控制权之前每一次处置价款与处置投资对应的享有该子公司净资产份额的差额，在</w:t>
      </w:r>
      <w:r>
        <w:rPr>
          <w:spacing w:val="-64"/>
        </w:rPr>
        <w:t> </w:t>
      </w:r>
      <w:r>
        <w:rPr>
          <w:spacing w:val="-64"/>
        </w:rPr>
      </w:r>
      <w:r>
        <w:rPr/>
        <w:t>合并财务报表中应当确认为其他综合收益，在丧失控制权时一并转入丧失控制权当期的损益。</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在合并财务报表中，对于剩余股权，应当按照其在丧失控制权日的公允价值进行重新计量。处置股权取得的对价与剩 </w:t>
      </w:r>
      <w:r>
        <w:rPr>
          <w:spacing w:val="-2"/>
        </w:rPr>
        <w:t>余股权公允价值之和，减去按原持股比例计算应享有原子公司自购买日开始持续计算的净资产的份额之间的差额，计入丧失</w:t>
      </w:r>
      <w:r>
        <w:rPr>
          <w:spacing w:val="-64"/>
        </w:rPr>
        <w:t> </w:t>
      </w:r>
      <w:r>
        <w:rPr>
          <w:spacing w:val="-64"/>
        </w:rPr>
      </w:r>
      <w:r>
        <w:rPr/>
        <w:t>控制权当期的投资收益。与原子公司股权投资相关的其他综合收益，应当在丧失控制权时转为当期投资收益。</w:t>
      </w:r>
    </w:p>
    <w:p>
      <w:pPr>
        <w:pStyle w:val="BodyText"/>
        <w:spacing w:line="468" w:lineRule="exact" w:before="10"/>
        <w:ind w:left="532" w:right="952"/>
        <w:jc w:val="left"/>
      </w:pPr>
      <w:r>
        <w:rPr/>
        <w:t>（3）分步处置股权至丧失对子公司控制权过程中的各项交易不属于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处置对子公司的投资未丧失控制权的，合并财务报表中处置价款与处置投资对应的享有该子公司净资产份额的差额计</w:t>
      </w:r>
    </w:p>
    <w:p>
      <w:pPr>
        <w:pStyle w:val="BodyText"/>
        <w:spacing w:line="240" w:lineRule="auto" w:before="8"/>
        <w:ind w:right="952"/>
        <w:jc w:val="left"/>
      </w:pPr>
      <w:r>
        <w:rPr/>
        <w:t>入资本公积（资本溢价或股本溢价</w:t>
      </w:r>
      <w:r>
        <w:rPr>
          <w:spacing w:val="-89"/>
        </w:rPr>
        <w:t>）</w:t>
      </w:r>
      <w:r>
        <w:rPr/>
        <w:t>，资本溢价不足冲减的，应当调整留存收益。</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处置对子公司的投资丧失控制权的，在合并财务报表中，对于剩余股权，应当按照其在丧失控制权日的公允价值进行 </w:t>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的净资产的份额之间的差额，计入丧失控制权当期的投资收益。与原有子公司股权投资相关的其他综合收益，应当在丧失控</w:t>
      </w:r>
      <w:r>
        <w:rPr>
          <w:spacing w:val="-63"/>
        </w:rPr>
        <w:t> </w:t>
      </w:r>
      <w:r>
        <w:rPr>
          <w:spacing w:val="-63"/>
        </w:rPr>
      </w:r>
      <w:r>
        <w:rPr/>
        <w:t>制权时转为当期投资收益。</w:t>
      </w:r>
    </w:p>
    <w:p>
      <w:pPr>
        <w:spacing w:after="0" w:line="316" w:lineRule="auto"/>
        <w:jc w:val="both"/>
        <w:sectPr>
          <w:footerReference w:type="default" r:id="rId25"/>
          <w:pgSz w:w="11910" w:h="16840"/>
          <w:pgMar w:footer="1009" w:header="919" w:top="1120" w:bottom="1200" w:left="1020" w:right="0"/>
          <w:pgNumType w:start="110"/>
        </w:sectPr>
      </w:pPr>
    </w:p>
    <w:p>
      <w:pPr>
        <w:spacing w:line="240" w:lineRule="auto" w:before="10"/>
        <w:rPr>
          <w:rFonts w:ascii="宋体" w:hAnsi="宋体" w:cs="宋体" w:eastAsia="宋体" w:hint="default"/>
          <w:sz w:val="19"/>
          <w:szCs w:val="19"/>
        </w:rPr>
      </w:pPr>
    </w:p>
    <w:p>
      <w:pPr>
        <w:pStyle w:val="Heading3"/>
        <w:spacing w:line="240" w:lineRule="auto" w:before="34"/>
        <w:ind w:right="0"/>
        <w:jc w:val="both"/>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420"/>
        <w:jc w:val="both"/>
      </w:pPr>
      <w:r>
        <w:rPr/>
        <w:t>合并财务报表以母公司及其子公司的财务报表为基础，根据其他有关资料，由本公司按照《企业会计准则第33号</w:t>
      </w:r>
      <w:r>
        <w:rPr>
          <w:rFonts w:ascii="Times New Roman" w:hAnsi="Times New Roman" w:cs="Times New Roman" w:eastAsia="Times New Roman" w:hint="default"/>
        </w:rPr>
        <w:t>—— </w:t>
      </w:r>
      <w:r>
        <w:rPr/>
        <w:t>合并财务报表》编制。</w:t>
      </w:r>
    </w:p>
    <w:p>
      <w:pPr>
        <w:spacing w:line="240" w:lineRule="auto" w:before="4"/>
        <w:rPr>
          <w:rFonts w:ascii="宋体" w:hAnsi="宋体" w:cs="宋体" w:eastAsia="宋体" w:hint="default"/>
          <w:sz w:val="14"/>
          <w:szCs w:val="14"/>
        </w:rPr>
      </w:pPr>
    </w:p>
    <w:p>
      <w:pPr>
        <w:pStyle w:val="BodyText"/>
        <w:spacing w:line="316" w:lineRule="auto"/>
        <w:ind w:right="1132" w:firstLine="420"/>
        <w:jc w:val="both"/>
      </w:pPr>
      <w:r>
        <w:rPr/>
        <w:t>子公司的主要会计政策按照母公司统一选用的会计政策确定，合并报表范围内各公司间的交易和资金往来等均已在合 并时抵销。</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现金流量表的现金指企业库存现金及可以随时用于支付的存款。现金等价物指持有的期限短（一般是指从购买日起三个</w:t>
      </w:r>
      <w:r>
        <w:rPr/>
        <w:t> </w:t>
      </w:r>
      <w:r>
        <w:rPr>
          <w:spacing w:val="-3"/>
        </w:rPr>
        <w:t>月内到期）、流动性强、易于转换为已知金额现金、价值变动风险很小的投资。</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2" w:firstLine="360"/>
        <w:jc w:val="both"/>
      </w:pPr>
      <w:r>
        <w:rPr>
          <w:spacing w:val="-2"/>
        </w:rPr>
        <w:t>本公司收到投资者以外币投入资本时按当日即期汇率折合为人民币，其他外币交易在初始确认时按交易发生日的即期汇</w:t>
      </w:r>
      <w:r>
        <w:rPr/>
        <w:t> 率折合为人民币。</w:t>
      </w:r>
    </w:p>
    <w:p>
      <w:pPr>
        <w:pStyle w:val="BodyText"/>
        <w:spacing w:line="468" w:lineRule="exact" w:before="10"/>
        <w:ind w:left="472" w:right="952"/>
        <w:jc w:val="left"/>
      </w:pPr>
      <w:r>
        <w:rPr/>
        <w:t>即期汇率是中国人民银行公布的人民币外汇牌价。 </w:t>
      </w:r>
      <w:r>
        <w:rPr>
          <w:spacing w:val="-2"/>
        </w:rPr>
        <w:t>年末外币货币性项目，采用资产负债表日的即期汇率折算。除与购建或者生产符合资本化条件资产有关的专门借款本金</w:t>
      </w:r>
    </w:p>
    <w:p>
      <w:pPr>
        <w:pStyle w:val="BodyText"/>
        <w:spacing w:line="316" w:lineRule="auto" w:before="8"/>
        <w:ind w:right="1130"/>
        <w:jc w:val="both"/>
      </w:pPr>
      <w:r>
        <w:rPr>
          <w:spacing w:val="-2"/>
        </w:rPr>
        <w:t>和利息的汇兑差额外，其他汇兑差额计入当期损益。以历史成本计量的外币非货币性项目，不改变其记账本位币金额。以公</w:t>
      </w:r>
      <w:r>
        <w:rPr>
          <w:spacing w:val="-64"/>
        </w:rPr>
        <w:t> </w:t>
      </w:r>
      <w:r>
        <w:rPr>
          <w:spacing w:val="-64"/>
        </w:rPr>
      </w:r>
      <w:r>
        <w:rPr>
          <w:spacing w:val="-2"/>
        </w:rPr>
        <w:t>允价值计量的外币非货币性项目，采用公允价值确定日的即期汇率折算，折算后的记账本位币金额与原记账本位币金额的差</w:t>
      </w:r>
      <w:r>
        <w:rPr>
          <w:spacing w:val="-64"/>
        </w:rPr>
        <w:t> </w:t>
      </w:r>
      <w:r>
        <w:rPr>
          <w:spacing w:val="-64"/>
        </w:rPr>
      </w:r>
      <w:r>
        <w:rPr>
          <w:spacing w:val="-2"/>
        </w:rPr>
        <w:t>额，属于可供出售金融资产的外币非货币性项目，其差额计入资本公积；属于以公允价值计量且其变动计入当期损益的外币</w:t>
      </w:r>
      <w:r>
        <w:rPr>
          <w:spacing w:val="-63"/>
        </w:rPr>
        <w:t> </w:t>
      </w:r>
      <w:r>
        <w:rPr>
          <w:spacing w:val="-63"/>
        </w:rPr>
      </w:r>
      <w:r>
        <w:rPr/>
        <w:t>非货币性项目，其差额计入当期损益。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60" w:lineRule="atLeast" w:before="122"/>
        <w:ind w:left="532" w:right="952"/>
        <w:jc w:val="left"/>
      </w:pPr>
      <w:r>
        <w:rPr/>
        <w:t>1. 金融工具的分类 金融资产包括交易性金融资产、指定为以公允价值计量且其变动计入当期损益的金融资产、持有至到期投资、应收款</w:t>
      </w:r>
    </w:p>
    <w:p>
      <w:pPr>
        <w:pStyle w:val="BodyText"/>
        <w:spacing w:line="316" w:lineRule="auto" w:before="76"/>
        <w:ind w:right="952"/>
        <w:jc w:val="left"/>
      </w:pPr>
      <w:r>
        <w:rPr>
          <w:spacing w:val="-2"/>
        </w:rPr>
        <w:t>项、可供出售金融资产等。金融负债包括交易性金融负债、指定为以公允价值计量且其变动计入当期损益的金融负债、其他</w:t>
      </w:r>
      <w:r>
        <w:rPr>
          <w:spacing w:val="-64"/>
        </w:rPr>
        <w:t> </w:t>
      </w:r>
      <w:r>
        <w:rPr>
          <w:spacing w:val="-64"/>
        </w:rPr>
      </w:r>
      <w:r>
        <w:rPr/>
        <w:t>金融负债。</w:t>
      </w:r>
    </w:p>
    <w:p>
      <w:pPr>
        <w:pStyle w:val="BodyText"/>
        <w:spacing w:line="468" w:lineRule="exact" w:before="10"/>
        <w:ind w:left="532" w:right="952"/>
        <w:jc w:val="left"/>
      </w:pPr>
      <w:r>
        <w:rPr/>
        <w:t>2. 金融工具确认依据和计量方法 当公司成为金融工具合同的一方时，确认一项金融资产或金融负债。当收取该金融资产现金流量的合同权利终止、金</w:t>
      </w:r>
    </w:p>
    <w:p>
      <w:pPr>
        <w:pStyle w:val="BodyText"/>
        <w:spacing w:line="316" w:lineRule="auto" w:before="8"/>
        <w:ind w:right="952"/>
        <w:jc w:val="left"/>
      </w:pPr>
      <w:r>
        <w:rPr>
          <w:spacing w:val="-2"/>
        </w:rPr>
        <w:t>融资产已转移且符合规定的终止确认条件的金融资产时终止确认。当金融负债的现时义务全部或部分已解除的，终止确认该</w:t>
      </w:r>
      <w:r>
        <w:rPr>
          <w:spacing w:val="-64"/>
        </w:rPr>
        <w:t> </w:t>
      </w:r>
      <w:r>
        <w:rPr>
          <w:spacing w:val="-64"/>
        </w:rPr>
      </w:r>
      <w:r>
        <w:rPr/>
        <w:t>金融负债或其一部分。</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公司初始确认金融资产或金融负债，按照公允价值计量。对于以公允价值计量且其变动计入当期损益的金融资产或金 融负债，相关交易费用直接计入当期损益；对于其他类别的金融资产或金融负债，相关交易费用计入初始确认金额。</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本公司按照公允价值对金融资产进行后续计量，且不扣除将来处置该金融资产时可能发生的交易费用，但下列情况除 </w:t>
      </w:r>
      <w:r>
        <w:rPr>
          <w:spacing w:val="-5"/>
        </w:rPr>
        <w:t>外：（1）持有至到期投资以及贷款和应收款项采用实际利率法，按摊余成本计量；（2）在活跃市场中没有报价且其公允价值</w:t>
      </w:r>
      <w:r>
        <w:rPr>
          <w:spacing w:val="-72"/>
        </w:rPr>
        <w:t> </w:t>
      </w:r>
      <w:r>
        <w:rPr>
          <w:spacing w:val="-72"/>
        </w:rPr>
      </w:r>
      <w:r>
        <w:rPr/>
        <w:t>不能可靠计量的权益工具投资，以及与该权益工具挂钩并须通过交付该权益工具结算的衍生金融资产，按照成本计量。</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4" w:lineRule="auto" w:before="44"/>
        <w:ind w:right="1130" w:firstLine="420"/>
        <w:jc w:val="both"/>
      </w:pPr>
      <w:r>
        <w:rPr>
          <w:spacing w:val="-2"/>
        </w:rPr>
        <w:t>本公司采用实际利率法，按摊余成本对金融负债进行后续计量，但下列情况除外：（1）以公允价值计量且其变动计入</w:t>
      </w:r>
      <w:r>
        <w:rPr/>
        <w:t> </w:t>
      </w:r>
      <w:r>
        <w:rPr>
          <w:spacing w:val="-4"/>
        </w:rPr>
        <w:t>当期损益的金融负债，按照公允价值计量，且不扣除将来结清金融负债时可能发生的交易费用；（2）与在活跃市场中没有报</w:t>
      </w:r>
      <w:r>
        <w:rPr>
          <w:spacing w:val="-43"/>
        </w:rPr>
        <w:t> </w:t>
      </w:r>
      <w:r>
        <w:rPr>
          <w:spacing w:val="-43"/>
        </w:rPr>
      </w:r>
      <w:r>
        <w:rPr>
          <w:spacing w:val="-4"/>
        </w:rPr>
        <w:t>价、公允价值不能可靠计量的权益工具挂钩并须通过交付该权益工具结算的衍生金融负债，按照成本计量；（3）不属于指定</w:t>
      </w:r>
      <w:r>
        <w:rPr>
          <w:spacing w:val="-44"/>
        </w:rPr>
        <w:t> </w:t>
      </w:r>
      <w:r>
        <w:rPr>
          <w:spacing w:val="-44"/>
        </w:rPr>
      </w:r>
      <w:r>
        <w:rPr>
          <w:spacing w:val="-2"/>
        </w:rPr>
        <w:t>为以公允价值计量且其变动计入当期损益的金融负债的财务担保合同，或没有指定为以公允价值计量且其变动计入当期损益</w:t>
      </w:r>
      <w:r>
        <w:rPr>
          <w:spacing w:val="-64"/>
        </w:rPr>
        <w:t> </w:t>
      </w:r>
      <w:r>
        <w:rPr>
          <w:spacing w:val="-64"/>
        </w:rPr>
      </w:r>
      <w:r>
        <w:rPr/>
        <w:t>并将以低于市场利率贷款的贷款承诺，在初始确认后按照下列两项金额之中的较高者进行后续计量：1）按照《企业会计准</w:t>
      </w:r>
      <w:r>
        <w:rPr>
          <w:spacing w:val="-85"/>
        </w:rPr>
        <w:t> </w:t>
      </w:r>
      <w:r>
        <w:rPr>
          <w:spacing w:val="-85"/>
        </w:rPr>
      </w:r>
      <w:r>
        <w:rPr/>
        <w:t>则第13号</w:t>
      </w:r>
      <w:r>
        <w:rPr>
          <w:rFonts w:ascii="Times New Roman" w:hAnsi="Times New Roman" w:cs="Times New Roman" w:eastAsia="Times New Roman" w:hint="default"/>
        </w:rPr>
        <w:t>——</w:t>
      </w:r>
      <w:r>
        <w:rPr/>
        <w:t>或有事项》确定的金额；2）初始确认金额扣除按照《企业会计准则第14号</w:t>
      </w:r>
      <w:r>
        <w:rPr>
          <w:rFonts w:ascii="Times New Roman" w:hAnsi="Times New Roman" w:cs="Times New Roman" w:eastAsia="Times New Roman" w:hint="default"/>
        </w:rPr>
        <w:t>——</w:t>
      </w:r>
      <w:r>
        <w:rPr/>
        <w:t>收入》的原则确定的累积摊销</w:t>
      </w:r>
      <w:r>
        <w:rPr>
          <w:spacing w:val="-85"/>
        </w:rPr>
        <w:t> </w:t>
      </w:r>
      <w:r>
        <w:rPr>
          <w:spacing w:val="-85"/>
        </w:rPr>
      </w:r>
      <w:r>
        <w:rPr/>
        <w:t>额后的余额。</w:t>
      </w:r>
    </w:p>
    <w:p>
      <w:pPr>
        <w:spacing w:line="240" w:lineRule="auto" w:before="7"/>
        <w:rPr>
          <w:rFonts w:ascii="宋体" w:hAnsi="宋体" w:cs="宋体" w:eastAsia="宋体" w:hint="default"/>
          <w:sz w:val="13"/>
          <w:szCs w:val="13"/>
        </w:rPr>
      </w:pPr>
    </w:p>
    <w:p>
      <w:pPr>
        <w:pStyle w:val="BodyText"/>
        <w:spacing w:line="316" w:lineRule="auto"/>
        <w:ind w:right="1130" w:firstLine="420"/>
        <w:jc w:val="both"/>
      </w:pPr>
      <w:r>
        <w:rPr/>
        <w:t>公司因持有意图或能力发生改变，使某项投资不再适合划分为持有至到期投资的，将其重分类为可供出售金融资产， </w:t>
      </w:r>
      <w:r>
        <w:rPr>
          <w:spacing w:val="-2"/>
        </w:rPr>
        <w:t>并以公允价值进行后续计量。重分类日，该投资的账面价值与公允价值之间的差额计入所有者权益，在该可供出售金融资产</w:t>
      </w:r>
      <w:r>
        <w:rPr>
          <w:spacing w:val="-63"/>
        </w:rPr>
        <w:t> </w:t>
      </w:r>
      <w:r>
        <w:rPr>
          <w:spacing w:val="-63"/>
        </w:rPr>
      </w:r>
      <w:r>
        <w:rPr/>
        <w:t>发生减值或终止确认时转出，计入当期损益。</w:t>
      </w:r>
    </w:p>
    <w:p>
      <w:pPr>
        <w:pStyle w:val="BodyText"/>
        <w:spacing w:line="468" w:lineRule="exact" w:before="10"/>
        <w:ind w:left="532" w:right="952"/>
        <w:jc w:val="left"/>
      </w:pPr>
      <w:r>
        <w:rPr/>
        <w:t>3. 金融负债终止确认条件 金融负债的现时义务全部或部分已经解除的，则终止确认该金融负债或其一部分；公司若与债权人签定协议，以承担</w:t>
      </w:r>
    </w:p>
    <w:p>
      <w:pPr>
        <w:pStyle w:val="BodyText"/>
        <w:spacing w:line="316" w:lineRule="auto" w:before="8"/>
        <w:ind w:right="952"/>
        <w:jc w:val="left"/>
      </w:pPr>
      <w:r>
        <w:rPr>
          <w:spacing w:val="-4"/>
        </w:rPr>
        <w:t>新的金融负债方式替换现有金融负债，且新的金融负债与现有金融负债的合同条款实质上不同的，则终止确认现有金融负债，</w:t>
      </w:r>
      <w:r>
        <w:rPr>
          <w:spacing w:val="-41"/>
        </w:rPr>
        <w:t> </w:t>
      </w:r>
      <w:r>
        <w:rPr>
          <w:spacing w:val="-41"/>
        </w:rPr>
      </w:r>
      <w:r>
        <w:rPr/>
        <w:t>并同时确认新的金融负债。</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对现有金融负债全部或部分合同条款作出实质性修改的，则终止确认现有金融负债或其一部分，同时将修改条款后的 金融负债确认为一项新的金融负债。</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金融负债全部或部分终止确认时，终止确认的金融负债账面价值与支付对价（包括转出的非现金资产或承担的新金融 负债）之间的差额，计入当期损益。</w:t>
      </w:r>
    </w:p>
    <w:p>
      <w:pPr>
        <w:spacing w:line="240" w:lineRule="auto" w:before="5"/>
        <w:rPr>
          <w:rFonts w:ascii="宋体" w:hAnsi="宋体" w:cs="宋体" w:eastAsia="宋体" w:hint="default"/>
          <w:sz w:val="13"/>
          <w:szCs w:val="13"/>
        </w:rPr>
      </w:pPr>
    </w:p>
    <w:p>
      <w:pPr>
        <w:pStyle w:val="BodyText"/>
        <w:spacing w:line="316" w:lineRule="auto"/>
        <w:ind w:right="1034" w:firstLine="420"/>
        <w:jc w:val="left"/>
      </w:pPr>
      <w:r>
        <w:rPr/>
        <w:t>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BodyText"/>
        <w:spacing w:line="468" w:lineRule="exact" w:before="10"/>
        <w:ind w:left="532" w:right="952"/>
        <w:jc w:val="left"/>
      </w:pPr>
      <w:r>
        <w:rPr/>
        <w:t>4. 金融资产、金融负债的公允价值的确定 存在活跃市场的金融资产或金融负债，以活跃市场的报价确定其公允价值；不存在活跃市场的金融资产或金融负债，</w:t>
      </w:r>
    </w:p>
    <w:p>
      <w:pPr>
        <w:pStyle w:val="BodyText"/>
        <w:spacing w:line="477" w:lineRule="auto" w:before="8"/>
        <w:ind w:left="532" w:right="8234" w:hanging="420"/>
        <w:jc w:val="left"/>
      </w:pPr>
      <w:r>
        <w:rPr/>
        <w:t>采用估值技术确定其公允价值。 5.</w:t>
      </w:r>
      <w:r>
        <w:rPr>
          <w:spacing w:val="1"/>
        </w:rPr>
        <w:t> </w:t>
      </w:r>
      <w:r>
        <w:rPr/>
        <w:t>金融资产减值核算方法</w:t>
      </w:r>
    </w:p>
    <w:p>
      <w:pPr>
        <w:pStyle w:val="BodyText"/>
        <w:spacing w:line="316" w:lineRule="auto" w:before="54"/>
        <w:ind w:right="1132" w:firstLine="420"/>
        <w:jc w:val="both"/>
      </w:pPr>
      <w:r>
        <w:rPr/>
        <w:t>资产负债表日对以公允价值计量且其变动计入当期损益的金融资产以外的金融资产的账面价值进行检查，如有客观证 据表明该金融资产发生减值的，计提减值准备。金融资产发生减值的客观证据，包括以下各项：</w:t>
      </w:r>
    </w:p>
    <w:p>
      <w:pPr>
        <w:spacing w:line="240" w:lineRule="auto" w:before="5"/>
        <w:rPr>
          <w:rFonts w:ascii="宋体" w:hAnsi="宋体" w:cs="宋体" w:eastAsia="宋体" w:hint="default"/>
          <w:sz w:val="13"/>
          <w:szCs w:val="13"/>
        </w:rPr>
      </w:pPr>
    </w:p>
    <w:p>
      <w:pPr>
        <w:pStyle w:val="BodyText"/>
        <w:spacing w:line="477" w:lineRule="auto"/>
        <w:ind w:left="532" w:right="4124"/>
        <w:jc w:val="left"/>
      </w:pPr>
      <w:r>
        <w:rPr/>
        <w:t>A、发行方或债务人发生严重财务困难； B、债务人违反了合同条款，如偿付利息或本金发生违约或逾期等； C、本公司出于经济或法律等方面因素的考虑，对发生困难的债务人作出让步； D、债务人很可能倒闭或进行其他财务重组； E、因发行方发生重大财务困难，该金融资产无法在活跃市场继续交易；</w:t>
      </w:r>
    </w:p>
    <w:p>
      <w:pPr>
        <w:pStyle w:val="BodyText"/>
        <w:spacing w:line="477" w:lineRule="auto" w:before="54"/>
        <w:ind w:left="532" w:right="1784"/>
        <w:jc w:val="left"/>
      </w:pPr>
      <w:r>
        <w:rPr/>
        <w:t>F、债务人经营所处的技术、市场、经济和法律环境等发生重大不利变化，使本公司可能无法收回投资成本； G、权益工具投资的公允价值发生严重或非暂时性下跌；</w:t>
      </w:r>
    </w:p>
    <w:p>
      <w:pPr>
        <w:pStyle w:val="BodyText"/>
        <w:spacing w:line="240" w:lineRule="auto" w:before="54"/>
        <w:ind w:left="532" w:right="952"/>
        <w:jc w:val="left"/>
      </w:pPr>
      <w:r>
        <w:rPr/>
        <w:t>H、其他表明金融资产发生减值的客观证据。</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477" w:lineRule="auto" w:before="44"/>
        <w:ind w:left="532" w:right="4304"/>
        <w:jc w:val="left"/>
      </w:pPr>
      <w:r>
        <w:rPr/>
        <w:t>以公允价值计量且其变动计入当期损益的金融资产不需要进行减值测试。 6．金融资产减值损失的计量 A、以公允价值计量且其变动计入当期损益的金融资产不需要进行减值测试；</w:t>
      </w:r>
    </w:p>
    <w:p>
      <w:pPr>
        <w:pStyle w:val="BodyText"/>
        <w:spacing w:line="240" w:lineRule="auto" w:before="54"/>
        <w:ind w:left="532" w:right="952"/>
        <w:jc w:val="left"/>
      </w:pPr>
      <w:r>
        <w:rPr/>
        <w:t>B、持有至到期投资的减值损失的计量：按预计未来现金流量低于期末账面价值的差额计提减值准备；</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C、可供出售的金融资产减值的计量：若该项金融资产公允价值发生较大幅度下降,</w:t>
      </w:r>
      <w:r>
        <w:rPr>
          <w:spacing w:val="26"/>
        </w:rPr>
        <w:t> </w:t>
      </w:r>
      <w:r>
        <w:rPr/>
        <w:t>超过其持有成本的50%，并且时间</w:t>
      </w:r>
      <w:r>
        <w:rPr/>
        <w:t> </w:t>
      </w:r>
      <w:r>
        <w:rPr>
          <w:spacing w:val="-2"/>
        </w:rPr>
        <w:t>持续在12个月以上，预期这种下降趋势属于非暂时性的，则按其公允价值低于其账面价值的差额,确认减值损失,计提减值准</w:t>
      </w:r>
      <w:r>
        <w:rPr>
          <w:spacing w:val="-62"/>
        </w:rPr>
        <w:t> </w:t>
      </w:r>
      <w:r>
        <w:rPr>
          <w:spacing w:val="-62"/>
        </w:rPr>
      </w:r>
      <w:r>
        <w:rPr/>
        <w:t>备。在确认减值损失时，将原直接计入所有者权益的公允价值下降形成的累计损失一并转出，计入减值损失。</w:t>
      </w:r>
    </w:p>
    <w:p>
      <w:pPr>
        <w:pStyle w:val="BodyText"/>
        <w:spacing w:line="468" w:lineRule="exact" w:before="10"/>
        <w:ind w:left="532" w:right="952"/>
        <w:jc w:val="left"/>
      </w:pPr>
      <w:r>
        <w:rPr/>
        <w:t>7. 金融资产转移的确认依据和计量方法 本公司已将金融资产所有权上几乎所有的风险和报酬转移给了转入方的，终止确认该金融资产；保留了金融资产所有</w:t>
      </w:r>
    </w:p>
    <w:p>
      <w:pPr>
        <w:pStyle w:val="BodyText"/>
        <w:spacing w:line="316" w:lineRule="auto" w:before="8"/>
        <w:ind w:right="1041"/>
        <w:jc w:val="both"/>
      </w:pPr>
      <w:r>
        <w:rPr>
          <w:spacing w:val="-2"/>
        </w:rPr>
        <w:t>权上几乎所有的风险和报酬的，继续确认所转移的金融资产，并将收到的对价确认为一项金融负债。本公司既没有转移也没</w:t>
      </w:r>
      <w:r>
        <w:rPr>
          <w:spacing w:val="-63"/>
        </w:rPr>
        <w:t> </w:t>
      </w:r>
      <w:r>
        <w:rPr>
          <w:spacing w:val="-63"/>
        </w:rPr>
      </w:r>
      <w:r>
        <w:rPr>
          <w:spacing w:val="-3"/>
        </w:rPr>
        <w:t>有保留金融资产所有权上几乎所有的风险和报酬的，分别下列情况处理：（1）</w:t>
      </w:r>
      <w:r>
        <w:rPr/>
        <w:t> 放弃了对该金融资产控制的，终止确认该金</w:t>
      </w:r>
      <w:r>
        <w:rPr>
          <w:spacing w:val="-69"/>
        </w:rPr>
        <w:t> </w:t>
      </w:r>
      <w:r>
        <w:rPr>
          <w:spacing w:val="-69"/>
        </w:rPr>
      </w:r>
      <w:r>
        <w:rPr>
          <w:spacing w:val="-16"/>
        </w:rPr>
        <w:t>融资产；（2）</w:t>
      </w:r>
      <w:r>
        <w:rPr>
          <w:spacing w:val="-13"/>
        </w:rPr>
        <w:t> </w:t>
      </w:r>
      <w:r>
        <w:rPr>
          <w:spacing w:val="-1"/>
        </w:rPr>
        <w:t>未放弃对该金融资产控制的，按照继续涉入所转移金融资产的程度确认有关金融资产，并相应确认有关负债。</w:t>
      </w:r>
    </w:p>
    <w:p>
      <w:pPr>
        <w:spacing w:line="240" w:lineRule="auto" w:before="5"/>
        <w:rPr>
          <w:rFonts w:ascii="宋体" w:hAnsi="宋体" w:cs="宋体" w:eastAsia="宋体" w:hint="default"/>
          <w:sz w:val="13"/>
          <w:szCs w:val="13"/>
        </w:rPr>
      </w:pPr>
    </w:p>
    <w:p>
      <w:pPr>
        <w:pStyle w:val="BodyText"/>
        <w:spacing w:line="316" w:lineRule="auto"/>
        <w:ind w:right="1029" w:firstLine="420"/>
        <w:jc w:val="left"/>
      </w:pPr>
      <w:r>
        <w:rPr>
          <w:spacing w:val="-5"/>
        </w:rPr>
        <w:t>金融资产整体转移满足终止确认条件的，将下列两项金额的差额计入当期损益：（1）</w:t>
      </w:r>
      <w:r>
        <w:rPr>
          <w:spacing w:val="-7"/>
        </w:rPr>
        <w:t> </w:t>
      </w:r>
      <w:r>
        <w:rPr>
          <w:spacing w:val="-8"/>
        </w:rPr>
        <w:t>所转移金融资产的账面价值；（2）</w:t>
      </w:r>
      <w:r>
        <w:rPr/>
        <w:t> </w:t>
      </w:r>
      <w:r>
        <w:rPr>
          <w:spacing w:val="-2"/>
        </w:rPr>
        <w:t>因转移而收到的对价，与原直接计入其他综合收益的公允价值变动累计额之和。金融资产部分转移满足终止确认条件的，将</w:t>
      </w:r>
      <w:r>
        <w:rPr>
          <w:spacing w:val="-63"/>
        </w:rPr>
        <w:t> </w:t>
      </w:r>
      <w:r>
        <w:rPr>
          <w:spacing w:val="-63"/>
        </w:rPr>
      </w:r>
      <w:r>
        <w:rPr>
          <w:spacing w:val="-2"/>
        </w:rPr>
        <w:t>所转移金融资产整体的账面价值，在终止确认部分和未终止确认部分之间，按照各自的相对公允价值进行分摊，并将下列两</w:t>
      </w:r>
      <w:r>
        <w:rPr>
          <w:spacing w:val="-63"/>
        </w:rPr>
        <w:t> </w:t>
      </w:r>
      <w:r>
        <w:rPr>
          <w:spacing w:val="-63"/>
        </w:rPr>
      </w:r>
      <w:r>
        <w:rPr>
          <w:spacing w:val="-7"/>
        </w:rPr>
        <w:t>项金额的差额计入当期损益：（1）</w:t>
      </w:r>
      <w:r>
        <w:rPr>
          <w:spacing w:val="-8"/>
        </w:rPr>
        <w:t> 终止确认部分的账面价值；（2） </w:t>
      </w:r>
      <w:r>
        <w:rPr>
          <w:spacing w:val="-1"/>
        </w:rPr>
        <w:t>终止确认部分的对价，与原直接计入其他综合收益的公</w:t>
      </w:r>
      <w:r>
        <w:rPr>
          <w:spacing w:val="-80"/>
        </w:rPr>
        <w:t> </w:t>
      </w:r>
      <w:r>
        <w:rPr>
          <w:spacing w:val="-80"/>
        </w:rPr>
      </w:r>
      <w:r>
        <w:rPr/>
        <w:t>允价值变动累计额中对应终止确认部分的金额之和。</w:t>
      </w:r>
    </w:p>
    <w:p>
      <w:pPr>
        <w:pStyle w:val="BodyText"/>
        <w:spacing w:line="468" w:lineRule="exact" w:before="10"/>
        <w:ind w:left="532" w:right="952"/>
        <w:jc w:val="left"/>
      </w:pPr>
      <w:r>
        <w:rPr/>
        <w:t>金融资产转移不满足终止确认条件的，继续确认该金融资产，将所收到的对价确认为一项金融负债。 对于采用继续涉入方式的金融资产转移，企业应当按照继续涉入所转移金融资产的程度确认一项金融资产，同时确认</w:t>
      </w:r>
    </w:p>
    <w:p>
      <w:pPr>
        <w:pStyle w:val="BodyText"/>
        <w:spacing w:line="240" w:lineRule="auto" w:before="8"/>
        <w:ind w:right="0"/>
        <w:jc w:val="both"/>
      </w:pPr>
      <w:r>
        <w:rPr/>
        <w:t>一项金融负债。</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11、应收票据及应收账款" w:id="183"/>
      <w:bookmarkEnd w:id="18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万元人民币的应收账款认定为单</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项金额重大的应收账款，公司将单项金额超过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万元人民 币的其他应收款认定为单项金额重大的其他应收款。</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年末对单项金额重大的应收款项单独进行减值测试，如有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客观证据表明其已发生减值，根据其预计未来现金流量现</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值低于其账面价值的差额，单独进行减值测试，确认减值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损失，计入当期损益。对单项测试未减值单项金额重大的</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的应收款项，会同对单项金额非重大的应收款项，按类似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的信用风险特征划分为若干组合，根据以前年度与之相同</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或相类似的、具有类似信用风险特征的应收款项组合的实</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际损失率为基础，结合现时情况确定本年度各项组合计提</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坏账准备的比例。</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10"/>
        <w:rPr>
          <w:rFonts w:ascii="宋体" w:hAnsi="宋体" w:cs="宋体" w:eastAsia="宋体" w:hint="default"/>
          <w:b/>
          <w:bCs/>
          <w:sz w:val="19"/>
          <w:szCs w:val="19"/>
        </w:rPr>
      </w:pPr>
    </w:p>
    <w:p>
      <w:pPr>
        <w:pStyle w:val="Heading3"/>
        <w:spacing w:line="240" w:lineRule="auto" w:before="34"/>
        <w:ind w:right="952"/>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风险类型组合（应收保理款）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0"/>
        <w:ind w:right="952"/>
        <w:jc w:val="left"/>
      </w:pPr>
      <w:r>
        <w:rPr/>
        <w:t>组合中，采用账龄分析法计提坏账准备的：</w:t>
      </w:r>
    </w:p>
    <w:p>
      <w:pPr>
        <w:pStyle w:val="BodyText"/>
        <w:spacing w:line="240" w:lineRule="auto" w:before="117"/>
        <w:ind w:right="952"/>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952"/>
        <w:jc w:val="left"/>
      </w:pPr>
      <w:r>
        <w:rPr/>
        <w:t>组合中，采用余额百分比法计提坏账准备的：</w:t>
      </w:r>
    </w:p>
    <w:p>
      <w:pPr>
        <w:pStyle w:val="BodyText"/>
        <w:spacing w:line="357" w:lineRule="auto" w:before="117"/>
        <w:ind w:right="7514"/>
        <w:jc w:val="left"/>
      </w:pPr>
      <w:r>
        <w:rPr/>
        <w:t>□ 适用 √ 不适用 组合中，采用其他方法计提坏账准备的：</w:t>
      </w:r>
    </w:p>
    <w:p>
      <w:pPr>
        <w:pStyle w:val="BodyText"/>
        <w:spacing w:line="240" w:lineRule="auto" w:before="29"/>
        <w:ind w:right="952"/>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公司将单项金额小于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万元人民币的应收账款认定为单</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项金额不重大的应收账款，将单项金额小于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万元人民币 的其他应收款认定为单项金额不重大的其他应收款。</w:t>
            </w:r>
          </w:p>
        </w:tc>
      </w:tr>
      <w:tr>
        <w:trPr>
          <w:trHeight w:val="356"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年末如有客观证据表明其已发生减值，根据其预计未来现</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金流量现值低于其账面价值的差额，单独进行减值测试，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确认减值损失，计入当期损益。对其他的不重大的应收款</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项，按类似的信用风险特征划分为若干组合，根据以前年</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度与之相同或相类似的、具有类似信用风险特征的应收款</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项组合的实际损失率为基础，结合现时情况确定本年度各</w:t>
            </w:r>
          </w:p>
        </w:tc>
      </w:tr>
      <w:tr>
        <w:trPr>
          <w:trHeight w:val="358"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项组合计提坏账准备的比例。</w:t>
            </w:r>
          </w:p>
        </w:tc>
      </w:tr>
    </w:tbl>
    <w:p>
      <w:pPr>
        <w:spacing w:line="240" w:lineRule="auto" w:before="4"/>
        <w:rPr>
          <w:rFonts w:ascii="宋体" w:hAnsi="宋体" w:cs="宋体" w:eastAsia="宋体" w:hint="default"/>
          <w:b/>
          <w:bCs/>
          <w:sz w:val="19"/>
          <w:szCs w:val="19"/>
        </w:rPr>
      </w:pPr>
    </w:p>
    <w:p>
      <w:pPr>
        <w:pStyle w:val="Heading3"/>
        <w:spacing w:line="240" w:lineRule="auto" w:before="34"/>
        <w:ind w:right="952"/>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spacing w:after="0" w:line="36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532" w:right="952"/>
        <w:jc w:val="left"/>
      </w:pPr>
      <w:r>
        <w:rPr/>
        <w:t>1.</w:t>
      </w:r>
      <w:r>
        <w:rPr>
          <w:spacing w:val="1"/>
        </w:rPr>
        <w:t> </w:t>
      </w:r>
      <w:r>
        <w:rPr/>
        <w:t>存货的分类</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存货包括在日常活动中持有以备出售的产成品或商品、处在生产过程中的在产品、在生产过程或提供劳务过程中耗用的</w:t>
      </w:r>
      <w:r>
        <w:rPr/>
        <w:t> 材料和物料等。</w:t>
      </w:r>
    </w:p>
    <w:p>
      <w:pPr>
        <w:pStyle w:val="BodyText"/>
        <w:spacing w:line="468" w:lineRule="exact" w:before="10"/>
        <w:ind w:left="472" w:right="952" w:firstLine="60"/>
        <w:jc w:val="left"/>
      </w:pPr>
      <w:r>
        <w:rPr/>
        <w:t>2. 取得和发出的计价方法 </w:t>
      </w:r>
      <w:r>
        <w:rPr>
          <w:spacing w:val="-2"/>
        </w:rPr>
        <w:t>存货在取得时按实际成本计量，存货成本包括采购成本、加工成本和其他成本；发出存货的实际成本采用加权平均法计</w:t>
      </w:r>
    </w:p>
    <w:p>
      <w:pPr>
        <w:pStyle w:val="BodyText"/>
        <w:spacing w:line="240" w:lineRule="auto" w:before="8"/>
        <w:ind w:right="0"/>
        <w:jc w:val="both"/>
      </w:pPr>
      <w:r>
        <w:rPr/>
        <w:t>量。</w:t>
      </w:r>
    </w:p>
    <w:p>
      <w:pPr>
        <w:pStyle w:val="BodyText"/>
        <w:spacing w:line="470" w:lineRule="atLeast"/>
        <w:ind w:left="472" w:right="952" w:firstLine="60"/>
        <w:jc w:val="left"/>
      </w:pPr>
      <w:r>
        <w:rPr/>
        <w:t>3. 周转材料的摊销方法 </w:t>
      </w:r>
      <w:r>
        <w:rPr>
          <w:spacing w:val="-2"/>
        </w:rPr>
        <w:t>周转材料指能够多次使用、但不符合固定资产定义的低值易耗品、包装物和其他材料。周转材料采用一次摊销法进行摊</w:t>
      </w:r>
    </w:p>
    <w:p>
      <w:pPr>
        <w:pStyle w:val="BodyText"/>
        <w:spacing w:line="477" w:lineRule="auto" w:before="76"/>
        <w:ind w:left="472" w:right="7514" w:hanging="360"/>
        <w:jc w:val="left"/>
      </w:pPr>
      <w:r>
        <w:rPr/>
        <w:t>销，计入相关资产的成本或者当期损益。 4.存货的盘存制度</w:t>
      </w:r>
    </w:p>
    <w:p>
      <w:pPr>
        <w:pStyle w:val="BodyText"/>
        <w:spacing w:line="240" w:lineRule="auto" w:before="54"/>
        <w:ind w:left="532" w:right="952"/>
        <w:jc w:val="left"/>
      </w:pPr>
      <w:r>
        <w:rPr/>
        <w:t>采用永续盘存制。</w:t>
      </w:r>
    </w:p>
    <w:p>
      <w:pPr>
        <w:pStyle w:val="BodyText"/>
        <w:spacing w:line="460" w:lineRule="atLeast" w:before="8"/>
        <w:ind w:left="472" w:right="952" w:firstLine="60"/>
        <w:jc w:val="left"/>
      </w:pPr>
      <w:r>
        <w:rPr/>
        <w:t>5. 存货可变现净值的确定依据及存货跌价准备的计提方法 年末对存货进行全面清查后，按存货的成本与可变现净值孰低提取或调整存货跌价准备。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76"/>
        <w:ind w:right="113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3"/>
        </w:rPr>
        <w:t> </w:t>
      </w:r>
      <w:r>
        <w:rPr>
          <w:spacing w:val="-63"/>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以前减记存货价值的影响因素已经消失的，减记的金额予以恢复，并在原已计提的存货跌价准备金额内转回，转回的 金额计入当期损益。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3"/>
        </w:rPr>
        <w:t>本公司将同时满足下列条件的企业组成部分（或非流动资产）划分为持有待售：(1)</w:t>
      </w:r>
      <w:r>
        <w:rPr>
          <w:spacing w:val="28"/>
        </w:rPr>
        <w:t> </w:t>
      </w:r>
      <w:r>
        <w:rPr/>
        <w:t>根据类似交易中出售此类资产或处</w:t>
      </w:r>
      <w:r>
        <w:rPr/>
        <w:t> </w:t>
      </w:r>
      <w:r>
        <w:rPr>
          <w:spacing w:val="-2"/>
        </w:rPr>
        <w:t>置组的惯例，在当前状况下即可立即出售；(2)</w:t>
      </w:r>
      <w:r>
        <w:rPr>
          <w:spacing w:val="24"/>
        </w:rPr>
        <w:t> </w:t>
      </w:r>
      <w:r>
        <w:rPr>
          <w:spacing w:val="-2"/>
        </w:rPr>
        <w:t>出售极可能发生，已经就一项出售计划作出决议且获得确定的购买承诺（确</w:t>
      </w:r>
      <w:r>
        <w:rPr>
          <w:spacing w:val="-88"/>
        </w:rPr>
        <w:t> </w:t>
      </w:r>
      <w:r>
        <w:rPr>
          <w:spacing w:val="-88"/>
        </w:rPr>
      </w:r>
      <w:r>
        <w:rPr>
          <w:spacing w:val="-2"/>
        </w:rPr>
        <w:t>定的购买承诺，是指企业与其他方签订的具有法律约束力的购买协议，该协议包含交易价格、时间和足够严厉的违约惩罚等</w:t>
      </w:r>
      <w:r>
        <w:rPr>
          <w:spacing w:val="-63"/>
        </w:rPr>
        <w:t> </w:t>
      </w:r>
      <w:r>
        <w:rPr>
          <w:spacing w:val="-63"/>
        </w:rPr>
      </w:r>
      <w:r>
        <w:rPr>
          <w:spacing w:val="-2"/>
        </w:rPr>
        <w:t>重要条款，使协议出现重大调整或者撤销的可能性极小），预计出售将在一年内完成。已经获得按照有关规定需得到相关权</w:t>
      </w:r>
      <w:r>
        <w:rPr>
          <w:spacing w:val="-67"/>
        </w:rPr>
        <w:t> </w:t>
      </w:r>
      <w:r>
        <w:rPr>
          <w:spacing w:val="-67"/>
        </w:rPr>
      </w:r>
      <w:r>
        <w:rPr/>
        <w:t>力机构或者监管部门的批准。</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本公司将持有待售的预计净残值调整为反映其公允价值减去出售费用后的净额（但不得超过该项持有待售的原账面价 </w:t>
      </w:r>
      <w:r>
        <w:rPr>
          <w:spacing w:val="-2"/>
        </w:rPr>
        <w:t>值），原账面价值高于调整后预计净残值的差额，作为资产减值损失计入当期损益，同时计提持有待售资产减值准备。对于</w:t>
      </w:r>
      <w:r>
        <w:rPr>
          <w:spacing w:val="-65"/>
        </w:rPr>
        <w:t> </w:t>
      </w:r>
      <w:r>
        <w:rPr>
          <w:spacing w:val="-65"/>
        </w:rPr>
      </w:r>
      <w:r>
        <w:rPr>
          <w:spacing w:val="-2"/>
        </w:rPr>
        <w:t>持有待售的处置组确认的资产减值损失金额，应当先抵减处置组中商誉的账面价值，再根据处置组中适用本准则计量规定的</w:t>
      </w:r>
      <w:r>
        <w:rPr>
          <w:spacing w:val="-64"/>
        </w:rPr>
        <w:t> </w:t>
      </w:r>
      <w:r>
        <w:rPr>
          <w:spacing w:val="-64"/>
        </w:rPr>
      </w:r>
      <w:r>
        <w:rPr/>
        <w:t>各项非流动资产账面价值所占比重，按比例抵减其账面价值。</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034"/>
        <w:jc w:val="left"/>
      </w:pPr>
      <w:r>
        <w:rPr/>
        <w:t>失不得转回。后续资产负债表日持有待售的处置组公允价值减去出售费用后的净额增加的，以前减记的金额应当予以恢复， </w:t>
      </w:r>
      <w:r>
        <w:rPr>
          <w:spacing w:val="-2"/>
        </w:rPr>
        <w:t>并在划分为持有待售类别后适用本准则计量规定的非流动资产确认的资产减值损失金额内转回，转回金额计入当期损益。已</w:t>
      </w:r>
      <w:r>
        <w:rPr>
          <w:spacing w:val="-64"/>
        </w:rPr>
        <w:t> </w:t>
      </w:r>
      <w:r>
        <w:rPr>
          <w:spacing w:val="-64"/>
        </w:rPr>
      </w:r>
      <w:r>
        <w:rPr>
          <w:spacing w:val="-2"/>
        </w:rPr>
        <w:t>抵减的商誉账面价值，以及适用本准则计量规定的非流动资产在划分为持有待售类别前确认的资产减值损失不得转回。持有</w:t>
      </w:r>
      <w:r>
        <w:rPr>
          <w:spacing w:val="-64"/>
        </w:rPr>
        <w:t> </w:t>
      </w:r>
      <w:r>
        <w:rPr>
          <w:spacing w:val="-64"/>
        </w:rPr>
      </w:r>
      <w:r>
        <w:rPr>
          <w:spacing w:val="-2"/>
        </w:rPr>
        <w:t>待售的处置组确认的资产减值损失后续转回金额，应当根据处置组中除商誉外适用本准则计量规定的各项非流动资产账面价</w:t>
      </w:r>
      <w:r>
        <w:rPr>
          <w:spacing w:val="-64"/>
        </w:rPr>
        <w:t> </w:t>
      </w:r>
      <w:r>
        <w:rPr>
          <w:spacing w:val="-64"/>
        </w:rPr>
      </w:r>
      <w:r>
        <w:rPr/>
        <w:t>值所占比重，按比例增加其账面价值。</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企业因出售对子公司的投资等原因导致其丧失对子公司控制权的，无论出售后企业是否保留部分权益性投资，应当在拟</w:t>
      </w:r>
      <w:r>
        <w:rPr/>
        <w:t> </w:t>
      </w: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952"/>
        <w:jc w:val="left"/>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952"/>
        <w:jc w:val="left"/>
      </w:pPr>
      <w:r>
        <w:rPr/>
        <w:t>1.</w:t>
      </w:r>
      <w:r>
        <w:rPr>
          <w:spacing w:val="1"/>
        </w:rPr>
        <w:t> </w:t>
      </w:r>
      <w:r>
        <w:rPr/>
        <w:t>投资成本的确定</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t>（1）</w:t>
      </w:r>
      <w:r>
        <w:rPr>
          <w:spacing w:val="11"/>
        </w:rPr>
        <w:t> </w:t>
      </w:r>
      <w:r>
        <w:rPr>
          <w:spacing w:val="-2"/>
        </w:rPr>
        <w:t>同一控制下的企业合并形成的，合并方以支付现金、转让非现金资产、承担债务或发行权益性证券作为合并对价</w:t>
      </w:r>
      <w:r>
        <w:rPr/>
        <w:t>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初始投资成本与支付的合并对价的账面价值或发行股份的面值总额之间的差额调整资本公积(资本溢价或股本溢价)；资本公</w:t>
      </w:r>
      <w:r>
        <w:rPr>
          <w:spacing w:val="-63"/>
        </w:rPr>
        <w:t> </w:t>
      </w:r>
      <w:r>
        <w:rPr>
          <w:spacing w:val="-63"/>
        </w:rPr>
      </w:r>
      <w:r>
        <w:rPr/>
        <w:t>积不足冲减的，调整留存收益。</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分步实现同一控制下企业合并的，应当以持股比例计算的合并日应享有被合并方账面所有者权益份额作为该项投资的初</w:t>
      </w:r>
      <w:r>
        <w:rPr/>
        <w:t> </w:t>
      </w:r>
      <w:r>
        <w:rPr>
          <w:spacing w:val="-2"/>
        </w:rPr>
        <w:t>始投资成本。初始投资成本与其原长期股权投资账面价值加上合并日取得进一步股份新支付对价的账面价值之和的差额，调</w:t>
      </w:r>
      <w:r>
        <w:rPr>
          <w:spacing w:val="-64"/>
        </w:rPr>
        <w:t> </w:t>
      </w:r>
      <w:r>
        <w:rPr>
          <w:spacing w:val="-64"/>
        </w:rPr>
      </w:r>
      <w:r>
        <w:rPr>
          <w:spacing w:val="-3"/>
        </w:rPr>
        <w:t>整资本公积（资本溢价或股本溢价），资本公积不足冲减的，冲减留存收益。</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（2）</w:t>
      </w:r>
      <w:r>
        <w:rPr>
          <w:spacing w:val="-1"/>
        </w:rPr>
        <w:t> </w:t>
      </w:r>
      <w:r>
        <w:rPr/>
        <w:t>非同一控制下的企业合并形成的，在购买日按照支付的合并对价的公允价值作为其初始投资成本。</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t>（3）</w:t>
      </w:r>
      <w:r>
        <w:rPr>
          <w:spacing w:val="11"/>
        </w:rPr>
        <w:t> </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3"/>
        </w:rPr>
        <w:t> </w:t>
      </w:r>
      <w:r>
        <w:rPr>
          <w:spacing w:val="-63"/>
        </w:rPr>
      </w:r>
      <w:r>
        <w:rPr>
          <w:spacing w:val="-5"/>
        </w:rPr>
        <w:t>投资成本（合同或协议约定价值不公允的除外）。</w:t>
      </w:r>
    </w:p>
    <w:p>
      <w:pPr>
        <w:pStyle w:val="BodyText"/>
        <w:spacing w:line="468" w:lineRule="exact" w:before="10"/>
        <w:ind w:left="472" w:right="1124" w:firstLine="60"/>
        <w:jc w:val="left"/>
      </w:pPr>
      <w:r>
        <w:rPr/>
        <w:t>2. 后续计量及损益确认方法 本公司能够对被投资单位实施控制的长期股权投资,在本公司个别财务报表中采用成本法核算；对具有共同控制或重大</w:t>
      </w:r>
    </w:p>
    <w:p>
      <w:pPr>
        <w:pStyle w:val="BodyText"/>
        <w:spacing w:line="240" w:lineRule="auto" w:before="8"/>
        <w:ind w:right="952"/>
        <w:jc w:val="left"/>
      </w:pPr>
      <w:r>
        <w:rPr/>
        <w:t>影响的长期股权投资，采用权益法核算。</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w:t>
      </w:r>
      <w:r>
        <w:rPr>
          <w:spacing w:val="-86"/>
        </w:rPr>
        <w:t> </w:t>
      </w:r>
      <w:r>
        <w:rPr>
          <w:spacing w:val="-86"/>
        </w:rPr>
      </w:r>
      <w:r>
        <w:rPr/>
        <w:t>长期投资是否减值。</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w:t>
      </w:r>
      <w:r>
        <w:rPr>
          <w:spacing w:val="-84"/>
        </w:rPr>
        <w:t> </w:t>
      </w:r>
      <w:r>
        <w:rPr>
          <w:spacing w:val="-84"/>
        </w:rPr>
      </w:r>
      <w:r>
        <w:rPr/>
        <w:t>计入当期损益,同时调整长期股权投资的成本。</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采用权益法时,取得长期股权投资后,按照应享有或应分担的被投资单位实现的净损益的份额,确认投资损益并调整长期 股权投资的账面价值。在确认应享有被投资单位净损益的份额时,以取得投资时被投资单位各项可辨认资产等的公允价值为</w:t>
      </w:r>
      <w:r>
        <w:rPr>
          <w:spacing w:val="-82"/>
        </w:rPr>
        <w:t> </w:t>
      </w:r>
      <w:r>
        <w:rPr>
          <w:spacing w:val="-82"/>
        </w:rPr>
      </w:r>
      <w:r>
        <w:rPr/>
        <w:t>基础,按照本公司的会计政策及会计期间,并抵销与联营企业及合营企业之间发生的内部交易损益按照持股比例计算归属于</w:t>
      </w:r>
      <w:r>
        <w:rPr>
          <w:spacing w:val="-9"/>
        </w:rPr>
        <w:t> </w:t>
      </w:r>
      <w:r>
        <w:rPr>
          <w:spacing w:val="-9"/>
        </w:rPr>
      </w:r>
      <w:r>
        <w:rPr>
          <w:spacing w:val="-2"/>
        </w:rPr>
        <w:t>投资企业的部分(但内部交易损失属于资产减值损失的,应全额确认),对被投资单位的净利润进行调整后确认。按照被投资单</w:t>
      </w:r>
      <w:r>
        <w:rPr>
          <w:spacing w:val="-62"/>
        </w:rPr>
        <w:t> </w:t>
      </w:r>
      <w:r>
        <w:rPr>
          <w:spacing w:val="-62"/>
        </w:rPr>
      </w:r>
      <w:r>
        <w:rPr>
          <w:spacing w:val="-2"/>
        </w:rPr>
        <w:t>位宣告分派的利润或现金股利计算应分得的部分,相应减少长期股权投资的账面价值。本公司确认被投资单位发生的净亏损,</w:t>
      </w:r>
      <w:r>
        <w:rPr>
          <w:spacing w:val="-61"/>
        </w:rPr>
        <w:t> </w:t>
      </w:r>
      <w:r>
        <w:rPr>
          <w:spacing w:val="-61"/>
        </w:rPr>
      </w:r>
      <w:r>
        <w:rPr/>
        <w:t>以长期股权投资的账面价值以及其他实质上构成对被投资单位净投资的长期权益减记至零为限,本公司负有承担额外损失义</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477" w:lineRule="auto" w:before="44"/>
        <w:ind w:left="532" w:right="1664" w:hanging="420"/>
        <w:jc w:val="left"/>
      </w:pPr>
      <w:r>
        <w:rPr/>
        <w:t>务的除外。对于被投资单位除净损益以外所有者权益的其他变动,调整长期股权投资的账面价值并计入所有者权益。 3.</w:t>
      </w:r>
      <w:r>
        <w:rPr>
          <w:spacing w:val="1"/>
        </w:rPr>
        <w:t> </w:t>
      </w:r>
      <w:r>
        <w:rPr/>
        <w:t>确定对被投资单位具有控制、重大影响的依据</w:t>
      </w:r>
    </w:p>
    <w:p>
      <w:pPr>
        <w:pStyle w:val="BodyText"/>
        <w:spacing w:line="316" w:lineRule="auto" w:before="54"/>
        <w:ind w:right="1130" w:firstLine="360"/>
        <w:jc w:val="both"/>
      </w:pPr>
      <w:r>
        <w:rPr>
          <w:spacing w:val="-2"/>
        </w:rPr>
        <w:t>控制，是指拥有对被投资方的权力，通过参与被投资方的相关活动而享有可变回报，并且有能力运用对被投资方的权力</w:t>
      </w:r>
      <w:r>
        <w:rPr/>
        <w:t> </w:t>
      </w:r>
      <w:r>
        <w:rPr>
          <w:spacing w:val="-2"/>
        </w:rPr>
        <w:t>影响回报金额；重大影响，是指投资方对被投资单位的财务和经营政策有参与决策的权力，但并不能够控制或者与其他方一</w:t>
      </w:r>
      <w:r>
        <w:rPr>
          <w:spacing w:val="-63"/>
        </w:rPr>
        <w:t> </w:t>
      </w:r>
      <w:r>
        <w:rPr>
          <w:spacing w:val="-63"/>
        </w:rPr>
      </w:r>
      <w:r>
        <w:rPr/>
        <w:t>起共同控制这些政策的制定。</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4.</w:t>
      </w:r>
      <w:r>
        <w:rPr>
          <w:spacing w:val="1"/>
        </w:rPr>
        <w:t> </w:t>
      </w:r>
      <w:r>
        <w:rPr/>
        <w:t>长期股权投资的处置</w:t>
      </w:r>
    </w:p>
    <w:p>
      <w:pPr>
        <w:pStyle w:val="BodyText"/>
        <w:spacing w:line="470" w:lineRule="atLeast"/>
        <w:ind w:left="472" w:right="952" w:firstLine="60"/>
        <w:jc w:val="left"/>
      </w:pPr>
      <w:r>
        <w:rPr/>
        <w:t>4.1部分处置对子公司的长期股权投资，但不丧失控制权的情形 </w:t>
      </w:r>
      <w:r>
        <w:rPr>
          <w:spacing w:val="-2"/>
        </w:rPr>
        <w:t>部分处置对子公司的长期股权投资，但不丧失控制权时，应当将处置价款与处置投资对应的账面价值的差额确认为当期</w:t>
      </w:r>
    </w:p>
    <w:p>
      <w:pPr>
        <w:pStyle w:val="BodyText"/>
        <w:spacing w:line="240" w:lineRule="auto" w:before="76"/>
        <w:ind w:right="952"/>
        <w:jc w:val="left"/>
      </w:pPr>
      <w:r>
        <w:rPr/>
        <w:t>投资收益。</w:t>
      </w:r>
    </w:p>
    <w:p>
      <w:pPr>
        <w:pStyle w:val="BodyText"/>
        <w:spacing w:line="460" w:lineRule="atLeast" w:before="8"/>
        <w:ind w:left="472" w:right="952" w:firstLine="60"/>
        <w:jc w:val="left"/>
      </w:pPr>
      <w:r>
        <w:rPr/>
        <w:t>4.2</w:t>
      </w:r>
      <w:r>
        <w:rPr>
          <w:spacing w:val="-1"/>
        </w:rPr>
        <w:t> </w:t>
      </w:r>
      <w:r>
        <w:rPr/>
        <w:t>部分处置股权投资或其他原因丧失了对子公司控制权的情形</w:t>
      </w:r>
      <w:r>
        <w:rPr/>
        <w:t> </w:t>
      </w:r>
      <w:r>
        <w:rPr>
          <w:spacing w:val="-2"/>
        </w:rPr>
        <w:t>部分处置股权投资或其他原因丧失了对子公司控制权的，对于处置的股权，应结转与所售股权相对应的长期股权投资的</w:t>
      </w:r>
    </w:p>
    <w:p>
      <w:pPr>
        <w:pStyle w:val="BodyText"/>
        <w:spacing w:line="316" w:lineRule="auto" w:before="76"/>
        <w:ind w:right="1132"/>
        <w:jc w:val="both"/>
      </w:pPr>
      <w:r>
        <w:rPr>
          <w:spacing w:val="-2"/>
        </w:rPr>
        <w:t>账面价值，出售所得价款与处置长期股权投资账面价值之间差额，确认为投资收益（损失）；同时，对于剩余股权，应当按</w:t>
      </w:r>
      <w:r>
        <w:rPr>
          <w:spacing w:val="-67"/>
        </w:rPr>
        <w:t> </w:t>
      </w:r>
      <w:r>
        <w:rPr>
          <w:spacing w:val="-67"/>
        </w:rPr>
      </w:r>
      <w:r>
        <w:rPr>
          <w:spacing w:val="-2"/>
        </w:rPr>
        <w:t>其账面价值确认为长期股权投资或其它相关金融资产。处置后的剩余股权能够对子公司实施共同控制或重大影响的，应按有</w:t>
      </w:r>
      <w:r>
        <w:rPr>
          <w:spacing w:val="-64"/>
        </w:rPr>
        <w:t> </w:t>
      </w:r>
      <w:r>
        <w:rPr>
          <w:spacing w:val="-64"/>
        </w:rPr>
      </w:r>
      <w:r>
        <w:rPr/>
        <w:t>关成本法转为权益法的相关规定进行会计处理。</w:t>
      </w:r>
    </w:p>
    <w:p>
      <w:pPr>
        <w:pStyle w:val="BodyText"/>
        <w:spacing w:line="468" w:lineRule="exact" w:before="10"/>
        <w:ind w:left="472" w:right="952" w:firstLine="60"/>
        <w:jc w:val="left"/>
      </w:pPr>
      <w:r>
        <w:rPr/>
        <w:t>5. 减值测试方法及减值准备计提方法 </w:t>
      </w:r>
      <w:r>
        <w:rPr>
          <w:spacing w:val="-2"/>
        </w:rPr>
        <w:t>对子公司、联营企业及合营企业的投资，在资产负债表日有客观证据表明其发生减值的，按照账面价值与可收回金额的</w:t>
      </w:r>
    </w:p>
    <w:p>
      <w:pPr>
        <w:pStyle w:val="BodyText"/>
        <w:spacing w:line="240" w:lineRule="auto" w:before="8"/>
        <w:ind w:right="952"/>
        <w:jc w:val="left"/>
      </w:pPr>
      <w:r>
        <w:rPr/>
        <w:t>差额计提相应的减值准备。</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240" w:lineRule="auto" w:before="29"/>
        <w:ind w:left="532" w:right="952"/>
        <w:jc w:val="left"/>
      </w:pPr>
      <w:r>
        <w:rPr/>
        <w:t>1.</w:t>
      </w:r>
      <w:r>
        <w:rPr>
          <w:spacing w:val="1"/>
        </w:rPr>
        <w:t> </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2.</w:t>
      </w:r>
      <w:r>
        <w:rPr>
          <w:spacing w:val="1"/>
        </w:rPr>
        <w:t> </w:t>
      </w:r>
      <w:r>
        <w:rPr/>
        <w:t>公司取得的投资性房地产按照成本进行初始计量。</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（1）外购投资性房地产的成本，包括购买价款、相关税费和可直接归属于该资产的相关支出。</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（2）自行建造投资性房地产的成本，由建造该项资产达到预定可使用状态前所发生的必要支出构成。</w:t>
      </w:r>
    </w:p>
    <w:p>
      <w:pPr>
        <w:spacing w:line="240" w:lineRule="auto" w:before="10"/>
        <w:rPr>
          <w:rFonts w:ascii="宋体" w:hAnsi="宋体" w:cs="宋体" w:eastAsia="宋体" w:hint="default"/>
          <w:sz w:val="17"/>
          <w:szCs w:val="17"/>
        </w:rPr>
      </w:pPr>
    </w:p>
    <w:p>
      <w:pPr>
        <w:pStyle w:val="BodyText"/>
        <w:spacing w:line="477" w:lineRule="auto"/>
        <w:ind w:left="532" w:right="4034"/>
        <w:jc w:val="left"/>
      </w:pPr>
      <w:r>
        <w:rPr/>
        <w:t>（3）以其他方式取得的投资性房地产的成本，按照相关会计准则的规定确认。 3. 公司在资产负债表日采用成本模式对投资性房地产进行后续计量。 本公司对投资性房地产在使用寿命内扣除预计净残值后按年限平均法计提折旧。</w:t>
      </w:r>
    </w:p>
    <w:p>
      <w:pPr>
        <w:spacing w:line="240" w:lineRule="auto" w:before="1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790"/>
        <w:gridCol w:w="4027"/>
        <w:gridCol w:w="1978"/>
      </w:tblGrid>
      <w:tr>
        <w:trPr>
          <w:trHeight w:val="347" w:hRule="exact"/>
        </w:trPr>
        <w:tc>
          <w:tcPr>
            <w:tcW w:w="279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402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74"/>
              <w:jc w:val="right"/>
              <w:rPr>
                <w:rFonts w:ascii="宋体" w:hAnsi="宋体" w:cs="宋体" w:eastAsia="宋体" w:hint="default"/>
                <w:sz w:val="18"/>
                <w:szCs w:val="18"/>
              </w:rPr>
            </w:pPr>
            <w:r>
              <w:rPr>
                <w:rFonts w:ascii="宋体" w:hAnsi="宋体" w:cs="宋体" w:eastAsia="宋体" w:hint="default"/>
                <w:b/>
                <w:bCs/>
                <w:w w:val="95"/>
                <w:sz w:val="18"/>
                <w:szCs w:val="18"/>
              </w:rPr>
              <w:t>残值率（%）</w:t>
            </w:r>
            <w:r>
              <w:rPr>
                <w:rFonts w:ascii="宋体" w:hAnsi="宋体" w:cs="宋体" w:eastAsia="宋体" w:hint="default"/>
                <w:sz w:val="18"/>
                <w:szCs w:val="18"/>
              </w:rPr>
            </w:r>
          </w:p>
        </w:tc>
        <w:tc>
          <w:tcPr>
            <w:tcW w:w="197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b/>
                <w:bCs/>
                <w:w w:val="95"/>
                <w:sz w:val="18"/>
                <w:szCs w:val="18"/>
              </w:rPr>
              <w:t>折旧率（%）</w:t>
            </w:r>
            <w:r>
              <w:rPr>
                <w:rFonts w:ascii="宋体" w:hAnsi="宋体" w:cs="宋体" w:eastAsia="宋体" w:hint="default"/>
                <w:sz w:val="18"/>
                <w:szCs w:val="18"/>
              </w:rPr>
            </w:r>
          </w:p>
        </w:tc>
      </w:tr>
      <w:tr>
        <w:trPr>
          <w:trHeight w:val="364" w:hRule="exact"/>
        </w:trPr>
        <w:tc>
          <w:tcPr>
            <w:tcW w:w="279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20-45年</w:t>
            </w:r>
          </w:p>
        </w:tc>
        <w:tc>
          <w:tcPr>
            <w:tcW w:w="4027"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978"/>
              <w:jc w:val="right"/>
              <w:rPr>
                <w:rFonts w:ascii="宋体" w:hAnsi="宋体" w:cs="宋体" w:eastAsia="宋体" w:hint="default"/>
                <w:sz w:val="18"/>
                <w:szCs w:val="18"/>
              </w:rPr>
            </w:pPr>
            <w:r>
              <w:rPr>
                <w:rFonts w:ascii="宋体"/>
                <w:sz w:val="18"/>
              </w:rPr>
              <w:t>5</w:t>
            </w:r>
          </w:p>
        </w:tc>
        <w:tc>
          <w:tcPr>
            <w:tcW w:w="197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pacing w:val="-1"/>
                <w:sz w:val="18"/>
              </w:rPr>
              <w:t>2.11-4.75</w:t>
            </w:r>
          </w:p>
        </w:tc>
      </w:tr>
    </w:tbl>
    <w:p>
      <w:pPr>
        <w:pStyle w:val="BodyText"/>
        <w:spacing w:line="235" w:lineRule="exact"/>
        <w:ind w:left="532" w:right="952"/>
        <w:jc w:val="left"/>
      </w:pPr>
      <w:r>
        <w:rPr/>
        <w:t>投资性房地产的减值按照“非金融长期资产减值</w:t>
      </w:r>
      <w:r>
        <w:rPr>
          <w:rFonts w:ascii="Times New Roman" w:hAnsi="Times New Roman" w:cs="Times New Roman" w:eastAsia="Times New Roman" w:hint="default"/>
        </w:rPr>
        <w:t>”</w:t>
      </w:r>
      <w:r>
        <w:rPr/>
        <w:t>的核算方法所述的规定处理。</w:t>
      </w:r>
    </w:p>
    <w:p>
      <w:pPr>
        <w:spacing w:line="240" w:lineRule="auto" w:before="9"/>
        <w:rPr>
          <w:rFonts w:ascii="宋体" w:hAnsi="宋体" w:cs="宋体" w:eastAsia="宋体" w:hint="default"/>
          <w:sz w:val="16"/>
          <w:szCs w:val="16"/>
        </w:rPr>
      </w:pPr>
    </w:p>
    <w:p>
      <w:pPr>
        <w:pStyle w:val="BodyText"/>
        <w:spacing w:line="316" w:lineRule="auto"/>
        <w:ind w:right="1026" w:firstLine="420"/>
        <w:jc w:val="left"/>
      </w:pPr>
      <w:r>
        <w:rPr>
          <w:spacing w:val="-1"/>
        </w:rPr>
        <w:t>当投资性房地产被处置，或者永久退出使用且预计不能从其处置中取得未来经济利益时，终止确认该项投资性房地产。</w:t>
      </w:r>
      <w:r>
        <w:rPr/>
        <w:t> </w:t>
      </w:r>
      <w:r>
        <w:rPr>
          <w:spacing w:val="-2"/>
        </w:rPr>
        <w:t>公司出售、转让、报废投资性房地产或者发生投资性房地产毁损，将处置收入扣除其账面价值和相关税费后的金额计入当期</w:t>
      </w:r>
    </w:p>
    <w:p>
      <w:pPr>
        <w:spacing w:after="0" w:line="316"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损益。</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52" w:firstLine="360"/>
        <w:jc w:val="left"/>
      </w:pPr>
      <w:r>
        <w:rPr/>
        <w:t>本公司的固定资产是指为生产商品、提供劳务、出租或经营管理而持有的、使用寿命超过一个会计年度的有形资产。 </w:t>
      </w:r>
      <w:r>
        <w:rPr>
          <w:spacing w:val="-5"/>
        </w:rPr>
        <w:t>固定资产在同时满足下列条件时予以确认：（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）该固定资产的成本能够</w:t>
      </w:r>
      <w:r>
        <w:rPr>
          <w:spacing w:val="-74"/>
        </w:rPr>
        <w:t> </w:t>
      </w:r>
      <w:r>
        <w:rPr>
          <w:spacing w:val="-74"/>
        </w:rPr>
      </w:r>
      <w:r>
        <w:rPr/>
        <w:t>可靠地计量。</w:t>
      </w:r>
    </w:p>
    <w:p>
      <w:pPr>
        <w:spacing w:line="240" w:lineRule="auto" w:before="0"/>
        <w:rPr>
          <w:rFonts w:ascii="宋体" w:hAnsi="宋体" w:cs="宋体" w:eastAsia="宋体" w:hint="default"/>
          <w:sz w:val="23"/>
          <w:szCs w:val="23"/>
        </w:rPr>
      </w:pPr>
    </w:p>
    <w:p>
      <w:pPr>
        <w:pStyle w:val="Heading3"/>
        <w:spacing w:line="240" w:lineRule="auto"/>
        <w:ind w:right="952"/>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2.11-4.75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77" w:lineRule="auto" w:before="11"/>
        <w:ind w:right="1154" w:firstLine="420"/>
        <w:jc w:val="left"/>
      </w:pPr>
      <w:r>
        <w:rPr/>
        <w:t>在考虑减值准备的情况下，按单项固定资产扣除减值准备后的账面净额和剩余折旧年限，分项确定并计提各期折旧。 固定资产的减值按照</w:t>
      </w:r>
      <w:r>
        <w:rPr>
          <w:rFonts w:ascii="Times New Roman" w:hAnsi="Times New Roman" w:cs="Times New Roman" w:eastAsia="Times New Roman" w:hint="default"/>
        </w:rPr>
        <w:t>“</w:t>
      </w:r>
      <w:r>
        <w:rPr/>
        <w:t>非金融长期资产减值</w:t>
      </w:r>
      <w:r>
        <w:rPr>
          <w:rFonts w:ascii="Times New Roman" w:hAnsi="Times New Roman" w:cs="Times New Roman" w:eastAsia="Times New Roman" w:hint="default"/>
        </w:rPr>
        <w:t>”</w:t>
      </w:r>
      <w:r>
        <w:rPr/>
        <w:t>的核算方法所述的规定处理。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952"/>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right="1130" w:firstLine="420"/>
        <w:jc w:val="both"/>
      </w:pPr>
      <w:r>
        <w:rPr/>
        <w:t>本公司在建工程以实际发生金额核算，并于达到预定可使用状态时转作固定资产。在建设期或安装期间为该工程所发 </w:t>
      </w:r>
      <w:r>
        <w:rPr>
          <w:spacing w:val="-2"/>
        </w:rPr>
        <w:t>生的借款利息支出、汇兑损益计入该工程成本。已交付使用的在建工程不能按时办理竣工决算的，暂估转入固定资产，待正</w:t>
      </w:r>
      <w:r>
        <w:rPr>
          <w:spacing w:val="-64"/>
        </w:rPr>
        <w:t> </w:t>
      </w:r>
      <w:r>
        <w:rPr>
          <w:spacing w:val="-64"/>
        </w:rPr>
      </w:r>
      <w:r>
        <w:rPr/>
        <w:t>式办理竣工决算后，再按照实际成本调整原来的暂估价值，但不调整原已计提的折旧。</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在建工程的减值按照</w:t>
      </w:r>
      <w:r>
        <w:rPr>
          <w:rFonts w:ascii="Times New Roman" w:hAnsi="Times New Roman" w:cs="Times New Roman" w:eastAsia="Times New Roman" w:hint="default"/>
        </w:rPr>
        <w:t>“</w:t>
      </w:r>
      <w:r>
        <w:rPr/>
        <w:t>非金融长期资产减值</w:t>
      </w:r>
      <w:r>
        <w:rPr>
          <w:rFonts w:ascii="Times New Roman" w:hAnsi="Times New Roman" w:cs="Times New Roman" w:eastAsia="Times New Roman" w:hint="default"/>
        </w:rPr>
        <w:t>”</w:t>
      </w:r>
      <w:r>
        <w:rPr/>
        <w:t>的核算方法所述的规定处理。</w:t>
      </w:r>
    </w:p>
    <w:p>
      <w:pPr>
        <w:spacing w:line="240" w:lineRule="auto" w:before="13"/>
        <w:rPr>
          <w:rFonts w:ascii="宋体" w:hAnsi="宋体" w:cs="宋体" w:eastAsia="宋体" w:hint="default"/>
          <w:sz w:val="25"/>
          <w:szCs w:val="25"/>
        </w:rPr>
      </w:pPr>
    </w:p>
    <w:p>
      <w:pPr>
        <w:pStyle w:val="Heading3"/>
        <w:spacing w:line="240" w:lineRule="auto"/>
        <w:ind w:right="952"/>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60" w:lineRule="atLeast" w:before="122"/>
        <w:ind w:left="532" w:right="952"/>
        <w:jc w:val="left"/>
      </w:pPr>
      <w:r>
        <w:rPr/>
        <w:t>1. 借款费用资本化的确认原则 公司发生的借款费用，可直接归属于符合资本化条件的资产的购建或者生产的，予以资本化，计入相关资产成本；其</w:t>
      </w:r>
    </w:p>
    <w:p>
      <w:pPr>
        <w:pStyle w:val="BodyText"/>
        <w:spacing w:line="240" w:lineRule="auto" w:before="76"/>
        <w:ind w:right="952"/>
        <w:jc w:val="left"/>
      </w:pPr>
      <w:r>
        <w:rPr/>
        <w:t>他借款费用，在发生时根据其发生额确认为费用，计入当期损益。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符合资本化条件的资产，是指需要经过相当长时间的购建或者生产活动才能达到预定可使用或者可销售状态的固定资 产、投资性房地产和存货等资产。</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借款费用同时满足下列条件时开始资本化：</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2" w:firstLine="360"/>
        <w:jc w:val="both"/>
      </w:pPr>
      <w:r>
        <w:rPr/>
        <w:t>（1）资产支出已经发生，资产支出包括为购建或者生产符合资本化条件的资产而以支付现金、转移非现金资产或者承 担带息债务形式发生的支出；</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（2）借款费用已经发生；</w:t>
      </w:r>
    </w:p>
    <w:p>
      <w:pPr>
        <w:spacing w:line="240" w:lineRule="auto" w:before="10"/>
        <w:rPr>
          <w:rFonts w:ascii="宋体" w:hAnsi="宋体" w:cs="宋体" w:eastAsia="宋体" w:hint="default"/>
          <w:sz w:val="17"/>
          <w:szCs w:val="17"/>
        </w:rPr>
      </w:pPr>
    </w:p>
    <w:p>
      <w:pPr>
        <w:pStyle w:val="BodyText"/>
        <w:spacing w:line="477" w:lineRule="auto"/>
        <w:ind w:left="532" w:right="952" w:hanging="60"/>
        <w:jc w:val="left"/>
      </w:pPr>
      <w:r>
        <w:rPr/>
        <w:t>（3）为使资产达到预定可使用或者可销售状态所必要的购建或者生产活动已经开始。 </w:t>
      </w:r>
      <w:r>
        <w:rPr>
          <w:spacing w:val="-3"/>
        </w:rPr>
        <w:t>当符合资本化条件的资产在购建或者生产过程中发生非正常中断、且中断时间连续超过3个月的，借款费用暂停资本化。</w:t>
      </w:r>
      <w:r>
        <w:rPr/>
        <w:t> 当购建或者生产符合资本化条件的资产达到预定可使用或者可销售状态时，借款费用停止资本化。 当购建或者生产符合资本化条件的资产中部分项目分别完工且可单独使用时，该部分资产借款费用停止资本化。 2．借款费用资本化期间 资本化期间，指从借款费用开始资本化时点到停止资本化时点的期间，借款费用暂停资本化的期间不包括在内。 3．借款费用资本化金额</w:t>
      </w:r>
    </w:p>
    <w:p>
      <w:pPr>
        <w:pStyle w:val="BodyText"/>
        <w:spacing w:line="240" w:lineRule="auto" w:before="54"/>
        <w:ind w:left="532" w:right="952"/>
        <w:jc w:val="left"/>
      </w:pPr>
      <w:r>
        <w:rPr/>
        <w:t>借款费用资本化金额的计算方法</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t>（1）借款利息的资本化金额：为购建或者生产符合资本化条件的资产而借入专门借款的，每一会计期间的利息资本化 </w:t>
      </w:r>
      <w:r>
        <w:rPr>
          <w:spacing w:val="-2"/>
        </w:rPr>
        <w:t>金额，不超过专门借款当期实际发生的利息费用，减去将尚未动用的借款资金存入银行取得的利息收入或进行暂时性投资取</w:t>
      </w:r>
      <w:r>
        <w:rPr>
          <w:spacing w:val="-64"/>
        </w:rPr>
        <w:t> </w:t>
      </w:r>
      <w:r>
        <w:rPr>
          <w:spacing w:val="-64"/>
        </w:rPr>
      </w:r>
      <w:r>
        <w:rPr/>
        <w:t>得的投资收益后的金额。</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为购建或者生产开发符合资本化条件的资产而占用了一般借款的，根据累计资产支出超过专门借款部分的资产支出加权</w:t>
      </w:r>
      <w:r>
        <w:rPr/>
        <w:t> </w:t>
      </w:r>
      <w:r>
        <w:rPr>
          <w:spacing w:val="-2"/>
        </w:rPr>
        <w:t>平均数乘以所占用一般借款的资本化率，计算确定一般借款应予资本化的利息金额。资本化率根据一般借款加权平均利率计</w:t>
      </w:r>
      <w:r>
        <w:rPr>
          <w:spacing w:val="-64"/>
        </w:rPr>
        <w:t> </w:t>
      </w:r>
      <w:r>
        <w:rPr>
          <w:spacing w:val="-64"/>
        </w:rPr>
      </w:r>
      <w:r>
        <w:rPr/>
        <w:t>算确定。每一会计期间的利息资本化金额，不超过当期相关借款实际发生的利息金额。</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借款存在折价或溢价的，按照实际利率法确定每一会计期间应摊销的折价或者溢价金额，调整每期利息金额。</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t>（2）辅助费用：专门借款发生的辅助费用，在所购建或者生产的符合资本化条件的资产达到预定可使用或者可销售状 </w:t>
      </w:r>
      <w:r>
        <w:rPr>
          <w:spacing w:val="-2"/>
        </w:rPr>
        <w:t>态之前发生的，应当在发生时根据其发生额予以资本化，计入符合资本化条件的资产成本；在所购建或者生产的符合资本化</w:t>
      </w:r>
      <w:r>
        <w:rPr>
          <w:spacing w:val="-63"/>
        </w:rPr>
        <w:t> </w:t>
      </w:r>
      <w:r>
        <w:rPr>
          <w:spacing w:val="-63"/>
        </w:rPr>
      </w:r>
      <w:r>
        <w:rPr/>
        <w:t>条件的资产达到预定可使用或者可销售状态之后发生的，在发生时根据其发生额确认为费用，计入当期损益。</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一般借款发生的辅助费用，在发生时根据其发生额确认为费用，计入当期损益。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right="1041" w:firstLine="360"/>
        <w:jc w:val="both"/>
      </w:pPr>
      <w:r>
        <w:rPr>
          <w:spacing w:val="-2"/>
        </w:rPr>
        <w:t>（3）外币专门借款汇兑差额资本化金额的确定：在资本化期间内，外币专门借款本金及利息的汇兑差额，予以资本化，</w:t>
      </w:r>
      <w:r>
        <w:rPr/>
        <w:t> 除此之外的其他外币借款本金及利息所产生的汇兑差额在发生时根据其发生额确认为费用，计入当期损益。</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right="952" w:firstLine="360"/>
        <w:jc w:val="left"/>
      </w:pPr>
      <w:r>
        <w:rPr>
          <w:spacing w:val="-2"/>
        </w:rPr>
        <w:t>本公司的无形资产是指企业拥有或控制的没有实物形态的可辨认非货币性资产。包括专利权、非专利技术、商标权、著</w:t>
      </w:r>
      <w:r>
        <w:rPr/>
        <w:t> 作权、土地使用权、特许权等。</w:t>
      </w:r>
    </w:p>
    <w:p>
      <w:pPr>
        <w:spacing w:after="0" w:line="316"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0" w:firstLine="360"/>
        <w:jc w:val="both"/>
      </w:pPr>
      <w:r>
        <w:rPr>
          <w:spacing w:val="-2"/>
        </w:rPr>
        <w:t>公司于取得无形资产时分析判断其使用寿命，将其分为使用寿命有限的无形资产和使用寿命不确定的无形资产。使用寿</w:t>
      </w:r>
      <w:r>
        <w:rPr/>
        <w:t> </w:t>
      </w:r>
      <w:r>
        <w:rPr>
          <w:spacing w:val="-2"/>
        </w:rPr>
        <w:t>命有限的无形资产，其应摊销金额在使用寿命内按直线法摊销，计入当期损益，本公司至少于每年年度终了，对使用寿命有</w:t>
      </w:r>
      <w:r>
        <w:rPr>
          <w:spacing w:val="-64"/>
        </w:rPr>
        <w:t> </w:t>
      </w:r>
      <w:r>
        <w:rPr>
          <w:spacing w:val="-64"/>
        </w:rPr>
      </w:r>
      <w:r>
        <w:rPr>
          <w:spacing w:val="-2"/>
        </w:rPr>
        <w:t>限的无形资产的使用寿命及摊销方法进行复核，必要时进行调整。经复核本年末无形资产的使用寿命及摊销方法与以前估计</w:t>
      </w:r>
      <w:r>
        <w:rPr>
          <w:spacing w:val="-64"/>
        </w:rPr>
        <w:t> </w:t>
      </w:r>
      <w:r>
        <w:rPr>
          <w:spacing w:val="-64"/>
        </w:rPr>
      </w:r>
      <w:r>
        <w:rPr>
          <w:spacing w:val="-2"/>
        </w:rPr>
        <w:t>未有不同。无法预见无形资产为公司带来经济利益期限的，视为使用寿命不确定的无形资产。每年末，对使用寿命不确定的</w:t>
      </w:r>
      <w:r>
        <w:rPr>
          <w:spacing w:val="-64"/>
        </w:rPr>
        <w:t> </w:t>
      </w:r>
      <w:r>
        <w:rPr>
          <w:spacing w:val="-64"/>
        </w:rPr>
      </w:r>
      <w:r>
        <w:rPr/>
        <w:t>无形资产的使用寿命进行复核。本年公司无使用寿命不确定的无形资产。</w:t>
      </w:r>
    </w:p>
    <w:p>
      <w:pPr>
        <w:spacing w:line="240" w:lineRule="auto" w:before="5"/>
        <w:rPr>
          <w:rFonts w:ascii="宋体" w:hAnsi="宋体" w:cs="宋体" w:eastAsia="宋体" w:hint="default"/>
          <w:sz w:val="13"/>
          <w:szCs w:val="13"/>
        </w:rPr>
      </w:pPr>
    </w:p>
    <w:p>
      <w:pPr>
        <w:pStyle w:val="BodyText"/>
        <w:spacing w:line="316" w:lineRule="auto"/>
        <w:ind w:right="952" w:firstLine="360"/>
        <w:jc w:val="left"/>
      </w:pPr>
      <w:r>
        <w:rPr>
          <w:spacing w:val="-2"/>
        </w:rPr>
        <w:t>公司无形项目的支出，除符合无形资产的确认条件构成无形资产成本的部分或非同一控制下企业合并中取得的、不能单</w:t>
      </w:r>
      <w:r>
        <w:rPr/>
        <w:t> 独确认为无形资产、构成购买日确认的商誉的部分外，均应于发生时计入当期损益。</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2" w:firstLine="360"/>
        <w:jc w:val="left"/>
      </w:pPr>
      <w:r>
        <w:rPr>
          <w:spacing w:val="-4"/>
        </w:rPr>
        <w:t>内部研究开发项目研究阶段的支出，于发生时计入当期损益。内部研究开发项目开发阶段的支出，同时满足下列条件的，</w:t>
      </w:r>
      <w:r>
        <w:rPr/>
        <w:t> </w:t>
      </w:r>
      <w:r>
        <w:rPr>
          <w:spacing w:val="-5"/>
        </w:rPr>
        <w:t>确认为无形资产：（1）完成该无形资产以使其能够使用或出售在技术上具有可行性；（2）具有完成该无形资产并使用或出售</w:t>
      </w:r>
      <w:r>
        <w:rPr>
          <w:spacing w:val="-73"/>
        </w:rPr>
        <w:t> </w:t>
      </w:r>
      <w:r>
        <w:rPr>
          <w:spacing w:val="-73"/>
        </w:rPr>
      </w:r>
      <w:r>
        <w:rPr>
          <w:spacing w:val="-2"/>
        </w:rPr>
        <w:t>的意图；（3）无形资产产生经济利益的方式，包括能够证明运用该无形资产生产的产品存在市场或无形资产自身存在市场，</w:t>
      </w:r>
      <w:r>
        <w:rPr>
          <w:spacing w:val="-71"/>
        </w:rPr>
        <w:t> </w:t>
      </w:r>
      <w:r>
        <w:rPr>
          <w:spacing w:val="-71"/>
        </w:rPr>
      </w:r>
      <w:r>
        <w:rPr>
          <w:spacing w:val="-4"/>
        </w:rPr>
        <w:t>无形资产将在内部使用的，能证明其有用性；（4）有足够的技术、财务资源和其他资源支持，以完成该无形资产的开发，并</w:t>
      </w:r>
      <w:r>
        <w:rPr>
          <w:spacing w:val="-43"/>
        </w:rPr>
        <w:t> </w:t>
      </w:r>
      <w:r>
        <w:rPr>
          <w:spacing w:val="-43"/>
        </w:rPr>
      </w:r>
      <w:r>
        <w:rPr>
          <w:spacing w:val="-3"/>
        </w:rPr>
        <w:t>有能力使用或出售该无形资产；（5）归属于该无形资产开发阶段的支出能够可靠地计量。</w:t>
      </w:r>
    </w:p>
    <w:p>
      <w:pPr>
        <w:spacing w:line="240" w:lineRule="auto" w:before="5"/>
        <w:rPr>
          <w:rFonts w:ascii="宋体" w:hAnsi="宋体" w:cs="宋体" w:eastAsia="宋体" w:hint="default"/>
          <w:sz w:val="13"/>
          <w:szCs w:val="13"/>
        </w:rPr>
      </w:pPr>
    </w:p>
    <w:p>
      <w:pPr>
        <w:pStyle w:val="BodyText"/>
        <w:spacing w:line="316" w:lineRule="auto"/>
        <w:ind w:right="952" w:firstLine="360"/>
        <w:jc w:val="left"/>
      </w:pPr>
      <w:r>
        <w:rPr>
          <w:spacing w:val="-2"/>
        </w:rPr>
        <w:t>公司在每年年度终了，对使用寿命有限的无形资产的使用寿命及摊销方法进行复核。无形资产的预计使用寿命及摊销方</w:t>
      </w:r>
      <w:r>
        <w:rPr/>
        <w:t> 法与以前估计不同的，根据该项无形资产的预期消耗方式修改摊销期限和摊销方法。</w:t>
      </w:r>
    </w:p>
    <w:p>
      <w:pPr>
        <w:spacing w:line="240" w:lineRule="auto" w:before="5"/>
        <w:rPr>
          <w:rFonts w:ascii="宋体" w:hAnsi="宋体" w:cs="宋体" w:eastAsia="宋体" w:hint="default"/>
          <w:sz w:val="13"/>
          <w:szCs w:val="13"/>
        </w:rPr>
      </w:pPr>
    </w:p>
    <w:p>
      <w:pPr>
        <w:pStyle w:val="BodyText"/>
        <w:spacing w:line="451" w:lineRule="auto"/>
        <w:ind w:left="472" w:right="3734"/>
        <w:jc w:val="left"/>
      </w:pPr>
      <w:r>
        <w:rPr/>
        <w:t>无形资产的减值按照</w:t>
      </w:r>
      <w:r>
        <w:rPr>
          <w:rFonts w:ascii="Times New Roman" w:hAnsi="Times New Roman" w:cs="Times New Roman" w:eastAsia="Times New Roman" w:hint="default"/>
        </w:rPr>
        <w:t>“</w:t>
      </w:r>
      <w:r>
        <w:rPr/>
        <w:t>非金融长期资产减值</w:t>
      </w:r>
      <w:r>
        <w:rPr>
          <w:rFonts w:ascii="Times New Roman" w:hAnsi="Times New Roman" w:cs="Times New Roman" w:eastAsia="Times New Roman" w:hint="default"/>
        </w:rPr>
        <w:t>”</w:t>
      </w:r>
      <w:r>
        <w:rPr/>
        <w:t>的核算方法所述的规定处理。 当无形资产预期不能为本公司带来经济利益时，将该无形资产的账面价值予以转销。</w:t>
      </w:r>
    </w:p>
    <w:p>
      <w:pPr>
        <w:spacing w:line="240" w:lineRule="auto" w:before="12"/>
        <w:rPr>
          <w:rFonts w:ascii="宋体" w:hAnsi="宋体" w:cs="宋体" w:eastAsia="宋体" w:hint="default"/>
          <w:sz w:val="14"/>
          <w:szCs w:val="14"/>
        </w:rPr>
      </w:pPr>
    </w:p>
    <w:p>
      <w:pPr>
        <w:pStyle w:val="Heading3"/>
        <w:spacing w:line="240" w:lineRule="auto"/>
        <w:ind w:right="952"/>
        <w:jc w:val="left"/>
        <w:rPr>
          <w:b w:val="0"/>
          <w:bCs w:val="0"/>
        </w:rPr>
      </w:pPr>
      <w:bookmarkStart w:name="22、长期资产减值" w:id="202"/>
      <w:bookmarkEnd w:id="20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3" w:firstLine="420"/>
        <w:jc w:val="left"/>
      </w:pPr>
      <w:r>
        <w:rPr/>
        <w:t>1.</w:t>
      </w:r>
      <w:r>
        <w:rPr>
          <w:spacing w:val="-49"/>
        </w:rPr>
        <w:t> </w:t>
      </w:r>
      <w:r>
        <w:rPr/>
        <w:t>资产减值，是指资产的可收回金额低于其账面价值。资产，包括单项资产和资产组。资产组是指企业可以认定的最</w:t>
      </w:r>
      <w:r>
        <w:rPr/>
        <w:t> 小资产组合，其产生的现金流入应当基本上独立于其他资产或者资产组产生的现金流入。</w:t>
      </w:r>
    </w:p>
    <w:p>
      <w:pPr>
        <w:spacing w:line="240" w:lineRule="auto" w:before="5"/>
        <w:rPr>
          <w:rFonts w:ascii="宋体" w:hAnsi="宋体" w:cs="宋体" w:eastAsia="宋体" w:hint="default"/>
          <w:sz w:val="13"/>
          <w:szCs w:val="13"/>
        </w:rPr>
      </w:pPr>
    </w:p>
    <w:p>
      <w:pPr>
        <w:pStyle w:val="BodyText"/>
        <w:spacing w:line="477" w:lineRule="auto"/>
        <w:ind w:left="532" w:right="6734"/>
        <w:jc w:val="left"/>
      </w:pPr>
      <w:r>
        <w:rPr/>
        <w:t>2. 可能发生减值资产的认定 存在下列迹象的，表明资产可能发生了减值：</w:t>
      </w:r>
    </w:p>
    <w:p>
      <w:pPr>
        <w:pStyle w:val="BodyText"/>
        <w:spacing w:line="240" w:lineRule="auto" w:before="54"/>
        <w:ind w:left="532" w:right="952"/>
        <w:jc w:val="left"/>
      </w:pPr>
      <w:r>
        <w:rPr/>
        <w:t>（1）资产的市价当期大幅度下跌，其跌幅明显高于因时间的推移或者正常使用而预计的下跌。</w:t>
      </w:r>
    </w:p>
    <w:p>
      <w:pPr>
        <w:spacing w:line="240" w:lineRule="auto" w:before="10"/>
        <w:rPr>
          <w:rFonts w:ascii="宋体" w:hAnsi="宋体" w:cs="宋体" w:eastAsia="宋体" w:hint="default"/>
          <w:sz w:val="17"/>
          <w:szCs w:val="17"/>
        </w:rPr>
      </w:pPr>
    </w:p>
    <w:p>
      <w:pPr>
        <w:pStyle w:val="BodyText"/>
        <w:spacing w:line="316" w:lineRule="auto"/>
        <w:ind w:right="1116" w:firstLine="420"/>
        <w:jc w:val="left"/>
      </w:pPr>
      <w:r>
        <w:rPr>
          <w:spacing w:val="-1"/>
        </w:rPr>
        <w:t>（2）企业经营所处的经济、技术或法律等环境以及资产所处的市场在当期或将在近期发生重大变化，从而对企业产生</w:t>
      </w:r>
      <w:r>
        <w:rPr/>
        <w:t> 不利影响。</w:t>
      </w:r>
    </w:p>
    <w:p>
      <w:pPr>
        <w:spacing w:line="240" w:lineRule="auto" w:before="5"/>
        <w:rPr>
          <w:rFonts w:ascii="宋体" w:hAnsi="宋体" w:cs="宋体" w:eastAsia="宋体" w:hint="default"/>
          <w:sz w:val="13"/>
          <w:szCs w:val="13"/>
        </w:rPr>
      </w:pPr>
    </w:p>
    <w:p>
      <w:pPr>
        <w:pStyle w:val="BodyText"/>
        <w:spacing w:line="316" w:lineRule="auto"/>
        <w:ind w:right="1116" w:firstLine="420"/>
        <w:jc w:val="left"/>
      </w:pPr>
      <w:r>
        <w:rPr>
          <w:spacing w:val="-1"/>
        </w:rPr>
        <w:t>（3）市场利率或者其他市场投资回报率在当期已经提高，从而影响企业计算资产预计未来现金流量现值的折现率，导</w:t>
      </w:r>
      <w:r>
        <w:rPr/>
        <w:t> 致资产可收回金额大幅度降低。</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（4）有证据表明资产已经陈旧过时或其实体已经损坏。</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（5）资产已经或者将被闲置、终止使用或者计划提前处置。</w:t>
      </w:r>
    </w:p>
    <w:p>
      <w:pPr>
        <w:spacing w:line="240" w:lineRule="auto" w:before="10"/>
        <w:rPr>
          <w:rFonts w:ascii="宋体" w:hAnsi="宋体" w:cs="宋体" w:eastAsia="宋体" w:hint="default"/>
          <w:sz w:val="17"/>
          <w:szCs w:val="17"/>
        </w:rPr>
      </w:pPr>
    </w:p>
    <w:p>
      <w:pPr>
        <w:pStyle w:val="BodyText"/>
        <w:spacing w:line="316" w:lineRule="auto"/>
        <w:ind w:right="1116" w:firstLine="420"/>
        <w:jc w:val="left"/>
      </w:pPr>
      <w:r>
        <w:rPr>
          <w:spacing w:val="-1"/>
        </w:rPr>
        <w:t>（6）企业内部报告的证据表明资产的经济绩效已经低于或者将低于预期，如资产所创造的净现金流量或者实现的营业</w:t>
      </w:r>
      <w:r>
        <w:rPr/>
        <w:t> 利润（或者亏损）远远低于（或者高于）预计金额等。</w:t>
      </w:r>
    </w:p>
    <w:p>
      <w:pPr>
        <w:spacing w:line="240" w:lineRule="auto" w:before="5"/>
        <w:rPr>
          <w:rFonts w:ascii="宋体" w:hAnsi="宋体" w:cs="宋体" w:eastAsia="宋体" w:hint="default"/>
          <w:sz w:val="13"/>
          <w:szCs w:val="13"/>
        </w:rPr>
      </w:pPr>
    </w:p>
    <w:p>
      <w:pPr>
        <w:pStyle w:val="BodyText"/>
        <w:spacing w:line="477" w:lineRule="auto"/>
        <w:ind w:left="532" w:right="6644"/>
        <w:jc w:val="left"/>
      </w:pPr>
      <w:r>
        <w:rPr/>
        <w:t>（7）其他表明资产可能已经发生减值的迹象。 3.</w:t>
      </w:r>
      <w:r>
        <w:rPr>
          <w:spacing w:val="1"/>
        </w:rPr>
        <w:t> </w:t>
      </w:r>
      <w:r>
        <w:rPr/>
        <w:t>资产可收回金额的计量</w:t>
      </w:r>
    </w:p>
    <w:p>
      <w:pPr>
        <w:spacing w:after="0" w:line="477" w:lineRule="auto"/>
        <w:jc w:val="left"/>
        <w:sectPr>
          <w:footerReference w:type="default" r:id="rId26"/>
          <w:pgSz w:w="11910" w:h="16840"/>
          <w:pgMar w:footer="1009" w:header="919" w:top="1120" w:bottom="1200" w:left="1020" w:right="0"/>
          <w:pgNumType w:start="120"/>
        </w:sectPr>
      </w:pPr>
    </w:p>
    <w:p>
      <w:pPr>
        <w:spacing w:line="240" w:lineRule="auto" w:before="12"/>
        <w:rPr>
          <w:rFonts w:ascii="宋体" w:hAnsi="宋体" w:cs="宋体" w:eastAsia="宋体" w:hint="default"/>
          <w:sz w:val="20"/>
          <w:szCs w:val="20"/>
        </w:rPr>
      </w:pPr>
    </w:p>
    <w:p>
      <w:pPr>
        <w:pStyle w:val="BodyText"/>
        <w:spacing w:line="316" w:lineRule="auto" w:before="44"/>
        <w:ind w:right="1132" w:firstLine="420"/>
        <w:jc w:val="both"/>
      </w:pPr>
      <w:r>
        <w:rPr>
          <w:spacing w:val="-1"/>
        </w:rPr>
        <w:t>（1）可收回金额根据资产的公允价值减去处置费用后的净额与资产预计未来现金流量的现值两者之间较高者确定。处</w:t>
      </w:r>
      <w:r>
        <w:rPr/>
        <w:t> 置费用包括与资产处置有关的法律费用、相关税费、搬运费以及为使资产达到可销售状态所发生的直接费用等。</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（2）资产的公允价值减去处置费用后的净额，是根据公平交易中销售协议价格减去直接归属于该资产处置费用的金额</w:t>
      </w:r>
      <w:r>
        <w:rPr/>
        <w:t> </w:t>
      </w:r>
      <w:r>
        <w:rPr>
          <w:spacing w:val="-2"/>
        </w:rPr>
        <w:t>确定；不存在销售协议但存在活跃市场的，按照资产的市场价格减去处置费用后的金额确定，资产的市场价格通常根据资产</w:t>
      </w:r>
      <w:r>
        <w:rPr>
          <w:spacing w:val="-63"/>
        </w:rPr>
        <w:t> </w:t>
      </w:r>
      <w:r>
        <w:rPr>
          <w:spacing w:val="-63"/>
        </w:rPr>
      </w:r>
      <w:r>
        <w:rPr>
          <w:spacing w:val="-2"/>
        </w:rPr>
        <w:t>的买方出价确定；在不存在销售协议和资产活跃市场的情况下，以可获取的最佳信息为基础，估计资产的公允价值减去处置</w:t>
      </w:r>
      <w:r>
        <w:rPr>
          <w:spacing w:val="-63"/>
        </w:rPr>
        <w:t> </w:t>
      </w:r>
      <w:r>
        <w:rPr>
          <w:spacing w:val="-63"/>
        </w:rPr>
      </w:r>
      <w:r>
        <w:rPr>
          <w:spacing w:val="-2"/>
        </w:rPr>
        <w:t>费用后的净额，参考同行业类似资产的最近交易价格或者结果进行估计；按照上述规定仍然无法可靠估计资产的公允价值减</w:t>
      </w:r>
      <w:r>
        <w:rPr>
          <w:spacing w:val="-64"/>
        </w:rPr>
        <w:t> </w:t>
      </w:r>
      <w:r>
        <w:rPr>
          <w:spacing w:val="-64"/>
        </w:rPr>
      </w:r>
      <w:r>
        <w:rPr/>
        <w:t>去处置费用后的净额的，以该资产预计未来现金流量的现值作为其可收回金额。</w:t>
      </w:r>
    </w:p>
    <w:p>
      <w:pPr>
        <w:spacing w:line="240" w:lineRule="auto" w:before="5"/>
        <w:rPr>
          <w:rFonts w:ascii="宋体" w:hAnsi="宋体" w:cs="宋体" w:eastAsia="宋体" w:hint="default"/>
          <w:sz w:val="13"/>
          <w:szCs w:val="13"/>
        </w:rPr>
      </w:pPr>
    </w:p>
    <w:p>
      <w:pPr>
        <w:pStyle w:val="BodyText"/>
        <w:spacing w:line="477" w:lineRule="auto"/>
        <w:ind w:left="532" w:right="6644"/>
        <w:jc w:val="left"/>
      </w:pPr>
      <w:r>
        <w:rPr/>
        <w:t>（3）预计的资产未来现金流量包括： 1）资产持续使用过程中预计产生的现金流入；</w:t>
      </w:r>
    </w:p>
    <w:p>
      <w:pPr>
        <w:pStyle w:val="BodyText"/>
        <w:spacing w:line="316" w:lineRule="auto" w:before="54"/>
        <w:ind w:right="1132" w:firstLine="420"/>
        <w:jc w:val="both"/>
      </w:pPr>
      <w:r>
        <w:rPr>
          <w:spacing w:val="-1"/>
        </w:rPr>
        <w:t>2）为实现资产持续使用过程中产生的现金流入所必需的预计现金流出（包括为使资产达到预定可使用状态所发生的现</w:t>
      </w:r>
      <w:r>
        <w:rPr/>
        <w:t> </w:t>
      </w:r>
      <w:r>
        <w:rPr>
          <w:spacing w:val="-3"/>
        </w:rPr>
        <w:t>金流出）。该现金流出是可直接归属于或者可通过合理而一致的基础分配到资产中的现金流出；</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1"/>
        </w:rPr>
        <w:t>3）资产使用寿命结束时，处置资产所收到或支付的净现金流量。该现金流量是在公平交易中，熟悉情况的交易双方自</w:t>
      </w:r>
      <w:r>
        <w:rPr/>
        <w:t> 愿进行交易时，企业预期可从资产的处置中获取或者支付的、减去预计处置费用后的金额。</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4.</w:t>
      </w:r>
      <w:r>
        <w:rPr>
          <w:spacing w:val="1"/>
        </w:rPr>
        <w:t> </w:t>
      </w:r>
      <w:r>
        <w:rPr/>
        <w:t>资产减值损失的确定</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spacing w:val="-1"/>
        </w:rPr>
        <w:t>（1）可收回金额的计量结果表明，资产的可收回金额低于其账面价值的，将资产的账面价值减记至可收回金额，减记</w:t>
      </w:r>
      <w:r>
        <w:rPr/>
        <w:t> 的金额确认为资产减值损失，计入当期损益，同时计提相应的资产减值准备。</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1"/>
        </w:rPr>
        <w:t>（2）资产减值损失确认后，减值资产的折旧或者摊销费用在未来期间作相应调整，以使该资产在剩余使用寿命内，系</w:t>
      </w:r>
      <w:r>
        <w:rPr/>
        <w:t> </w:t>
      </w:r>
      <w:r>
        <w:rPr>
          <w:spacing w:val="-4"/>
        </w:rPr>
        <w:t>统地分摊调整后的资产账面价值（扣除预计净残值）。</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5.</w:t>
      </w:r>
      <w:r>
        <w:rPr>
          <w:spacing w:val="1"/>
        </w:rPr>
        <w:t> </w:t>
      </w:r>
      <w:r>
        <w:rPr/>
        <w:t>资产组的认定及减值处理</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（1）有迹象表明一项资产可能发生减值的，本公司以单项资产为基础估计其可收回金额。难以对单项资产的可收回金</w:t>
      </w:r>
      <w:r>
        <w:rPr/>
        <w:t> 额进行估计的，按照该资产所属的资产组为基础确定资产组的可收回金额。</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资产组的认定，以资产组产生的主要现金流入是否独立于其他资产或者资产组的现金流入为依据。同时，在认定资产 </w:t>
      </w:r>
      <w:r>
        <w:rPr>
          <w:spacing w:val="-2"/>
        </w:rPr>
        <w:t>组时，考虑公司管理层管理生产经营活动的方式（如是按照生产线、业务种类还是按照地区或者区域等）和对资产的持续使</w:t>
      </w:r>
      <w:r>
        <w:rPr>
          <w:spacing w:val="-65"/>
        </w:rPr>
        <w:t> </w:t>
      </w:r>
      <w:r>
        <w:rPr>
          <w:spacing w:val="-65"/>
        </w:rPr>
      </w:r>
      <w:r>
        <w:rPr/>
        <w:t>用或者处置的决策方式等。</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几项资产的组合生产的产品（或者其他产出）存在活跃市场的，即使部分或者所有这些产品（或者其他产出）均供内 </w:t>
      </w:r>
      <w:r>
        <w:rPr>
          <w:spacing w:val="-2"/>
        </w:rPr>
        <w:t>部使用，也在符合前款规定的情况下，将这几项资产的组合认定为一个资产组。如果该资产组的现金流入受内部转移价格的</w:t>
      </w:r>
      <w:r>
        <w:rPr>
          <w:spacing w:val="-63"/>
        </w:rPr>
        <w:t> </w:t>
      </w:r>
      <w:r>
        <w:rPr>
          <w:spacing w:val="-63"/>
        </w:rPr>
      </w:r>
      <w:r>
        <w:rPr/>
        <w:t>影响，按照其管理层在公平交易中对未来价格的最佳估计数来确定资产组的未来现金流量。</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1"/>
        </w:rPr>
        <w:t>（2）资产组的可收回金额按照该资产组的公允价值减去处置费用后的净额与其预计未来现金流量的现值两者之间较高</w:t>
      </w:r>
      <w:r>
        <w:rPr/>
        <w:t> 者确定。</w:t>
      </w:r>
    </w:p>
    <w:p>
      <w:pPr>
        <w:spacing w:line="240" w:lineRule="auto" w:before="5"/>
        <w:rPr>
          <w:rFonts w:ascii="宋体" w:hAnsi="宋体" w:cs="宋体" w:eastAsia="宋体" w:hint="default"/>
          <w:sz w:val="13"/>
          <w:szCs w:val="13"/>
        </w:rPr>
      </w:pPr>
    </w:p>
    <w:p>
      <w:pPr>
        <w:pStyle w:val="BodyText"/>
        <w:spacing w:line="316" w:lineRule="auto"/>
        <w:ind w:right="1034" w:firstLine="420"/>
        <w:jc w:val="left"/>
      </w:pPr>
      <w:r>
        <w:rPr>
          <w:spacing w:val="-3"/>
        </w:rPr>
        <w:t>资产组在处置时如要求购买者承担一项负债（如环境恢复负债等）、该负债金额已经确认并计入相关资产账面价值，而</w:t>
      </w:r>
      <w:r>
        <w:rPr/>
        <w:t> 且只能取得包括上述资产和负债在内的单一公允价值减去处置费用后的净额的，为了比较资产组的账面价值和可收回金额， 在确定资产组的账面价值及其未来现金流量的现值时，将已确认的负债金额从中扣除。</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资产组组合，是指由若干个资产组组成的最小资产组组合，包括资产组或者资产组组合，以及按合理方法分摊的总部 资产部分。</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对某一资产组作减值测试时，首先应当认定所有与该资产组相关的总部资产。然后，根据相关总部资产能否按照合理 和一致的基础分摊至该资产组分别处理。</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0" w:firstLine="420"/>
        <w:jc w:val="both"/>
      </w:pPr>
      <w:r>
        <w:rPr/>
        <w:t>对于相关总部资产能够按照合理和一致的基础分摊至该资产组的部分，公司将该部分总部资产的账面价值分摊至该资 </w:t>
      </w:r>
      <w:r>
        <w:rPr>
          <w:spacing w:val="-2"/>
        </w:rPr>
        <w:t>产组，再据以比较该资产组的账面价值（包括已分摊的总部资产的账面价值部分）和可收回金额，资产组或者资产组组合的</w:t>
      </w:r>
      <w:r>
        <w:rPr>
          <w:spacing w:val="-65"/>
        </w:rPr>
        <w:t> </w:t>
      </w:r>
      <w:r>
        <w:rPr>
          <w:spacing w:val="-65"/>
        </w:rPr>
      </w:r>
      <w:r>
        <w:rPr>
          <w:spacing w:val="-2"/>
        </w:rPr>
        <w:t>可收回金额低于其账面价值的（总部资产和商誉分摊至某资产组或者资产组组合的，该资产组或者资产组组合的账面价值包</w:t>
      </w:r>
      <w:r>
        <w:rPr>
          <w:spacing w:val="-64"/>
        </w:rPr>
        <w:t> </w:t>
      </w:r>
      <w:r>
        <w:rPr>
          <w:spacing w:val="-64"/>
        </w:rPr>
      </w:r>
      <w:r>
        <w:rPr>
          <w:spacing w:val="-2"/>
        </w:rPr>
        <w:t>括相关总部资产和商誉的分摊额），确认相应的减值损失，减值损失的金额应当先抵减分摊至资产组或者资产组组合中商誉</w:t>
      </w:r>
      <w:r>
        <w:rPr>
          <w:spacing w:val="-65"/>
        </w:rPr>
        <w:t> </w:t>
      </w:r>
      <w:r>
        <w:rPr>
          <w:spacing w:val="-65"/>
        </w:rPr>
      </w:r>
      <w:r>
        <w:rPr>
          <w:spacing w:val="-2"/>
        </w:rPr>
        <w:t>的账面价值，再根据资产组或者资产组组合中除商誉之外的其他各项资产的账面价值所占比重，按比例抵减其他各项资产的</w:t>
      </w:r>
      <w:r>
        <w:rPr>
          <w:spacing w:val="-64"/>
        </w:rPr>
        <w:t> </w:t>
      </w:r>
      <w:r>
        <w:rPr>
          <w:spacing w:val="-64"/>
        </w:rPr>
      </w:r>
      <w:r>
        <w:rPr/>
        <w:t>账面价值。</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以上资产账面价值的抵减，作为单项资产（包括商誉）的减值损失处理，计入当期损益。抵减后的各资产的账面价值 </w:t>
      </w:r>
      <w:r>
        <w:rPr>
          <w:spacing w:val="-2"/>
        </w:rPr>
        <w:t>不得低于以下三者之中最高者：该资产的公允减值减去处置费用后的净额（如可确定的）、该资产预计未来现金流量的现值</w:t>
      </w:r>
    </w:p>
    <w:p>
      <w:pPr>
        <w:pStyle w:val="BodyText"/>
        <w:spacing w:line="316" w:lineRule="auto" w:before="19"/>
        <w:ind w:right="952"/>
        <w:jc w:val="left"/>
      </w:pPr>
      <w:r>
        <w:rPr>
          <w:spacing w:val="-2"/>
        </w:rPr>
        <w:t>（如可确定的）和零。因此而导致的未能分摊的减值损失金额，按照相关资产组或者资产组组合中其他各项资产的账面价值</w:t>
      </w:r>
      <w:r>
        <w:rPr>
          <w:spacing w:val="-63"/>
        </w:rPr>
        <w:t> </w:t>
      </w:r>
      <w:r>
        <w:rPr>
          <w:spacing w:val="-63"/>
        </w:rPr>
      </w:r>
      <w:r>
        <w:rPr/>
        <w:t>所占比重进行分摊。</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6.</w:t>
      </w:r>
      <w:r>
        <w:rPr>
          <w:spacing w:val="1"/>
        </w:rPr>
        <w:t> </w:t>
      </w:r>
      <w:r>
        <w:rPr/>
        <w:t>商誉减值的处理</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（1）企业合并所形成的商誉，在每年年度终了进行减值测试，结合与其相关的资产组或者资产组组合进行减值测试。</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spacing w:val="-1"/>
        </w:rPr>
        <w:t>（2）公司进行减值测试，对于因企业合并形成的商誉的账面价值，自购买日起按合理的方法分摊至相关的资产组；难</w:t>
      </w:r>
      <w:r>
        <w:rPr/>
        <w:t> 以分摊至相关的资产组的，将其分摊至相关的资产组组合。</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在将商誉的账面价值分摊至相关的资产组或者资产组组合时，按照各资产组或者资产组组合的公允价值占相关资产组 </w:t>
      </w:r>
      <w:r>
        <w:rPr>
          <w:spacing w:val="-2"/>
        </w:rPr>
        <w:t>或者资产组组合公允价值总额的比例进行分摊。公允价值难以可靠计量的，按照各资产组或者资产组组合的账面价值占相关</w:t>
      </w:r>
      <w:r>
        <w:rPr>
          <w:spacing w:val="-64"/>
        </w:rPr>
        <w:t> </w:t>
      </w:r>
      <w:r>
        <w:rPr>
          <w:spacing w:val="-64"/>
        </w:rPr>
      </w:r>
      <w:r>
        <w:rPr/>
        <w:t>资产组或者资产组组合账面价值总额的比例进行分摊。</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因重组等原因改变了其报告结构，从而影响到已分摊商誉的一个或者若干个资产组或者资产组组合构成的，按照与本 条前款规定相似的分摊方法，将商誉重新分摊至受影响的资产组或者资产组组合。</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（3）在对包含商誉的相关资产组或者资产组组合进行减值测试时，如与商誉相关的资产组或者资产组组合存在减值迹</w:t>
      </w:r>
      <w:r>
        <w:rPr/>
        <w:t> </w:t>
      </w:r>
      <w:r>
        <w:rPr>
          <w:spacing w:val="-2"/>
        </w:rPr>
        <w:t>象的，首先对不包含商誉的资产组或者资产组组合进行减值测试，计算可收回金额，并与相关账面价值相比较，确认相应的</w:t>
      </w:r>
      <w:r>
        <w:rPr>
          <w:spacing w:val="-64"/>
        </w:rPr>
        <w:t> </w:t>
      </w:r>
      <w:r>
        <w:rPr>
          <w:spacing w:val="-64"/>
        </w:rPr>
      </w:r>
      <w:r>
        <w:rPr>
          <w:spacing w:val="-2"/>
        </w:rPr>
        <w:t>减值损失。再对包含商誉的资产组或者资产组组合进行减值测试，比较这些相关资产组或者资产组组合的账面价值（包括所</w:t>
      </w:r>
      <w:r>
        <w:rPr>
          <w:spacing w:val="-63"/>
        </w:rPr>
        <w:t> </w:t>
      </w:r>
      <w:r>
        <w:rPr>
          <w:spacing w:val="-63"/>
        </w:rPr>
      </w:r>
      <w:r>
        <w:rPr>
          <w:spacing w:val="-2"/>
        </w:rPr>
        <w:t>分摊的商誉的账面价值部分）与其可收回金额，如相关资产组或者资产组组合的可收回金额低于其账面价值的，按照上述资</w:t>
      </w:r>
      <w:r>
        <w:rPr>
          <w:spacing w:val="-63"/>
        </w:rPr>
        <w:t> </w:t>
      </w:r>
      <w:r>
        <w:rPr>
          <w:spacing w:val="-63"/>
        </w:rPr>
      </w:r>
      <w:r>
        <w:rPr/>
        <w:t>产减值准备核算方法的规定处理，确认减值损失。</w:t>
      </w:r>
    </w:p>
    <w:p>
      <w:pPr>
        <w:pStyle w:val="BodyText"/>
        <w:spacing w:line="468" w:lineRule="exact" w:before="10"/>
        <w:ind w:left="532" w:right="952"/>
        <w:jc w:val="left"/>
      </w:pPr>
      <w:r>
        <w:rPr/>
        <w:t>7. 资产减值的对象 </w:t>
      </w:r>
      <w:r>
        <w:rPr>
          <w:spacing w:val="-3"/>
        </w:rPr>
        <w:t>资产减值对象主要包括以下资产：（1）对子公司、联营企业和合营企业的长期股权投资；（2）采用成本模式进行后续</w:t>
      </w:r>
    </w:p>
    <w:p>
      <w:pPr>
        <w:pStyle w:val="BodyText"/>
        <w:spacing w:line="240" w:lineRule="auto" w:before="8"/>
        <w:ind w:right="952"/>
        <w:jc w:val="left"/>
      </w:pPr>
      <w:r>
        <w:rPr/>
        <w:t>计量的投资性房地产</w:t>
      </w:r>
      <w:r>
        <w:rPr>
          <w:spacing w:val="-89"/>
        </w:rPr>
        <w:t>；</w:t>
      </w:r>
      <w:r>
        <w:rPr/>
        <w:t>（</w:t>
      </w:r>
      <w:r>
        <w:rPr>
          <w:spacing w:val="-2"/>
        </w:rPr>
        <w:t>3</w:t>
      </w:r>
      <w:r>
        <w:rPr/>
        <w:t>）固定资产</w:t>
      </w:r>
      <w:r>
        <w:rPr>
          <w:spacing w:val="-89"/>
        </w:rPr>
        <w:t>；</w:t>
      </w:r>
      <w:r>
        <w:rPr/>
        <w:t>（</w:t>
      </w:r>
      <w:r>
        <w:rPr>
          <w:spacing w:val="-2"/>
        </w:rPr>
        <w:t>4</w:t>
      </w:r>
      <w:r>
        <w:rPr/>
        <w:t>）在建工程</w:t>
      </w:r>
      <w:r>
        <w:rPr>
          <w:spacing w:val="-89"/>
        </w:rPr>
        <w:t>；</w:t>
      </w:r>
      <w:r>
        <w:rPr/>
        <w:t>（</w:t>
      </w:r>
      <w:r>
        <w:rPr>
          <w:spacing w:val="-2"/>
        </w:rPr>
        <w:t>5</w:t>
      </w:r>
      <w:r>
        <w:rPr/>
        <w:t>）无形资产</w:t>
      </w:r>
      <w:r>
        <w:rPr>
          <w:spacing w:val="-89"/>
        </w:rPr>
        <w:t>；</w:t>
      </w:r>
      <w:r>
        <w:rPr/>
        <w:t>（</w:t>
      </w:r>
      <w:r>
        <w:rPr>
          <w:spacing w:val="-2"/>
        </w:rPr>
        <w:t>6</w:t>
      </w:r>
      <w:r>
        <w:rPr/>
        <w:t>）商誉。</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资产减值损失一经确认，在以后会计期间不得转回，如遇到资产处置、出售、对外投资、以非货币性资产交换方式换 出、在债务重组中抵偿债务等情况，同时符合资产终止确认条件的，应将相关资产减值准备予以转销。</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23、长期待摊费用" w:id="203"/>
      <w:bookmarkEnd w:id="20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本公司的长期待摊费用是指已经支出，但摊销期限在1年以上（不含1年）的各项费用，如以经营租赁方式租入的固定 </w:t>
      </w:r>
      <w:r>
        <w:rPr>
          <w:spacing w:val="-2"/>
        </w:rPr>
        <w:t>资产发生的改良支出等。长期待摊费用按实际发生额入账，在受益期或规定的期限内分期平均摊销。如果长期待摊的费用项</w:t>
      </w:r>
      <w:r>
        <w:rPr>
          <w:spacing w:val="-63"/>
        </w:rPr>
        <w:t> </w:t>
      </w:r>
      <w:r>
        <w:rPr>
          <w:spacing w:val="-63"/>
        </w:rPr>
      </w:r>
      <w:r>
        <w:rPr/>
        <w:t>目不能使以后会计期间受益则将尚未摊销的该项目的摊余价值全部转入当期损益。</w:t>
      </w:r>
    </w:p>
    <w:p>
      <w:pPr>
        <w:spacing w:after="0" w:line="316" w:lineRule="auto"/>
        <w:jc w:val="both"/>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20"/>
        <w:jc w:val="both"/>
      </w:pPr>
      <w:r>
        <w:rPr/>
        <w:t>本公司在职工提供服务的会计期间，将实际发生的短期薪酬确认为负债，并计入当期损益或相关资产成本。其中，非 货币性福利按照公允价值计量。</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2" w:firstLine="420"/>
        <w:jc w:val="both"/>
      </w:pPr>
      <w:r>
        <w:rPr/>
        <w:t>本公司在职工劳动合同到期之前解除与职工的劳动关系、或者为鼓励职工自愿接受裁减而提出给予补偿，在本公司不 </w:t>
      </w:r>
      <w:r>
        <w:rPr>
          <w:spacing w:val="-2"/>
        </w:rPr>
        <w:t>能单方面撤回解除劳动关系计划或裁减建议时和确认与涉及支付辞退福利的重组相关的成本费用时两者孰早日，确认因解除</w:t>
      </w:r>
      <w:r>
        <w:rPr>
          <w:spacing w:val="-64"/>
        </w:rPr>
        <w:t> </w:t>
      </w:r>
      <w:r>
        <w:rPr>
          <w:spacing w:val="-64"/>
        </w:rPr>
      </w:r>
      <w:r>
        <w:rPr/>
        <w:t>与职工的劳动关系给予补偿而产生的负债，同时计入当期损益。</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420"/>
        <w:jc w:val="left"/>
      </w:pPr>
      <w:r>
        <w:rPr/>
        <w:t>本公司职工参加了由当地劳动和社会保障部门组织实施的社会基本养老保险。本公司以当地规定的社会基本养老保险 </w:t>
      </w:r>
      <w:r>
        <w:rPr>
          <w:spacing w:val="-2"/>
        </w:rPr>
        <w:t>缴纳基数和比例，按月向当地社会基本养老保险经办机构缴纳养老保险费。职工退休后，当地劳动及社会保障部门有责任向</w:t>
      </w:r>
      <w:r>
        <w:rPr>
          <w:spacing w:val="-63"/>
        </w:rPr>
        <w:t> </w:t>
      </w:r>
      <w:r>
        <w:rPr>
          <w:spacing w:val="-63"/>
        </w:rPr>
      </w:r>
      <w:r>
        <w:rPr/>
        <w:t>已退休员工支付社会基本养老金。本公司在职工提供服务的会计期间，将根据上述社保规定计算应缴纳的金额确认为负债， 并计入当期损益或相关资产成本。</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如果与或有事项相关的义务是本公司承担的现时义务，且该义务的履行很可能会导致经济利益流出本公司，以及有关 </w:t>
      </w:r>
      <w:r>
        <w:rPr>
          <w:spacing w:val="-2"/>
        </w:rPr>
        <w:t>金额能够可靠地计量，则本公司会确认预计负债。对于货币时间价值影响重大的，预计负债以预计未来现金流量折现后的金</w:t>
      </w:r>
      <w:r>
        <w:rPr>
          <w:spacing w:val="-63"/>
        </w:rPr>
        <w:t> </w:t>
      </w:r>
      <w:r>
        <w:rPr>
          <w:spacing w:val="-63"/>
        </w:rPr>
      </w:r>
      <w:r>
        <w:rPr/>
        <w:t>额确定。</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对过去的交易或者事项形成的潜在义务，其存在须通过未来不确定事项的发生或不发生予以证实；或过去的交易或者 </w:t>
      </w:r>
      <w:r>
        <w:rPr>
          <w:spacing w:val="-2"/>
        </w:rPr>
        <w:t>事项形成的现时义务，履行该义务不是很可能导致经济利益流出本公司或该义务的金额不能可靠计量，则本公司会将该潜在</w:t>
      </w:r>
      <w:r>
        <w:rPr>
          <w:spacing w:val="-64"/>
        </w:rPr>
        <w:t> </w:t>
      </w:r>
      <w:r>
        <w:rPr>
          <w:spacing w:val="-64"/>
        </w:rPr>
      </w:r>
      <w:r>
        <w:rPr/>
        <w:t>义务或现时义务披露为或有负债。</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股份支付，是指为获取职工和其他方提供服务而授予权益工具或者承担以权益工具为基础确定的负债的交易。股份支 付分为以权益结算的股份支付和以现金结算的股份支付。</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以权益结算的股份支付换取职工提供服务的，以授予职工权益工具的公允价值计量。以现金结算的股份支付，按照公 司承担的以股份或其他权益工具为基础计算确定的负债的公允价值计量。</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授予后立即可行权的换取职工服务或其他方类似服务的以权益结算的股份支付，在授予日按权益工具的公允价值计入 </w:t>
      </w:r>
      <w:r>
        <w:rPr>
          <w:spacing w:val="-2"/>
        </w:rPr>
        <w:t>相关成本或费用，相应增加资本公积。完成等待期内的服务或达到规定业绩条件才可行权的换取职工服务或其他方类似服务</w:t>
      </w:r>
      <w:r>
        <w:rPr>
          <w:spacing w:val="-64"/>
        </w:rPr>
        <w:t> </w:t>
      </w:r>
      <w:r>
        <w:rPr>
          <w:spacing w:val="-64"/>
        </w:rPr>
      </w:r>
      <w:r>
        <w:rPr>
          <w:spacing w:val="-2"/>
        </w:rPr>
        <w:t>的以权益结算的股份支付，在等待期内的每个资产负债表日，以对可行权权益工具数量的最佳估计为基础，按照权益工具授</w:t>
      </w:r>
      <w:r>
        <w:rPr>
          <w:spacing w:val="-63"/>
        </w:rPr>
        <w:t> </w:t>
      </w:r>
      <w:r>
        <w:rPr>
          <w:spacing w:val="-63"/>
        </w:rPr>
      </w:r>
      <w:r>
        <w:rPr/>
        <w:t>予日的公允价值，将当期取得的服务计入相关成本或费用和资本公积。</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授予后立即可行权的以现金结算的股份支付，在授予日以公司承担负债的公允价值计入相关成本或费用，相应增加负 </w:t>
      </w:r>
      <w:r>
        <w:rPr>
          <w:spacing w:val="-2"/>
        </w:rPr>
        <w:t>债。完成等待期内的服务或达到规定业绩条件以后才可行权的以现金结算的股份支付，在等待期内的每个资产负债表日，以</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对可行权情况的最佳估计为基础，按照公司承担负债的公允价值金额，将当期取得的服务计入成本或费用和相应的负债。</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240" w:lineRule="auto" w:before="27"/>
        <w:ind w:left="532" w:right="952"/>
        <w:jc w:val="left"/>
      </w:pPr>
      <w:r>
        <w:rPr/>
        <w:t>1．收入确认的一般原则</w:t>
      </w:r>
    </w:p>
    <w:p>
      <w:pPr>
        <w:spacing w:line="240" w:lineRule="auto" w:before="10"/>
        <w:rPr>
          <w:rFonts w:ascii="宋体" w:hAnsi="宋体" w:cs="宋体" w:eastAsia="宋体" w:hint="default"/>
          <w:sz w:val="17"/>
          <w:szCs w:val="17"/>
        </w:rPr>
      </w:pPr>
    </w:p>
    <w:p>
      <w:pPr>
        <w:pStyle w:val="BodyText"/>
        <w:spacing w:line="477" w:lineRule="auto"/>
        <w:ind w:left="532" w:right="6194"/>
        <w:jc w:val="left"/>
      </w:pPr>
      <w:r>
        <w:rPr/>
        <w:t>（1）销售商品收入的确认条件 已将商品所有权上的主要风险和报酬转移给购货方；</w:t>
      </w:r>
    </w:p>
    <w:p>
      <w:pPr>
        <w:pStyle w:val="BodyText"/>
        <w:spacing w:line="477" w:lineRule="auto" w:before="54"/>
        <w:ind w:left="532" w:right="3134"/>
        <w:jc w:val="left"/>
      </w:pPr>
      <w:r>
        <w:rPr/>
        <w:t>企业既没有保留通常与所有权相联系的继续管理权，也没有对已出售的商品实施有效控制； 收入的金额能够可靠地计量；</w:t>
      </w:r>
    </w:p>
    <w:p>
      <w:pPr>
        <w:pStyle w:val="BodyText"/>
        <w:spacing w:line="477" w:lineRule="auto" w:before="54"/>
        <w:ind w:left="532" w:right="6554"/>
        <w:jc w:val="left"/>
      </w:pPr>
      <w:r>
        <w:rPr/>
        <w:t>与交易相关的经济利益很可能流入企业； 相关的已发生或将发生的成本能够可靠地计量。</w:t>
      </w:r>
    </w:p>
    <w:p>
      <w:pPr>
        <w:pStyle w:val="BodyText"/>
        <w:spacing w:line="477" w:lineRule="auto" w:before="54"/>
        <w:ind w:left="532" w:right="952"/>
        <w:jc w:val="left"/>
      </w:pPr>
      <w:r>
        <w:rPr/>
        <w:t>（2）提供劳务收入的确认和计量方法 在资产负债表日提供劳务交易的结果能够可靠估计的，应当采用完工百分比法确认提供劳务收入。</w:t>
      </w:r>
    </w:p>
    <w:p>
      <w:pPr>
        <w:pStyle w:val="BodyText"/>
        <w:spacing w:line="316" w:lineRule="auto" w:before="54"/>
        <w:ind w:right="1026" w:firstLine="420"/>
        <w:jc w:val="left"/>
      </w:pPr>
      <w:r>
        <w:rPr>
          <w:spacing w:val="-1"/>
        </w:rPr>
        <w:t>在资产负债表日提供劳务交易结果不能够可靠估计的，应当分别下列情况处理：己发生的劳务成本预计能够得到补偿，</w:t>
      </w:r>
      <w:r>
        <w:rPr/>
        <w:t> </w:t>
      </w:r>
      <w:r>
        <w:rPr>
          <w:spacing w:val="-2"/>
        </w:rPr>
        <w:t>应按己经发生的劳务成本金额确认收入，并按相同金额结转成本；己发生的劳务成本预计不能够得到补偿的，应当将己经发</w:t>
      </w:r>
      <w:r>
        <w:rPr>
          <w:spacing w:val="-63"/>
        </w:rPr>
        <w:t> </w:t>
      </w:r>
      <w:r>
        <w:rPr>
          <w:spacing w:val="-63"/>
        </w:rPr>
      </w:r>
      <w:r>
        <w:rPr/>
        <w:t>生的劳务成本计入当期损益，不确认提供劳务收入。</w:t>
      </w:r>
    </w:p>
    <w:p>
      <w:pPr>
        <w:spacing w:line="240" w:lineRule="auto" w:before="5"/>
        <w:rPr>
          <w:rFonts w:ascii="宋体" w:hAnsi="宋体" w:cs="宋体" w:eastAsia="宋体" w:hint="default"/>
          <w:sz w:val="13"/>
          <w:szCs w:val="13"/>
        </w:rPr>
      </w:pPr>
    </w:p>
    <w:p>
      <w:pPr>
        <w:pStyle w:val="BodyText"/>
        <w:spacing w:line="477" w:lineRule="auto"/>
        <w:ind w:left="532" w:right="7004"/>
        <w:jc w:val="left"/>
      </w:pPr>
      <w:r>
        <w:rPr/>
        <w:t>(3)让渡资产使用权收入的确认和计量方法 相关的经济利益很可能流入公司； 收入的金额能够可靠地计量。</w:t>
      </w:r>
    </w:p>
    <w:p>
      <w:pPr>
        <w:pStyle w:val="BodyText"/>
        <w:spacing w:line="240" w:lineRule="auto" w:before="54"/>
        <w:ind w:left="532" w:right="952"/>
        <w:jc w:val="left"/>
      </w:pPr>
      <w:r>
        <w:rPr/>
        <w:t>2.</w:t>
      </w:r>
      <w:r>
        <w:rPr>
          <w:spacing w:val="1"/>
        </w:rPr>
        <w:t> </w:t>
      </w:r>
      <w:r>
        <w:rPr/>
        <w:t>收入确认的具体方法</w:t>
      </w:r>
    </w:p>
    <w:p>
      <w:pPr>
        <w:pStyle w:val="BodyText"/>
        <w:spacing w:line="460" w:lineRule="atLeast" w:before="8"/>
        <w:ind w:left="532" w:right="1154"/>
        <w:jc w:val="left"/>
      </w:pPr>
      <w:r>
        <w:rPr/>
        <w:t>（1）定制软件销售收入确认和计量方法 定制软件是指根据与客户签订的技术开发、技术转让合同，对用户的业务进行充分实地调查，并根据用户的实际需求</w:t>
      </w:r>
    </w:p>
    <w:p>
      <w:pPr>
        <w:pStyle w:val="BodyText"/>
        <w:spacing w:line="316" w:lineRule="auto" w:before="76"/>
        <w:ind w:right="952"/>
        <w:jc w:val="left"/>
      </w:pPr>
      <w:r>
        <w:rPr>
          <w:spacing w:val="-2"/>
        </w:rPr>
        <w:t>进行专门的软件设计与开发，由此开发出来的软件不具有通用性。定制软件项目按合同约定在项目实施完成，并经对方验收</w:t>
      </w:r>
      <w:r>
        <w:rPr>
          <w:spacing w:val="-65"/>
        </w:rPr>
        <w:t> </w:t>
      </w:r>
      <w:r>
        <w:rPr>
          <w:spacing w:val="-65"/>
        </w:rPr>
      </w:r>
      <w:r>
        <w:rPr/>
        <w:t>合格后确认收入。</w:t>
      </w:r>
    </w:p>
    <w:p>
      <w:pPr>
        <w:pStyle w:val="BodyText"/>
        <w:spacing w:line="468" w:lineRule="exact" w:before="10"/>
        <w:ind w:left="532" w:right="1154"/>
        <w:jc w:val="left"/>
      </w:pPr>
      <w:r>
        <w:rPr/>
        <w:t>（2）技术服务收入确认和计量方法 技术服务收入，主要是指按合同要求向客户提供咨询、实施和产品售后服务的业务。合同约定服务期限的，按合同约</w:t>
      </w:r>
    </w:p>
    <w:p>
      <w:pPr>
        <w:pStyle w:val="BodyText"/>
        <w:spacing w:line="316" w:lineRule="auto" w:before="8"/>
        <w:ind w:right="952"/>
        <w:jc w:val="left"/>
      </w:pPr>
      <w:r>
        <w:rPr>
          <w:spacing w:val="-2"/>
        </w:rPr>
        <w:t>定的服务期限分期确认收入。合同约定按照实际提供服务的工作量与客户结算的，按照合同约定的标准与向客户实际提供的</w:t>
      </w:r>
      <w:r>
        <w:rPr>
          <w:spacing w:val="-64"/>
        </w:rPr>
        <w:t> </w:t>
      </w:r>
      <w:r>
        <w:rPr>
          <w:spacing w:val="-64"/>
        </w:rPr>
      </w:r>
      <w:r>
        <w:rPr/>
        <w:t>工作量确认收入。</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（3）租赁业务收入确认和计量方法</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532" w:right="952"/>
        <w:jc w:val="left"/>
      </w:pPr>
      <w:r>
        <w:rPr/>
        <w:t>经营租出资产收到的租金按直线法将租金在租赁期内各个期间确认为当期损益。</w:t>
      </w:r>
    </w:p>
    <w:p>
      <w:pPr>
        <w:spacing w:line="240" w:lineRule="auto" w:before="0"/>
        <w:rPr>
          <w:rFonts w:ascii="宋体" w:hAnsi="宋体" w:cs="宋体" w:eastAsia="宋体" w:hint="default"/>
          <w:sz w:val="18"/>
          <w:szCs w:val="18"/>
        </w:rPr>
      </w:pPr>
    </w:p>
    <w:p>
      <w:pPr>
        <w:pStyle w:val="BodyText"/>
        <w:spacing w:line="624" w:lineRule="auto" w:before="141"/>
        <w:ind w:left="472" w:right="2294"/>
        <w:jc w:val="left"/>
      </w:pPr>
      <w:bookmarkStart w:name="（4）供应链业务收入确认和计量方法" w:id="213"/>
      <w:bookmarkEnd w:id="213"/>
      <w:r>
        <w:rPr/>
      </w:r>
      <w:r>
        <w:rPr/>
        <w:t>（4）供应链业务收入确认和计量方法 </w:t>
      </w:r>
      <w:bookmarkStart w:name="公司供应链业务不承担产品质量、价格变动等风险，按净额法于提供供应链管理服务完成时" w:id="214"/>
      <w:bookmarkEnd w:id="214"/>
      <w:r>
        <w:rPr/>
        <w:t>公司供应链业务不承担产品质量、价格变动等风险，按净额法于提供供应链管理服务完成时确认收入。</w:t>
      </w:r>
    </w:p>
    <w:p>
      <w:pPr>
        <w:pStyle w:val="BodyText"/>
        <w:spacing w:line="624" w:lineRule="auto" w:before="91"/>
        <w:ind w:left="472" w:right="2834"/>
        <w:jc w:val="left"/>
      </w:pPr>
      <w:bookmarkStart w:name="（5）保理业务收入确认和计量方法" w:id="215"/>
      <w:bookmarkEnd w:id="215"/>
      <w:r>
        <w:rPr/>
      </w:r>
      <w:r>
        <w:rPr/>
        <w:t>（5）保理业务收入确认和计量方法 </w:t>
      </w:r>
      <w:bookmarkStart w:name="公司按照合同约定收取保理利息和保理手续费时间和综合费率确认当期保理利息和手续费收" w:id="216"/>
      <w:bookmarkEnd w:id="216"/>
      <w:r>
        <w:rPr/>
        <w:t>公司按照合同约定收取保理利息和保理手续费时间和综合费率确认当期保理利息和手续费收入。</w:t>
      </w:r>
    </w:p>
    <w:p>
      <w:pPr>
        <w:pStyle w:val="Heading3"/>
        <w:spacing w:line="240" w:lineRule="auto" w:before="65"/>
        <w:ind w:right="952"/>
        <w:jc w:val="left"/>
        <w:rPr>
          <w:b w:val="0"/>
          <w:bCs w:val="0"/>
        </w:rPr>
      </w:pPr>
      <w:bookmarkStart w:name="29、政府补助" w:id="217"/>
      <w:bookmarkEnd w:id="21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952"/>
        <w:jc w:val="left"/>
      </w:pPr>
      <w:r>
        <w:rPr/>
        <w:t>1.政府补助包括与资产相关的政府补助和与收益相关的政府补助。</w:t>
      </w:r>
    </w:p>
    <w:p>
      <w:pPr>
        <w:spacing w:line="240" w:lineRule="auto" w:before="10"/>
        <w:rPr>
          <w:rFonts w:ascii="宋体" w:hAnsi="宋体" w:cs="宋体" w:eastAsia="宋体" w:hint="default"/>
          <w:sz w:val="17"/>
          <w:szCs w:val="17"/>
        </w:rPr>
      </w:pPr>
    </w:p>
    <w:p>
      <w:pPr>
        <w:pStyle w:val="BodyText"/>
        <w:spacing w:line="316" w:lineRule="auto"/>
        <w:ind w:right="952" w:firstLine="420"/>
        <w:jc w:val="left"/>
      </w:pPr>
      <w:r>
        <w:rPr/>
        <w:t>2.政府补助为货币性资产的，按照收到或应收的金额计量；政府补助为非货币性资产的，按照公允价值计量，公允价 值不能可靠取得的，按照名义金额计量。</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3.</w:t>
      </w:r>
      <w:r>
        <w:rPr>
          <w:spacing w:val="1"/>
        </w:rPr>
        <w:t> </w:t>
      </w:r>
      <w:r>
        <w:rPr/>
        <w:t>政府补助采用总额法：</w:t>
      </w:r>
    </w:p>
    <w:p>
      <w:pPr>
        <w:spacing w:line="240" w:lineRule="auto" w:before="10"/>
        <w:rPr>
          <w:rFonts w:ascii="宋体" w:hAnsi="宋体" w:cs="宋体" w:eastAsia="宋体" w:hint="default"/>
          <w:sz w:val="17"/>
          <w:szCs w:val="17"/>
        </w:rPr>
      </w:pPr>
    </w:p>
    <w:p>
      <w:pPr>
        <w:pStyle w:val="BodyText"/>
        <w:spacing w:line="316" w:lineRule="auto"/>
        <w:ind w:right="1116" w:firstLine="420"/>
        <w:jc w:val="left"/>
      </w:pPr>
      <w:r>
        <w:rPr>
          <w:spacing w:val="-1"/>
        </w:rPr>
        <w:t>（1）与资产相关的政府补助，确认为递延收益，在相关资产使用寿命内按照合理、系统的方法分期计入损益。相关资</w:t>
      </w:r>
      <w:r>
        <w:rPr/>
        <w:t> 产在使用寿命结束前被出售、转让、报废或发生毁损的，将尚未分配的相关递延收益余额转入资产处置当期的损益。</w:t>
      </w:r>
    </w:p>
    <w:p>
      <w:pPr>
        <w:spacing w:line="240" w:lineRule="auto" w:before="5"/>
        <w:rPr>
          <w:rFonts w:ascii="宋体" w:hAnsi="宋体" w:cs="宋体" w:eastAsia="宋体" w:hint="default"/>
          <w:sz w:val="13"/>
          <w:szCs w:val="13"/>
        </w:rPr>
      </w:pPr>
    </w:p>
    <w:p>
      <w:pPr>
        <w:pStyle w:val="BodyText"/>
        <w:spacing w:line="316" w:lineRule="auto"/>
        <w:ind w:right="1116" w:firstLine="420"/>
        <w:jc w:val="left"/>
      </w:pPr>
      <w:r>
        <w:rPr>
          <w:spacing w:val="-1"/>
        </w:rPr>
        <w:t>（2）与收益相关的政府补助，用于补偿以后期间的相关费用或损失的，确认为递延收益，在确认相关费用的期间，计</w:t>
      </w:r>
      <w:r>
        <w:rPr/>
        <w:t> 入当期损益；用于补偿已发生的相关费用或损失的，直接计入当期损益。</w:t>
      </w:r>
    </w:p>
    <w:p>
      <w:pPr>
        <w:spacing w:line="240" w:lineRule="auto" w:before="5"/>
        <w:rPr>
          <w:rFonts w:ascii="宋体" w:hAnsi="宋体" w:cs="宋体" w:eastAsia="宋体" w:hint="default"/>
          <w:sz w:val="13"/>
          <w:szCs w:val="13"/>
        </w:rPr>
      </w:pPr>
    </w:p>
    <w:p>
      <w:pPr>
        <w:pStyle w:val="BodyText"/>
        <w:spacing w:line="316" w:lineRule="auto"/>
        <w:ind w:right="1116" w:firstLine="420"/>
        <w:jc w:val="left"/>
      </w:pPr>
      <w:r>
        <w:rPr>
          <w:spacing w:val="-1"/>
        </w:rPr>
        <w:t>4对于同时包含与资产相关部分和与收益相关部分的政府补助，区分不同部分分别进行会计处理；难以区分的，整体归</w:t>
      </w:r>
      <w:r>
        <w:rPr/>
        <w:t> 类为与收益相关的政府补助。</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t>5.本公司将与本公司日常活动相关的政府补助按照经济业务实质计入其他收益或冲减相关成本费用；将与本公司日常 活动无关的政府补助，应当计入营业外收支。</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t>6.本公司将取得的政策性优惠贷款贴息按照财政将贴息资金拨付给贷款银行和财政将贴息资金直接拨付给本公司两种 情况处理：</w:t>
      </w:r>
    </w:p>
    <w:p>
      <w:pPr>
        <w:spacing w:line="240" w:lineRule="auto" w:before="5"/>
        <w:rPr>
          <w:rFonts w:ascii="宋体" w:hAnsi="宋体" w:cs="宋体" w:eastAsia="宋体" w:hint="default"/>
          <w:sz w:val="13"/>
          <w:szCs w:val="13"/>
        </w:rPr>
      </w:pPr>
    </w:p>
    <w:p>
      <w:pPr>
        <w:pStyle w:val="BodyText"/>
        <w:spacing w:line="316" w:lineRule="auto"/>
        <w:ind w:right="1116" w:firstLine="420"/>
        <w:jc w:val="left"/>
      </w:pPr>
      <w:r>
        <w:rPr>
          <w:spacing w:val="-1"/>
        </w:rPr>
        <w:t>（1）财政将贴息资金拨付给贷款银行，由贷款银行以政策性优惠利率向本公司提供贷款的，本公司选择按照下列方法</w:t>
      </w:r>
      <w:r>
        <w:rPr/>
        <w:t> 进行会计处理：</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1）以实际收到的借款金额作为借款的入账价值，按照借款本金和该政策性优惠利率计算相关借款费用。</w:t>
      </w:r>
    </w:p>
    <w:p>
      <w:pPr>
        <w:spacing w:line="240" w:lineRule="auto" w:before="10"/>
        <w:rPr>
          <w:rFonts w:ascii="宋体" w:hAnsi="宋体" w:cs="宋体" w:eastAsia="宋体" w:hint="default"/>
          <w:sz w:val="17"/>
          <w:szCs w:val="17"/>
        </w:rPr>
      </w:pPr>
    </w:p>
    <w:p>
      <w:pPr>
        <w:pStyle w:val="BodyText"/>
        <w:spacing w:line="316" w:lineRule="auto"/>
        <w:ind w:right="1116" w:firstLine="420"/>
        <w:jc w:val="left"/>
      </w:pPr>
      <w:r>
        <w:rPr>
          <w:spacing w:val="-1"/>
        </w:rPr>
        <w:t>2）以借款的公允价值作为借款的入账价值并按照实际利率法计算借款费用，实际收到的金额与借款公允价值之间的差</w:t>
      </w:r>
      <w:r>
        <w:rPr/>
        <w:t> 额确认为递延收益。递延收益在借款存续期内采用实际利率法摊销，冲减相关借款费用。</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（2）财政将贴息资金直接拨付给本公司的，本公司将对应的贴息冲减相关借款费用。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30、递延所得税资产/递延所得税负债" w:id="218"/>
      <w:bookmarkEnd w:id="21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2" w:firstLine="420"/>
        <w:jc w:val="left"/>
      </w:pPr>
      <w:r>
        <w:rPr/>
        <w:t>本公司除了将与直接计入股东权益的交易或者事项有关的所得税影响计入股东权益外，当期所得税和递延所得税费用 (或收益)计入当期损益。</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当期所得税是按本年度应税所得额，根据税法规定的税率计算的预期应交所得税，加上以往年度应付所得税的调整。</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952" w:firstLine="420"/>
        <w:jc w:val="left"/>
      </w:pPr>
      <w:r>
        <w:rPr/>
        <w:t>资产负债表日，如果纳税主体拥有以净额结算的法定权利并且意图以净额结算或取得资产、清偿负债同时进行时，那 么当期所得税资产及当期所得税负债以抵销后的净额列示。</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递延所得税资产与递延所得税负债分别根据可抵扣暂时性差异和应纳税暂时性差异确定。暂时性差异是指资产或负债 </w:t>
      </w:r>
      <w:r>
        <w:rPr>
          <w:spacing w:val="-2"/>
        </w:rPr>
        <w:t>的账面价值与其计税基础之间的差额，包括能够结转以后年度的可抵扣亏损和税款抵减。递延所得税资产的确认以很可能取</w:t>
      </w:r>
      <w:r>
        <w:rPr>
          <w:spacing w:val="-64"/>
        </w:rPr>
        <w:t> </w:t>
      </w:r>
      <w:r>
        <w:rPr>
          <w:spacing w:val="-64"/>
        </w:rPr>
      </w:r>
      <w:r>
        <w:rPr/>
        <w:t>得用来抵扣可抵扣暂时性差异的应纳税所得额为限。</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t>如果不属于企业合并交易且交易发生时既不影响会计利润也不影响应纳税所得额(或可抵扣亏损)，则该项交易中产生 的暂时性差异不会产生递延所得税。商誉的初始确认导致的暂时性差异也不产生相关的递延所得税。</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t>资产负债表日，本公司根据递延所得税资产和负债的预期收回或结算方式，依据已颁布的税法规定，按照预期收回该 资产或清偿该负债期间的适用税率计量该递延所得税资产和负债的账面金额。</w:t>
      </w:r>
    </w:p>
    <w:p>
      <w:pPr>
        <w:pStyle w:val="BodyText"/>
        <w:spacing w:line="468" w:lineRule="exact" w:before="10"/>
        <w:ind w:left="532" w:right="952"/>
        <w:jc w:val="left"/>
      </w:pPr>
      <w:r>
        <w:rPr/>
        <w:t>资产负债表日，递延所得税资产及递延所得税负债在同时满足以下条件时以抵销后的净额列示： 纳税主体拥有以净额结算当期所得税资产及当期所得税负债的法定权利，并且递延所得税资产及递延所得税负债是与</w:t>
      </w:r>
    </w:p>
    <w:p>
      <w:pPr>
        <w:pStyle w:val="BodyText"/>
        <w:spacing w:line="316" w:lineRule="auto" w:before="8"/>
        <w:ind w:right="952"/>
        <w:jc w:val="left"/>
      </w:pPr>
      <w:r>
        <w:rPr>
          <w:spacing w:val="-2"/>
        </w:rPr>
        <w:t>同一税收征管部门对同一纳税主体征收的所得税相关或者是对不同的纳税主体相关，但在未来每一具有重要性的递延所得税</w:t>
      </w:r>
      <w:r>
        <w:rPr>
          <w:spacing w:val="-64"/>
        </w:rPr>
        <w:t> </w:t>
      </w:r>
      <w:r>
        <w:rPr>
          <w:spacing w:val="-64"/>
        </w:rPr>
      </w:r>
      <w:r>
        <w:rPr/>
        <w:t>资产及负债转回的期间内，涉及的纳税主体意图以净额结算当期所得税资产和负债或是同时取得资产、清偿负债。</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532" w:right="1026" w:hanging="420"/>
        <w:jc w:val="left"/>
      </w:pPr>
      <w:r>
        <w:rPr/>
        <w:t>经营租赁租入资产 </w:t>
      </w:r>
      <w:r>
        <w:rPr>
          <w:spacing w:val="-1"/>
        </w:rPr>
        <w:t>经营租赁租入资产的租金费用在租赁期内按直线法确认为相关资产成本或费用。或有租金在实际发生时计入当期损益。</w:t>
      </w:r>
      <w:r>
        <w:rPr/>
        <w:t> 经营租赁租入资产的改良支出计入长期待摊费用，在预计使用年限和租赁期限孰短内进行摊销。</w:t>
      </w:r>
    </w:p>
    <w:p>
      <w:pPr>
        <w:pStyle w:val="BodyText"/>
        <w:spacing w:line="240" w:lineRule="auto" w:before="54"/>
        <w:ind w:right="952"/>
        <w:jc w:val="left"/>
      </w:pPr>
      <w:r>
        <w:rPr/>
        <w:t>经营租赁租出资产</w:t>
      </w:r>
    </w:p>
    <w:p>
      <w:pPr>
        <w:spacing w:line="240" w:lineRule="auto" w:before="10"/>
        <w:rPr>
          <w:rFonts w:ascii="宋体" w:hAnsi="宋体" w:cs="宋体" w:eastAsia="宋体" w:hint="default"/>
          <w:sz w:val="17"/>
          <w:szCs w:val="17"/>
        </w:rPr>
      </w:pPr>
    </w:p>
    <w:p>
      <w:pPr>
        <w:pStyle w:val="BodyText"/>
        <w:spacing w:line="316" w:lineRule="auto"/>
        <w:ind w:right="1034" w:firstLine="360"/>
        <w:jc w:val="left"/>
      </w:pPr>
      <w:r>
        <w:rPr/>
        <w:t>经营租赁租出的除投资性房地产外的固定资产按附注所述的折旧政策计提折旧，按附注所述的会计政策计提减值准备。 </w:t>
      </w:r>
      <w:r>
        <w:rPr>
          <w:spacing w:val="-2"/>
        </w:rPr>
        <w:t>经营租赁租出资产所产生的租金收入在租赁期内按直线法确认为收入。经营租赁租出资产发生的初始直接费用，金额较大时</w:t>
      </w:r>
      <w:r>
        <w:rPr>
          <w:spacing w:val="-64"/>
        </w:rPr>
        <w:t> </w:t>
      </w:r>
      <w:r>
        <w:rPr>
          <w:spacing w:val="-64"/>
        </w:rPr>
      </w:r>
      <w:r>
        <w:rPr>
          <w:spacing w:val="-2"/>
        </w:rPr>
        <w:t>应当资本化，在整个租赁期内按照与确认租金收入相同的基础分期计入当期损益；金额较小时，直接计入当期损益。或有租</w:t>
      </w:r>
      <w:r>
        <w:rPr>
          <w:spacing w:val="-64"/>
        </w:rPr>
        <w:t> </w:t>
      </w:r>
      <w:r>
        <w:rPr>
          <w:spacing w:val="-64"/>
        </w:rPr>
      </w:r>
      <w:r>
        <w:rPr/>
        <w:t>金在实际发生时计入当期损益。</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70" w:lineRule="atLeast" w:before="112"/>
        <w:ind w:left="532" w:right="952" w:firstLine="60"/>
        <w:jc w:val="left"/>
      </w:pPr>
      <w:r>
        <w:rPr/>
        <w:t>融资租赁租入资产 本公司融资租入资产按租赁开始日租赁资产公允价值与最低租赁付款额现值两者中较低者作为租入资产的入账价值，</w:t>
      </w:r>
    </w:p>
    <w:p>
      <w:pPr>
        <w:pStyle w:val="BodyText"/>
        <w:spacing w:line="316" w:lineRule="auto" w:before="76"/>
        <w:ind w:right="952"/>
        <w:jc w:val="left"/>
      </w:pPr>
      <w:r>
        <w:rPr>
          <w:spacing w:val="-2"/>
        </w:rPr>
        <w:t>将最低租赁付款额作为长期应付款的入账价值，其差额作为未确认融资费用。本公司将因融资租赁发生的初始直接费用计入</w:t>
      </w:r>
      <w:r>
        <w:rPr>
          <w:spacing w:val="-64"/>
        </w:rPr>
        <w:t> </w:t>
      </w:r>
      <w:r>
        <w:rPr>
          <w:spacing w:val="-64"/>
        </w:rPr>
      </w:r>
      <w:r>
        <w:rPr/>
        <w:t>租入资产价值。融资租赁租入资产按附注所述的折旧政策计提折旧，按所述的会计政策计提减值准备。</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t>对能够合理确定租赁期届满时取得租入资产所有权的，租入资产在使用寿命内计提折旧。否则，租赁资产在租赁期与 租赁资产使用寿命两者中较短的期间内计提折旧。</w:t>
      </w:r>
    </w:p>
    <w:p>
      <w:pPr>
        <w:pStyle w:val="BodyText"/>
        <w:spacing w:line="468" w:lineRule="exact" w:before="10"/>
        <w:ind w:left="532" w:right="952"/>
        <w:jc w:val="left"/>
      </w:pPr>
      <w:r>
        <w:rPr/>
        <w:t>本公司对未确认融资费用采用实际利率法在租赁期内各个期间进行分摊，并按照借款费用的原则处理(参见附注)。 资产负债表日，本公司将与融资租赁相关的长期应付款减去未确认融资费用的差额，分别以长期负债和一年内到期的</w:t>
      </w:r>
    </w:p>
    <w:p>
      <w:pPr>
        <w:pStyle w:val="BodyText"/>
        <w:spacing w:line="240" w:lineRule="auto" w:before="8"/>
        <w:ind w:right="952"/>
        <w:jc w:val="left"/>
      </w:pPr>
      <w:r>
        <w:rPr/>
        <w:t>长期负债列示。</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477" w:lineRule="auto" w:before="44"/>
        <w:ind w:left="472" w:right="7274" w:firstLine="60"/>
        <w:jc w:val="left"/>
      </w:pPr>
      <w:r>
        <w:rPr/>
        <w:t>或有租金在实际发生时计入当期损益。 融资租赁租出资产</w:t>
      </w:r>
    </w:p>
    <w:p>
      <w:pPr>
        <w:pStyle w:val="BodyText"/>
        <w:spacing w:line="316" w:lineRule="auto" w:before="54"/>
        <w:ind w:right="952" w:firstLine="420"/>
        <w:jc w:val="left"/>
      </w:pPr>
      <w:r>
        <w:rPr/>
        <w:t>本公司将租赁开始日最低租赁收款额与初始直接费用之和作为应收融资租赁款的入账价值，同时记录未担保余值；将 最低租赁收款额、初始直接费用及未担保余值之和与其现值之和的差额确认为未实现融资收益。</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t>本公司采用实际利率法在租赁期内各个期间分配未实现融资收益。资产负债表日，本公司将应收融资租赁款减去未实 现融资收益的差额，分别列入资产负债表中长期应收款以及一年内到期的非流动资产。</w:t>
      </w:r>
    </w:p>
    <w:p>
      <w:pPr>
        <w:pStyle w:val="BodyText"/>
        <w:spacing w:line="468" w:lineRule="exact" w:before="10"/>
        <w:ind w:left="532" w:right="952"/>
        <w:jc w:val="left"/>
      </w:pPr>
      <w:r>
        <w:rPr/>
        <w:t>本公司对应收融资租赁款计提减值按照</w:t>
      </w:r>
      <w:r>
        <w:rPr>
          <w:rFonts w:ascii="Times New Roman" w:hAnsi="Times New Roman" w:cs="Times New Roman" w:eastAsia="Times New Roman" w:hint="default"/>
        </w:rPr>
        <w:t>“</w:t>
      </w:r>
      <w:r>
        <w:rPr/>
        <w:t>应收款项及坏账准备的核算</w:t>
      </w:r>
      <w:r>
        <w:rPr>
          <w:rFonts w:ascii="Times New Roman" w:hAnsi="Times New Roman" w:cs="Times New Roman" w:eastAsia="Times New Roman" w:hint="default"/>
        </w:rPr>
        <w:t>”</w:t>
      </w:r>
      <w:r>
        <w:rPr/>
        <w:t>所述的政策处理。 本公司至少于每年年度终了对未担保余值进行复核，未担保余值的预计可收回金额低于其账面价值时，确认资产减值</w:t>
      </w:r>
    </w:p>
    <w:p>
      <w:pPr>
        <w:pStyle w:val="BodyText"/>
        <w:spacing w:line="316" w:lineRule="auto" w:before="8"/>
        <w:ind w:right="952"/>
        <w:jc w:val="left"/>
      </w:pPr>
      <w:r>
        <w:rPr>
          <w:spacing w:val="-2"/>
        </w:rPr>
        <w:t>损失。如果有迹象表明以前年度据以计提减值的因素发生变化，使得未担保余值的可收回金额大于其账面价值，其差额在以</w:t>
      </w:r>
      <w:r>
        <w:rPr>
          <w:spacing w:val="-63"/>
        </w:rPr>
        <w:t> </w:t>
      </w:r>
      <w:r>
        <w:rPr>
          <w:spacing w:val="-63"/>
        </w:rPr>
      </w:r>
      <w:r>
        <w:rPr/>
        <w:t>前年度已确认的资产减值损失金额内转回，转回的资产减值损失计入当期损益。</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32、其他重要的会计政策和会计估计" w:id="222"/>
      <w:bookmarkEnd w:id="22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2654"/>
        <w:jc w:val="left"/>
      </w:pPr>
      <w:r>
        <w:rPr/>
        <w:t>√ 适用 □ 不适用 详见第五节重要事项第六点“董事会关于报告期会计政策、会计估计变更或重大会计差错更正的说明”</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6"/>
        <w:gridCol w:w="2388"/>
        <w:gridCol w:w="2392"/>
        <w:gridCol w:w="2392"/>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11"/>
        <w:ind w:right="952"/>
        <w:jc w:val="left"/>
      </w:pPr>
      <w:r>
        <w:rPr/>
        <w:t>本公司报告期内未发生会计估计变更。</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4、其他" w:id="226"/>
      <w:bookmarkEnd w:id="226"/>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六、税项" w:id="227"/>
      <w:bookmarkEnd w:id="227"/>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主要税种及税率" w:id="228"/>
      <w:bookmarkEnd w:id="22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软件产品销售收入、其他收入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7%</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2%</w:t>
            </w:r>
          </w:p>
        </w:tc>
      </w:tr>
      <w:tr>
        <w:trPr>
          <w:trHeight w:val="356" w:hRule="exact"/>
        </w:trPr>
        <w:tc>
          <w:tcPr>
            <w:tcW w:w="3189"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p>
        </w:tc>
      </w:tr>
      <w:tr>
        <w:trPr>
          <w:trHeight w:val="317"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房产余值或租金收入</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10-30%</w:t>
            </w:r>
            <w:r>
              <w:rPr>
                <w:rFonts w:ascii="宋体" w:hAnsi="宋体" w:cs="宋体" w:eastAsia="宋体" w:hint="default"/>
                <w:sz w:val="18"/>
                <w:szCs w:val="18"/>
              </w:rPr>
              <w:t>后余值的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w:t>
            </w:r>
          </w:p>
        </w:tc>
      </w:tr>
      <w:tr>
        <w:trPr>
          <w:trHeight w:val="353" w:hRule="exact"/>
        </w:trPr>
        <w:tc>
          <w:tcPr>
            <w:tcW w:w="3189"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的，按租金收入的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r>
    </w:tbl>
    <w:p>
      <w:pPr>
        <w:pStyle w:val="BodyText"/>
        <w:spacing w:line="240" w:lineRule="auto" w:before="51"/>
        <w:ind w:right="952"/>
        <w:jc w:val="left"/>
      </w:pPr>
      <w:r>
        <w:rPr/>
        <w:t>存在不同企业所得税税率纳税主体的，披露情况说明</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2d2d2"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92;top:10;width:4786;height:402" type="#_x0000_t202" filled="false" stroked="false">
                <v:textbox inset="0,0,0,0">
                  <w:txbxContent>
                    <w:p>
                      <w:pPr>
                        <w:spacing w:before="54"/>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952"/>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pStyle w:val="BodyText"/>
        <w:spacing w:line="460" w:lineRule="atLeast" w:before="122"/>
        <w:ind w:left="532" w:right="952"/>
        <w:jc w:val="left"/>
      </w:pPr>
      <w:r>
        <w:rPr/>
        <w:t>1. 增值税 </w:t>
      </w:r>
      <w:r>
        <w:rPr>
          <w:spacing w:val="-3"/>
        </w:rPr>
        <w:t>根据财政部、国家税务总局财税[2018]32号《关于调整增值税税率的通知》：自2018年5月1日起，在全国范围内调整增</w:t>
      </w:r>
    </w:p>
    <w:p>
      <w:pPr>
        <w:pStyle w:val="BodyText"/>
        <w:spacing w:line="240" w:lineRule="auto" w:before="76"/>
        <w:ind w:right="952"/>
        <w:jc w:val="left"/>
      </w:pPr>
      <w:r>
        <w:rPr/>
        <w:t>值税税率，纳税人发生增值税应税销售行为或者进口货物，原适用17%和11%税率的，税率分别调整为16%、10%。</w:t>
      </w:r>
    </w:p>
    <w:p>
      <w:pPr>
        <w:spacing w:line="240" w:lineRule="auto" w:before="10"/>
        <w:rPr>
          <w:rFonts w:ascii="宋体" w:hAnsi="宋体" w:cs="宋体" w:eastAsia="宋体" w:hint="default"/>
          <w:sz w:val="17"/>
          <w:szCs w:val="17"/>
        </w:rPr>
      </w:pPr>
    </w:p>
    <w:p>
      <w:pPr>
        <w:pStyle w:val="BodyText"/>
        <w:spacing w:line="316" w:lineRule="auto"/>
        <w:ind w:right="1131" w:firstLine="420"/>
        <w:jc w:val="both"/>
      </w:pPr>
      <w:r>
        <w:rPr/>
        <w:t>公司是经国家税务局认定的增值税一般纳税人，根据国务院《关于印发鼓励软件企业和集成电路产业发展若干政策的 </w:t>
      </w:r>
      <w:r>
        <w:rPr>
          <w:spacing w:val="-2"/>
        </w:rPr>
        <w:t>通知》（国发[2000]18号）和财政部、国家税务总局、海关总署《关于鼓励软件产业和集成电路产业发展有关税收问题的通</w:t>
      </w:r>
      <w:r>
        <w:rPr>
          <w:spacing w:val="-61"/>
        </w:rPr>
        <w:t> </w:t>
      </w:r>
      <w:r>
        <w:rPr>
          <w:spacing w:val="-61"/>
        </w:rPr>
      </w:r>
      <w:r>
        <w:rPr>
          <w:spacing w:val="-3"/>
        </w:rPr>
        <w:t>知》（财税[2000]25号）文以及国务院印发的《进一步鼓励软件产业和集成电路产业发展若干政策的通知》（国发〔2011〕4</w:t>
      </w:r>
      <w:r>
        <w:rPr>
          <w:spacing w:val="-85"/>
        </w:rPr>
        <w:t> </w:t>
      </w:r>
      <w:r>
        <w:rPr>
          <w:spacing w:val="-85"/>
        </w:rPr>
      </w:r>
      <w:r>
        <w:rPr>
          <w:spacing w:val="-3"/>
        </w:rPr>
        <w:t>号文）、财政部、国家税务总局印发《关于软件产品增值税政策的通知》（财税[2011]100号文）的规定，对增值税一般纳税</w:t>
      </w:r>
      <w:r>
        <w:rPr/>
        <w:t> 人销售其自行开发生产的软件产品按法定税率征收增值税后，对其增值税实际税负超过3%的部分实行即征即退政策。</w:t>
      </w:r>
    </w:p>
    <w:p>
      <w:pPr>
        <w:spacing w:line="240" w:lineRule="auto" w:before="5"/>
        <w:rPr>
          <w:rFonts w:ascii="宋体" w:hAnsi="宋体" w:cs="宋体" w:eastAsia="宋体" w:hint="default"/>
          <w:sz w:val="13"/>
          <w:szCs w:val="13"/>
        </w:rPr>
      </w:pPr>
    </w:p>
    <w:p>
      <w:pPr>
        <w:pStyle w:val="BodyText"/>
        <w:spacing w:line="316" w:lineRule="auto"/>
        <w:ind w:right="1034" w:firstLine="420"/>
        <w:jc w:val="left"/>
      </w:pPr>
      <w:r>
        <w:rPr>
          <w:spacing w:val="-3"/>
        </w:rPr>
        <w:t>2011年11月16日，国务院批准财政部、国家税务总局联合印发《营业税改征增值税试点方案》；2011年11月16日，财政</w:t>
      </w:r>
      <w:r>
        <w:rPr/>
        <w:t> </w:t>
      </w:r>
      <w:r>
        <w:rPr>
          <w:spacing w:val="-3"/>
        </w:rPr>
        <w:t>部、国家税务总局发财税[2011]111号《关于在上海市开展交通运输业和部分现代服务业营业税改征增值税试点的通知》，上</w:t>
      </w:r>
      <w:r>
        <w:rPr/>
        <w:t> 海市自2012年1月1日起完成新旧税制转换，按照此规定，本公司上海分公司服务费收入按3%计缴增值税，不再缴纳营业税， </w:t>
      </w:r>
      <w:r>
        <w:rPr>
          <w:spacing w:val="-8"/>
        </w:rPr>
        <w:t>子公司上海赢量按照金融服务费收入按6%计缴增值税，不再缴纳营业税；2012年7月31日，财政部、国家税务总局发财税〔2012〕</w:t>
      </w:r>
      <w:r>
        <w:rPr>
          <w:spacing w:val="-31"/>
        </w:rPr>
        <w:t> </w:t>
      </w:r>
      <w:r>
        <w:rPr>
          <w:spacing w:val="-31"/>
        </w:rPr>
      </w:r>
      <w:r>
        <w:rPr>
          <w:spacing w:val="-3"/>
        </w:rPr>
        <w:t>71号《关于在北京等8省市开展交通运输业和部分现代服务业营业税改征增值税试点的通知》，北京市自2012年9月1日起完成</w:t>
      </w:r>
      <w:r>
        <w:rPr/>
        <w:t> 新旧税制转换，按照此规定，本公司北京分公司服务费收入按3%计缴增值税，不再缴纳营业税；深圳市自2012年11月1日起</w:t>
      </w:r>
      <w:r>
        <w:rPr>
          <w:spacing w:val="-87"/>
        </w:rPr>
        <w:t> </w:t>
      </w:r>
      <w:r>
        <w:rPr>
          <w:spacing w:val="-87"/>
        </w:rPr>
      </w:r>
      <w:r>
        <w:rPr>
          <w:spacing w:val="-2"/>
        </w:rPr>
        <w:t>完成新旧税制转换，按照此规定，本公司服务费收入和开发费收入按6%计缴增值税。新旧税制转换前享受营业税免税优惠的</w:t>
      </w:r>
      <w:r>
        <w:rPr>
          <w:spacing w:val="-62"/>
        </w:rPr>
        <w:t> </w:t>
      </w:r>
      <w:r>
        <w:rPr>
          <w:spacing w:val="-62"/>
        </w:rPr>
      </w:r>
      <w:r>
        <w:rPr/>
        <w:t>定制软件开发费收入在完成税制转换后享受继续增值税免税优惠。</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2.</w:t>
      </w:r>
      <w:r>
        <w:rPr>
          <w:spacing w:val="1"/>
        </w:rPr>
        <w:t> </w:t>
      </w:r>
      <w:r>
        <w:rPr/>
        <w:t>企业所得税</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（1）根据财税〔2016〕49号《关于软件和集成电路产业企业所得税优惠政策有关问题的通知》通知，自2015年1月1 </w:t>
      </w:r>
      <w:r>
        <w:rPr>
          <w:spacing w:val="-2"/>
        </w:rPr>
        <w:t>日起享受企业所得税优惠政策的软件和集成电路企业实行备案制，无需审批。本公司已按照该通知附件《享受企业所得税优</w:t>
      </w:r>
      <w:r>
        <w:rPr>
          <w:spacing w:val="-63"/>
        </w:rPr>
        <w:t> </w:t>
      </w:r>
      <w:r>
        <w:rPr>
          <w:spacing w:val="-63"/>
        </w:rPr>
      </w:r>
      <w:r>
        <w:rPr>
          <w:spacing w:val="-2"/>
        </w:rPr>
        <w:t>惠政策的软件和集成电路企业备案资料明细表》中对于软件企业的要求，将相关资料准备齐全。根据2016年本公司国家规划</w:t>
      </w:r>
      <w:r>
        <w:rPr>
          <w:spacing w:val="-61"/>
        </w:rPr>
        <w:t> </w:t>
      </w:r>
      <w:r>
        <w:rPr>
          <w:spacing w:val="-61"/>
        </w:rPr>
      </w:r>
      <w:r>
        <w:rPr>
          <w:spacing w:val="-2"/>
        </w:rPr>
        <w:t>布局内的重点软件企业的通过情况，2018年公司各项经营指标及条件均达到了备案要求，通过国家规划布局内的重点软件企</w:t>
      </w:r>
      <w:r>
        <w:rPr>
          <w:spacing w:val="-62"/>
        </w:rPr>
        <w:t> </w:t>
      </w:r>
      <w:r>
        <w:rPr>
          <w:spacing w:val="-62"/>
        </w:rPr>
      </w:r>
      <w:r>
        <w:rPr/>
        <w:t>业备案通过的可能性很大，故2018年度按照10%的税率计缴企业所得税。</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（2）子公司上海赢量2016年被认定为高新技术企业，取得了上海市科学技术委员会、上海市财政局、上海市国家税务</w:t>
      </w:r>
      <w:r>
        <w:rPr/>
        <w:t> </w:t>
      </w:r>
      <w:r>
        <w:rPr>
          <w:spacing w:val="-5"/>
        </w:rPr>
        <w:t>局和上海市地方税务局联合颁发的《高新技术企业证书》（证书编号：GR201631001207），发证日期为2016年11月24日，认定</w:t>
      </w:r>
      <w:r>
        <w:rPr>
          <w:spacing w:val="-34"/>
        </w:rPr>
        <w:t> </w:t>
      </w:r>
      <w:r>
        <w:rPr>
          <w:spacing w:val="-34"/>
        </w:rPr>
      </w:r>
      <w:r>
        <w:rPr/>
        <w:t>有效期三年。</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公司2018年度企业所得税税率为15%。</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其他" w:id="230"/>
      <w:bookmarkEnd w:id="23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after="0" w:line="240" w:lineRule="auto"/>
        <w:jc w:val="left"/>
        <w:sectPr>
          <w:pgSz w:w="11910" w:h="16840"/>
          <w:pgMar w:header="919" w:footer="1009"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52"/>
        <w:jc w:val="left"/>
        <w:rPr>
          <w:b w:val="0"/>
          <w:bCs w:val="0"/>
        </w:rPr>
      </w:pPr>
      <w:bookmarkStart w:name="七、合并财务报表项目注释" w:id="231"/>
      <w:bookmarkEnd w:id="231"/>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货币资金" w:id="232"/>
      <w:bookmarkEnd w:id="23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22,304.20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372,002,940.35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786,927,720.35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372,220,940.35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786,980,024.60</w:t>
            </w:r>
          </w:p>
        </w:tc>
      </w:tr>
    </w:tbl>
    <w:p>
      <w:pPr>
        <w:pStyle w:val="BodyText"/>
        <w:spacing w:line="240" w:lineRule="auto" w:before="49"/>
        <w:ind w:right="952"/>
        <w:jc w:val="left"/>
      </w:pPr>
      <w:r>
        <w:rPr/>
        <w:t>其他说明</w:t>
      </w:r>
    </w:p>
    <w:p>
      <w:pPr>
        <w:pStyle w:val="BodyText"/>
        <w:spacing w:line="240" w:lineRule="auto" w:before="117"/>
        <w:ind w:left="532" w:right="952"/>
        <w:jc w:val="left"/>
      </w:pPr>
      <w:r>
        <w:rPr/>
        <w:t>1．期末其他货币资金218,000.00元系支付的履约保证金,</w:t>
      </w:r>
      <w:r>
        <w:rPr>
          <w:spacing w:val="-4"/>
        </w:rPr>
        <w:t> </w:t>
      </w:r>
      <w:r>
        <w:rPr/>
        <w:t>因无法随时动用未将其认定为现金及现金等价物。</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2．期末货币资金余额中无存放在境外的款项。</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3．期末货币资金余额中无存在潜在回收风险的款项。</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以公允价值计量且其变动计入当期损益的金融资产" w:id="233"/>
      <w:bookmarkEnd w:id="23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应收票据及应收账款" w:id="234"/>
      <w:bookmarkEnd w:id="234"/>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46,255,836.96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538,306,992.52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348,312,001.46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538,306,992.52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394,567,838.42</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1）应收票据" w:id="235"/>
      <w:bookmarkEnd w:id="23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46,255,836.96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46,255,836.96</w:t>
            </w:r>
          </w:p>
        </w:tc>
      </w:tr>
    </w:tbl>
    <w:p>
      <w:pPr>
        <w:pStyle w:val="BodyText"/>
        <w:spacing w:line="240" w:lineRule="auto" w:before="50"/>
        <w:ind w:right="952"/>
        <w:jc w:val="left"/>
      </w:pPr>
      <w:r>
        <w:rPr>
          <w:rFonts w:ascii="Times New Roman" w:hAnsi="Times New Roman" w:cs="Times New Roman" w:eastAsia="Times New Roman" w:hint="default"/>
        </w:rPr>
        <w:t>2)</w:t>
      </w:r>
      <w:r>
        <w:rPr/>
        <w:t>期末公司已质押的应收票据</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0" w:right="1132"/>
        <w:jc w:val="right"/>
      </w:pPr>
      <w:r>
        <w:rPr/>
        <w:t>单位：</w:t>
      </w:r>
      <w:r>
        <w:rPr>
          <w:spacing w:val="-2"/>
        </w:rPr>
        <w:t> </w:t>
      </w:r>
      <w:r>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95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0"/>
        <w:ind w:right="95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2,658,300.00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2,658,300.00</w:t>
            </w:r>
          </w:p>
        </w:tc>
      </w:tr>
    </w:tbl>
    <w:p>
      <w:pPr>
        <w:pStyle w:val="BodyText"/>
        <w:spacing w:line="240" w:lineRule="auto" w:before="51"/>
        <w:ind w:right="952"/>
        <w:jc w:val="left"/>
      </w:pPr>
      <w:r>
        <w:rPr/>
        <w:t>其他说明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2354"/>
        <w:gridCol w:w="1900"/>
        <w:gridCol w:w="1334"/>
        <w:gridCol w:w="2204"/>
        <w:gridCol w:w="1002"/>
      </w:tblGrid>
      <w:tr>
        <w:trPr>
          <w:trHeight w:val="363" w:hRule="exact"/>
        </w:trPr>
        <w:tc>
          <w:tcPr>
            <w:tcW w:w="235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879" w:right="0"/>
              <w:jc w:val="left"/>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90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543"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33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27"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220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29" w:right="0"/>
              <w:jc w:val="left"/>
              <w:rPr>
                <w:rFonts w:ascii="宋体" w:hAnsi="宋体" w:cs="宋体" w:eastAsia="宋体" w:hint="default"/>
                <w:sz w:val="18"/>
                <w:szCs w:val="18"/>
              </w:rPr>
            </w:pPr>
            <w:r>
              <w:rPr>
                <w:rFonts w:ascii="宋体" w:hAnsi="宋体" w:cs="宋体" w:eastAsia="宋体" w:hint="default"/>
                <w:b/>
                <w:bCs/>
                <w:sz w:val="18"/>
                <w:szCs w:val="18"/>
              </w:rPr>
              <w:t>期末转应收账款金额</w:t>
            </w:r>
            <w:r>
              <w:rPr>
                <w:rFonts w:ascii="宋体" w:hAnsi="宋体" w:cs="宋体" w:eastAsia="宋体" w:hint="default"/>
                <w:sz w:val="18"/>
                <w:szCs w:val="18"/>
              </w:rPr>
            </w:r>
          </w:p>
        </w:tc>
        <w:tc>
          <w:tcPr>
            <w:tcW w:w="100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16"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7" w:hRule="exact"/>
        </w:trPr>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滑县永达饲料有限公司</w:t>
            </w:r>
          </w:p>
        </w:tc>
        <w:tc>
          <w:tcPr>
            <w:tcW w:w="190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71" w:right="0"/>
              <w:jc w:val="left"/>
              <w:rPr>
                <w:rFonts w:ascii="宋体" w:hAnsi="宋体" w:cs="宋体" w:eastAsia="宋体" w:hint="default"/>
                <w:sz w:val="18"/>
                <w:szCs w:val="18"/>
              </w:rPr>
            </w:pPr>
            <w:r>
              <w:rPr>
                <w:rFonts w:ascii="宋体"/>
                <w:sz w:val="18"/>
              </w:rPr>
              <w:t>2017.11.30</w:t>
            </w:r>
          </w:p>
        </w:tc>
        <w:tc>
          <w:tcPr>
            <w:tcW w:w="133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04" w:right="0"/>
              <w:jc w:val="left"/>
              <w:rPr>
                <w:rFonts w:ascii="宋体" w:hAnsi="宋体" w:cs="宋体" w:eastAsia="宋体" w:hint="default"/>
                <w:sz w:val="18"/>
                <w:szCs w:val="18"/>
              </w:rPr>
            </w:pPr>
            <w:r>
              <w:rPr>
                <w:rFonts w:ascii="宋体"/>
                <w:sz w:val="18"/>
              </w:rPr>
              <w:t>2018.05.25</w:t>
            </w:r>
          </w:p>
        </w:tc>
        <w:tc>
          <w:tcPr>
            <w:tcW w:w="220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14"/>
              <w:jc w:val="right"/>
              <w:rPr>
                <w:rFonts w:ascii="宋体" w:hAnsi="宋体" w:cs="宋体" w:eastAsia="宋体" w:hint="default"/>
                <w:sz w:val="18"/>
                <w:szCs w:val="18"/>
              </w:rPr>
            </w:pPr>
            <w:r>
              <w:rPr>
                <w:rFonts w:ascii="宋体"/>
                <w:spacing w:val="-1"/>
                <w:sz w:val="18"/>
              </w:rPr>
              <w:t>2,658,300.00</w:t>
            </w:r>
          </w:p>
        </w:tc>
        <w:tc>
          <w:tcPr>
            <w:tcW w:w="1002"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00" w:type="dxa"/>
            <w:tcBorders>
              <w:top w:val="single" w:sz="6" w:space="0" w:color="000000"/>
              <w:left w:val="nil" w:sz="6" w:space="0" w:color="auto"/>
              <w:bottom w:val="single" w:sz="6" w:space="0" w:color="000000"/>
              <w:right w:val="nil" w:sz="6" w:space="0" w:color="auto"/>
            </w:tcBorders>
          </w:tcPr>
          <w:p>
            <w:pPr/>
          </w:p>
        </w:tc>
        <w:tc>
          <w:tcPr>
            <w:tcW w:w="1334" w:type="dxa"/>
            <w:tcBorders>
              <w:top w:val="single" w:sz="6" w:space="0" w:color="000000"/>
              <w:left w:val="nil" w:sz="6" w:space="0" w:color="auto"/>
              <w:bottom w:val="single" w:sz="6" w:space="0" w:color="000000"/>
              <w:right w:val="nil" w:sz="6" w:space="0" w:color="auto"/>
            </w:tcBorders>
          </w:tcPr>
          <w:p>
            <w:pPr/>
          </w:p>
        </w:tc>
        <w:tc>
          <w:tcPr>
            <w:tcW w:w="220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14"/>
              <w:jc w:val="right"/>
              <w:rPr>
                <w:rFonts w:ascii="宋体" w:hAnsi="宋体" w:cs="宋体" w:eastAsia="宋体" w:hint="default"/>
                <w:sz w:val="18"/>
                <w:szCs w:val="18"/>
              </w:rPr>
            </w:pPr>
            <w:r>
              <w:rPr>
                <w:rFonts w:ascii="宋体"/>
                <w:sz w:val="18"/>
              </w:rPr>
            </w:r>
            <w:r>
              <w:rPr>
                <w:rFonts w:ascii="宋体"/>
                <w:spacing w:val="-1"/>
                <w:sz w:val="18"/>
                <w:u w:val="single" w:color="000000"/>
              </w:rPr>
              <w:t>2,658,300.00</w:t>
            </w:r>
            <w:r>
              <w:rPr>
                <w:rFonts w:ascii="宋体"/>
                <w:spacing w:val="-1"/>
                <w:sz w:val="18"/>
              </w:rPr>
            </w:r>
          </w:p>
        </w:tc>
        <w:tc>
          <w:tcPr>
            <w:tcW w:w="1002" w:type="dxa"/>
            <w:tcBorders>
              <w:top w:val="single" w:sz="6" w:space="0" w:color="000000"/>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4"/>
        <w:ind w:right="952"/>
        <w:jc w:val="left"/>
        <w:rPr>
          <w:b w:val="0"/>
          <w:bCs w:val="0"/>
        </w:rPr>
      </w:pPr>
      <w:bookmarkStart w:name="（2）应收账款" w:id="236"/>
      <w:bookmarkEnd w:id="23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4,484,9</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448,49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7.00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4,036,4</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73.00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561,38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5,343.3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99.02</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28,206,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346.13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533,17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8,997.2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365,8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66,43</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17,554,</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434.51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348,312,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001.46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1,091,5</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22.32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1,091,5</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22.32</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566,96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1,835.6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28,654,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843.13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538,30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6,992.5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365,8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66,43</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17,554,</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434.51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348,312,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001.46</w:t>
            </w:r>
          </w:p>
        </w:tc>
      </w:tr>
    </w:tbl>
    <w:p>
      <w:pPr>
        <w:pStyle w:val="BodyText"/>
        <w:spacing w:line="240" w:lineRule="auto" w:before="50"/>
        <w:ind w:right="952"/>
        <w:jc w:val="left"/>
      </w:pPr>
      <w:r>
        <w:rPr/>
        <w:t>期末单项金额重大并单项计提坏账准备的应收账款：</w:t>
      </w:r>
    </w:p>
    <w:p>
      <w:pPr>
        <w:spacing w:after="0" w:line="240" w:lineRule="auto"/>
        <w:jc w:val="left"/>
        <w:sectPr>
          <w:footerReference w:type="default" r:id="rId27"/>
          <w:pgSz w:w="11910" w:h="16840"/>
          <w:pgMar w:footer="1009" w:header="919" w:top="1120" w:bottom="1200" w:left="1020" w:right="0"/>
          <w:pgNumType w:start="13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鹤壁永达食品有限公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4,484,970.00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448,497.00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7"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0"/>
              <w:jc w:val="left"/>
              <w:rPr>
                <w:rFonts w:ascii="宋体" w:hAnsi="宋体" w:cs="宋体" w:eastAsia="宋体" w:hint="default"/>
                <w:sz w:val="18"/>
                <w:szCs w:val="18"/>
              </w:rPr>
            </w:pPr>
            <w:r>
              <w:rPr>
                <w:rFonts w:ascii="宋体" w:hAnsi="宋体" w:cs="宋体" w:eastAsia="宋体" w:hint="default"/>
                <w:sz w:val="18"/>
                <w:szCs w:val="18"/>
              </w:rPr>
              <w:t>债务人申请延长信用 期</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4,484,970.00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448,497.00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09" w:top="1120" w:bottom="1200" w:left="1020" w:right="0"/>
        </w:sectPr>
      </w:pPr>
    </w:p>
    <w:p>
      <w:pPr>
        <w:pStyle w:val="BodyText"/>
        <w:spacing w:line="240" w:lineRule="auto" w:before="51"/>
        <w:ind w:right="-20"/>
        <w:jc w:val="left"/>
      </w:pPr>
      <w:r>
        <w:rPr/>
        <w:t>组合中，按账龄分析法计提坏账准备的应收账款：</w:t>
      </w:r>
    </w:p>
    <w:p>
      <w:pPr>
        <w:pStyle w:val="BodyText"/>
        <w:spacing w:line="240" w:lineRule="auto" w:before="11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4073" w:space="475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384,811,304.84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19,240,565.23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34,320,479.53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3,432,047.95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5,698,772.97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1,709,631.89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3,824,101.06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3,824,101.06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428,654,658.40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28,206,346.13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6.58%</w:t>
            </w:r>
          </w:p>
        </w:tc>
      </w:tr>
    </w:tbl>
    <w:p>
      <w:pPr>
        <w:pStyle w:val="BodyText"/>
        <w:spacing w:line="357" w:lineRule="auto" w:before="52"/>
        <w:ind w:right="8774"/>
        <w:jc w:val="left"/>
      </w:pPr>
      <w:r>
        <w:rPr/>
        <w:t>确定该组合依据的说明： 无</w:t>
      </w:r>
    </w:p>
    <w:p>
      <w:pPr>
        <w:pStyle w:val="BodyText"/>
        <w:spacing w:line="240" w:lineRule="auto" w:before="29"/>
        <w:ind w:right="952"/>
        <w:jc w:val="left"/>
      </w:pPr>
      <w:r>
        <w:rPr/>
        <w:t>组合中，采用余额百分比法计提坏账准备的应收账款：</w:t>
      </w:r>
    </w:p>
    <w:p>
      <w:pPr>
        <w:pStyle w:val="BodyText"/>
        <w:spacing w:line="357" w:lineRule="auto" w:before="117"/>
        <w:ind w:right="6794"/>
        <w:jc w:val="left"/>
      </w:pPr>
      <w:r>
        <w:rPr/>
        <w:t>□ 适用 √ 不适用 组合中，采用其他方法计提坏账准备的应收账款：</w:t>
      </w:r>
    </w:p>
    <w:p>
      <w:pPr>
        <w:pStyle w:val="Heading4"/>
        <w:spacing w:line="240" w:lineRule="auto" w:before="3"/>
        <w:ind w:left="513" w:right="6973"/>
        <w:jc w:val="center"/>
      </w:pPr>
      <w:r>
        <w:rPr/>
        <w:t>按风险类型计提坏账准备的应收账款</w:t>
      </w:r>
    </w:p>
    <w:p>
      <w:pPr>
        <w:spacing w:line="240" w:lineRule="auto" w:before="1"/>
        <w:rPr>
          <w:rFonts w:ascii="宋体" w:hAnsi="宋体" w:cs="宋体" w:eastAsia="宋体" w:hint="default"/>
          <w:sz w:val="14"/>
          <w:szCs w:val="14"/>
        </w:rPr>
      </w:pPr>
    </w:p>
    <w:p>
      <w:pPr>
        <w:pStyle w:val="Heading5"/>
        <w:tabs>
          <w:tab w:pos="2755" w:val="left" w:leader="none"/>
          <w:tab w:pos="6784" w:val="left" w:leader="none"/>
        </w:tabs>
        <w:spacing w:line="240" w:lineRule="auto" w:before="44"/>
        <w:ind w:left="434" w:right="952"/>
        <w:jc w:val="left"/>
        <w:rPr>
          <w:b w:val="0"/>
          <w:bCs w:val="0"/>
        </w:rPr>
      </w:pPr>
      <w:r>
        <w:rPr/>
        <w:pict>
          <v:group style="position:absolute;margin-left:106.75pt;margin-top:18.141731pt;width:402.9pt;height:.1pt;mso-position-horizontal-relative:page;mso-position-vertical-relative:paragraph;z-index:-1266856" coordorigin="2135,363" coordsize="8058,2">
            <v:shape style="position:absolute;left:2135;top:363;width:8058;height:2" coordorigin="2135,363" coordsize="8058,0" path="m2135,363l10193,363e" filled="false" stroked="true" strokeweight=".72pt" strokecolor="#000000">
              <v:path arrowok="t"/>
            </v:shape>
            <w10:wrap type="none"/>
          </v:group>
        </w:pict>
      </w:r>
      <w:r>
        <w:rPr>
          <w:w w:val="95"/>
        </w:rPr>
        <w:t>组合</w:t>
        <w:tab/>
        <w:t>期末余额</w:t>
        <w:tab/>
      </w:r>
      <w:r>
        <w:rPr/>
        <w:t>期初余额</w:t>
      </w:r>
      <w:r>
        <w:rPr>
          <w:b w:val="0"/>
          <w:bCs w:val="0"/>
        </w:rPr>
      </w:r>
    </w:p>
    <w:p>
      <w:pPr>
        <w:spacing w:after="0" w:line="240" w:lineRule="auto"/>
        <w:jc w:val="left"/>
        <w:sectPr>
          <w:type w:val="continuous"/>
          <w:pgSz w:w="11910" w:h="16840"/>
          <w:pgMar w:top="1100" w:bottom="1200" w:left="1020" w:right="0"/>
        </w:sectPr>
      </w:pPr>
    </w:p>
    <w:p>
      <w:pPr>
        <w:pStyle w:val="Heading5"/>
        <w:tabs>
          <w:tab w:pos="1672" w:val="left" w:leader="none"/>
          <w:tab w:pos="2776" w:val="left" w:leader="none"/>
        </w:tabs>
        <w:spacing w:line="307" w:lineRule="auto" w:before="72"/>
        <w:ind w:left="2642" w:right="0" w:hanging="2208"/>
        <w:jc w:val="left"/>
        <w:rPr>
          <w:b w:val="0"/>
          <w:bCs w:val="0"/>
        </w:rPr>
      </w:pPr>
      <w:r>
        <w:rPr/>
        <w:pict>
          <v:group style="position:absolute;margin-left:56.700001pt;margin-top:37.091709pt;width:452.95pt;height:.1pt;mso-position-horizontal-relative:page;mso-position-vertical-relative:paragraph;z-index:1456" coordorigin="1134,742" coordsize="9059,2">
            <v:shape style="position:absolute;left:1134;top:742;width:9059;height:2" coordorigin="1134,742" coordsize="9059,0" path="m1134,742l10193,742e" filled="false" stroked="true" strokeweight=".72pt" strokecolor="#000000">
              <v:path arrowok="t"/>
            </v:shape>
            <w10:wrap type="none"/>
          </v:group>
        </w:pict>
      </w:r>
      <w:r>
        <w:rPr>
          <w:w w:val="95"/>
          <w:position w:val="4"/>
        </w:rPr>
        <w:t>名称</w:t>
        <w:tab/>
      </w:r>
      <w:r>
        <w:rPr>
          <w:w w:val="95"/>
        </w:rPr>
        <w:t>金额</w:t>
        <w:tab/>
        <w:tab/>
      </w:r>
      <w:r>
        <w:rPr/>
        <w:t>占总额</w:t>
      </w:r>
      <w:r>
        <w:rPr>
          <w:w w:val="99"/>
        </w:rPr>
        <w:t> </w:t>
      </w:r>
      <w:r>
        <w:rPr/>
        <w:t>比例（%）</w:t>
      </w:r>
      <w:r>
        <w:rPr>
          <w:b w:val="0"/>
          <w:bCs w:val="0"/>
        </w:rPr>
      </w:r>
    </w:p>
    <w:p>
      <w:pPr>
        <w:pStyle w:val="Heading5"/>
        <w:spacing w:line="316" w:lineRule="auto"/>
        <w:ind w:left="283" w:right="-19" w:hanging="180"/>
        <w:jc w:val="left"/>
        <w:rPr>
          <w:b w:val="0"/>
          <w:bCs w:val="0"/>
        </w:rPr>
      </w:pPr>
      <w:r>
        <w:rPr>
          <w:b w:val="0"/>
          <w:bCs w:val="0"/>
        </w:rPr>
        <w:br w:type="column"/>
      </w:r>
      <w:r>
        <w:rPr/>
        <w:t>坏帐准</w:t>
      </w:r>
      <w:r>
        <w:rPr>
          <w:w w:val="99"/>
        </w:rPr>
        <w:t> </w:t>
      </w:r>
      <w:r>
        <w:rPr/>
        <w:t>备</w:t>
      </w:r>
      <w:r>
        <w:rPr>
          <w:b w:val="0"/>
          <w:bCs w:val="0"/>
        </w:rPr>
      </w:r>
    </w:p>
    <w:p>
      <w:pPr>
        <w:pStyle w:val="Heading5"/>
        <w:spacing w:line="316" w:lineRule="auto"/>
        <w:ind w:left="87" w:right="0" w:firstLine="223"/>
        <w:jc w:val="left"/>
        <w:rPr>
          <w:b w:val="0"/>
          <w:bCs w:val="0"/>
        </w:rPr>
      </w:pPr>
      <w:r>
        <w:rPr>
          <w:b w:val="0"/>
          <w:bCs w:val="0"/>
        </w:rPr>
        <w:br w:type="column"/>
      </w:r>
      <w:r>
        <w:rPr/>
        <w:t>计提</w:t>
      </w:r>
      <w:r>
        <w:rPr>
          <w:w w:val="99"/>
        </w:rPr>
        <w:t> </w:t>
      </w:r>
      <w:r>
        <w:rPr>
          <w:w w:val="95"/>
        </w:rPr>
        <w:t>比例（%）</w:t>
      </w:r>
      <w:r>
        <w:rPr>
          <w:b w:val="0"/>
          <w:bCs w:val="0"/>
        </w:rPr>
      </w:r>
    </w:p>
    <w:p>
      <w:pPr>
        <w:pStyle w:val="Heading5"/>
        <w:tabs>
          <w:tab w:pos="1574" w:val="left" w:leader="none"/>
        </w:tabs>
        <w:spacing w:line="316" w:lineRule="auto"/>
        <w:ind w:left="1439" w:right="0" w:hanging="1006"/>
        <w:jc w:val="left"/>
        <w:rPr>
          <w:b w:val="0"/>
          <w:bCs w:val="0"/>
        </w:rPr>
      </w:pPr>
      <w:r>
        <w:rPr>
          <w:b w:val="0"/>
          <w:bCs w:val="0"/>
          <w:w w:val="95"/>
        </w:rPr>
        <w:br w:type="column"/>
      </w:r>
      <w:r>
        <w:rPr>
          <w:w w:val="95"/>
        </w:rPr>
        <w:t>金额</w:t>
        <w:tab/>
        <w:tab/>
      </w:r>
      <w:r>
        <w:rPr/>
        <w:t>占总额</w:t>
      </w:r>
      <w:r>
        <w:rPr>
          <w:w w:val="99"/>
        </w:rPr>
        <w:t> </w:t>
      </w:r>
      <w:r>
        <w:rPr>
          <w:w w:val="95"/>
        </w:rPr>
        <w:t>比例（%）</w:t>
      </w:r>
      <w:r>
        <w:rPr>
          <w:b w:val="0"/>
          <w:bCs w:val="0"/>
        </w:rPr>
      </w:r>
    </w:p>
    <w:p>
      <w:pPr>
        <w:pStyle w:val="Heading5"/>
        <w:spacing w:line="316" w:lineRule="auto"/>
        <w:ind w:left="245" w:right="-20" w:hanging="180"/>
        <w:jc w:val="left"/>
        <w:rPr>
          <w:b w:val="0"/>
          <w:bCs w:val="0"/>
        </w:rPr>
      </w:pPr>
      <w:r>
        <w:rPr>
          <w:b w:val="0"/>
          <w:bCs w:val="0"/>
        </w:rPr>
        <w:br w:type="column"/>
      </w:r>
      <w:r>
        <w:rPr/>
        <w:t>坏帐准</w:t>
      </w:r>
      <w:r>
        <w:rPr>
          <w:w w:val="99"/>
        </w:rPr>
        <w:t> </w:t>
      </w:r>
      <w:r>
        <w:rPr/>
        <w:t>备</w:t>
      </w:r>
      <w:r>
        <w:rPr>
          <w:b w:val="0"/>
          <w:bCs w:val="0"/>
        </w:rPr>
      </w:r>
    </w:p>
    <w:p>
      <w:pPr>
        <w:pStyle w:val="Heading5"/>
        <w:spacing w:line="316" w:lineRule="auto"/>
        <w:ind w:left="84" w:right="1221" w:firstLine="223"/>
        <w:jc w:val="left"/>
        <w:rPr>
          <w:b w:val="0"/>
          <w:bCs w:val="0"/>
        </w:rPr>
      </w:pPr>
      <w:r>
        <w:rPr>
          <w:b w:val="0"/>
          <w:bCs w:val="0"/>
        </w:rPr>
        <w:br w:type="column"/>
      </w:r>
      <w:r>
        <w:rPr/>
        <w:t>计提</w:t>
      </w:r>
      <w:r>
        <w:rPr>
          <w:w w:val="99"/>
        </w:rPr>
        <w:t> </w:t>
      </w:r>
      <w:r>
        <w:rPr>
          <w:w w:val="95"/>
        </w:rPr>
        <w:t>比例（%）</w:t>
      </w:r>
      <w:r>
        <w:rPr>
          <w:b w:val="0"/>
          <w:bCs w:val="0"/>
        </w:rPr>
      </w:r>
    </w:p>
    <w:p>
      <w:pPr>
        <w:spacing w:after="0" w:line="316" w:lineRule="auto"/>
        <w:jc w:val="left"/>
        <w:sectPr>
          <w:type w:val="continuous"/>
          <w:pgSz w:w="11910" w:h="16840"/>
          <w:pgMar w:top="1100" w:bottom="1200" w:left="1020" w:right="0"/>
          <w:cols w:num="6" w:equalWidth="0">
            <w:col w:w="3457" w:space="40"/>
            <w:col w:w="647" w:space="40"/>
            <w:col w:w="899" w:space="223"/>
            <w:col w:w="2252" w:space="40"/>
            <w:col w:w="609" w:space="40"/>
            <w:col w:w="2643"/>
          </w:cols>
        </w:sectPr>
      </w:pPr>
    </w:p>
    <w:p>
      <w:pPr>
        <w:pStyle w:val="BodyText"/>
        <w:tabs>
          <w:tab w:pos="1339" w:val="left" w:leader="none"/>
          <w:tab w:pos="3045" w:val="left" w:leader="none"/>
          <w:tab w:pos="5452" w:val="left" w:leader="none"/>
          <w:tab w:pos="7563" w:val="right" w:leader="none"/>
        </w:tabs>
        <w:spacing w:line="240" w:lineRule="auto" w:before="52"/>
        <w:ind w:left="124" w:right="0"/>
        <w:jc w:val="left"/>
      </w:pPr>
      <w:r>
        <w:rPr/>
        <w:t>正常类</w:t>
        <w:tab/>
      </w:r>
      <w:r>
        <w:rPr>
          <w:spacing w:val="-1"/>
        </w:rPr>
        <w:t>132,730,684.93</w:t>
        <w:tab/>
        <w:t>23.41</w:t>
        <w:tab/>
        <w:t>102,279,899.27</w:t>
      </w:r>
      <w:r>
        <w:rPr>
          <w:rFonts w:ascii="Times New Roman" w:hAnsi="Times New Roman" w:cs="Times New Roman" w:eastAsia="Times New Roman" w:hint="default"/>
          <w:spacing w:val="-1"/>
        </w:rPr>
        <w:tab/>
      </w:r>
      <w:r>
        <w:rPr>
          <w:spacing w:val="-1"/>
        </w:rPr>
        <w:t>27.96</w:t>
      </w:r>
    </w:p>
    <w:p>
      <w:pPr>
        <w:pStyle w:val="BodyText"/>
        <w:spacing w:line="352" w:lineRule="auto" w:before="112"/>
        <w:ind w:left="124" w:right="10219"/>
        <w:jc w:val="both"/>
      </w:pPr>
      <w:r>
        <w:rPr/>
        <w:pict>
          <v:group style="position:absolute;margin-left:56.700001pt;margin-top:4.162716pt;width:452.95pt;height:.1pt;mso-position-horizontal-relative:page;mso-position-vertical-relative:paragraph;z-index:1480" coordorigin="1134,83" coordsize="9059,2">
            <v:shape style="position:absolute;left:1134;top:83;width:9059;height:2" coordorigin="1134,83" coordsize="9059,0" path="m1134,83l10193,83e" filled="false" stroked="true" strokeweight=".72pt" strokecolor="#000000">
              <v:path arrowok="t"/>
            </v:shape>
            <w10:wrap type="none"/>
          </v:group>
        </w:pict>
      </w:r>
      <w:r>
        <w:rPr/>
        <w:pict>
          <v:group style="position:absolute;margin-left:56.700001pt;margin-top:21.512716pt;width:452.95pt;height:.1pt;mso-position-horizontal-relative:page;mso-position-vertical-relative:paragraph;z-index:-1266784" coordorigin="1134,430" coordsize="9059,2">
            <v:shape style="position:absolute;left:1134;top:430;width:9059;height:2" coordorigin="1134,430" coordsize="9059,0" path="m1134,430l10193,430e" filled="false" stroked="true" strokeweight=".72pt" strokecolor="#000000">
              <v:path arrowok="t"/>
            </v:shape>
            <w10:wrap type="none"/>
          </v:group>
        </w:pict>
      </w:r>
      <w:r>
        <w:rPr/>
        <w:pict>
          <v:group style="position:absolute;margin-left:56.700001pt;margin-top:38.862717pt;width:452.95pt;height:.1pt;mso-position-horizontal-relative:page;mso-position-vertical-relative:paragraph;z-index:-1266760" coordorigin="1134,777" coordsize="9059,2">
            <v:shape style="position:absolute;left:1134;top:777;width:9059;height:2" coordorigin="1134,777" coordsize="9059,0" path="m1134,777l10193,777e" filled="false" stroked="true" strokeweight=".72pt" strokecolor="#000000">
              <v:path arrowok="t"/>
            </v:shape>
            <w10:wrap type="none"/>
          </v:group>
        </w:pict>
      </w:r>
      <w:r>
        <w:rPr/>
        <w:pict>
          <v:group style="position:absolute;margin-left:56.700001pt;margin-top:56.212715pt;width:452.95pt;height:.1pt;mso-position-horizontal-relative:page;mso-position-vertical-relative:paragraph;z-index:-1266736" coordorigin="1134,1124" coordsize="9059,2">
            <v:shape style="position:absolute;left:1134;top:1124;width:9059;height:2" coordorigin="1134,1124" coordsize="9059,0" path="m1134,1124l10193,1124e" filled="false" stroked="true" strokeweight=".72pt" strokecolor="#000000">
              <v:path arrowok="t"/>
            </v:shape>
            <w10:wrap type="none"/>
          </v:group>
        </w:pict>
      </w:r>
      <w:r>
        <w:rPr/>
        <w:t>关注类 次级类 损失类</w:t>
      </w:r>
    </w:p>
    <w:p>
      <w:pPr>
        <w:pStyle w:val="BodyText"/>
        <w:tabs>
          <w:tab w:pos="1322" w:val="left" w:leader="none"/>
          <w:tab w:pos="3045" w:val="left" w:leader="none"/>
          <w:tab w:pos="5452" w:val="left" w:leader="none"/>
          <w:tab w:pos="7563" w:val="right" w:leader="none"/>
        </w:tabs>
        <w:spacing w:line="240" w:lineRule="auto" w:before="28"/>
        <w:ind w:left="124" w:right="0"/>
        <w:jc w:val="left"/>
      </w:pPr>
      <w:r>
        <w:rPr/>
        <w:pict>
          <v:group style="position:absolute;margin-left:56.700001pt;margin-top:17.281723pt;width:50.05pt;height:.1pt;mso-position-horizontal-relative:page;mso-position-vertical-relative:paragraph;z-index:1576" coordorigin="1134,346" coordsize="1001,2">
            <v:shape style="position:absolute;left:1134;top:346;width:1001;height:2" coordorigin="1134,346" coordsize="1001,0" path="m1134,346l2135,346e" filled="false" stroked="true" strokeweight=".72pt" strokecolor="#000000">
              <v:path arrowok="t"/>
            </v:shape>
            <w10:wrap type="none"/>
          </v:group>
        </w:pict>
      </w:r>
      <w:r>
        <w:rPr/>
      </w:r>
      <w:r>
        <w:rPr>
          <w:u w:val="single" w:color="000000"/>
        </w:rPr>
        <w:t>合计</w:t>
      </w:r>
      <w:r>
        <w:rPr/>
        <w:tab/>
      </w:r>
      <w:r>
        <w:rPr>
          <w:spacing w:val="-1"/>
          <w:u w:val="single" w:color="000000"/>
        </w:rPr>
        <w:t>132,730,684.93</w:t>
      </w:r>
      <w:r>
        <w:rPr>
          <w:spacing w:val="-1"/>
        </w:rPr>
        <w:tab/>
      </w:r>
      <w:r>
        <w:rPr>
          <w:spacing w:val="-1"/>
          <w:u w:val="single" w:color="000000"/>
        </w:rPr>
        <w:t>23.41</w:t>
      </w:r>
      <w:r>
        <w:rPr>
          <w:spacing w:val="-1"/>
        </w:rPr>
        <w:tab/>
      </w:r>
      <w:r>
        <w:rPr>
          <w:spacing w:val="-1"/>
          <w:u w:val="single" w:color="000000"/>
        </w:rPr>
        <w:t>102,279,899.27</w:t>
      </w:r>
      <w:r>
        <w:rPr>
          <w:spacing w:val="-1"/>
        </w:rPr>
      </w:r>
      <w:r>
        <w:rPr>
          <w:rFonts w:ascii="Times New Roman" w:hAnsi="Times New Roman" w:cs="Times New Roman" w:eastAsia="Times New Roman" w:hint="default"/>
          <w:spacing w:val="-1"/>
        </w:rPr>
        <w:tab/>
      </w:r>
      <w:r>
        <w:rPr>
          <w:spacing w:val="-1"/>
        </w:rPr>
      </w:r>
      <w:r>
        <w:rPr>
          <w:spacing w:val="-1"/>
          <w:u w:val="single" w:color="000000"/>
        </w:rPr>
        <w:t>27.96</w:t>
      </w:r>
      <w:r>
        <w:rPr>
          <w:spacing w:val="-1"/>
        </w:rPr>
      </w:r>
    </w:p>
    <w:p>
      <w:pPr>
        <w:pStyle w:val="BodyText"/>
        <w:spacing w:line="240" w:lineRule="auto" w:before="784"/>
        <w:ind w:right="952"/>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382"/>
        <w:jc w:val="left"/>
      </w:pPr>
      <w:r>
        <w:rPr/>
        <w:t>本期计提坏账准备金额</w:t>
      </w:r>
      <w:r>
        <w:rPr>
          <w:spacing w:val="-49"/>
        </w:rPr>
        <w:t> </w:t>
      </w:r>
      <w:r>
        <w:rPr>
          <w:rFonts w:ascii="Times New Roman" w:hAnsi="Times New Roman" w:cs="Times New Roman" w:eastAsia="Times New Roman" w:hint="default"/>
        </w:rPr>
        <w:t>11,100,408.62</w:t>
      </w:r>
      <w:r>
        <w:rPr>
          <w:rFonts w:ascii="Times New Roman" w:hAnsi="Times New Roman" w:cs="Times New Roman" w:eastAsia="Times New Roman" w:hint="default"/>
          <w:spacing w:val="-5"/>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 其中本期坏账准备收回或转回金额重要的：</w:t>
      </w:r>
    </w:p>
    <w:p>
      <w:pPr>
        <w:spacing w:after="0" w:line="338" w:lineRule="auto"/>
        <w:jc w:val="left"/>
        <w:sectPr>
          <w:type w:val="continuous"/>
          <w:pgSz w:w="11910" w:h="16840"/>
          <w:pgMar w:top="1100" w:bottom="1200" w:left="1020" w:right="0"/>
        </w:sectPr>
      </w:pPr>
    </w:p>
    <w:p>
      <w:pPr>
        <w:pStyle w:val="BodyText"/>
        <w:spacing w:line="240" w:lineRule="auto" w:before="318"/>
        <w:ind w:left="0" w:right="1132"/>
        <w:jc w:val="right"/>
      </w:pPr>
      <w:r>
        <w:rPr/>
        <w:pict>
          <v:shape style="position:absolute;margin-left:56.459999pt;margin-top:32.921715pt;width:479.2pt;height:20.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
              </w:txbxContent>
            </v:textbox>
            <w10:wrap type="none"/>
          </v:shape>
        </w:pict>
      </w:r>
      <w:r>
        <w:rPr/>
        <w:t>单位：</w:t>
      </w:r>
      <w:r>
        <w:rPr>
          <w:spacing w:val="-2"/>
        </w:rPr>
        <w:t> </w:t>
      </w:r>
      <w:r>
        <w:rPr/>
        <w:t>元</w:t>
      </w:r>
    </w:p>
    <w:p>
      <w:pPr>
        <w:spacing w:after="0" w:line="240" w:lineRule="auto"/>
        <w:jc w:val="right"/>
        <w:sectPr>
          <w:pgSz w:w="11910" w:h="16840"/>
          <w:pgMar w:header="919" w:footer="1009" w:top="1120" w:bottom="1200" w:left="1020" w:right="0"/>
        </w:sectPr>
      </w:pPr>
    </w:p>
    <w:p>
      <w:pPr>
        <w:pStyle w:val="BodyText"/>
        <w:spacing w:line="240" w:lineRule="auto" w:before="527"/>
        <w:ind w:right="-18"/>
        <w:jc w:val="left"/>
      </w:pPr>
      <w:r>
        <w:rPr/>
        <w:t>无</w:t>
      </w:r>
    </w:p>
    <w:p>
      <w:pPr>
        <w:pStyle w:val="BodyText"/>
        <w:spacing w:line="240" w:lineRule="auto" w:before="76"/>
        <w:ind w:right="-18"/>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605" w:space="6225"/>
            <w:col w:w="2060"/>
          </w:cols>
        </w:sectPr>
      </w:pP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952"/>
        <w:jc w:val="left"/>
      </w:pPr>
      <w:r>
        <w:rPr/>
        <w:t>其中重要的应收账款核销情况：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60" w:lineRule="auto" w:before="50"/>
        <w:ind w:right="9134"/>
        <w:jc w:val="left"/>
      </w:pPr>
      <w:r>
        <w:rPr/>
        <w:t>应收账款核销说明： 无</w:t>
      </w:r>
    </w:p>
    <w:p>
      <w:pPr>
        <w:pStyle w:val="BodyText"/>
        <w:spacing w:line="338" w:lineRule="auto" w:before="27"/>
        <w:ind w:right="6824"/>
        <w:jc w:val="left"/>
      </w:pP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43"/>
        <w:ind w:right="952"/>
        <w:jc w:val="left"/>
      </w:pPr>
      <w:r>
        <w:rPr/>
        <w:t>否</w:t>
      </w:r>
    </w:p>
    <w:p>
      <w:pPr>
        <w:spacing w:line="240" w:lineRule="auto" w:before="11"/>
        <w:rPr>
          <w:rFonts w:ascii="宋体" w:hAnsi="宋体" w:cs="宋体" w:eastAsia="宋体" w:hint="default"/>
          <w:sz w:val="15"/>
          <w:szCs w:val="15"/>
        </w:rPr>
      </w:pPr>
    </w:p>
    <w:p>
      <w:pPr>
        <w:pStyle w:val="Heading4"/>
        <w:spacing w:line="240" w:lineRule="auto"/>
        <w:ind w:left="532" w:right="952"/>
        <w:jc w:val="left"/>
      </w:pPr>
      <w:r>
        <w:rPr/>
        <w:t>期末应收账款金额前五名情况</w:t>
      </w:r>
    </w:p>
    <w:p>
      <w:pPr>
        <w:spacing w:line="240" w:lineRule="auto" w:before="12"/>
        <w:rPr>
          <w:rFonts w:ascii="宋体" w:hAnsi="宋体" w:cs="宋体" w:eastAsia="宋体" w:hint="default"/>
          <w:sz w:val="15"/>
          <w:szCs w:val="1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5.65pt;height:.75pt;mso-position-horizontal-relative:char;mso-position-vertical-relative:line" coordorigin="0,0" coordsize="9513,15">
            <v:group style="position:absolute;left:7;top:7;width:9498;height:2" coordorigin="7,7" coordsize="9498,2">
              <v:shape style="position:absolute;left:7;top:7;width:9498;height:2" coordorigin="7,7" coordsize="9498,0" path="m7,7l9505,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00" w:left="1020" w:right="0"/>
        </w:sectPr>
      </w:pPr>
    </w:p>
    <w:p>
      <w:pPr>
        <w:pStyle w:val="Heading5"/>
        <w:tabs>
          <w:tab w:pos="2675" w:val="left" w:leader="none"/>
        </w:tabs>
        <w:spacing w:line="240" w:lineRule="auto" w:before="14"/>
        <w:ind w:left="124" w:right="-20"/>
        <w:jc w:val="left"/>
        <w:rPr>
          <w:b w:val="0"/>
          <w:bCs w:val="0"/>
        </w:rPr>
      </w:pPr>
      <w:r>
        <w:rPr>
          <w:w w:val="95"/>
        </w:rPr>
        <w:t>单位名称</w:t>
        <w:tab/>
      </w:r>
      <w:r>
        <w:rPr/>
        <w:t>与本公司</w:t>
      </w:r>
      <w:r>
        <w:rPr>
          <w:b w:val="0"/>
          <w:bCs w:val="0"/>
        </w:rPr>
      </w:r>
    </w:p>
    <w:p>
      <w:pPr>
        <w:pStyle w:val="Heading5"/>
        <w:spacing w:line="240" w:lineRule="auto" w:before="76"/>
        <w:ind w:right="360"/>
        <w:jc w:val="right"/>
        <w:rPr>
          <w:b w:val="0"/>
          <w:bCs w:val="0"/>
        </w:rPr>
      </w:pPr>
      <w:r>
        <w:rPr>
          <w:w w:val="95"/>
        </w:rPr>
        <w:t>关系</w:t>
      </w:r>
      <w:r>
        <w:rPr>
          <w:b w:val="0"/>
          <w:bCs w:val="0"/>
        </w:rPr>
      </w:r>
    </w:p>
    <w:p>
      <w:pPr>
        <w:pStyle w:val="Heading5"/>
        <w:tabs>
          <w:tab w:pos="1305" w:val="left" w:leader="none"/>
          <w:tab w:pos="2488" w:val="left" w:leader="none"/>
        </w:tabs>
        <w:spacing w:line="316" w:lineRule="auto" w:before="14"/>
        <w:ind w:left="2488" w:right="0" w:hanging="2364"/>
        <w:jc w:val="right"/>
        <w:rPr>
          <w:b w:val="0"/>
          <w:bCs w:val="0"/>
        </w:rPr>
      </w:pPr>
      <w:r>
        <w:rPr>
          <w:b w:val="0"/>
          <w:bCs w:val="0"/>
          <w:w w:val="95"/>
        </w:rPr>
        <w:br w:type="column"/>
      </w:r>
      <w:r>
        <w:rPr>
          <w:w w:val="95"/>
        </w:rPr>
        <w:t>金额</w:t>
        <w:tab/>
        <w:t>账龄</w:t>
        <w:tab/>
      </w:r>
      <w:r>
        <w:rPr>
          <w:spacing w:val="14"/>
          <w:w w:val="95"/>
        </w:rPr>
        <w:t>占应收账款</w:t>
      </w:r>
      <w:r>
        <w:rPr>
          <w:spacing w:val="-45"/>
          <w:w w:val="95"/>
        </w:rPr>
        <w:t> </w:t>
      </w:r>
      <w:r>
        <w:rPr>
          <w:spacing w:val="-45"/>
          <w:w w:val="95"/>
        </w:rPr>
      </w:r>
      <w:r>
        <w:rPr/>
        <w:t>总 额 比</w:t>
      </w:r>
      <w:r>
        <w:rPr>
          <w:spacing w:val="-22"/>
        </w:rPr>
        <w:t> </w:t>
      </w:r>
      <w:r>
        <w:rPr/>
        <w:t>例</w:t>
      </w:r>
      <w:r>
        <w:rPr>
          <w:b w:val="0"/>
          <w:bCs w:val="0"/>
        </w:rPr>
      </w:r>
    </w:p>
    <w:p>
      <w:pPr>
        <w:pStyle w:val="Heading5"/>
        <w:spacing w:line="240" w:lineRule="auto" w:before="19"/>
        <w:ind w:right="521"/>
        <w:jc w:val="right"/>
        <w:rPr>
          <w:b w:val="0"/>
          <w:bCs w:val="0"/>
        </w:rPr>
      </w:pPr>
      <w:r>
        <w:rPr/>
        <w:pict>
          <v:group style="position:absolute;margin-left:56.700001pt;margin-top:16.921719pt;width:474.9pt;height:.1pt;mso-position-horizontal-relative:page;mso-position-vertical-relative:paragraph;z-index:1696" coordorigin="1134,338" coordsize="9498,2">
            <v:shape style="position:absolute;left:1134;top:338;width:9498;height:2" coordorigin="1134,338" coordsize="9498,0" path="m1134,338l10632,338e" filled="false" stroked="true" strokeweight=".72pt" strokecolor="#000000">
              <v:path arrowok="t"/>
            </v:shape>
            <w10:wrap type="none"/>
          </v:group>
        </w:pict>
      </w:r>
      <w:r>
        <w:rPr>
          <w:w w:val="95"/>
        </w:rPr>
        <w:t>（%）</w:t>
      </w:r>
      <w:r>
        <w:rPr>
          <w:b w:val="0"/>
          <w:bCs w:val="0"/>
        </w:rPr>
      </w:r>
    </w:p>
    <w:p>
      <w:pPr>
        <w:pStyle w:val="Heading5"/>
        <w:spacing w:line="240" w:lineRule="auto" w:before="14"/>
        <w:ind w:left="124" w:right="0"/>
        <w:jc w:val="left"/>
        <w:rPr>
          <w:b w:val="0"/>
          <w:bCs w:val="0"/>
        </w:rPr>
      </w:pPr>
      <w:r>
        <w:rPr>
          <w:b w:val="0"/>
          <w:bCs w:val="0"/>
        </w:rPr>
        <w:br w:type="column"/>
      </w:r>
      <w:r>
        <w:rPr/>
        <w:t>坏账准备</w:t>
      </w:r>
      <w:r>
        <w:rPr>
          <w:b w:val="0"/>
          <w:bCs w:val="0"/>
        </w:rPr>
      </w:r>
    </w:p>
    <w:p>
      <w:pPr>
        <w:spacing w:after="0" w:line="240" w:lineRule="auto"/>
        <w:jc w:val="left"/>
        <w:sectPr>
          <w:type w:val="continuous"/>
          <w:pgSz w:w="11910" w:h="16840"/>
          <w:pgMar w:top="1100" w:bottom="1200" w:left="1020" w:right="0"/>
          <w:cols w:num="3" w:equalWidth="0">
            <w:col w:w="3399" w:space="1324"/>
            <w:col w:w="3464" w:space="232"/>
            <w:col w:w="2471"/>
          </w:cols>
        </w:sectPr>
      </w:pPr>
    </w:p>
    <w:p>
      <w:pPr>
        <w:pStyle w:val="BodyText"/>
        <w:tabs>
          <w:tab w:pos="2675" w:val="left" w:leader="none"/>
          <w:tab w:pos="3947" w:val="left" w:leader="none"/>
          <w:tab w:pos="8182" w:val="right" w:leader="none"/>
        </w:tabs>
        <w:spacing w:line="240" w:lineRule="auto" w:before="112"/>
        <w:ind w:left="124" w:right="0"/>
        <w:jc w:val="left"/>
      </w:pPr>
      <w:r>
        <w:rPr/>
        <w:t>江苏鸿轩生态农业有限公司</w:t>
        <w:tab/>
        <w:t>非关联方</w:t>
        <w:tab/>
        <w:t>100,000,000.001年以内</w:t>
      </w:r>
      <w:r>
        <w:rPr>
          <w:rFonts w:ascii="Times New Roman" w:hAnsi="Times New Roman" w:cs="Times New Roman" w:eastAsia="Times New Roman" w:hint="default"/>
        </w:rPr>
        <w:tab/>
      </w:r>
      <w:r>
        <w:rPr/>
        <w:t>17.64</w:t>
      </w:r>
    </w:p>
    <w:p>
      <w:pPr>
        <w:spacing w:line="240" w:lineRule="auto" w:before="4"/>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366"/>
        <w:gridCol w:w="1192"/>
        <w:gridCol w:w="3572"/>
        <w:gridCol w:w="1109"/>
        <w:gridCol w:w="1258"/>
      </w:tblGrid>
      <w:tr>
        <w:trPr>
          <w:trHeight w:val="347" w:hRule="exact"/>
        </w:trPr>
        <w:tc>
          <w:tcPr>
            <w:tcW w:w="236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9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32,188,914.661年以内</w:t>
            </w:r>
          </w:p>
        </w:tc>
        <w:tc>
          <w:tcPr>
            <w:tcW w:w="110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66"/>
              <w:jc w:val="right"/>
              <w:rPr>
                <w:rFonts w:ascii="宋体" w:hAnsi="宋体" w:cs="宋体" w:eastAsia="宋体" w:hint="default"/>
                <w:sz w:val="18"/>
                <w:szCs w:val="18"/>
              </w:rPr>
            </w:pPr>
            <w:r>
              <w:rPr>
                <w:rFonts w:ascii="宋体"/>
                <w:sz w:val="18"/>
              </w:rPr>
              <w:t>5.68</w:t>
            </w:r>
          </w:p>
        </w:tc>
        <w:tc>
          <w:tcPr>
            <w:tcW w:w="125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1,609,445.73</w:t>
            </w:r>
          </w:p>
        </w:tc>
      </w:tr>
      <w:tr>
        <w:trPr>
          <w:trHeight w:val="347" w:hRule="exact"/>
        </w:trPr>
        <w:tc>
          <w:tcPr>
            <w:tcW w:w="236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22,119,225.021年以内</w:t>
            </w:r>
          </w:p>
        </w:tc>
        <w:tc>
          <w:tcPr>
            <w:tcW w:w="110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6"/>
              <w:jc w:val="right"/>
              <w:rPr>
                <w:rFonts w:ascii="宋体" w:hAnsi="宋体" w:cs="宋体" w:eastAsia="宋体" w:hint="default"/>
                <w:sz w:val="18"/>
                <w:szCs w:val="18"/>
              </w:rPr>
            </w:pPr>
            <w:r>
              <w:rPr>
                <w:rFonts w:ascii="宋体"/>
                <w:sz w:val="18"/>
              </w:rPr>
              <w:t>3.90</w:t>
            </w:r>
          </w:p>
        </w:tc>
        <w:tc>
          <w:tcPr>
            <w:tcW w:w="125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1,105,961.25</w:t>
            </w:r>
          </w:p>
        </w:tc>
      </w:tr>
      <w:tr>
        <w:trPr>
          <w:trHeight w:val="347" w:hRule="exact"/>
        </w:trPr>
        <w:tc>
          <w:tcPr>
            <w:tcW w:w="236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9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21,476,271.901年以内、1年至2年</w:t>
            </w:r>
          </w:p>
        </w:tc>
        <w:tc>
          <w:tcPr>
            <w:tcW w:w="110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66"/>
              <w:jc w:val="right"/>
              <w:rPr>
                <w:rFonts w:ascii="宋体" w:hAnsi="宋体" w:cs="宋体" w:eastAsia="宋体" w:hint="default"/>
                <w:sz w:val="18"/>
                <w:szCs w:val="18"/>
              </w:rPr>
            </w:pPr>
            <w:r>
              <w:rPr>
                <w:rFonts w:ascii="宋体"/>
                <w:sz w:val="18"/>
              </w:rPr>
              <w:t>3.79</w:t>
            </w:r>
          </w:p>
        </w:tc>
        <w:tc>
          <w:tcPr>
            <w:tcW w:w="125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1,169,242.86</w:t>
            </w:r>
          </w:p>
        </w:tc>
      </w:tr>
      <w:tr>
        <w:trPr>
          <w:trHeight w:val="347" w:hRule="exact"/>
        </w:trPr>
        <w:tc>
          <w:tcPr>
            <w:tcW w:w="236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9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13,113,580.251年以内</w:t>
            </w:r>
          </w:p>
        </w:tc>
        <w:tc>
          <w:tcPr>
            <w:tcW w:w="110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66"/>
              <w:jc w:val="right"/>
              <w:rPr>
                <w:rFonts w:ascii="宋体" w:hAnsi="宋体" w:cs="宋体" w:eastAsia="宋体" w:hint="default"/>
                <w:sz w:val="18"/>
                <w:szCs w:val="18"/>
              </w:rPr>
            </w:pPr>
            <w:r>
              <w:rPr>
                <w:rFonts w:ascii="宋体"/>
                <w:sz w:val="18"/>
              </w:rPr>
              <w:t>2.31</w:t>
            </w:r>
          </w:p>
        </w:tc>
        <w:tc>
          <w:tcPr>
            <w:tcW w:w="12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655,679.01</w:t>
            </w:r>
          </w:p>
        </w:tc>
      </w:tr>
      <w:tr>
        <w:trPr>
          <w:trHeight w:val="364" w:hRule="exact"/>
        </w:trPr>
        <w:tc>
          <w:tcPr>
            <w:tcW w:w="236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192" w:type="dxa"/>
            <w:tcBorders>
              <w:top w:val="single" w:sz="6" w:space="0" w:color="000000"/>
              <w:left w:val="nil" w:sz="6" w:space="0" w:color="auto"/>
              <w:bottom w:val="nil" w:sz="6" w:space="0" w:color="auto"/>
              <w:right w:val="nil" w:sz="6" w:space="0" w:color="auto"/>
            </w:tcBorders>
          </w:tcPr>
          <w:p>
            <w:pPr/>
          </w:p>
        </w:tc>
        <w:tc>
          <w:tcPr>
            <w:tcW w:w="357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75" w:right="0"/>
              <w:jc w:val="left"/>
              <w:rPr>
                <w:rFonts w:ascii="宋体" w:hAnsi="宋体" w:cs="宋体" w:eastAsia="宋体" w:hint="default"/>
                <w:sz w:val="18"/>
                <w:szCs w:val="18"/>
              </w:rPr>
            </w:pPr>
            <w:r>
              <w:rPr>
                <w:rFonts w:ascii="宋体"/>
                <w:sz w:val="18"/>
              </w:rPr>
            </w:r>
            <w:r>
              <w:rPr>
                <w:rFonts w:ascii="宋体"/>
                <w:sz w:val="18"/>
                <w:u w:val="single" w:color="000000"/>
              </w:rPr>
              <w:t>188,897,991.83</w:t>
            </w:r>
            <w:r>
              <w:rPr>
                <w:rFonts w:ascii="宋体"/>
                <w:sz w:val="18"/>
              </w:rPr>
            </w:r>
          </w:p>
        </w:tc>
        <w:tc>
          <w:tcPr>
            <w:tcW w:w="1109"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69"/>
              <w:jc w:val="right"/>
              <w:rPr>
                <w:rFonts w:ascii="宋体" w:hAnsi="宋体" w:cs="宋体" w:eastAsia="宋体" w:hint="default"/>
                <w:sz w:val="18"/>
                <w:szCs w:val="18"/>
              </w:rPr>
            </w:pPr>
            <w:r>
              <w:rPr>
                <w:rFonts w:ascii="宋体"/>
                <w:sz w:val="18"/>
              </w:rPr>
            </w:r>
            <w:r>
              <w:rPr>
                <w:rFonts w:ascii="宋体"/>
                <w:spacing w:val="-1"/>
                <w:sz w:val="18"/>
                <w:u w:val="single" w:color="000000"/>
              </w:rPr>
              <w:t>33.32</w:t>
            </w:r>
            <w:r>
              <w:rPr>
                <w:rFonts w:ascii="宋体"/>
                <w:spacing w:val="-1"/>
                <w:sz w:val="18"/>
              </w:rPr>
            </w:r>
          </w:p>
        </w:tc>
        <w:tc>
          <w:tcPr>
            <w:tcW w:w="125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r>
            <w:r>
              <w:rPr>
                <w:rFonts w:ascii="宋体"/>
                <w:spacing w:val="-1"/>
                <w:sz w:val="18"/>
                <w:u w:val="single" w:color="000000"/>
              </w:rPr>
              <w:t>4,540,328.85</w:t>
            </w:r>
            <w:r>
              <w:rPr>
                <w:rFonts w:ascii="宋体"/>
                <w:spacing w:val="-1"/>
                <w:sz w:val="18"/>
              </w:rPr>
            </w:r>
          </w:p>
        </w:tc>
      </w:tr>
    </w:tbl>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40" w:lineRule="auto"/>
        <w:ind w:right="7544"/>
        <w:jc w:val="left"/>
      </w:pPr>
      <w:r>
        <w:rPr>
          <w:rFonts w:ascii="Times New Roman" w:hAnsi="Times New Roman" w:cs="Times New Roman" w:eastAsia="Times New Roman" w:hint="default"/>
        </w:rPr>
        <w:t>5)</w:t>
      </w:r>
      <w:r>
        <w:rPr/>
        <w:t>因金融资产转移而终止确认的应收账款 无</w:t>
      </w:r>
    </w:p>
    <w:p>
      <w:pPr>
        <w:pStyle w:val="BodyText"/>
        <w:spacing w:line="340" w:lineRule="auto" w:before="39"/>
        <w:ind w:right="6824"/>
        <w:jc w:val="left"/>
      </w:pPr>
      <w:r>
        <w:rPr>
          <w:rFonts w:ascii="Times New Roman" w:hAnsi="Times New Roman" w:cs="Times New Roman" w:eastAsia="Times New Roman" w:hint="default"/>
        </w:rPr>
        <w:t>6)</w:t>
      </w:r>
      <w:r>
        <w:rPr/>
        <w:t>转移应收账款且继续涉入形成的资产、负债金额 无</w:t>
      </w:r>
    </w:p>
    <w:p>
      <w:pPr>
        <w:pStyle w:val="BodyText"/>
        <w:spacing w:line="357" w:lineRule="auto" w:before="4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预付款项" w:id="237"/>
      <w:bookmarkEnd w:id="23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预付款项按账龄列示" w:id="238"/>
      <w:bookmarkEnd w:id="23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29"/>
        <w:gridCol w:w="3829"/>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6,763,263.02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1,808,070.90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93.57%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248,796.65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88,679.25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35,471.70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7,012,059.67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1,932,221.85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right="5895"/>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1"/>
        <w:rPr>
          <w:rFonts w:ascii="宋体" w:hAnsi="宋体" w:cs="宋体" w:eastAsia="宋体" w:hint="default"/>
          <w:sz w:val="21"/>
          <w:szCs w:val="21"/>
        </w:rPr>
      </w:pPr>
    </w:p>
    <w:p>
      <w:pPr>
        <w:spacing w:line="506" w:lineRule="auto" w:before="0"/>
        <w:ind w:left="532" w:right="5800" w:hanging="420"/>
        <w:jc w:val="left"/>
        <w:rPr>
          <w:rFonts w:ascii="宋体" w:hAnsi="宋体" w:cs="宋体" w:eastAsia="宋体" w:hint="default"/>
          <w:sz w:val="21"/>
          <w:szCs w:val="21"/>
        </w:rPr>
      </w:pPr>
      <w:r>
        <w:rPr/>
        <w:pict>
          <v:group style="position:absolute;margin-left:56.700001pt;margin-top:55.103676pt;width:474.6pt;height:.1pt;mso-position-horizontal-relative:page;mso-position-vertical-relative:paragraph;z-index:-1266544" coordorigin="1134,1102" coordsize="9492,2">
            <v:shape style="position:absolute;left:1134;top:1102;width:9492;height:2" coordorigin="1134,1102" coordsize="9492,0" path="m1134,1102l10626,1102e" filled="false" stroked="true" strokeweight=".72pt" strokecolor="#000000">
              <v:path arrowok="t"/>
            </v:shape>
            <w10:wrap type="none"/>
          </v:group>
        </w:pict>
      </w:r>
      <w:bookmarkStart w:name="（2）按预付对象归集的期末余额前五名的预付款情况"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预付款项金额前五名情况</w:t>
      </w:r>
    </w:p>
    <w:p>
      <w:pPr>
        <w:spacing w:after="0" w:line="506" w:lineRule="auto"/>
        <w:jc w:val="left"/>
        <w:rPr>
          <w:rFonts w:ascii="宋体" w:hAnsi="宋体" w:cs="宋体" w:eastAsia="宋体" w:hint="default"/>
          <w:sz w:val="21"/>
          <w:szCs w:val="21"/>
        </w:rPr>
        <w:sectPr>
          <w:pgSz w:w="11910" w:h="16840"/>
          <w:pgMar w:header="919" w:footer="1009" w:top="1120" w:bottom="1200" w:left="1020" w:right="0"/>
        </w:sectPr>
      </w:pPr>
    </w:p>
    <w:p>
      <w:pPr>
        <w:pStyle w:val="Heading5"/>
        <w:tabs>
          <w:tab w:pos="2990" w:val="left" w:leader="none"/>
        </w:tabs>
        <w:spacing w:line="240" w:lineRule="auto" w:before="9"/>
        <w:ind w:left="124" w:right="0"/>
        <w:jc w:val="left"/>
        <w:rPr>
          <w:b w:val="0"/>
          <w:bCs w:val="0"/>
        </w:rPr>
      </w:pPr>
      <w:r>
        <w:rPr>
          <w:w w:val="95"/>
        </w:rPr>
        <w:t>单位名称</w:t>
        <w:tab/>
        <w:t>与本公司</w:t>
      </w:r>
      <w:r>
        <w:rPr>
          <w:b w:val="0"/>
          <w:bCs w:val="0"/>
        </w:rPr>
      </w:r>
    </w:p>
    <w:p>
      <w:pPr>
        <w:pStyle w:val="Heading5"/>
        <w:spacing w:line="240" w:lineRule="auto" w:before="76"/>
        <w:ind w:right="360"/>
        <w:jc w:val="right"/>
        <w:rPr>
          <w:b w:val="0"/>
          <w:bCs w:val="0"/>
        </w:rPr>
      </w:pPr>
      <w:r>
        <w:rPr/>
        <w:pict>
          <v:group style="position:absolute;margin-left:56.700001pt;margin-top:19.781715pt;width:474.6pt;height:.1pt;mso-position-horizontal-relative:page;mso-position-vertical-relative:paragraph;z-index:1768" coordorigin="1134,396" coordsize="9492,2">
            <v:shape style="position:absolute;left:1134;top:396;width:9492;height:2" coordorigin="1134,396" coordsize="9492,0" path="m1134,396l10626,396e" filled="false" stroked="true" strokeweight=".72pt" strokecolor="#000000">
              <v:path arrowok="t"/>
            </v:shape>
            <w10:wrap type="none"/>
          </v:group>
        </w:pict>
      </w:r>
      <w:r>
        <w:rPr>
          <w:w w:val="95"/>
        </w:rPr>
        <w:t>关系</w:t>
      </w:r>
      <w:r>
        <w:rPr>
          <w:b w:val="0"/>
          <w:bCs w:val="0"/>
        </w:rPr>
      </w:r>
    </w:p>
    <w:p>
      <w:pPr>
        <w:pStyle w:val="Heading5"/>
        <w:tabs>
          <w:tab w:pos="1259" w:val="left" w:leader="none"/>
          <w:tab w:pos="2923" w:val="left" w:leader="none"/>
          <w:tab w:pos="3657" w:val="left" w:leader="none"/>
        </w:tabs>
        <w:spacing w:line="316" w:lineRule="auto" w:before="9"/>
        <w:ind w:left="3388" w:right="1285" w:hanging="3264"/>
        <w:jc w:val="left"/>
        <w:rPr>
          <w:b w:val="0"/>
          <w:bCs w:val="0"/>
        </w:rPr>
      </w:pPr>
      <w:r>
        <w:rPr>
          <w:b w:val="0"/>
          <w:bCs w:val="0"/>
          <w:w w:val="95"/>
        </w:rPr>
        <w:br w:type="column"/>
      </w:r>
      <w:r>
        <w:rPr>
          <w:w w:val="95"/>
        </w:rPr>
        <w:t>金额</w:t>
        <w:tab/>
        <w:t>账龄</w:t>
        <w:tab/>
        <w:t>原因</w:t>
        <w:tab/>
        <w:tab/>
      </w:r>
      <w:r>
        <w:rPr/>
        <w:t>占预付账款</w:t>
      </w:r>
      <w:r>
        <w:rPr>
          <w:w w:val="99"/>
        </w:rPr>
        <w:t> </w:t>
      </w:r>
      <w:r>
        <w:rPr/>
        <w:t>总额比例（%）</w:t>
      </w:r>
      <w:r>
        <w:rPr>
          <w:b w:val="0"/>
          <w:bCs w:val="0"/>
        </w:rPr>
      </w:r>
    </w:p>
    <w:p>
      <w:pPr>
        <w:spacing w:after="0" w:line="316" w:lineRule="auto"/>
        <w:jc w:val="left"/>
        <w:sectPr>
          <w:type w:val="continuous"/>
          <w:pgSz w:w="11910" w:h="16840"/>
          <w:pgMar w:top="1100" w:bottom="1200" w:left="1020" w:right="0"/>
          <w:cols w:num="2" w:equalWidth="0">
            <w:col w:w="3713" w:space="1324"/>
            <w:col w:w="5853"/>
          </w:cols>
        </w:sectPr>
      </w:pPr>
    </w:p>
    <w:p>
      <w:pPr>
        <w:pStyle w:val="BodyText"/>
        <w:tabs>
          <w:tab w:pos="2990" w:val="left" w:leader="none"/>
          <w:tab w:pos="4442" w:val="left" w:leader="none"/>
          <w:tab w:pos="6676" w:val="left" w:leader="none"/>
          <w:tab w:pos="9596" w:val="right" w:leader="none"/>
        </w:tabs>
        <w:spacing w:line="240" w:lineRule="auto" w:before="55"/>
        <w:ind w:left="124" w:right="0"/>
        <w:jc w:val="left"/>
      </w:pPr>
      <w:r>
        <w:rPr/>
        <w:t>深圳市赢和信息技术有限公司</w:t>
        <w:tab/>
        <w:t>非关联方</w:t>
        <w:tab/>
        <w:t>1,942,500.001年以内</w:t>
        <w:tab/>
        <w:t>预付软件采购款</w:t>
      </w:r>
      <w:r>
        <w:rPr>
          <w:rFonts w:ascii="Times New Roman" w:hAnsi="Times New Roman" w:cs="Times New Roman" w:eastAsia="Times New Roman" w:hint="default"/>
        </w:rPr>
        <w:tab/>
      </w:r>
      <w:r>
        <w:rPr/>
        <w:t>27.70</w:t>
      </w:r>
    </w:p>
    <w:p>
      <w:pPr>
        <w:pStyle w:val="BodyText"/>
        <w:tabs>
          <w:tab w:pos="2990" w:val="left" w:leader="none"/>
          <w:tab w:pos="4442" w:val="left" w:leader="none"/>
          <w:tab w:pos="6676" w:val="left" w:leader="none"/>
          <w:tab w:pos="9596" w:val="right" w:leader="none"/>
        </w:tabs>
        <w:spacing w:line="240" w:lineRule="auto" w:before="112"/>
        <w:ind w:left="124" w:right="0"/>
        <w:jc w:val="left"/>
      </w:pPr>
      <w:r>
        <w:rPr/>
        <w:pict>
          <v:group style="position:absolute;margin-left:56.700001pt;margin-top:4.131729pt;width:474.6pt;height:.1pt;mso-position-horizontal-relative:page;mso-position-vertical-relative:paragraph;z-index:1792" coordorigin="1134,83" coordsize="9492,2">
            <v:shape style="position:absolute;left:1134;top:83;width:9492;height:2" coordorigin="1134,83" coordsize="9492,0" path="m1134,83l10626,83e" filled="false" stroked="true" strokeweight=".72pt" strokecolor="#000000">
              <v:path arrowok="t"/>
            </v:shape>
            <w10:wrap type="none"/>
          </v:group>
        </w:pict>
      </w:r>
      <w:r>
        <w:rPr/>
        <w:t>北京营安金融信息服务有限公司</w:t>
        <w:tab/>
        <w:t>关联方</w:t>
        <w:tab/>
        <w:t>1,104,056.541年以内</w:t>
        <w:tab/>
        <w:t>预付培训费</w:t>
      </w:r>
      <w:r>
        <w:rPr>
          <w:rFonts w:ascii="Times New Roman" w:hAnsi="Times New Roman" w:cs="Times New Roman" w:eastAsia="Times New Roman" w:hint="default"/>
        </w:rPr>
        <w:tab/>
      </w:r>
      <w:r>
        <w:rPr/>
        <w:t>15.74</w:t>
      </w:r>
    </w:p>
    <w:p>
      <w:pPr>
        <w:pStyle w:val="BodyText"/>
        <w:tabs>
          <w:tab w:pos="2990" w:val="left" w:leader="none"/>
          <w:tab w:pos="4622" w:val="left" w:leader="none"/>
          <w:tab w:pos="6676" w:val="left" w:leader="none"/>
          <w:tab w:pos="9596" w:val="right" w:leader="none"/>
        </w:tabs>
        <w:spacing w:line="240" w:lineRule="auto" w:before="110"/>
        <w:ind w:left="124" w:right="0"/>
        <w:jc w:val="left"/>
      </w:pPr>
      <w:r>
        <w:rPr/>
        <w:pict>
          <v:group style="position:absolute;margin-left:56.700001pt;margin-top:4.102706pt;width:474.6pt;height:.1pt;mso-position-horizontal-relative:page;mso-position-vertical-relative:paragraph;z-index:1816" coordorigin="1134,82" coordsize="9492,2">
            <v:shape style="position:absolute;left:1134;top:82;width:9492;height:2" coordorigin="1134,82" coordsize="9492,0" path="m1134,82l10626,82e" filled="false" stroked="true" strokeweight=".72pt" strokecolor="#000000">
              <v:path arrowok="t"/>
            </v:shape>
            <w10:wrap type="none"/>
          </v:group>
        </w:pict>
      </w:r>
      <w:r>
        <w:rPr/>
        <w:t>华中科技大学</w:t>
        <w:tab/>
        <w:t>非关联方</w:t>
        <w:tab/>
        <w:t>970,873.791年以内</w:t>
        <w:tab/>
        <w:t>预付研发经费</w:t>
      </w:r>
      <w:r>
        <w:rPr>
          <w:rFonts w:ascii="Times New Roman" w:hAnsi="Times New Roman" w:cs="Times New Roman" w:eastAsia="Times New Roman" w:hint="default"/>
        </w:rPr>
        <w:tab/>
      </w:r>
      <w:r>
        <w:rPr/>
        <w:t>13.85</w:t>
      </w:r>
    </w:p>
    <w:p>
      <w:pPr>
        <w:pStyle w:val="BodyText"/>
        <w:tabs>
          <w:tab w:pos="2990" w:val="left" w:leader="none"/>
          <w:tab w:pos="4622" w:val="left" w:leader="none"/>
          <w:tab w:pos="9596" w:val="right" w:leader="none"/>
        </w:tabs>
        <w:spacing w:line="240" w:lineRule="auto" w:before="112"/>
        <w:ind w:left="124" w:right="0"/>
        <w:jc w:val="left"/>
      </w:pPr>
      <w:r>
        <w:rPr/>
        <w:pict>
          <v:group style="position:absolute;margin-left:56.700001pt;margin-top:4.152712pt;width:474.6pt;height:.1pt;mso-position-horizontal-relative:page;mso-position-vertical-relative:paragraph;z-index:1840" coordorigin="1134,83" coordsize="9492,2">
            <v:shape style="position:absolute;left:1134;top:83;width:9492;height:2" coordorigin="1134,83" coordsize="9492,0" path="m1134,83l10626,83e" filled="false" stroked="true" strokeweight=".72pt" strokecolor="#000000">
              <v:path arrowok="t"/>
            </v:shape>
            <w10:wrap type="none"/>
          </v:group>
        </w:pict>
      </w:r>
      <w:r>
        <w:rPr/>
        <w:t>上海傲融软件技术有限公司</w:t>
        <w:tab/>
        <w:t>非关联方</w:t>
        <w:tab/>
      </w:r>
      <w:r>
        <w:rPr>
          <w:spacing w:val="2"/>
        </w:rPr>
        <w:t>245,283.001年以内、1年预付软件采购款</w:t>
      </w:r>
      <w:r>
        <w:rPr>
          <w:rFonts w:ascii="Times New Roman" w:hAnsi="Times New Roman" w:cs="Times New Roman" w:eastAsia="Times New Roman" w:hint="default"/>
          <w:spacing w:val="2"/>
        </w:rPr>
        <w:tab/>
      </w:r>
      <w:r>
        <w:rPr/>
        <w:t>3.50</w:t>
      </w:r>
    </w:p>
    <w:p>
      <w:pPr>
        <w:pStyle w:val="BodyText"/>
        <w:spacing w:line="240" w:lineRule="auto" w:before="76"/>
        <w:ind w:left="3685" w:right="3037"/>
        <w:jc w:val="center"/>
      </w:pPr>
      <w:r>
        <w:rPr/>
        <w:t>至2年</w:t>
      </w:r>
    </w:p>
    <w:p>
      <w:pPr>
        <w:pStyle w:val="BodyText"/>
        <w:tabs>
          <w:tab w:pos="2990" w:val="left" w:leader="none"/>
          <w:tab w:pos="4622" w:val="left" w:leader="none"/>
          <w:tab w:pos="6676" w:val="left" w:leader="none"/>
          <w:tab w:pos="9596" w:val="right" w:leader="none"/>
        </w:tabs>
        <w:spacing w:line="240" w:lineRule="auto" w:before="110"/>
        <w:ind w:left="124" w:right="0"/>
        <w:jc w:val="left"/>
      </w:pPr>
      <w:r>
        <w:rPr/>
        <w:pict>
          <v:group style="position:absolute;margin-left:56.700001pt;margin-top:4.121731pt;width:474.6pt;height:.1pt;mso-position-horizontal-relative:page;mso-position-vertical-relative:paragraph;z-index:1864" coordorigin="1134,82" coordsize="9492,2">
            <v:shape style="position:absolute;left:1134;top:82;width:9492;height:2" coordorigin="1134,82" coordsize="9492,0" path="m1134,82l10626,82e" filled="false" stroked="true" strokeweight=".72pt" strokecolor="#000000">
              <v:path arrowok="t"/>
            </v:shape>
            <w10:wrap type="none"/>
          </v:group>
        </w:pict>
      </w:r>
      <w:r>
        <w:rPr/>
        <w:t>深圳市诺飞科技开发有限公司</w:t>
        <w:tab/>
        <w:t>非关联方</w:t>
        <w:tab/>
        <w:t>198,113.161年以内</w:t>
        <w:tab/>
        <w:t>预付软件开发款</w:t>
      </w:r>
      <w:r>
        <w:rPr>
          <w:rFonts w:ascii="Times New Roman" w:hAnsi="Times New Roman" w:cs="Times New Roman" w:eastAsia="Times New Roman" w:hint="default"/>
        </w:rPr>
        <w:tab/>
      </w:r>
      <w:r>
        <w:rPr/>
        <w:t>2.83</w:t>
      </w:r>
    </w:p>
    <w:p>
      <w:pPr>
        <w:pStyle w:val="BodyText"/>
        <w:tabs>
          <w:tab w:pos="4350" w:val="left" w:leader="none"/>
          <w:tab w:pos="9596" w:val="right" w:leader="none"/>
        </w:tabs>
        <w:spacing w:line="240" w:lineRule="auto" w:before="112"/>
        <w:ind w:left="124" w:right="0"/>
        <w:jc w:val="left"/>
      </w:pPr>
      <w:r>
        <w:rPr/>
        <w:pict>
          <v:group style="position:absolute;margin-left:56.700001pt;margin-top:4.171707pt;width:474.6pt;height:.1pt;mso-position-horizontal-relative:page;mso-position-vertical-relative:paragraph;z-index:1888" coordorigin="1134,83" coordsize="9492,2">
            <v:shape style="position:absolute;left:1134;top:83;width:9492;height:2" coordorigin="1134,83" coordsize="9492,0" path="m1134,83l10626,83e" filled="false" stroked="true" strokeweight=".72pt" strokecolor="#000000">
              <v:path arrowok="t"/>
            </v:shape>
            <w10:wrap type="none"/>
          </v:group>
        </w:pict>
      </w:r>
      <w:r>
        <w:rPr/>
      </w:r>
      <w:r>
        <w:rPr>
          <w:u w:val="single" w:color="000000"/>
        </w:rPr>
        <w:t>合计</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4,460,826.49</w:t>
      </w:r>
      <w:r>
        <w:rPr/>
      </w:r>
      <w:r>
        <w:rPr>
          <w:rFonts w:ascii="Times New Roman" w:hAnsi="Times New Roman" w:cs="Times New Roman" w:eastAsia="Times New Roman" w:hint="default"/>
        </w:rPr>
        <w:tab/>
      </w:r>
      <w:r>
        <w:rPr/>
      </w:r>
      <w:r>
        <w:rPr>
          <w:u w:val="single" w:color="000000"/>
        </w:rPr>
        <w:t>63.62</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right="952"/>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1.期末预付账款余额中无持有本公司5%（含5%）以上表决权股份的股东单位的欠款。</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2．期末预付账款余额中无预付其他关联方单位款项。</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5、其他应收款" w:id="240"/>
      <w:bookmarkEnd w:id="24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299,547.71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366,151,505.00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262,975,064.75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366,451,052.71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262,975,064.75</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1）应收利息" w:id="241"/>
      <w:bookmarkEnd w:id="24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52"/>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应收保理利息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299,547.71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299,547.71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52"/>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60" w:lineRule="auto" w:before="50"/>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2）应收股利" w:id="242"/>
      <w:bookmarkEnd w:id="24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应收股利</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52"/>
        <w:jc w:val="left"/>
      </w:pP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其他应收款" w:id="243"/>
      <w:bookmarkEnd w:id="24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0"/>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3,182.6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17,404,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318.27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156,63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8,864.4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210,75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8,873.2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54.77</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1,246,2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32.65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209,51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2,640.6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264,4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1,476,6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24.97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262,975,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064.75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2,055.9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18,650,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550.92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366,15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1,505.0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264,4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1,476,6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24.97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262,975,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064.75</w:t>
            </w:r>
          </w:p>
        </w:tc>
      </w:tr>
    </w:tbl>
    <w:p>
      <w:pPr>
        <w:pStyle w:val="BodyText"/>
        <w:spacing w:line="240" w:lineRule="auto" w:before="50"/>
        <w:ind w:right="952"/>
        <w:jc w:val="left"/>
      </w:pPr>
      <w:r>
        <w:rPr/>
        <w:t>期末单项金额重大并单项计提坏账准备的其他应收款：</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鹤壁永达食品有限公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债务人申请延期偿还</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鹤壁市永达养殖有限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18,775,457.69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1,877,545.77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债务人申请延期偿还</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滑县永达饲料有限公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125,267,724.98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12,526,772.50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债务人申请延期偿还</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174,043,182.67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17,404,318.27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09" w:top="1120" w:bottom="1200" w:left="102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210,231,270.09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976,279.49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230,200.00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21,630.00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225,303.16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225,303.16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210,758,873.25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1,246,232.65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357" w:lineRule="auto" w:before="52"/>
        <w:ind w:right="4392"/>
        <w:jc w:val="left"/>
      </w:pPr>
      <w:r>
        <w:rPr/>
        <w:t>确定该组合依据的说明： 无</w:t>
      </w:r>
    </w:p>
    <w:p>
      <w:pPr>
        <w:pStyle w:val="BodyText"/>
        <w:spacing w:line="240" w:lineRule="auto" w:before="29"/>
        <w:ind w:right="-8"/>
        <w:jc w:val="left"/>
      </w:pPr>
      <w:r>
        <w:rPr/>
        <w:t>组合中，采用余额百分比法计提坏账准备的其他应收款：</w:t>
      </w:r>
    </w:p>
    <w:p>
      <w:pPr>
        <w:pStyle w:val="BodyText"/>
        <w:spacing w:line="357" w:lineRule="auto" w:before="117"/>
        <w:ind w:right="2232"/>
        <w:jc w:val="left"/>
      </w:pPr>
      <w:r>
        <w:rPr/>
        <w:t>□ 适用 √ 不适用 组合中，采用其他方法计提坏账准备的其他应收款：</w:t>
      </w:r>
    </w:p>
    <w:p>
      <w:pPr>
        <w:pStyle w:val="BodyText"/>
        <w:spacing w:line="240" w:lineRule="auto" w:before="29"/>
        <w:ind w:right="4392"/>
        <w:jc w:val="left"/>
      </w:pPr>
      <w:r>
        <w:rPr/>
        <w:t>□ 适用 √ 不适用</w:t>
      </w:r>
    </w:p>
    <w:p>
      <w:pPr>
        <w:pStyle w:val="BodyText"/>
        <w:spacing w:line="240" w:lineRule="auto" w:before="117"/>
        <w:ind w:right="-8"/>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8"/>
        <w:jc w:val="left"/>
      </w:pPr>
      <w:r>
        <w:rPr/>
        <w:t>本期计提坏账准备金额</w:t>
      </w:r>
      <w:r>
        <w:rPr>
          <w:spacing w:val="-47"/>
        </w:rPr>
        <w:t> </w:t>
      </w:r>
      <w:r>
        <w:rPr>
          <w:rFonts w:ascii="Times New Roman" w:hAnsi="Times New Roman" w:cs="Times New Roman" w:eastAsia="Times New Roman" w:hint="default"/>
        </w:rPr>
        <w:t>17,173,925.95</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6505" w:space="232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11"/>
        <w:ind w:right="-18"/>
        <w:jc w:val="left"/>
      </w:pPr>
      <w:r>
        <w:rPr/>
        <w:t>无</w:t>
      </w:r>
    </w:p>
    <w:p>
      <w:pPr>
        <w:pStyle w:val="BodyText"/>
        <w:spacing w:line="240" w:lineRule="auto" w:before="76"/>
        <w:ind w:right="-18"/>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type w:val="continuous"/>
          <w:pgSz w:w="11910" w:h="16840"/>
          <w:pgMar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其中重要的其他应收款核销情况：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16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pgSz w:w="11910" w:h="16840"/>
          <w:pgMar w:header="919" w:footer="1009" w:top="1120" w:bottom="1200" w:left="1020" w:right="0"/>
        </w:sectPr>
      </w:pPr>
    </w:p>
    <w:p>
      <w:pPr>
        <w:pStyle w:val="BodyText"/>
        <w:spacing w:line="360" w:lineRule="auto" w:before="50"/>
        <w:ind w:right="852"/>
        <w:jc w:val="left"/>
      </w:pPr>
      <w:r>
        <w:rPr/>
        <w:t>其他应收款核销说明： 无</w:t>
      </w:r>
    </w:p>
    <w:p>
      <w:pPr>
        <w:pStyle w:val="BodyText"/>
        <w:spacing w:line="240" w:lineRule="auto" w:before="2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338,640,815.48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252,074,546.26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9,871,763.72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6,465,846.53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2,622,490.18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4,335,280.43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1,978,301.49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1,394,361.65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1,662,520.84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135,078.67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42,576.18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26,164.21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384,802,055.92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264,451,689.72</w:t>
            </w:r>
          </w:p>
        </w:tc>
      </w:tr>
    </w:tbl>
    <w:p>
      <w:pPr>
        <w:pStyle w:val="BodyText"/>
        <w:spacing w:line="240" w:lineRule="auto" w:before="50"/>
        <w:ind w:right="95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滑县永达饲料有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125,267,724.98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12,526,772.50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江苏鸿轩生态农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83,851,341.20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83,851.34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北京秋实农业股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35,219,623.95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35,219.62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浙江宏鑫科技有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30,835,189.11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30,835.19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鹤壁市永达食品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5" w:right="0"/>
              <w:jc w:val="left"/>
              <w:rPr>
                <w:rFonts w:ascii="Times New Roman" w:hAnsi="Times New Roman" w:cs="Times New Roman" w:eastAsia="Times New Roman" w:hint="default"/>
                <w:sz w:val="18"/>
                <w:szCs w:val="18"/>
              </w:rPr>
            </w:pPr>
            <w:r>
              <w:rPr>
                <w:rFonts w:ascii="Times New Roman"/>
                <w:sz w:val="18"/>
              </w:rPr>
              <w:t>305,173,879.24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15,676,678.65</w:t>
            </w:r>
          </w:p>
        </w:tc>
      </w:tr>
    </w:tbl>
    <w:p>
      <w:pPr>
        <w:pStyle w:val="BodyText"/>
        <w:spacing w:line="240" w:lineRule="auto" w:before="51"/>
        <w:ind w:right="952"/>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515,638.46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2"/>
              <w:jc w:val="left"/>
              <w:rPr>
                <w:rFonts w:ascii="宋体" w:hAnsi="宋体" w:cs="宋体" w:eastAsia="宋体" w:hint="default"/>
                <w:sz w:val="18"/>
                <w:szCs w:val="18"/>
              </w:rPr>
            </w:pPr>
            <w:r>
              <w:rPr>
                <w:rFonts w:ascii="宋体" w:hAnsi="宋体" w:cs="宋体" w:eastAsia="宋体" w:hint="default"/>
                <w:spacing w:val="-8"/>
                <w:sz w:val="18"/>
                <w:szCs w:val="18"/>
              </w:rPr>
              <w:t>深福税通〔</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2596</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526,671.62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宋体" w:hAnsi="宋体" w:cs="宋体" w:eastAsia="宋体" w:hint="default"/>
                <w:spacing w:val="-8"/>
                <w:sz w:val="18"/>
                <w:szCs w:val="18"/>
              </w:rPr>
              <w:t>深福税通〔</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2789</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1,399,201.30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156845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1,139,446.17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宋体" w:hAnsi="宋体" w:cs="宋体" w:eastAsia="宋体" w:hint="default"/>
                <w:spacing w:val="-8"/>
                <w:sz w:val="18"/>
                <w:szCs w:val="18"/>
              </w:rPr>
              <w:t>深福税通〔</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2850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790,400.57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2,883,749.95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2,616,655.65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9,871,763.72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9" w:lineRule="auto" w:before="11"/>
        <w:ind w:right="7364"/>
        <w:jc w:val="left"/>
      </w:pPr>
      <w:r>
        <w:rPr/>
        <w:t>无 </w:t>
      </w:r>
      <w:r>
        <w:rPr>
          <w:rFonts w:ascii="Times New Roman" w:hAnsi="Times New Roman" w:cs="Times New Roman" w:eastAsia="Times New Roman" w:hint="default"/>
        </w:rPr>
        <w:t>7)</w:t>
      </w:r>
      <w:r>
        <w:rPr/>
        <w:t>因金融资产转移而终止确认的其他应收款 无</w:t>
      </w:r>
    </w:p>
    <w:p>
      <w:pPr>
        <w:pStyle w:val="BodyText"/>
        <w:spacing w:line="340" w:lineRule="auto" w:before="62"/>
        <w:ind w:right="6644"/>
        <w:jc w:val="left"/>
      </w:pPr>
      <w:r>
        <w:rPr>
          <w:rFonts w:ascii="Times New Roman" w:hAnsi="Times New Roman" w:cs="Times New Roman" w:eastAsia="Times New Roman" w:hint="default"/>
        </w:rPr>
        <w:t>8)</w:t>
      </w:r>
      <w:r>
        <w:rPr/>
        <w:t>转移其他应收款且继续涉入形成的资产、负债金额 无</w:t>
      </w:r>
    </w:p>
    <w:p>
      <w:pPr>
        <w:pStyle w:val="BodyText"/>
        <w:spacing w:line="240" w:lineRule="auto" w:before="41"/>
        <w:ind w:right="952"/>
        <w:jc w:val="left"/>
      </w:pPr>
      <w:r>
        <w:rPr/>
        <w:t>其他说明：</w:t>
      </w:r>
    </w:p>
    <w:p>
      <w:pPr>
        <w:pStyle w:val="BodyText"/>
        <w:spacing w:line="240" w:lineRule="auto" w:before="115"/>
        <w:ind w:right="952"/>
        <w:jc w:val="left"/>
      </w:pPr>
      <w:r>
        <w:rPr/>
        <w:t>（1）其他应收款期末余额中无持有5%（含5%）以上的表决权股份的股东单位的欠款。</w:t>
      </w:r>
    </w:p>
    <w:p>
      <w:pPr>
        <w:spacing w:line="240" w:lineRule="auto" w:before="10"/>
        <w:rPr>
          <w:rFonts w:ascii="宋体" w:hAnsi="宋体" w:cs="宋体" w:eastAsia="宋体" w:hint="default"/>
          <w:sz w:val="17"/>
          <w:szCs w:val="17"/>
        </w:rPr>
      </w:pPr>
    </w:p>
    <w:p>
      <w:pPr>
        <w:pStyle w:val="BodyText"/>
        <w:spacing w:line="240" w:lineRule="auto"/>
        <w:ind w:right="952"/>
        <w:jc w:val="left"/>
      </w:pPr>
      <w:r>
        <w:rPr/>
        <w:t>（2）其他应收款期末余额中无其他关联方单位的欠款。</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6、存货" w:id="244"/>
      <w:bookmarkEnd w:id="244"/>
      <w:r>
        <w:rPr>
          <w:b w:val="0"/>
          <w:bCs w:val="0"/>
        </w:rPr>
      </w:r>
      <w:r>
        <w:rPr>
          <w:rFonts w:ascii="Times New Roman" w:hAnsi="Times New Roman" w:cs="Times New Roman" w:eastAsia="Times New Roman" w:hint="default"/>
        </w:rPr>
        <w:t>6</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1,873,811.01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205,270.92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1,668,540.09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2,370,088.53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2,302,205.43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8" w:right="0"/>
              <w:jc w:val="left"/>
              <w:rPr>
                <w:rFonts w:ascii="Times New Roman" w:hAnsi="Times New Roman" w:cs="Times New Roman" w:eastAsia="Times New Roman" w:hint="default"/>
                <w:sz w:val="18"/>
                <w:szCs w:val="18"/>
              </w:rPr>
            </w:pPr>
            <w:r>
              <w:rPr>
                <w:rFonts w:ascii="Times New Roman"/>
                <w:sz w:val="18"/>
              </w:rPr>
              <w:t>1,873,811.01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205,270.92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1,668,540.09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7" w:right="0"/>
              <w:jc w:val="left"/>
              <w:rPr>
                <w:rFonts w:ascii="Times New Roman" w:hAnsi="Times New Roman" w:cs="Times New Roman" w:eastAsia="Times New Roman" w:hint="default"/>
                <w:sz w:val="18"/>
                <w:szCs w:val="18"/>
              </w:rPr>
            </w:pPr>
            <w:r>
              <w:rPr>
                <w:rFonts w:ascii="Times New Roman"/>
                <w:sz w:val="18"/>
              </w:rPr>
              <w:t>2,370,088.53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0" w:right="0"/>
              <w:jc w:val="left"/>
              <w:rPr>
                <w:rFonts w:ascii="Times New Roman" w:hAnsi="Times New Roman" w:cs="Times New Roman" w:eastAsia="Times New Roman" w:hint="default"/>
                <w:sz w:val="18"/>
                <w:szCs w:val="18"/>
              </w:rPr>
            </w:pPr>
            <w:r>
              <w:rPr>
                <w:rFonts w:ascii="Times New Roman"/>
                <w:sz w:val="18"/>
              </w:rPr>
              <w:t>2,302,205.43</w:t>
            </w:r>
          </w:p>
        </w:tc>
      </w:tr>
    </w:tbl>
    <w:p>
      <w:pPr>
        <w:pStyle w:val="BodyText"/>
        <w:spacing w:line="340" w:lineRule="auto" w:before="49"/>
        <w:ind w:right="247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240" w:lineRule="auto" w:before="41"/>
        <w:ind w:right="952"/>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否</w:t>
      </w:r>
    </w:p>
    <w:p>
      <w:pPr>
        <w:pStyle w:val="BodyText"/>
        <w:spacing w:line="340" w:lineRule="auto" w:before="115"/>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1"/>
        <w:ind w:right="2751"/>
        <w:jc w:val="left"/>
      </w:pPr>
      <w:r>
        <w:rPr/>
        <w:t>公司需遵守《深圳证券交易所行业信息披露指引第</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号——上市公司从事珠宝相关业务》的披露要求 否</w:t>
      </w:r>
    </w:p>
    <w:p>
      <w:pPr>
        <w:spacing w:line="240" w:lineRule="auto" w:before="5"/>
        <w:rPr>
          <w:rFonts w:ascii="宋体" w:hAnsi="宋体" w:cs="宋体" w:eastAsia="宋体" w:hint="default"/>
          <w:sz w:val="21"/>
          <w:szCs w:val="21"/>
        </w:rPr>
      </w:pPr>
    </w:p>
    <w:p>
      <w:pPr>
        <w:pStyle w:val="Heading3"/>
        <w:spacing w:line="240" w:lineRule="auto"/>
        <w:ind w:right="952"/>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5" w:right="0"/>
              <w:jc w:val="left"/>
              <w:rPr>
                <w:rFonts w:ascii="Times New Roman" w:hAnsi="Times New Roman" w:cs="Times New Roman" w:eastAsia="Times New Roman" w:hint="default"/>
                <w:sz w:val="18"/>
                <w:szCs w:val="18"/>
              </w:rPr>
            </w:pPr>
            <w:r>
              <w:rPr>
                <w:rFonts w:ascii="Times New Roman"/>
                <w:sz w:val="18"/>
              </w:rPr>
              <w:t>137,387.82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205,270.92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137,387.82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205,270.92</w:t>
            </w:r>
          </w:p>
        </w:tc>
      </w:tr>
    </w:tbl>
    <w:p>
      <w:pPr>
        <w:pStyle w:val="BodyText"/>
        <w:spacing w:line="240" w:lineRule="auto" w:before="12"/>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存货期末余额含有借款费用资本化金额的说明" w:id="247"/>
      <w:bookmarkEnd w:id="24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7、一年内到期的非流动资产" w:id="249"/>
      <w:bookmarkEnd w:id="249"/>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8、其他流动资产" w:id="250"/>
      <w:bookmarkEnd w:id="25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1,687,894.37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6,722,001.39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345,900,000.00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19,900,000.00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280.86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2" w:right="0"/>
              <w:jc w:val="left"/>
              <w:rPr>
                <w:rFonts w:ascii="Times New Roman" w:hAnsi="Times New Roman" w:cs="Times New Roman" w:eastAsia="Times New Roman" w:hint="default"/>
                <w:sz w:val="18"/>
                <w:szCs w:val="18"/>
              </w:rPr>
            </w:pPr>
            <w:r>
              <w:rPr>
                <w:rFonts w:ascii="Times New Roman"/>
                <w:sz w:val="18"/>
              </w:rPr>
              <w:t>347,588,175.23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2" w:right="0"/>
              <w:jc w:val="left"/>
              <w:rPr>
                <w:rFonts w:ascii="Times New Roman" w:hAnsi="Times New Roman" w:cs="Times New Roman" w:eastAsia="Times New Roman" w:hint="default"/>
                <w:sz w:val="18"/>
                <w:szCs w:val="18"/>
              </w:rPr>
            </w:pPr>
            <w:r>
              <w:rPr>
                <w:rFonts w:ascii="Times New Roman"/>
                <w:sz w:val="18"/>
              </w:rPr>
              <w:t>26,622,001.39</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9、可供出售金融资产" w:id="251"/>
      <w:bookmarkEnd w:id="251"/>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可供出售金融资产情况" w:id="252"/>
      <w:bookmarkEnd w:id="25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35,425,700.00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35,425,700.00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35,425,700.0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35,425,700.00</w:t>
            </w:r>
          </w:p>
        </w:tc>
      </w:tr>
    </w:tbl>
    <w:p>
      <w:pPr>
        <w:spacing w:line="240" w:lineRule="auto" w:before="2"/>
        <w:rPr>
          <w:rFonts w:ascii="宋体" w:hAnsi="宋体" w:cs="宋体" w:eastAsia="宋体" w:hint="default"/>
          <w:sz w:val="19"/>
          <w:szCs w:val="19"/>
        </w:rPr>
      </w:pPr>
    </w:p>
    <w:p>
      <w:pPr>
        <w:pStyle w:val="Heading3"/>
        <w:spacing w:line="240" w:lineRule="auto" w:before="34"/>
        <w:ind w:right="952"/>
        <w:jc w:val="left"/>
        <w:rPr>
          <w:b w:val="0"/>
          <w:bCs w:val="0"/>
        </w:rPr>
      </w:pPr>
      <w:bookmarkStart w:name="（2）期末按公允价值计量的可供出售金融资产" w:id="253"/>
      <w:bookmarkEnd w:id="25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3）期末按成本计量的可供出售金融资产" w:id="254"/>
      <w:bookmarkEnd w:id="25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3" w:hRule="exact"/>
        </w:trPr>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left="157"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left="160" w:right="0"/>
              <w:jc w:val="left"/>
              <w:rPr>
                <w:rFonts w:ascii="宋体" w:hAnsi="宋体" w:cs="宋体" w:eastAsia="宋体" w:hint="default"/>
                <w:sz w:val="18"/>
                <w:szCs w:val="18"/>
              </w:rPr>
            </w:pPr>
            <w:r>
              <w:rPr>
                <w:rFonts w:ascii="宋体" w:hAnsi="宋体" w:cs="宋体" w:eastAsia="宋体" w:hint="default"/>
                <w:sz w:val="18"/>
                <w:szCs w:val="18"/>
              </w:rPr>
              <w:t>资单位</w:t>
            </w: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本期现</w:t>
            </w:r>
          </w:p>
        </w:tc>
      </w:tr>
      <w:tr>
        <w:trPr>
          <w:trHeight w:val="723" w:hRule="exact"/>
        </w:trPr>
        <w:tc>
          <w:tcPr>
            <w:tcW w:w="8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5"/>
              <w:ind w:left="245"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65"/>
              <w:ind w:left="340" w:right="15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金红利</w:t>
            </w: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河南永</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both"/>
              <w:rPr>
                <w:rFonts w:ascii="宋体" w:hAnsi="宋体" w:cs="宋体" w:eastAsia="宋体" w:hint="default"/>
                <w:sz w:val="18"/>
                <w:szCs w:val="18"/>
              </w:rPr>
            </w:pPr>
            <w:r>
              <w:rPr>
                <w:rFonts w:ascii="宋体" w:hAnsi="宋体" w:cs="宋体" w:eastAsia="宋体" w:hint="default"/>
                <w:sz w:val="18"/>
                <w:szCs w:val="18"/>
              </w:rPr>
              <w:t>达美基 食品股 份有限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9,125,70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9,125,70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z w:val="18"/>
              </w:rPr>
              <w:t>1.15%</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阳光恒</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both"/>
              <w:rPr>
                <w:rFonts w:ascii="宋体" w:hAnsi="宋体" w:cs="宋体" w:eastAsia="宋体" w:hint="default"/>
                <w:sz w:val="18"/>
                <w:szCs w:val="18"/>
              </w:rPr>
            </w:pPr>
            <w:r>
              <w:rPr>
                <w:rFonts w:ascii="宋体" w:hAnsi="宋体" w:cs="宋体" w:eastAsia="宋体" w:hint="default"/>
                <w:sz w:val="18"/>
                <w:szCs w:val="18"/>
              </w:rPr>
              <w:t>美金融 信息技 术服务</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w:t>
            </w:r>
          </w:p>
        </w:tc>
        <w:tc>
          <w:tcPr>
            <w:tcW w:w="870" w:type="dxa"/>
            <w:vMerge/>
            <w:tcBorders>
              <w:left w:val="single" w:sz="4" w:space="0" w:color="000000"/>
              <w:right w:val="single" w:sz="4" w:space="0" w:color="000000"/>
            </w:tcBorders>
          </w:tcPr>
          <w:p>
            <w:pPr/>
          </w:p>
        </w:tc>
      </w:tr>
      <w:tr>
        <w:trPr>
          <w:trHeight w:val="314"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09"/>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江苏鸿</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left"/>
              <w:rPr>
                <w:rFonts w:ascii="宋体" w:hAnsi="宋体" w:cs="宋体" w:eastAsia="宋体" w:hint="default"/>
                <w:sz w:val="18"/>
                <w:szCs w:val="18"/>
              </w:rPr>
            </w:pPr>
            <w:r>
              <w:rPr>
                <w:rFonts w:ascii="宋体" w:hAnsi="宋体" w:cs="宋体" w:eastAsia="宋体" w:hint="default"/>
                <w:sz w:val="18"/>
                <w:szCs w:val="18"/>
              </w:rPr>
              <w:t>轩生态 农业有</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35,425,7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35,425,7</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4）报告期内可供出售金融资产减值的变动情况" w:id="255"/>
      <w:bookmarkEnd w:id="25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39"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5）可供出售权益工具期末公允价值严重下跌或非暂时性下跌但未计提减值准备的相关说" w:id="256"/>
      <w:bookmarkEnd w:id="25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7" w:right="138"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8" w:right="136"/>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7" w:right="136" w:hanging="449"/>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8" w:right="138" w:hanging="452"/>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357" w:lineRule="auto" w:before="50"/>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10、长期股权投资" w:id="257"/>
      <w:bookmarkEnd w:id="257"/>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38"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9"/>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40"/>
              <w:jc w:val="center"/>
              <w:rPr>
                <w:rFonts w:ascii="宋体" w:hAnsi="宋体" w:cs="宋体" w:eastAsia="宋体" w:hint="default"/>
                <w:sz w:val="18"/>
                <w:szCs w:val="18"/>
              </w:rPr>
            </w:pPr>
            <w:r>
              <w:rPr>
                <w:rFonts w:ascii="宋体" w:hAnsi="宋体" w:cs="宋体" w:eastAsia="宋体" w:hint="default"/>
                <w:sz w:val="18"/>
                <w:szCs w:val="18"/>
              </w:rPr>
              <w:t>北京东</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宋体" w:hAnsi="宋体" w:cs="宋体" w:eastAsia="宋体" w:hint="default"/>
                <w:sz w:val="18"/>
                <w:szCs w:val="18"/>
              </w:rPr>
              <w:t>方金信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36,072,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5,571,4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5,901,9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47,545,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0"/>
              <w:jc w:val="center"/>
              <w:rPr>
                <w:rFonts w:ascii="宋体" w:hAnsi="宋体" w:cs="宋体" w:eastAsia="宋体" w:hint="default"/>
                <w:sz w:val="18"/>
                <w:szCs w:val="18"/>
              </w:rPr>
            </w:pPr>
            <w:r>
              <w:rPr>
                <w:rFonts w:ascii="宋体" w:hAnsi="宋体" w:cs="宋体" w:eastAsia="宋体" w:hint="default"/>
                <w:sz w:val="18"/>
                <w:szCs w:val="18"/>
              </w:rPr>
              <w:t>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450.04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07.26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757.30</w:t>
            </w: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4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6" w:lineRule="auto" w:before="76"/>
              <w:ind w:left="101" w:right="142"/>
              <w:jc w:val="left"/>
              <w:rPr>
                <w:rFonts w:ascii="宋体" w:hAnsi="宋体" w:cs="宋体" w:eastAsia="宋体" w:hint="default"/>
                <w:sz w:val="18"/>
                <w:szCs w:val="18"/>
              </w:rPr>
            </w:pPr>
            <w:r>
              <w:rPr>
                <w:rFonts w:ascii="宋体" w:hAnsi="宋体" w:cs="宋体" w:eastAsia="宋体" w:hint="default"/>
                <w:sz w:val="18"/>
                <w:szCs w:val="18"/>
              </w:rPr>
              <w:t>（苏 州）金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535,04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6,322.5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707,84</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527,51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9,187.5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1009" w:header="919" w:top="1120" w:bottom="1200" w:left="1020" w:right="0"/>
          <w:pgNumType w:start="14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42"/>
              <w:jc w:val="both"/>
              <w:rPr>
                <w:rFonts w:ascii="宋体" w:hAnsi="宋体" w:cs="宋体" w:eastAsia="宋体" w:hint="default"/>
                <w:sz w:val="18"/>
                <w:szCs w:val="18"/>
              </w:rPr>
            </w:pPr>
            <w:r>
              <w:rPr>
                <w:rFonts w:ascii="宋体" w:hAnsi="宋体" w:cs="宋体" w:eastAsia="宋体" w:hint="default"/>
                <w:sz w:val="18"/>
                <w:szCs w:val="18"/>
              </w:rPr>
              <w:t>融科技 服务有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北京营</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安金融 信息服 务有限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14,905,</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579.11</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-1,240,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132.60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13,665,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446.51</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北京慧</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闻科技</w:t>
            </w:r>
          </w:p>
          <w:p>
            <w:pPr>
              <w:pStyle w:val="TableParagraph"/>
              <w:spacing w:line="316" w:lineRule="auto" w:before="76"/>
              <w:ind w:left="101" w:right="142"/>
              <w:jc w:val="left"/>
              <w:rPr>
                <w:rFonts w:ascii="宋体" w:hAnsi="宋体" w:cs="宋体" w:eastAsia="宋体" w:hint="default"/>
                <w:sz w:val="18"/>
                <w:szCs w:val="18"/>
              </w:rPr>
            </w:pPr>
            <w:r>
              <w:rPr>
                <w:rFonts w:ascii="宋体" w:hAnsi="宋体" w:cs="宋体" w:eastAsia="宋体" w:hint="default"/>
                <w:sz w:val="18"/>
                <w:szCs w:val="18"/>
              </w:rPr>
              <w:t>（集 团）有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-3,253,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589.15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8,746,4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10.85</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怀光智</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能科技</w:t>
            </w:r>
          </w:p>
          <w:p>
            <w:pPr>
              <w:pStyle w:val="TableParagraph"/>
              <w:spacing w:line="316" w:lineRule="auto" w:before="76"/>
              <w:ind w:left="101" w:right="142"/>
              <w:jc w:val="left"/>
              <w:rPr>
                <w:rFonts w:ascii="宋体" w:hAnsi="宋体" w:cs="宋体" w:eastAsia="宋体" w:hint="default"/>
                <w:sz w:val="18"/>
                <w:szCs w:val="18"/>
              </w:rPr>
            </w:pPr>
            <w:r>
              <w:rPr>
                <w:rFonts w:ascii="宋体" w:hAnsi="宋体" w:cs="宋体" w:eastAsia="宋体" w:hint="default"/>
                <w:sz w:val="18"/>
                <w:szCs w:val="18"/>
              </w:rPr>
              <w:t>（武 汉）有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-710,65</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7.90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3,789,3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42.10</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上海怀</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若智能</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-2,526,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17,473,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456.71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543.29</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4,351.7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42,071,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088.99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4,351.7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42,071,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088.99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52"/>
        <w:jc w:val="left"/>
      </w:pPr>
      <w:r>
        <w:rPr/>
        <w:t>其他说明</w:t>
      </w:r>
    </w:p>
    <w:p>
      <w:pPr>
        <w:pStyle w:val="BodyText"/>
        <w:spacing w:line="300" w:lineRule="auto" w:before="117"/>
        <w:ind w:left="292" w:right="1130" w:firstLine="420"/>
        <w:jc w:val="both"/>
      </w:pPr>
      <w:r>
        <w:rPr>
          <w:spacing w:val="-1"/>
        </w:rPr>
        <w:t>注1：2016年6月1日，北京东方金信科技有限公司(以下简称</w:t>
      </w:r>
      <w:r>
        <w:rPr>
          <w:rFonts w:ascii="Times New Roman" w:hAnsi="Times New Roman" w:cs="Times New Roman" w:eastAsia="Times New Roman" w:hint="default"/>
          <w:spacing w:val="-1"/>
        </w:rPr>
        <w:t>“</w:t>
      </w:r>
      <w:r>
        <w:rPr>
          <w:spacing w:val="-1"/>
        </w:rPr>
        <w:t>东方金信</w:t>
      </w:r>
      <w:r>
        <w:rPr>
          <w:rFonts w:ascii="Times New Roman" w:hAnsi="Times New Roman" w:cs="Times New Roman" w:eastAsia="Times New Roman" w:hint="default"/>
          <w:spacing w:val="-1"/>
        </w:rPr>
        <w:t>”</w:t>
      </w:r>
      <w:r>
        <w:rPr>
          <w:spacing w:val="-1"/>
        </w:rPr>
        <w:t>)发生工商信息变更，注册资本由142.86万元</w:t>
      </w:r>
      <w:r>
        <w:rPr/>
        <w:t> 变更为2,000.00万元，此次变更系原股东同比例增资，本公司于2018年7月向东方金信缴纳了剩余出资额557.14万元。</w:t>
      </w:r>
    </w:p>
    <w:p>
      <w:pPr>
        <w:pStyle w:val="BodyText"/>
        <w:spacing w:line="316" w:lineRule="auto" w:before="31"/>
        <w:ind w:left="292" w:right="1131" w:firstLine="420"/>
        <w:jc w:val="both"/>
      </w:pPr>
      <w:r>
        <w:rPr>
          <w:spacing w:val="-2"/>
        </w:rPr>
        <w:t>注2：根据《深圳市赢时胜信息技术股份有限公司与北京慧闻科技发展有限公司之增资扩股协议》，本公司认缴出资</w:t>
      </w:r>
      <w:r>
        <w:rPr/>
        <w:t> 额2,400.00万元，已于2018年1月支付首期投资款1,200.00万元。截止2018年12月31日，本公司累计支付投资款1,200.00 </w:t>
      </w:r>
      <w:r>
        <w:rPr>
          <w:spacing w:val="-2"/>
        </w:rPr>
        <w:t>万元，持有北京慧闻科技（集团）有限公司20%的股权（2019年3月13日，北京慧闻科技发展有限公司已更名为北京慧闻科</w:t>
      </w:r>
      <w:r>
        <w:rPr>
          <w:spacing w:val="-62"/>
        </w:rPr>
        <w:t> </w:t>
      </w:r>
      <w:r>
        <w:rPr>
          <w:spacing w:val="-62"/>
        </w:rPr>
      </w:r>
      <w:r>
        <w:rPr>
          <w:spacing w:val="-9"/>
        </w:rPr>
        <w:t>技（集团）有限公司）。</w:t>
      </w:r>
    </w:p>
    <w:p>
      <w:pPr>
        <w:pStyle w:val="BodyText"/>
        <w:spacing w:line="316" w:lineRule="auto" w:before="19"/>
        <w:ind w:left="292" w:right="1129" w:firstLine="420"/>
        <w:jc w:val="both"/>
      </w:pPr>
      <w:r>
        <w:rPr>
          <w:spacing w:val="-3"/>
        </w:rPr>
        <w:t>注3：根据《怀光智能科技（武汉）有限公司出资协议书》，本公司认缴出资额900.00万元，已于2018年3月20日支付</w:t>
      </w:r>
      <w:r>
        <w:rPr/>
        <w:t> </w:t>
      </w:r>
      <w:r>
        <w:rPr>
          <w:spacing w:val="-2"/>
        </w:rPr>
        <w:t>首期投资款450.00万元。截止2018年12月31日，本公司累计支付投资款450.00万元，持有怀光智能科技（武汉）有限公司</w:t>
      </w:r>
      <w:r>
        <w:rPr>
          <w:spacing w:val="-57"/>
        </w:rPr>
        <w:t> </w:t>
      </w:r>
      <w:r>
        <w:rPr>
          <w:spacing w:val="-57"/>
        </w:rPr>
      </w:r>
      <w:r>
        <w:rPr/>
        <w:t>30%的股权。</w:t>
      </w:r>
    </w:p>
    <w:p>
      <w:pPr>
        <w:pStyle w:val="BodyText"/>
        <w:spacing w:line="316" w:lineRule="auto" w:before="19"/>
        <w:ind w:left="292" w:right="1082" w:firstLine="420"/>
        <w:jc w:val="both"/>
      </w:pPr>
      <w:r>
        <w:rPr>
          <w:spacing w:val="-2"/>
        </w:rPr>
        <w:t>注4：根据《上海怀若智能科技有限公司出资协议书》，本公司认缴出资额2,000.00万元，已于2018年1月出资到位。</w:t>
      </w:r>
      <w:r>
        <w:rPr/>
        <w:t> 截止2018年12月31日，本公司累计支付投资款2,000.00万元，持有上海怀若智能科技有限公司40%的股权。</w:t>
      </w:r>
    </w:p>
    <w:p>
      <w:pPr>
        <w:spacing w:after="0" w:line="316" w:lineRule="auto"/>
        <w:jc w:val="both"/>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11、投资性房地产" w:id="258"/>
      <w:bookmarkEnd w:id="258"/>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采用成本计量模式的投资性房地产" w:id="259"/>
      <w:bookmarkEnd w:id="25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52"/>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50,360,759.52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50,360,759.52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48,511,882.39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48,511,882.39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1" w:firstLine="32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48,511,882.39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48,511,882.39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98,872,641.91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98,872,641.91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3,953,154.47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3,953,154.47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7,622,157.52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7,622,157.52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1,988,917.44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1,988,917.44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5,633,240.08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5,633,240.08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2"/>
                <w:sz w:val="18"/>
              </w:rPr>
              <w:t>11,575,311.99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11,575,311.99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87,297,329.92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87,297,329.92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46,407,605.05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46,407,605.05</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2）采用公允价值计量模式的投资性房地产" w:id="260"/>
      <w:bookmarkEnd w:id="26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3）未办妥产权证书的投资性房地产情况" w:id="261"/>
      <w:bookmarkEnd w:id="26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60" w:lineRule="auto" w:before="49"/>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12、固定资产" w:id="262"/>
      <w:bookmarkEnd w:id="262"/>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815,844,646.64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521,847,354.41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815,844,646.64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521,847,354.41</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1）固定资产情况" w:id="263"/>
      <w:bookmarkEnd w:id="26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499,843,559.84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42,691,730.75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16,832,361.77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5,149,864.51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564,517,516.87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325,782,989.20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32,890,153.49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1,432,060.68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4,378,370.61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364,483,573.98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32,890,153.49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1,432,060.68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4,378,370.61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38,700,584.78</w:t>
            </w: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325,782,989.20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325,782,989.20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48,551,834.92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1,350,136.15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101,549.55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50,003,520.62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1,350,136.15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101,549.55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1,451,685.70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48,511,882.39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48,511,882.39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39,952.53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39,952.53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777,074,714.12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74,231,748.09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18,264,422.45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9,426,685.57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878,997,570.23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8,206,501.60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24,939,436.14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7,464,059.88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2,060,164.84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42,670,162.46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11,887,446.76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11,910,199.71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2,927,063.74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741,401.31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27,466,111.52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11,887,446.76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11,910,199.71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2,927,063.74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741,401.31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27,466,111.52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5,633,240.08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1,283,465.41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6,983,350.39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1,283,465.41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1,350,110.31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0"/>
              <w:ind w:left="101" w:right="1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 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5,633,240.08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5,633,240.08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14,460,708.28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35,566,170.44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10,391,123.62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2,734,921.25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63,152,923.59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762,614,005.84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38,665,577.65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7,873,298.83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6,691,764.32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815,844,646.64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491,637,058.24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17,752,294.61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9,368,301.89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3,089,699.67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521,847,354.41</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952"/>
        <w:jc w:val="left"/>
        <w:rPr>
          <w:b w:val="0"/>
          <w:bCs w:val="0"/>
        </w:rPr>
      </w:pPr>
      <w:bookmarkStart w:name="（2）暂时闲置的固定资产情况" w:id="264"/>
      <w:bookmarkEnd w:id="26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3"/>
        <w:spacing w:line="240" w:lineRule="auto" w:before="34"/>
        <w:ind w:right="952"/>
        <w:jc w:val="left"/>
        <w:rPr>
          <w:b w:val="0"/>
          <w:bCs w:val="0"/>
        </w:rPr>
      </w:pPr>
      <w:bookmarkStart w:name="（3）通过融资租赁租入的固定资产情况" w:id="265"/>
      <w:bookmarkEnd w:id="26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4"/>
        <w:ind w:right="952"/>
        <w:jc w:val="left"/>
        <w:rPr>
          <w:b w:val="0"/>
          <w:bCs w:val="0"/>
        </w:rPr>
      </w:pPr>
      <w:bookmarkStart w:name="（4）通过经营租赁租出的固定资产" w:id="266"/>
      <w:bookmarkEnd w:id="26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5）未办妥产权证书的固定资产情况" w:id="267"/>
      <w:bookmarkEnd w:id="26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长沙华创国际广场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123,795,562.96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上海御河科创中心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59,943,189.27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0"/>
        <w:ind w:right="952"/>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right="952"/>
        <w:jc w:val="left"/>
      </w:pPr>
      <w:r>
        <w:rPr/>
        <w:t>（1）公司期末固定资产抵押情况详见本财务报表附注六(四十九)所有权受到限制的资产。</w:t>
      </w:r>
    </w:p>
    <w:p>
      <w:pPr>
        <w:spacing w:line="240" w:lineRule="auto" w:before="10"/>
        <w:rPr>
          <w:rFonts w:ascii="宋体" w:hAnsi="宋体" w:cs="宋体" w:eastAsia="宋体" w:hint="default"/>
          <w:sz w:val="17"/>
          <w:szCs w:val="17"/>
        </w:rPr>
      </w:pPr>
    </w:p>
    <w:p>
      <w:pPr>
        <w:pStyle w:val="BodyText"/>
        <w:spacing w:line="240" w:lineRule="auto"/>
        <w:ind w:right="952"/>
        <w:jc w:val="left"/>
      </w:pPr>
      <w:r>
        <w:rPr/>
        <w:t>（2）公司期末不存在闲置的固定资产。</w:t>
      </w:r>
    </w:p>
    <w:p>
      <w:pPr>
        <w:spacing w:line="240" w:lineRule="auto" w:before="10"/>
        <w:rPr>
          <w:rFonts w:ascii="宋体" w:hAnsi="宋体" w:cs="宋体" w:eastAsia="宋体" w:hint="default"/>
          <w:sz w:val="17"/>
          <w:szCs w:val="17"/>
        </w:rPr>
      </w:pPr>
    </w:p>
    <w:p>
      <w:pPr>
        <w:pStyle w:val="BodyText"/>
        <w:spacing w:line="240" w:lineRule="auto"/>
        <w:ind w:right="952"/>
        <w:jc w:val="left"/>
      </w:pPr>
      <w:r>
        <w:rPr/>
        <w:t>（3）本期计提的折旧额为27,466,111.52元。</w:t>
      </w:r>
    </w:p>
    <w:p>
      <w:pPr>
        <w:spacing w:line="240" w:lineRule="auto" w:before="10"/>
        <w:rPr>
          <w:rFonts w:ascii="宋体" w:hAnsi="宋体" w:cs="宋体" w:eastAsia="宋体" w:hint="default"/>
          <w:sz w:val="17"/>
          <w:szCs w:val="17"/>
        </w:rPr>
      </w:pPr>
    </w:p>
    <w:p>
      <w:pPr>
        <w:pStyle w:val="BodyText"/>
        <w:spacing w:line="240" w:lineRule="auto"/>
        <w:ind w:right="952"/>
        <w:jc w:val="left"/>
      </w:pPr>
      <w:r>
        <w:rPr/>
        <w:t>（4）公司期末固定资产未发生减值情形，无需计提减值准备。</w:t>
      </w:r>
    </w:p>
    <w:p>
      <w:pPr>
        <w:spacing w:line="240" w:lineRule="auto" w:before="10"/>
        <w:rPr>
          <w:rFonts w:ascii="宋体" w:hAnsi="宋体" w:cs="宋体" w:eastAsia="宋体" w:hint="default"/>
          <w:sz w:val="17"/>
          <w:szCs w:val="17"/>
        </w:rPr>
      </w:pPr>
    </w:p>
    <w:p>
      <w:pPr>
        <w:pStyle w:val="BodyText"/>
        <w:spacing w:line="240" w:lineRule="auto"/>
        <w:ind w:right="952"/>
        <w:jc w:val="left"/>
      </w:pPr>
      <w:r>
        <w:rPr/>
        <w:t>（5）上海御河科创中心10号楼房产证已于2019年4月16日办妥。</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6）固定资产清理" w:id="268"/>
      <w:bookmarkEnd w:id="26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44"/>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13、在建工程" w:id="269"/>
      <w:bookmarkEnd w:id="269"/>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264,660,736.97</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264,660,736.97</w:t>
            </w:r>
          </w:p>
        </w:tc>
      </w:tr>
    </w:tbl>
    <w:p>
      <w:pPr>
        <w:spacing w:line="240" w:lineRule="auto" w:before="5"/>
        <w:rPr>
          <w:rFonts w:ascii="宋体" w:hAnsi="宋体" w:cs="宋体" w:eastAsia="宋体" w:hint="default"/>
          <w:sz w:val="19"/>
          <w:szCs w:val="19"/>
        </w:rPr>
      </w:pPr>
    </w:p>
    <w:p>
      <w:pPr>
        <w:pStyle w:val="Heading3"/>
        <w:spacing w:line="240" w:lineRule="auto" w:before="34"/>
        <w:ind w:right="952"/>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上海御河科创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93,408,551.59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93,408,551.59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4"/>
              <w:jc w:val="left"/>
              <w:rPr>
                <w:rFonts w:ascii="宋体" w:hAnsi="宋体" w:cs="宋体" w:eastAsia="宋体" w:hint="default"/>
                <w:sz w:val="18"/>
                <w:szCs w:val="18"/>
              </w:rPr>
            </w:pPr>
            <w:r>
              <w:rPr>
                <w:rFonts w:ascii="宋体" w:hAnsi="宋体" w:cs="宋体" w:eastAsia="宋体" w:hint="default"/>
                <w:sz w:val="18"/>
                <w:szCs w:val="18"/>
              </w:rPr>
              <w:t>上海御河科创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55,073,995.63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55,073,995.63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长沙华创房产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116,178,189.75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116,178,189.75</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14"/>
              <w:jc w:val="left"/>
              <w:rPr>
                <w:rFonts w:ascii="宋体" w:hAnsi="宋体" w:cs="宋体" w:eastAsia="宋体" w:hint="default"/>
                <w:sz w:val="18"/>
                <w:szCs w:val="18"/>
              </w:rPr>
            </w:pPr>
            <w:r>
              <w:rPr>
                <w:rFonts w:ascii="宋体" w:hAnsi="宋体" w:cs="宋体" w:eastAsia="宋体" w:hint="default"/>
                <w:sz w:val="18"/>
                <w:szCs w:val="18"/>
              </w:rPr>
              <w:t>成都区域</w:t>
            </w:r>
            <w:r>
              <w:rPr>
                <w:rFonts w:ascii="Times New Roman" w:hAnsi="Times New Roman" w:cs="Times New Roman" w:eastAsia="Times New Roman" w:hint="default"/>
                <w:sz w:val="18"/>
                <w:szCs w:val="18"/>
              </w:rPr>
              <w:t>-</w:t>
            </w:r>
            <w:r>
              <w:rPr>
                <w:rFonts w:ascii="宋体" w:hAnsi="宋体" w:cs="宋体" w:eastAsia="宋体" w:hint="default"/>
                <w:sz w:val="18"/>
                <w:szCs w:val="18"/>
              </w:rPr>
              <w:t>成都 蜀都中心</w:t>
            </w:r>
          </w:p>
          <w:p>
            <w:pPr>
              <w:pStyle w:val="TableParagraph"/>
              <w:spacing w:line="240" w:lineRule="auto" w:before="3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北京柏豪置业</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02"/>
              <w:jc w:val="left"/>
              <w:rPr>
                <w:rFonts w:ascii="宋体" w:hAnsi="宋体" w:cs="宋体" w:eastAsia="宋体" w:hint="default"/>
                <w:sz w:val="18"/>
                <w:szCs w:val="18"/>
              </w:rPr>
            </w:pPr>
            <w:r>
              <w:rPr>
                <w:rFonts w:ascii="宋体" w:hAnsi="宋体" w:cs="宋体" w:eastAsia="宋体" w:hint="default"/>
                <w:sz w:val="18"/>
                <w:szCs w:val="18"/>
              </w:rPr>
              <w:t>深业上城（南 </w:t>
            </w:r>
            <w:r>
              <w:rPr>
                <w:rFonts w:ascii="宋体" w:hAnsi="宋体" w:cs="宋体" w:eastAsia="宋体" w:hint="default"/>
                <w:spacing w:val="-5"/>
                <w:sz w:val="18"/>
                <w:szCs w:val="18"/>
              </w:rPr>
              <w:t>区）二期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264,660,736.97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264,660,736.97</w:t>
            </w:r>
          </w:p>
        </w:tc>
      </w:tr>
    </w:tbl>
    <w:p>
      <w:pPr>
        <w:spacing w:line="240" w:lineRule="auto" w:before="2"/>
        <w:rPr>
          <w:rFonts w:ascii="宋体" w:hAnsi="宋体" w:cs="宋体" w:eastAsia="宋体" w:hint="default"/>
          <w:sz w:val="19"/>
          <w:szCs w:val="19"/>
        </w:rPr>
      </w:pPr>
    </w:p>
    <w:p>
      <w:pPr>
        <w:pStyle w:val="Heading3"/>
        <w:spacing w:line="240" w:lineRule="auto" w:before="34"/>
        <w:ind w:right="952"/>
        <w:jc w:val="left"/>
        <w:rPr>
          <w:b w:val="0"/>
          <w:bCs w:val="0"/>
        </w:rPr>
      </w:pPr>
      <w:bookmarkStart w:name="（2）重要在建工程项目本期变动情况" w:id="271"/>
      <w:bookmarkEnd w:id="27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72" w:right="180"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258"/>
              <w:jc w:val="left"/>
              <w:rPr>
                <w:rFonts w:ascii="宋体" w:hAnsi="宋体" w:cs="宋体" w:eastAsia="宋体" w:hint="default"/>
                <w:sz w:val="18"/>
                <w:szCs w:val="18"/>
              </w:rPr>
            </w:pPr>
            <w:r>
              <w:rPr>
                <w:rFonts w:ascii="宋体" w:hAnsi="宋体" w:cs="宋体" w:eastAsia="宋体" w:hint="default"/>
                <w:sz w:val="18"/>
                <w:szCs w:val="18"/>
              </w:rPr>
              <w:t>上海 御河</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9" w:right="0"/>
              <w:jc w:val="left"/>
              <w:rPr>
                <w:rFonts w:ascii="Times New Roman" w:hAnsi="Times New Roman" w:cs="Times New Roman" w:eastAsia="Times New Roman" w:hint="default"/>
                <w:sz w:val="18"/>
                <w:szCs w:val="18"/>
              </w:rPr>
            </w:pPr>
            <w:r>
              <w:rPr>
                <w:rFonts w:ascii="Times New Roman"/>
                <w:sz w:val="18"/>
              </w:rPr>
              <w:t>93,408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,551.5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10,875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,057.0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104,28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3,608.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bl>
    <w:p>
      <w:pPr>
        <w:spacing w:after="0" w:line="316"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32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科创</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59</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楼</w:t>
            </w: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2"/>
              <w:jc w:val="both"/>
              <w:rPr>
                <w:rFonts w:ascii="宋体" w:hAnsi="宋体" w:cs="宋体" w:eastAsia="宋体" w:hint="default"/>
                <w:sz w:val="18"/>
                <w:szCs w:val="18"/>
              </w:rPr>
            </w:pPr>
            <w:r>
              <w:rPr>
                <w:rFonts w:ascii="宋体" w:hAnsi="宋体" w:cs="宋体" w:eastAsia="宋体" w:hint="default"/>
                <w:sz w:val="18"/>
                <w:szCs w:val="18"/>
              </w:rPr>
              <w:t>御河 科创 中心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55,073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,995.6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3" w:right="0"/>
              <w:jc w:val="left"/>
              <w:rPr>
                <w:rFonts w:ascii="Times New Roman" w:hAnsi="Times New Roman" w:cs="Times New Roman" w:eastAsia="Times New Roman" w:hint="default"/>
                <w:sz w:val="18"/>
                <w:szCs w:val="18"/>
              </w:rPr>
            </w:pPr>
            <w:r>
              <w:rPr>
                <w:rFonts w:ascii="Times New Roman"/>
                <w:sz w:val="18"/>
              </w:rPr>
              <w:t>5,389,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176.94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60,463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楼</w:t>
            </w: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8"/>
              <w:jc w:val="both"/>
              <w:rPr>
                <w:rFonts w:ascii="宋体" w:hAnsi="宋体" w:cs="宋体" w:eastAsia="宋体" w:hint="default"/>
                <w:sz w:val="18"/>
                <w:szCs w:val="18"/>
              </w:rPr>
            </w:pPr>
            <w:r>
              <w:rPr>
                <w:rFonts w:ascii="宋体" w:hAnsi="宋体" w:cs="宋体" w:eastAsia="宋体" w:hint="default"/>
                <w:sz w:val="18"/>
                <w:szCs w:val="18"/>
              </w:rPr>
              <w:t>长沙 华创 房产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116,17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7,617,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373.21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123,79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5,562.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1" w:right="198"/>
              <w:jc w:val="left"/>
              <w:rPr>
                <w:rFonts w:ascii="宋体" w:hAnsi="宋体" w:cs="宋体" w:eastAsia="宋体" w:hint="default"/>
                <w:sz w:val="18"/>
                <w:szCs w:val="18"/>
              </w:rPr>
            </w:pPr>
            <w:r>
              <w:rPr>
                <w:rFonts w:ascii="宋体" w:hAnsi="宋体" w:cs="宋体" w:eastAsia="宋体" w:hint="default"/>
                <w:sz w:val="18"/>
                <w:szCs w:val="18"/>
              </w:rPr>
              <w:t>区域</w:t>
            </w:r>
            <w:r>
              <w:rPr>
                <w:rFonts w:ascii="Times New Roman" w:hAnsi="Times New Roman" w:cs="Times New Roman" w:eastAsia="Times New Roman" w:hint="default"/>
                <w:sz w:val="18"/>
                <w:szCs w:val="18"/>
              </w:rPr>
              <w:t>- </w:t>
            </w:r>
            <w:r>
              <w:rPr>
                <w:rFonts w:ascii="宋体" w:hAnsi="宋体" w:cs="宋体" w:eastAsia="宋体" w:hint="default"/>
                <w:sz w:val="18"/>
                <w:szCs w:val="18"/>
              </w:rPr>
              <w:t>成都 蜀都 中心</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,773.1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,773.1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Times New Roman" w:hAnsi="Times New Roman" w:cs="Times New Roman" w:eastAsia="Times New Roman" w:hint="default"/>
                <w:sz w:val="18"/>
                <w:szCs w:val="18"/>
              </w:rPr>
            </w:pPr>
            <w:r>
              <w:rPr>
                <w:rFonts w:ascii="Times New Roman"/>
                <w:sz w:val="18"/>
              </w:rPr>
              <w:t>10-11</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柏豪</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置业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2,124.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号楼</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1" w:right="0"/>
              <w:jc w:val="left"/>
              <w:rPr>
                <w:rFonts w:ascii="Times New Roman" w:hAnsi="Times New Roman" w:cs="Times New Roman" w:eastAsia="Times New Roman" w:hint="default"/>
                <w:sz w:val="18"/>
                <w:szCs w:val="18"/>
              </w:rPr>
            </w:pPr>
            <w:r>
              <w:rPr>
                <w:rFonts w:ascii="Times New Roman"/>
                <w:sz w:val="18"/>
              </w:rPr>
              <w:t>12-13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层</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深业</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上城</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（南</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21,747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21,747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8"/>
                <w:sz w:val="18"/>
                <w:szCs w:val="18"/>
              </w:rPr>
              <w:t>区）二</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.57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楼</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264,66</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61,122</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325,78</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0,736.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,252.2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2,989.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300"/>
              <w:jc w:val="right"/>
              <w:rPr>
                <w:rFonts w:ascii="Times New Roman" w:hAnsi="Times New Roman" w:cs="Times New Roman" w:eastAsia="Times New Roman" w:hint="default"/>
                <w:sz w:val="18"/>
                <w:szCs w:val="18"/>
              </w:rPr>
            </w:pPr>
            <w:r>
              <w:rPr>
                <w:rFonts w:ascii="Times New Roman"/>
                <w:sz w:val="18"/>
              </w:rPr>
              <w:t>--</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97</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20</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本期计提在建工程减值准备情况" w:id="272"/>
      <w:bookmarkEnd w:id="27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60" w:lineRule="auto" w:before="51"/>
        <w:ind w:right="10034"/>
        <w:jc w:val="left"/>
      </w:pPr>
      <w:r>
        <w:rPr/>
        <w:t>其他说明 无</w:t>
      </w:r>
    </w:p>
    <w:p>
      <w:pPr>
        <w:spacing w:after="0" w:line="36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4）工程物资" w:id="273"/>
      <w:bookmarkEnd w:id="27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14、无形资产" w:id="274"/>
      <w:bookmarkEnd w:id="274"/>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无形资产情况" w:id="275"/>
      <w:bookmarkEnd w:id="27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240" w:lineRule="auto" w:before="39"/>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5,418,808.50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5,418,808.50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619,434.42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619,434.42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619,434.42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619,434.42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2,564.10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2,564.10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6,035,678.82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6,035,678.82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4,317,924.87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4,317,924.87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392,810.07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392,810.07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392,810.07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392,810.07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1,624.12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1,624.12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4,709,110.82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4,709,110.82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1,326,568.00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1,326,568.00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1,100,883.63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1,100,883.63</w:t>
            </w:r>
          </w:p>
        </w:tc>
      </w:tr>
    </w:tbl>
    <w:p>
      <w:pPr>
        <w:pStyle w:val="BodyText"/>
        <w:spacing w:line="240" w:lineRule="auto" w:before="51"/>
        <w:ind w:right="952"/>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952"/>
        <w:jc w:val="left"/>
        <w:rPr>
          <w:b w:val="0"/>
          <w:bCs w:val="0"/>
        </w:rPr>
      </w:pPr>
      <w:bookmarkStart w:name="（2）未办妥产权证书的土地使用权情况" w:id="276"/>
      <w:bookmarkEnd w:id="27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50"/>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15、商誉" w:id="277"/>
      <w:bookmarkEnd w:id="277"/>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商誉账面原值" w:id="278"/>
      <w:bookmarkEnd w:id="27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上海蒲园供应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6" w:right="0"/>
              <w:jc w:val="left"/>
              <w:rPr>
                <w:rFonts w:ascii="Times New Roman" w:hAnsi="Times New Roman" w:cs="Times New Roman" w:eastAsia="Times New Roman" w:hint="default"/>
                <w:sz w:val="18"/>
                <w:szCs w:val="18"/>
              </w:rPr>
            </w:pPr>
            <w:r>
              <w:rPr>
                <w:rFonts w:ascii="Times New Roman"/>
                <w:sz w:val="18"/>
              </w:rPr>
              <w:t>1,504,511.33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6" w:right="0"/>
              <w:jc w:val="left"/>
              <w:rPr>
                <w:rFonts w:ascii="Times New Roman" w:hAnsi="Times New Roman" w:cs="Times New Roman" w:eastAsia="Times New Roman" w:hint="default"/>
                <w:sz w:val="18"/>
                <w:szCs w:val="18"/>
              </w:rPr>
            </w:pPr>
            <w:r>
              <w:rPr>
                <w:rFonts w:ascii="Times New Roman"/>
                <w:sz w:val="18"/>
              </w:rPr>
              <w:t>1,504,511.33</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1"/>
              <w:ind w:left="101" w:right="173"/>
              <w:jc w:val="left"/>
              <w:rPr>
                <w:rFonts w:ascii="宋体" w:hAnsi="宋体" w:cs="宋体" w:eastAsia="宋体" w:hint="default"/>
                <w:sz w:val="18"/>
                <w:szCs w:val="18"/>
              </w:rPr>
            </w:pPr>
            <w:r>
              <w:rPr>
                <w:rFonts w:ascii="宋体" w:hAnsi="宋体" w:cs="宋体" w:eastAsia="宋体" w:hint="default"/>
                <w:sz w:val="18"/>
                <w:szCs w:val="18"/>
              </w:rPr>
              <w:t>链管理有限公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6" w:right="0"/>
              <w:jc w:val="left"/>
              <w:rPr>
                <w:rFonts w:ascii="Times New Roman" w:hAnsi="Times New Roman" w:cs="Times New Roman" w:eastAsia="Times New Roman" w:hint="default"/>
                <w:sz w:val="18"/>
                <w:szCs w:val="18"/>
              </w:rPr>
            </w:pPr>
            <w:r>
              <w:rPr>
                <w:rFonts w:ascii="Times New Roman"/>
                <w:sz w:val="18"/>
              </w:rPr>
              <w:t>1,504,511.33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6" w:right="0"/>
              <w:jc w:val="left"/>
              <w:rPr>
                <w:rFonts w:ascii="Times New Roman" w:hAnsi="Times New Roman" w:cs="Times New Roman" w:eastAsia="Times New Roman" w:hint="default"/>
                <w:sz w:val="18"/>
                <w:szCs w:val="18"/>
              </w:rPr>
            </w:pPr>
            <w:r>
              <w:rPr>
                <w:rFonts w:ascii="Times New Roman"/>
                <w:sz w:val="18"/>
              </w:rPr>
              <w:t>1,504,511.33</w:t>
            </w:r>
          </w:p>
        </w:tc>
      </w:tr>
    </w:tbl>
    <w:p>
      <w:pPr>
        <w:spacing w:line="240" w:lineRule="auto" w:before="5"/>
        <w:rPr>
          <w:rFonts w:ascii="宋体" w:hAnsi="宋体" w:cs="宋体" w:eastAsia="宋体" w:hint="default"/>
          <w:sz w:val="19"/>
          <w:szCs w:val="19"/>
        </w:rPr>
      </w:pPr>
    </w:p>
    <w:p>
      <w:pPr>
        <w:pStyle w:val="Heading3"/>
        <w:spacing w:line="240" w:lineRule="auto" w:before="34"/>
        <w:ind w:right="952"/>
        <w:jc w:val="left"/>
        <w:rPr>
          <w:b w:val="0"/>
          <w:bCs w:val="0"/>
        </w:rPr>
      </w:pPr>
      <w:bookmarkStart w:name="（2）商誉减值准备" w:id="279"/>
      <w:bookmarkEnd w:id="27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上海蒲园供应 链管理有限公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952"/>
        <w:jc w:val="left"/>
      </w:pPr>
      <w:r>
        <w:rPr/>
        <w:t>商誉所在资产组或资产组组合的相关信息 </w:t>
      </w:r>
      <w:r>
        <w:rPr>
          <w:spacing w:val="-2"/>
        </w:rPr>
        <w:t>注：本公司之子公司上海赢量金融服务有限公司于2016年收购了上海蒲园供应链管理有限公司100%的股权，系非同一控制下</w:t>
      </w:r>
      <w:r>
        <w:rPr>
          <w:spacing w:val="-60"/>
        </w:rPr>
        <w:t> </w:t>
      </w:r>
      <w:r>
        <w:rPr>
          <w:spacing w:val="-60"/>
        </w:rPr>
      </w:r>
      <w:r>
        <w:rPr/>
        <w:t>企业合并，形成合并商誉1,504,511.33元，经减值测试，未发生减值情形。</w:t>
      </w:r>
    </w:p>
    <w:p>
      <w:pPr>
        <w:pStyle w:val="BodyText"/>
        <w:spacing w:line="316" w:lineRule="auto" w:before="41"/>
        <w:ind w:right="952"/>
        <w:jc w:val="left"/>
      </w:pP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pStyle w:val="BodyText"/>
        <w:spacing w:line="357" w:lineRule="auto" w:before="59"/>
        <w:ind w:right="9134"/>
        <w:jc w:val="left"/>
      </w:pPr>
      <w:r>
        <w:rPr/>
        <w:t>无 商誉减值测试的影响 无</w:t>
      </w:r>
    </w:p>
    <w:p>
      <w:pPr>
        <w:pStyle w:val="BodyText"/>
        <w:spacing w:line="360" w:lineRule="auto" w:before="29"/>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16、长期待摊费用" w:id="280"/>
      <w:bookmarkEnd w:id="280"/>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75,719.77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67,629.08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8,090.69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756,786.12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79,613.21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282,571.91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553,827.42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832,505.89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79,613.21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350,200.99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561,918.11</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17、递延所得税资产/递延所得税负债" w:id="281"/>
      <w:bookmarkEnd w:id="281"/>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未经抵销的递延所得税资产" w:id="282"/>
      <w:bookmarkEnd w:id="28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9"/>
          <w:pgSz w:w="11910" w:h="16840"/>
          <w:pgMar w:footer="1009" w:header="919" w:top="1120" w:bottom="1200" w:left="1020" w:right="0"/>
          <w:pgNumType w:start="15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47,510,664.97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7,204,234.84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19,098,942.58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1,995,475.98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6,223,859.60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622,385.96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5,628,995.92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562,899.59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1,265.76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53,735,790.33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7,826,810.66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24,727,938.50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2,558,375.57</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2）未经抵销的递延所得税负债" w:id="283"/>
      <w:bookmarkEnd w:id="28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以抵销后净额列示的递延所得税资产或负债" w:id="284"/>
      <w:bookmarkEnd w:id="28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5" w:right="0"/>
              <w:jc w:val="left"/>
              <w:rPr>
                <w:rFonts w:ascii="Times New Roman" w:hAnsi="Times New Roman" w:cs="Times New Roman" w:eastAsia="Times New Roman" w:hint="default"/>
                <w:sz w:val="18"/>
                <w:szCs w:val="18"/>
              </w:rPr>
            </w:pPr>
            <w:r>
              <w:rPr>
                <w:rFonts w:ascii="Times New Roman"/>
                <w:sz w:val="18"/>
              </w:rPr>
              <w:t>7,826,810.66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5" w:right="0"/>
              <w:jc w:val="left"/>
              <w:rPr>
                <w:rFonts w:ascii="Times New Roman" w:hAnsi="Times New Roman" w:cs="Times New Roman" w:eastAsia="Times New Roman" w:hint="default"/>
                <w:sz w:val="18"/>
                <w:szCs w:val="18"/>
              </w:rPr>
            </w:pPr>
            <w:r>
              <w:rPr>
                <w:rFonts w:ascii="Times New Roman"/>
                <w:sz w:val="18"/>
              </w:rPr>
              <w:t>2,558,375.57</w:t>
            </w:r>
          </w:p>
        </w:tc>
      </w:tr>
    </w:tbl>
    <w:p>
      <w:pPr>
        <w:spacing w:line="240" w:lineRule="auto" w:before="2"/>
        <w:rPr>
          <w:rFonts w:ascii="宋体" w:hAnsi="宋体" w:cs="宋体" w:eastAsia="宋体" w:hint="default"/>
          <w:sz w:val="19"/>
          <w:szCs w:val="19"/>
        </w:rPr>
      </w:pPr>
    </w:p>
    <w:p>
      <w:pPr>
        <w:pStyle w:val="Heading3"/>
        <w:spacing w:line="240" w:lineRule="auto" w:before="34"/>
        <w:ind w:right="952"/>
        <w:jc w:val="left"/>
        <w:rPr>
          <w:b w:val="0"/>
          <w:bCs w:val="0"/>
        </w:rPr>
      </w:pPr>
      <w:bookmarkStart w:name="（4）未确认递延所得税资产明细" w:id="285"/>
      <w:bookmarkEnd w:id="28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3,585,999.57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2,018,443.70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3,585,999.57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2,018,443.70</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5）未确认递延所得税资产的可抵扣亏损将于以下年度到期" w:id="286"/>
      <w:bookmarkEnd w:id="28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2,018,443.70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3,585,999.57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3,585,999.57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2,018,443.70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9854"/>
        <w:jc w:val="left"/>
      </w:pPr>
      <w:r>
        <w:rPr/>
        <w:t>其他说明： 无</w:t>
      </w:r>
    </w:p>
    <w:p>
      <w:pPr>
        <w:spacing w:after="0" w:line="36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18、其他非流动资产" w:id="287"/>
      <w:bookmarkEnd w:id="287"/>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购房定金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购房认筹诚意金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4,710,850.17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1,069,146.95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3,428,550.00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8,139,400.17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2,969,146.95</w:t>
            </w:r>
          </w:p>
        </w:tc>
      </w:tr>
    </w:tbl>
    <w:p>
      <w:pPr>
        <w:pStyle w:val="BodyText"/>
        <w:spacing w:line="240" w:lineRule="auto" w:before="52"/>
        <w:ind w:right="952"/>
        <w:jc w:val="left"/>
      </w:pPr>
      <w:r>
        <w:rPr/>
        <w:t>其他说明：</w:t>
      </w:r>
    </w:p>
    <w:p>
      <w:pPr>
        <w:spacing w:line="240" w:lineRule="auto" w:before="10"/>
        <w:rPr>
          <w:rFonts w:ascii="宋体" w:hAnsi="宋体" w:cs="宋体" w:eastAsia="宋体" w:hint="default"/>
          <w:sz w:val="17"/>
          <w:szCs w:val="17"/>
        </w:rPr>
      </w:pPr>
    </w:p>
    <w:p>
      <w:pPr>
        <w:pStyle w:val="BodyText"/>
        <w:spacing w:line="312" w:lineRule="auto"/>
        <w:ind w:right="1130" w:firstLine="420"/>
        <w:jc w:val="both"/>
      </w:pPr>
      <w:r>
        <w:rPr/>
        <w:t>注：2018年6月4日，本公司与深圳市图灵机器人有限公司（以下简称</w:t>
      </w:r>
      <w:r>
        <w:rPr>
          <w:rFonts w:ascii="Times New Roman" w:hAnsi="Times New Roman" w:cs="Times New Roman" w:eastAsia="Times New Roman" w:hint="default"/>
        </w:rPr>
        <w:t>“</w:t>
      </w:r>
      <w:r>
        <w:rPr/>
        <w:t>深圳图灵</w:t>
      </w:r>
      <w:r>
        <w:rPr>
          <w:rFonts w:ascii="Times New Roman" w:hAnsi="Times New Roman" w:cs="Times New Roman" w:eastAsia="Times New Roman" w:hint="default"/>
        </w:rPr>
        <w:t>”</w:t>
      </w:r>
      <w:r>
        <w:rPr/>
        <w:t>）及其实际控制人黄佳洋签署《增资 </w:t>
      </w:r>
      <w:r>
        <w:rPr>
          <w:spacing w:val="1"/>
        </w:rPr>
        <w:t>扩股协议》、《增资扩股协议的补充协议》，拟以现金方式出资人民币1,371.42万元，认购深圳图灵新增注册资本人民币</w:t>
      </w:r>
      <w:r>
        <w:rPr>
          <w:spacing w:val="-65"/>
        </w:rPr>
        <w:t> </w:t>
      </w:r>
      <w:r>
        <w:rPr>
          <w:spacing w:val="-65"/>
        </w:rPr>
      </w:r>
      <w:r>
        <w:rPr>
          <w:spacing w:val="-2"/>
        </w:rPr>
        <w:t>277.0545万元，占注册资本的30%。2018年8月15日，本公司支付首期投资款</w:t>
      </w:r>
      <w:r>
        <w:rPr>
          <w:spacing w:val="33"/>
        </w:rPr>
        <w:t> </w:t>
      </w:r>
      <w:r>
        <w:rPr>
          <w:spacing w:val="-2"/>
        </w:rPr>
        <w:t>342.855万元。截至2018年12月31日，本公司认</w:t>
      </w:r>
      <w:r>
        <w:rPr>
          <w:spacing w:val="-81"/>
        </w:rPr>
        <w:t> </w:t>
      </w:r>
      <w:r>
        <w:rPr>
          <w:spacing w:val="-81"/>
        </w:rPr>
      </w:r>
      <w:r>
        <w:rPr/>
        <w:t>缴金额1,371.42万元，累计出资342.855万元，深圳图灵尚未完成工商信息变更。</w:t>
      </w:r>
    </w:p>
    <w:p>
      <w:pPr>
        <w:spacing w:line="240" w:lineRule="auto" w:before="9"/>
        <w:rPr>
          <w:rFonts w:ascii="宋体" w:hAnsi="宋体" w:cs="宋体" w:eastAsia="宋体" w:hint="default"/>
          <w:sz w:val="22"/>
          <w:szCs w:val="22"/>
        </w:rPr>
      </w:pPr>
    </w:p>
    <w:p>
      <w:pPr>
        <w:pStyle w:val="Heading3"/>
        <w:spacing w:line="240" w:lineRule="auto"/>
        <w:ind w:right="952"/>
        <w:jc w:val="left"/>
        <w:rPr>
          <w:b w:val="0"/>
          <w:bCs w:val="0"/>
        </w:rPr>
      </w:pPr>
      <w:bookmarkStart w:name="19、短期借款" w:id="288"/>
      <w:bookmarkEnd w:id="288"/>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短期借款分类" w:id="289"/>
      <w:bookmarkEnd w:id="28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8954"/>
        <w:jc w:val="left"/>
      </w:pPr>
      <w:r>
        <w:rPr/>
        <w:t>短期借款分类的说明：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2）已逾期未偿还的短期借款情况" w:id="290"/>
      <w:bookmarkEnd w:id="29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元，其中重要的已逾期未偿还的短期借款情况如下：</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952"/>
        <w:jc w:val="left"/>
      </w:pPr>
      <w:r>
        <w:rPr/>
        <w:t>其他说明：</w:t>
      </w:r>
    </w:p>
    <w:p>
      <w:pPr>
        <w:spacing w:line="240" w:lineRule="auto" w:before="10"/>
        <w:rPr>
          <w:rFonts w:ascii="宋体" w:hAnsi="宋体" w:cs="宋体" w:eastAsia="宋体" w:hint="default"/>
          <w:sz w:val="17"/>
          <w:szCs w:val="17"/>
        </w:rPr>
      </w:pPr>
    </w:p>
    <w:p>
      <w:pPr>
        <w:pStyle w:val="BodyText"/>
        <w:spacing w:line="316" w:lineRule="auto"/>
        <w:ind w:right="1032" w:firstLine="420"/>
        <w:jc w:val="left"/>
      </w:pPr>
      <w:r>
        <w:rPr>
          <w:spacing w:val="-1"/>
        </w:rPr>
        <w:t>注1：2018年3月7日，本公司与中国银行股份有限公司深圳中心区支行签订流动资金借款合同，借款金额为5,000万元，</w:t>
      </w:r>
      <w:r>
        <w:rPr/>
        <w:t> 借款期限为首次提款日起12个月，借款利率为浮动利率，根据按实际提款日前一工作日基础利率上报价平均利率加179个基</w:t>
      </w:r>
      <w:r>
        <w:rPr>
          <w:spacing w:val="-85"/>
        </w:rPr>
        <w:t> </w:t>
      </w:r>
      <w:r>
        <w:rPr>
          <w:spacing w:val="-85"/>
        </w:rPr>
      </w:r>
      <w:r>
        <w:rPr/>
        <w:t>点确定。</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1"/>
        </w:rPr>
        <w:t>注2：2018年06月08日，本公司子公司上海赢量金融服务有限公司之子公司上海蒲园供应链管理有限公司与北京银行上</w:t>
      </w:r>
      <w:r>
        <w:rPr/>
        <w:t> 海分行签订借款合同，借款金额为人民币5,000万元，借款期限为首次提款日起1年，借款利率为5.2200%。该笔借款由上海 赢量金融服务有限公司作为保证人。</w:t>
      </w:r>
    </w:p>
    <w:p>
      <w:pPr>
        <w:spacing w:after="0" w:line="316" w:lineRule="auto"/>
        <w:jc w:val="both"/>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29" w:firstLine="420"/>
        <w:jc w:val="both"/>
      </w:pPr>
      <w:r>
        <w:rPr/>
        <w:t>注3：2018年9月28日，本公司子公司上海赢量金融服务有限公司与北京银行上海分行签订综合授信借款合同，借款额 </w:t>
      </w:r>
      <w:r>
        <w:rPr>
          <w:spacing w:val="-2"/>
        </w:rPr>
        <w:t>度1亿元，借款期限为首次提款日起1年，企业于2018年11月16日借款5,000万元，2018年12月24日借款5,500万元；截止2018</w:t>
      </w:r>
      <w:r>
        <w:rPr>
          <w:spacing w:val="-46"/>
        </w:rPr>
        <w:t> </w:t>
      </w:r>
      <w:r>
        <w:rPr>
          <w:spacing w:val="-46"/>
        </w:rPr>
      </w:r>
      <w:r>
        <w:rPr/>
        <w:t>年12月31日累计借款余额8,500万元,借款利率为5.0025%。该笔借款由本公司作为保证人。</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注4：2018年9月30日，本公司子公司上海赢量金融服务有限公司与北京银行上海分行签订借款合同，借款金额为人民 币5,000万元，借款期限为首次提款日起1年，借款利率为5.0025%。该笔借款由本公司作为保证人。</w:t>
      </w:r>
    </w:p>
    <w:p>
      <w:pPr>
        <w:spacing w:line="240" w:lineRule="auto" w:before="6"/>
        <w:rPr>
          <w:rFonts w:ascii="宋体" w:hAnsi="宋体" w:cs="宋体" w:eastAsia="宋体" w:hint="default"/>
          <w:sz w:val="22"/>
          <w:szCs w:val="22"/>
        </w:rPr>
      </w:pPr>
    </w:p>
    <w:p>
      <w:pPr>
        <w:pStyle w:val="Heading3"/>
        <w:spacing w:line="240" w:lineRule="auto"/>
        <w:ind w:right="952"/>
        <w:jc w:val="left"/>
        <w:rPr>
          <w:b w:val="0"/>
          <w:bCs w:val="0"/>
        </w:rPr>
      </w:pPr>
      <w:bookmarkStart w:name="20、应付票据及应付账款" w:id="291"/>
      <w:bookmarkEnd w:id="291"/>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2,031,543.16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6,432,590.15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2,031,543.16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6,432,590.15</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1）应付票据分类列示" w:id="292"/>
      <w:bookmarkEnd w:id="29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52"/>
        <w:jc w:val="left"/>
      </w:pPr>
      <w:r>
        <w:rPr/>
        <w:t>本期末已到期未支付的应付票据总额为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952"/>
        <w:jc w:val="left"/>
        <w:rPr>
          <w:b w:val="0"/>
          <w:bCs w:val="0"/>
        </w:rPr>
      </w:pPr>
      <w:bookmarkStart w:name="（2）应付账款列示" w:id="293"/>
      <w:bookmarkEnd w:id="29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软件采购款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66,279.54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1,576,942.38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28,448.28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694,688.01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1,782,824.49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3,422,141.06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153,990.85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738,818.70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2,031,543.16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6,432,590.15</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账龄超过1年的重要应付账款" w:id="294"/>
      <w:bookmarkEnd w:id="29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952"/>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期末应付账款余额中无应付持有本公司5%（含5%）以上表决权股份的股东单位及其他关联方款项。</w:t>
      </w:r>
    </w:p>
    <w:p>
      <w:pPr>
        <w:spacing w:after="0" w:line="24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21、预收款项" w:id="295"/>
      <w:bookmarkEnd w:id="29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6,343,320.00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7,977,346.08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235,828.01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541,428.84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6,579,148.01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8,518,774.92</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2）账龄超过1年的重要预收款项" w:id="297"/>
      <w:bookmarkEnd w:id="29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预收软件款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779,200.29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779,200.29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期末建造合同形成的已结算未完工项目情况" w:id="298"/>
      <w:bookmarkEnd w:id="29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1"/>
        <w:ind w:right="3014"/>
        <w:jc w:val="left"/>
      </w:pPr>
      <w:r>
        <w:rPr/>
        <w:t>其他说明： 期末预收款项余额中无预收持有本公司5%（含5%）以上表决权股份的股东单位及其他关联方款项。</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22、应付职工薪酬" w:id="299"/>
      <w:bookmarkEnd w:id="299"/>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应付职工薪酬列示" w:id="300"/>
      <w:bookmarkEnd w:id="30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41,325,756.68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340,077,521.09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355,746,583.96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25,656,693.81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1,239,248.88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17,362,870.43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16,964,198.09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1,637,921.22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42,565,005.56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357,440,391.52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372,710,782.05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27,294,615.03</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2）短期薪酬列示" w:id="301"/>
      <w:bookmarkEnd w:id="30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7" w:right="0"/>
              <w:jc w:val="left"/>
              <w:rPr>
                <w:rFonts w:ascii="Times New Roman" w:hAnsi="Times New Roman" w:cs="Times New Roman" w:eastAsia="Times New Roman" w:hint="default"/>
                <w:sz w:val="18"/>
                <w:szCs w:val="18"/>
              </w:rPr>
            </w:pPr>
            <w:r>
              <w:rPr>
                <w:rFonts w:ascii="Times New Roman"/>
                <w:sz w:val="18"/>
              </w:rPr>
              <w:t>40,049,593.71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5" w:right="0"/>
              <w:jc w:val="left"/>
              <w:rPr>
                <w:rFonts w:ascii="Times New Roman" w:hAnsi="Times New Roman" w:cs="Times New Roman" w:eastAsia="Times New Roman" w:hint="default"/>
                <w:sz w:val="18"/>
                <w:szCs w:val="18"/>
              </w:rPr>
            </w:pPr>
            <w:r>
              <w:rPr>
                <w:rFonts w:ascii="Times New Roman"/>
                <w:sz w:val="18"/>
              </w:rPr>
              <w:t>309,478,854.97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6" w:right="0"/>
              <w:jc w:val="left"/>
              <w:rPr>
                <w:rFonts w:ascii="Times New Roman" w:hAnsi="Times New Roman" w:cs="Times New Roman" w:eastAsia="Times New Roman" w:hint="default"/>
                <w:sz w:val="18"/>
                <w:szCs w:val="18"/>
              </w:rPr>
            </w:pPr>
            <w:r>
              <w:rPr>
                <w:rFonts w:ascii="Times New Roman"/>
                <w:sz w:val="18"/>
              </w:rPr>
              <w:t>325,624,351.95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6" w:right="0"/>
              <w:jc w:val="left"/>
              <w:rPr>
                <w:rFonts w:ascii="Times New Roman" w:hAnsi="Times New Roman" w:cs="Times New Roman" w:eastAsia="Times New Roman" w:hint="default"/>
                <w:sz w:val="18"/>
                <w:szCs w:val="18"/>
              </w:rPr>
            </w:pPr>
            <w:r>
              <w:rPr>
                <w:rFonts w:ascii="Times New Roman"/>
                <w:sz w:val="18"/>
              </w:rPr>
              <w:t>23,904,096.73</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12,315,694.81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12,315,694.81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841,858.61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11,892,014.71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11,610,235.14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1,123,638.18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771,216.28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10,776,193.52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10,517,473.07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1,029,936.73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21,154.75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216,981.54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214,164.14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23,972.15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49,487.58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898,839.65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878,597.93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69,729.30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434,304.36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6,379,230.70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6,184,576.16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628,958.90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11,725.90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11,725.90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41,325,756.68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340,077,521.09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355,746,583.96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25,656,693.81</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设定提存计划列示" w:id="302"/>
      <w:bookmarkEnd w:id="30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1,199,923.97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16,758,721.70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16,373,099.29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1,585,546.38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39,324.91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604,148.73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591,098.80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52,374.84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1,239,248.88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17,362,870.43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16,964,198.09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1,637,921.22</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3、应交税费" w:id="303"/>
      <w:bookmarkEnd w:id="303"/>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40,989,392.99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19,262,796.53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13,051,361.57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18,481,243.69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1,463,585.25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1,916,275.94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191,955.84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269,935.79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306,128.17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1,498,181.05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269,420.89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308,060.35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9,516.25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9,516.25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1,168,455.16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786,177.69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857.13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57,449,816.12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42,533,044.42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44"/>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4、其他应付款" w:id="304"/>
      <w:bookmarkEnd w:id="304"/>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380,107.47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14,015.04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39,288,052.74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62,383,369.66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39,668,160.21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62,397,384.70</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1）应付利息" w:id="305"/>
      <w:bookmarkEnd w:id="30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7,033.54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14,015.04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373,073.93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380,107.47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14,015.04</w:t>
            </w:r>
          </w:p>
        </w:tc>
      </w:tr>
    </w:tbl>
    <w:p>
      <w:pPr>
        <w:pStyle w:val="BodyText"/>
        <w:spacing w:line="240" w:lineRule="auto" w:before="49"/>
        <w:ind w:right="952"/>
        <w:jc w:val="left"/>
      </w:pPr>
      <w:r>
        <w:rPr/>
        <w:t>重要的已逾期未支付的利息情况：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60" w:lineRule="auto" w:before="49"/>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2）应付股利" w:id="306"/>
      <w:bookmarkEnd w:id="30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40" w:lineRule="auto" w:before="49"/>
        <w:ind w:right="4995"/>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1"/>
        <w:rPr>
          <w:rFonts w:ascii="宋体" w:hAnsi="宋体" w:cs="宋体" w:eastAsia="宋体" w:hint="default"/>
          <w:sz w:val="21"/>
          <w:szCs w:val="21"/>
        </w:rPr>
      </w:pPr>
    </w:p>
    <w:p>
      <w:pPr>
        <w:pStyle w:val="Heading3"/>
        <w:spacing w:line="240" w:lineRule="auto"/>
        <w:ind w:right="952"/>
        <w:jc w:val="left"/>
        <w:rPr>
          <w:b w:val="0"/>
          <w:bCs w:val="0"/>
        </w:rPr>
      </w:pPr>
      <w:bookmarkStart w:name="（3）其他应付款" w:id="307"/>
      <w:bookmarkEnd w:id="30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35,277,742.50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47,692,260.00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1,190,517.80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2,449,087.70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3"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796,300.00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406,928.00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648,500.00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1,807,492.44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11,186,593.96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39,288,052.74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62,383,369.66</w:t>
            </w:r>
          </w:p>
        </w:tc>
      </w:tr>
    </w:tbl>
    <w:p>
      <w:pPr>
        <w:pStyle w:val="BodyText"/>
        <w:spacing w:line="240" w:lineRule="auto" w:before="51"/>
        <w:ind w:right="952"/>
        <w:jc w:val="left"/>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35,277,742.50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未解锁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35,277,742.50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52"/>
        <w:jc w:val="left"/>
      </w:pPr>
      <w:r>
        <w:rPr/>
        <w:t>其他说明</w:t>
      </w:r>
    </w:p>
    <w:p>
      <w:pPr>
        <w:pStyle w:val="BodyText"/>
        <w:spacing w:line="240" w:lineRule="auto" w:before="115"/>
        <w:ind w:left="532" w:right="952"/>
        <w:jc w:val="left"/>
      </w:pPr>
      <w:r>
        <w:rPr/>
        <w:t>期末其他应付款中无应付持公司5%（含5%）以上表决权股份的股东单位或关联方款项情况。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3"/>
        <w:spacing w:line="240" w:lineRule="auto"/>
        <w:ind w:right="952"/>
        <w:jc w:val="left"/>
        <w:rPr>
          <w:b w:val="0"/>
          <w:bCs w:val="0"/>
        </w:rPr>
      </w:pPr>
      <w:bookmarkStart w:name="25、一年内到期的非流动负债" w:id="308"/>
      <w:bookmarkEnd w:id="308"/>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717,965.33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2,061,758.55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717,965.33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2,061,758.55</w:t>
            </w:r>
          </w:p>
        </w:tc>
      </w:tr>
    </w:tbl>
    <w:p>
      <w:pPr>
        <w:pStyle w:val="BodyText"/>
        <w:spacing w:line="240" w:lineRule="auto" w:before="51"/>
        <w:ind w:right="952"/>
        <w:jc w:val="left"/>
      </w:pPr>
      <w:r>
        <w:rPr/>
        <w:t>其他说明：</w:t>
      </w:r>
    </w:p>
    <w:p>
      <w:pPr>
        <w:pStyle w:val="BodyText"/>
        <w:spacing w:line="316" w:lineRule="auto" w:before="115"/>
        <w:ind w:right="952" w:firstLine="420"/>
        <w:jc w:val="left"/>
      </w:pPr>
      <w:r>
        <w:rPr>
          <w:spacing w:val="-4"/>
        </w:rPr>
        <w:t>注：2011年2月24日本公司与交通银行股份有限公司深圳车公庙支行签订编号为443027G001《小企业固定资产贷款合同》，</w:t>
      </w:r>
      <w:r>
        <w:rPr/>
        <w:t> 按照贷款合同中还款计划表的约定，2019年1月1日至2019年12月31日需归还银行借款本金717,965.33元。</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26、其他流动负债" w:id="309"/>
      <w:bookmarkEnd w:id="309"/>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52"/>
        <w:jc w:val="left"/>
      </w:pPr>
      <w:r>
        <w:rPr/>
        <w:t>短期应付债券的增减变动：</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27、长期借款" w:id="310"/>
      <w:bookmarkEnd w:id="310"/>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长期借款分类" w:id="311"/>
      <w:bookmarkEnd w:id="31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4,243,144.59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4,961,109.92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4,243,144.59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4,961,109.92</w:t>
            </w:r>
          </w:p>
        </w:tc>
      </w:tr>
    </w:tbl>
    <w:p>
      <w:pPr>
        <w:pStyle w:val="BodyText"/>
        <w:spacing w:line="240" w:lineRule="auto" w:before="51"/>
        <w:ind w:right="952"/>
        <w:jc w:val="left"/>
      </w:pPr>
      <w:r>
        <w:rPr/>
        <w:t>长期借款分类的说明：</w:t>
      </w:r>
    </w:p>
    <w:p>
      <w:pPr>
        <w:spacing w:line="240" w:lineRule="auto" w:before="10"/>
        <w:rPr>
          <w:rFonts w:ascii="宋体" w:hAnsi="宋体" w:cs="宋体" w:eastAsia="宋体" w:hint="default"/>
          <w:sz w:val="17"/>
          <w:szCs w:val="17"/>
        </w:rPr>
      </w:pPr>
    </w:p>
    <w:p>
      <w:pPr>
        <w:pStyle w:val="BodyText"/>
        <w:spacing w:line="307" w:lineRule="auto"/>
        <w:ind w:right="952"/>
        <w:jc w:val="left"/>
      </w:pPr>
      <w:r>
        <w:rPr>
          <w:spacing w:val="-2"/>
        </w:rPr>
        <w:t>注：2011年2月24日本公司与交通银行股份有限公司深圳车公庙支行签订编号为443027G001的《小企业固定资产贷款合同》，</w:t>
      </w:r>
      <w:r>
        <w:rPr>
          <w:spacing w:val="-63"/>
        </w:rPr>
        <w:t> </w:t>
      </w:r>
      <w:r>
        <w:rPr>
          <w:spacing w:val="-63"/>
        </w:rPr>
      </w:r>
      <w:r>
        <w:rPr>
          <w:spacing w:val="-2"/>
        </w:rPr>
        <w:t>合同约定借款18,000,000.00元用于购买深圳市南山区沙河街道办事处侨香路智慧广场B栋11层1101号房产，由实际控制人唐</w:t>
      </w:r>
      <w:r>
        <w:rPr>
          <w:spacing w:val="-54"/>
        </w:rPr>
        <w:t> </w:t>
      </w:r>
      <w:r>
        <w:rPr>
          <w:spacing w:val="-54"/>
        </w:rPr>
      </w:r>
      <w:r>
        <w:rPr/>
        <w:t>球先生、鄢建红女士为上述贷款提供连带责任担保，保证期至</w:t>
      </w:r>
      <w:r>
        <w:rPr>
          <w:rFonts w:ascii="Times New Roman" w:hAnsi="Times New Roman" w:cs="Times New Roman" w:eastAsia="Times New Roman" w:hint="default"/>
        </w:rPr>
        <w:t>“</w:t>
      </w:r>
      <w:r>
        <w:rPr/>
        <w:t>智慧广场B栋11层1101号房产</w:t>
      </w:r>
      <w:r>
        <w:rPr>
          <w:rFonts w:ascii="Times New Roman" w:hAnsi="Times New Roman" w:cs="Times New Roman" w:eastAsia="Times New Roman" w:hint="default"/>
        </w:rPr>
        <w:t>”</w:t>
      </w:r>
      <w:r>
        <w:rPr/>
        <w:t>房产证（房产证编号为</w:t>
      </w:r>
      <w:r>
        <w:rPr>
          <w:rFonts w:ascii="Times New Roman" w:hAnsi="Times New Roman" w:cs="Times New Roman" w:eastAsia="Times New Roman" w:hint="default"/>
        </w:rPr>
        <w:t>“</w:t>
      </w:r>
      <w:r>
        <w:rPr/>
        <w:t>深房地 字第4000523200号</w:t>
      </w:r>
      <w:r>
        <w:rPr>
          <w:rFonts w:ascii="Times New Roman" w:hAnsi="Times New Roman" w:cs="Times New Roman" w:eastAsia="Times New Roman" w:hint="default"/>
        </w:rPr>
        <w:t>”</w:t>
      </w:r>
      <w:r>
        <w:rPr/>
        <w:t>）办妥抵押并交付债权人止。公司于2014年4月4日与交通银行股份有限公司深圳车公庙支行签订《抵押</w:t>
      </w:r>
      <w:r>
        <w:rPr>
          <w:spacing w:val="-80"/>
        </w:rPr>
        <w:t> </w:t>
      </w:r>
      <w:r>
        <w:rPr>
          <w:spacing w:val="-80"/>
        </w:rPr>
      </w:r>
      <w:r>
        <w:rPr>
          <w:spacing w:val="-3"/>
          <w:w w:val="99"/>
        </w:rPr>
        <w:t>合同》（编号：交银深443270DY20140404），将</w:t>
      </w:r>
      <w:r>
        <w:rPr>
          <w:rFonts w:ascii="Times New Roman" w:hAnsi="Times New Roman" w:cs="Times New Roman" w:eastAsia="Times New Roman" w:hint="default"/>
          <w:spacing w:val="-3"/>
          <w:w w:val="99"/>
        </w:rPr>
        <w:t>“</w:t>
      </w:r>
      <w:r>
        <w:rPr>
          <w:spacing w:val="-3"/>
          <w:w w:val="99"/>
        </w:rPr>
        <w:t>智慧广场B栋1101号房产</w:t>
      </w:r>
      <w:r>
        <w:rPr>
          <w:rFonts w:ascii="Times New Roman" w:hAnsi="Times New Roman" w:cs="Times New Roman" w:eastAsia="Times New Roman" w:hint="default"/>
          <w:spacing w:val="-3"/>
          <w:w w:val="99"/>
        </w:rPr>
        <w:t>”</w:t>
      </w:r>
      <w:r>
        <w:rPr>
          <w:spacing w:val="-3"/>
          <w:w w:val="99"/>
        </w:rPr>
        <w:t>设定为《小企业固定资产贷款合同》的抵押财产，</w:t>
      </w:r>
      <w:r>
        <w:rPr>
          <w:spacing w:val="-59"/>
          <w:w w:val="99"/>
        </w:rPr>
        <w:t> </w:t>
      </w:r>
      <w:r>
        <w:rPr>
          <w:spacing w:val="-59"/>
          <w:w w:val="99"/>
        </w:rPr>
      </w:r>
      <w:r>
        <w:rPr/>
        <w:t>抵押资产情况详见本附注六（四十九）所有权受到限制的资产。</w:t>
      </w:r>
    </w:p>
    <w:p>
      <w:pPr>
        <w:pStyle w:val="BodyText"/>
        <w:spacing w:line="468" w:lineRule="exact" w:before="18"/>
        <w:ind w:right="4754" w:firstLine="420"/>
        <w:jc w:val="left"/>
      </w:pPr>
      <w:r>
        <w:rPr/>
        <w:t>上述借款本期重分类至一年内到期非流动负债的金额为717,965.33元。 其他说明，包括利率区间：</w:t>
      </w:r>
    </w:p>
    <w:p>
      <w:pPr>
        <w:pStyle w:val="BodyText"/>
        <w:spacing w:line="240" w:lineRule="auto" w:before="49"/>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8、长期应付款" w:id="312"/>
      <w:bookmarkEnd w:id="312"/>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1）按款项性质列示长期应付款" w:id="313"/>
      <w:bookmarkEnd w:id="31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5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专项应付款" w:id="314"/>
      <w:bookmarkEnd w:id="31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95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9、递延收益" w:id="315"/>
      <w:bookmarkEnd w:id="315"/>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52"/>
        <w:jc w:val="left"/>
      </w:pPr>
      <w:r>
        <w:rPr/>
        <w:t>涉及政府补助的项目：</w:t>
      </w:r>
    </w:p>
    <w:p>
      <w:pPr>
        <w:pStyle w:val="BodyText"/>
        <w:spacing w:line="240" w:lineRule="auto" w:before="117"/>
        <w:ind w:left="0" w:right="1132"/>
        <w:jc w:val="right"/>
      </w:pPr>
      <w:r>
        <w:rPr/>
        <w:t>单位：</w:t>
      </w:r>
      <w:r>
        <w:rPr>
          <w:spacing w:val="-2"/>
        </w:rPr>
        <w:t> </w:t>
      </w:r>
      <w:r>
        <w:rPr/>
        <w:t>元</w:t>
      </w:r>
    </w:p>
    <w:p>
      <w:pPr>
        <w:spacing w:after="0" w:line="240" w:lineRule="auto"/>
        <w:jc w:val="right"/>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6"/>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5" w:right="16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理财服务 平台技术 项目</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重</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20160522</w:t>
            </w:r>
            <w:r>
              <w:rPr>
                <w:rFonts w:ascii="宋体" w:hAnsi="宋体" w:cs="宋体" w:eastAsia="宋体" w:hint="default"/>
                <w:sz w:val="18"/>
                <w:szCs w:val="18"/>
              </w:rPr>
              <w:t>：</w:t>
            </w:r>
          </w:p>
          <w:p>
            <w:pPr>
              <w:pStyle w:val="TableParagraph"/>
              <w:spacing w:line="316" w:lineRule="auto" w:before="63"/>
              <w:ind w:left="101" w:right="229"/>
              <w:jc w:val="left"/>
              <w:rPr>
                <w:rFonts w:ascii="宋体" w:hAnsi="宋体" w:cs="宋体" w:eastAsia="宋体" w:hint="default"/>
                <w:sz w:val="18"/>
                <w:szCs w:val="18"/>
              </w:rPr>
            </w:pPr>
            <w:r>
              <w:rPr>
                <w:rFonts w:ascii="宋体" w:hAnsi="宋体" w:cs="宋体" w:eastAsia="宋体" w:hint="default"/>
                <w:sz w:val="18"/>
                <w:szCs w:val="18"/>
              </w:rPr>
              <w:t>金融交易 系统关键</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8"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金融风险</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管理系统</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2,200,000.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85" w:right="0"/>
              <w:jc w:val="left"/>
              <w:rPr>
                <w:rFonts w:ascii="Times New Roman" w:hAnsi="Times New Roman" w:cs="Times New Roman" w:eastAsia="Times New Roman" w:hint="default"/>
                <w:sz w:val="18"/>
                <w:szCs w:val="18"/>
              </w:rPr>
            </w:pPr>
            <w:r>
              <w:rPr>
                <w:rFonts w:ascii="Times New Roman"/>
                <w:sz w:val="18"/>
              </w:rPr>
              <w:t>2,200,000.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研发产业</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化</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9,700,000.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52"/>
        <w:jc w:val="left"/>
      </w:pPr>
      <w:r>
        <w:rPr/>
        <w:t>其他说明：</w:t>
      </w:r>
    </w:p>
    <w:p>
      <w:pPr>
        <w:spacing w:line="240" w:lineRule="auto" w:before="10"/>
        <w:rPr>
          <w:rFonts w:ascii="宋体" w:hAnsi="宋体" w:cs="宋体" w:eastAsia="宋体" w:hint="default"/>
          <w:sz w:val="17"/>
          <w:szCs w:val="17"/>
        </w:rPr>
      </w:pPr>
    </w:p>
    <w:p>
      <w:pPr>
        <w:pStyle w:val="BodyText"/>
        <w:spacing w:line="309" w:lineRule="auto"/>
        <w:ind w:right="1129" w:firstLine="360"/>
        <w:jc w:val="both"/>
      </w:pPr>
      <w:r>
        <w:rPr>
          <w:spacing w:val="-2"/>
        </w:rPr>
        <w:t>注1：2015年6月，公司与深圳市科技创新委员会（以下简称</w:t>
      </w:r>
      <w:r>
        <w:rPr>
          <w:rFonts w:ascii="Times New Roman" w:hAnsi="Times New Roman" w:cs="Times New Roman" w:eastAsia="Times New Roman" w:hint="default"/>
          <w:spacing w:val="-2"/>
        </w:rPr>
        <w:t>“</w:t>
      </w:r>
      <w:r>
        <w:rPr>
          <w:spacing w:val="-2"/>
        </w:rPr>
        <w:t>科创委</w:t>
      </w:r>
      <w:r>
        <w:rPr>
          <w:rFonts w:ascii="Times New Roman" w:hAnsi="Times New Roman" w:cs="Times New Roman" w:eastAsia="Times New Roman" w:hint="default"/>
          <w:spacing w:val="-2"/>
        </w:rPr>
        <w:t>”</w:t>
      </w:r>
      <w:r>
        <w:rPr>
          <w:spacing w:val="-2"/>
        </w:rPr>
        <w:t>）签订《深圳市科技计划项目合同书》的技术攻关</w:t>
      </w:r>
      <w:r>
        <w:rPr/>
        <w:t> 项目，根据合同，科创委为本项目无偿资助给公司深圳市科技研发资金人民币450万元。截至2018年12月31日，该项目已完 成。</w:t>
      </w:r>
    </w:p>
    <w:p>
      <w:pPr>
        <w:spacing w:line="240" w:lineRule="auto" w:before="10"/>
        <w:rPr>
          <w:rFonts w:ascii="宋体" w:hAnsi="宋体" w:cs="宋体" w:eastAsia="宋体" w:hint="default"/>
          <w:sz w:val="13"/>
          <w:szCs w:val="13"/>
        </w:rPr>
      </w:pPr>
    </w:p>
    <w:p>
      <w:pPr>
        <w:pStyle w:val="BodyText"/>
        <w:spacing w:line="300" w:lineRule="auto"/>
        <w:ind w:right="1126" w:firstLine="360"/>
        <w:jc w:val="both"/>
      </w:pPr>
      <w:r>
        <w:rPr>
          <w:spacing w:val="-2"/>
        </w:rPr>
        <w:t>注2：2016年7月，公司与深圳市科技创新委员会（以下简称</w:t>
      </w:r>
      <w:r>
        <w:rPr>
          <w:rFonts w:ascii="Times New Roman" w:hAnsi="Times New Roman" w:cs="Times New Roman" w:eastAsia="Times New Roman" w:hint="default"/>
          <w:spacing w:val="-2"/>
        </w:rPr>
        <w:t>“</w:t>
      </w:r>
      <w:r>
        <w:rPr>
          <w:spacing w:val="-2"/>
        </w:rPr>
        <w:t>科创委</w:t>
      </w:r>
      <w:r>
        <w:rPr>
          <w:rFonts w:ascii="Times New Roman" w:hAnsi="Times New Roman" w:cs="Times New Roman" w:eastAsia="Times New Roman" w:hint="default"/>
          <w:spacing w:val="-2"/>
        </w:rPr>
        <w:t>”</w:t>
      </w:r>
      <w:r>
        <w:rPr>
          <w:spacing w:val="-2"/>
        </w:rPr>
        <w:t>）签订《深圳市科技计划项目合同书》的技术攻关</w:t>
      </w:r>
      <w:r>
        <w:rPr/>
        <w:t> 项目，根据合同，科创委为本项目无偿资助300万元，用于研发项目</w:t>
      </w:r>
      <w:r>
        <w:rPr>
          <w:spacing w:val="-55"/>
        </w:rPr>
        <w:t> </w:t>
      </w:r>
      <w:r>
        <w:rPr>
          <w:rFonts w:ascii="Times New Roman" w:hAnsi="Times New Roman" w:cs="Times New Roman" w:eastAsia="Times New Roman" w:hint="default"/>
        </w:rPr>
        <w:t>“</w:t>
      </w:r>
      <w:r>
        <w:rPr/>
        <w:t>重20160522：金融交易系统关键技术研发</w:t>
      </w:r>
      <w:r>
        <w:rPr>
          <w:rFonts w:ascii="Times New Roman" w:hAnsi="Times New Roman" w:cs="Times New Roman" w:eastAsia="Times New Roman" w:hint="default"/>
        </w:rPr>
        <w:t>”</w:t>
      </w:r>
      <w:r>
        <w:rPr/>
        <w:t>。截至2018 年12月31日，该项目已完成。</w:t>
      </w:r>
    </w:p>
    <w:p>
      <w:pPr>
        <w:spacing w:line="240" w:lineRule="auto" w:before="4"/>
        <w:rPr>
          <w:rFonts w:ascii="宋体" w:hAnsi="宋体" w:cs="宋体" w:eastAsia="宋体" w:hint="default"/>
          <w:sz w:val="14"/>
          <w:szCs w:val="14"/>
        </w:rPr>
      </w:pPr>
    </w:p>
    <w:p>
      <w:pPr>
        <w:pStyle w:val="BodyText"/>
        <w:spacing w:line="316" w:lineRule="auto"/>
        <w:ind w:right="1132" w:firstLine="360"/>
        <w:jc w:val="both"/>
      </w:pPr>
      <w:r>
        <w:rPr>
          <w:spacing w:val="-2"/>
        </w:rPr>
        <w:t>注3：2017年6月，公司金融风险管理系统研发产业化项目获批深圳市发展和改革委员会重大科技产业专项2017年第一批</w:t>
      </w:r>
      <w:r>
        <w:rPr/>
        <w:t> 扶持计划(金融科技领域)，收到资助款220万元。截至2018年12月31日，项目仍在进行中。</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30、其他非流动负债" w:id="316"/>
      <w:bookmarkEnd w:id="316"/>
      <w:r>
        <w:rPr>
          <w:b w:val="0"/>
          <w:bCs w:val="0"/>
        </w:rPr>
      </w:r>
      <w:r>
        <w:rPr>
          <w:rFonts w:ascii="Times New Roman" w:hAnsi="Times New Roman" w:cs="Times New Roman" w:eastAsia="Times New Roman" w:hint="default"/>
        </w:rPr>
        <w:t>30</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0"/>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31、股本" w:id="317"/>
      <w:bookmarkEnd w:id="317"/>
      <w:r>
        <w:rPr>
          <w:b w:val="0"/>
          <w:bCs w:val="0"/>
        </w:rPr>
      </w:r>
      <w:r>
        <w:rPr>
          <w:rFonts w:ascii="Times New Roman" w:hAnsi="Times New Roman" w:cs="Times New Roman" w:eastAsia="Times New Roman" w:hint="default"/>
        </w:rPr>
        <w:t>31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10"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8" w:right="0"/>
              <w:jc w:val="left"/>
              <w:rPr>
                <w:rFonts w:ascii="Times New Roman" w:hAnsi="Times New Roman" w:cs="Times New Roman" w:eastAsia="Times New Roman" w:hint="default"/>
                <w:sz w:val="18"/>
                <w:szCs w:val="18"/>
              </w:rPr>
            </w:pPr>
            <w:r>
              <w:rPr>
                <w:rFonts w:ascii="Times New Roman"/>
                <w:sz w:val="18"/>
              </w:rPr>
              <w:t>742,383,330.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-168,750.00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 w:right="0"/>
              <w:jc w:val="left"/>
              <w:rPr>
                <w:rFonts w:ascii="Times New Roman" w:hAnsi="Times New Roman" w:cs="Times New Roman" w:eastAsia="Times New Roman" w:hint="default"/>
                <w:sz w:val="18"/>
                <w:szCs w:val="18"/>
              </w:rPr>
            </w:pPr>
            <w:r>
              <w:rPr>
                <w:rFonts w:ascii="Times New Roman"/>
                <w:sz w:val="18"/>
              </w:rPr>
              <w:t>-168,750.00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7" w:right="0"/>
              <w:jc w:val="left"/>
              <w:rPr>
                <w:rFonts w:ascii="Times New Roman" w:hAnsi="Times New Roman" w:cs="Times New Roman" w:eastAsia="Times New Roman" w:hint="default"/>
                <w:sz w:val="18"/>
                <w:szCs w:val="18"/>
              </w:rPr>
            </w:pPr>
            <w:r>
              <w:rPr>
                <w:rFonts w:ascii="Times New Roman"/>
                <w:sz w:val="18"/>
              </w:rPr>
              <w:t>742,214,580.</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0"/>
        <w:ind w:right="952"/>
        <w:jc w:val="left"/>
      </w:pPr>
      <w:r>
        <w:rPr/>
        <w:t>其他说明：</w:t>
      </w:r>
    </w:p>
    <w:p>
      <w:pPr>
        <w:spacing w:line="240" w:lineRule="auto" w:before="10"/>
        <w:rPr>
          <w:rFonts w:ascii="宋体" w:hAnsi="宋体" w:cs="宋体" w:eastAsia="宋体" w:hint="default"/>
          <w:sz w:val="17"/>
          <w:szCs w:val="17"/>
        </w:rPr>
      </w:pPr>
    </w:p>
    <w:p>
      <w:pPr>
        <w:pStyle w:val="BodyText"/>
        <w:spacing w:line="316" w:lineRule="auto"/>
        <w:ind w:right="952" w:firstLine="420"/>
        <w:jc w:val="left"/>
      </w:pPr>
      <w:r>
        <w:rPr/>
        <w:t>注1：截止2018年12月31日，控股股东、实际控制人唐球先生累计质押的股份数量为94,560,000.00股，占其持有公司 股份总数的55.38%，质押权人分别为东吴证券股份有限公司、国联证券股份有限公司。</w:t>
      </w:r>
    </w:p>
    <w:p>
      <w:pPr>
        <w:spacing w:line="240" w:lineRule="auto" w:before="5"/>
        <w:rPr>
          <w:rFonts w:ascii="宋体" w:hAnsi="宋体" w:cs="宋体" w:eastAsia="宋体" w:hint="default"/>
          <w:sz w:val="13"/>
          <w:szCs w:val="13"/>
        </w:rPr>
      </w:pPr>
    </w:p>
    <w:p>
      <w:pPr>
        <w:pStyle w:val="BodyText"/>
        <w:spacing w:line="240" w:lineRule="auto"/>
        <w:ind w:left="472" w:right="952"/>
        <w:jc w:val="left"/>
      </w:pPr>
      <w:r>
        <w:rPr/>
        <w:t>注2：本期股本的变动情况详见本财务报表附注一、公司基本情况的相关说明。</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32、资本公积" w:id="318"/>
      <w:bookmarkEnd w:id="318"/>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1,590,596,934.21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2,704,515.00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56,004,523.62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1,537,296,925.59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5,270,676.30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2,591,858.64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4,167,240.00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3,695,294.94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1,595,867,610.51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5,296,373.64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60,171,763.62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1,540,992,220.53</w:t>
            </w:r>
          </w:p>
        </w:tc>
      </w:tr>
    </w:tbl>
    <w:p>
      <w:pPr>
        <w:pStyle w:val="BodyText"/>
        <w:spacing w:line="240" w:lineRule="auto" w:before="50"/>
        <w:ind w:right="952"/>
        <w:jc w:val="left"/>
      </w:pPr>
      <w:r>
        <w:rPr/>
        <w:t>其他说明，包括本期增减变动情况、变动原因说明：</w:t>
      </w:r>
    </w:p>
    <w:p>
      <w:pPr>
        <w:spacing w:line="240" w:lineRule="auto" w:before="10"/>
        <w:rPr>
          <w:rFonts w:ascii="宋体" w:hAnsi="宋体" w:cs="宋体" w:eastAsia="宋体" w:hint="default"/>
          <w:sz w:val="17"/>
          <w:szCs w:val="17"/>
        </w:rPr>
      </w:pPr>
    </w:p>
    <w:p>
      <w:pPr>
        <w:pStyle w:val="BodyText"/>
        <w:spacing w:line="309" w:lineRule="auto"/>
        <w:ind w:right="1130" w:firstLine="420"/>
        <w:jc w:val="both"/>
      </w:pPr>
      <w:r>
        <w:rPr/>
        <w:t>注：本期</w:t>
      </w:r>
      <w:r>
        <w:rPr>
          <w:rFonts w:ascii="Times New Roman" w:hAnsi="Times New Roman" w:cs="Times New Roman" w:eastAsia="Times New Roman" w:hint="default"/>
        </w:rPr>
        <w:t>“</w:t>
      </w:r>
      <w:r>
        <w:rPr/>
        <w:t>资本公积-资本溢价</w:t>
      </w:r>
      <w:r>
        <w:rPr>
          <w:rFonts w:ascii="Times New Roman" w:hAnsi="Times New Roman" w:cs="Times New Roman" w:eastAsia="Times New Roman" w:hint="default"/>
        </w:rPr>
        <w:t>”</w:t>
      </w:r>
      <w:r>
        <w:rPr/>
        <w:t>减少56,004,523.62元，系本公司对合并范围内的企业上海赢量金融服务有限公司、上 </w:t>
      </w:r>
      <w:r>
        <w:rPr>
          <w:spacing w:val="-2"/>
        </w:rPr>
        <w:t>海赢保商业保理有限公司、链石（苏州）信息科技有限公司因其他股东增加出资、股权架构调整等原因，导致的本公司享有</w:t>
      </w:r>
      <w:r>
        <w:rPr>
          <w:spacing w:val="-63"/>
        </w:rPr>
        <w:t> </w:t>
      </w:r>
      <w:r>
        <w:rPr>
          <w:spacing w:val="-63"/>
        </w:rPr>
      </w:r>
      <w:r>
        <w:rPr/>
        <w:t>的权益比例相应减少所致。</w:t>
      </w:r>
    </w:p>
    <w:p>
      <w:pPr>
        <w:spacing w:line="240" w:lineRule="auto" w:before="0"/>
        <w:rPr>
          <w:rFonts w:ascii="宋体" w:hAnsi="宋体" w:cs="宋体" w:eastAsia="宋体" w:hint="default"/>
          <w:sz w:val="23"/>
          <w:szCs w:val="23"/>
        </w:rPr>
      </w:pPr>
    </w:p>
    <w:p>
      <w:pPr>
        <w:pStyle w:val="Heading3"/>
        <w:spacing w:line="240" w:lineRule="auto"/>
        <w:ind w:right="952"/>
        <w:jc w:val="left"/>
        <w:rPr>
          <w:b w:val="0"/>
          <w:bCs w:val="0"/>
        </w:rPr>
      </w:pPr>
      <w:bookmarkStart w:name="33、库存股" w:id="319"/>
      <w:bookmarkEnd w:id="319"/>
      <w:r>
        <w:rPr>
          <w:b w:val="0"/>
          <w:bCs w:val="0"/>
        </w:rPr>
      </w:r>
      <w:r>
        <w:rPr>
          <w:rFonts w:ascii="Times New Roman" w:hAnsi="Times New Roman" w:cs="Times New Roman" w:eastAsia="Times New Roman" w:hint="default"/>
        </w:rPr>
        <w:t>33</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具有回购义务的限制 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47,692,260.00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12,414,517.50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35,277,742.50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47,692,260.00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12,414,517.50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35,277,742.50</w:t>
            </w:r>
          </w:p>
        </w:tc>
      </w:tr>
    </w:tbl>
    <w:p>
      <w:pPr>
        <w:pStyle w:val="BodyText"/>
        <w:spacing w:line="357" w:lineRule="auto" w:before="51"/>
        <w:ind w:left="472" w:right="952" w:hanging="360"/>
        <w:jc w:val="left"/>
      </w:pPr>
      <w:r>
        <w:rPr/>
        <w:t>其他说明，包括本期增减变动情况、变动原因说明： </w:t>
      </w:r>
      <w:r>
        <w:rPr>
          <w:spacing w:val="-2"/>
        </w:rPr>
        <w:t>注：本期库存股的减少系根据公司2016年实施的限制性股票激励计划，于第二个解锁期对于符合解锁条件的限制性股票</w:t>
      </w:r>
    </w:p>
    <w:p>
      <w:pPr>
        <w:pStyle w:val="BodyText"/>
        <w:spacing w:line="224" w:lineRule="exact"/>
        <w:ind w:right="952"/>
        <w:jc w:val="left"/>
      </w:pPr>
      <w:r>
        <w:rPr/>
        <w:t>解锁所致。</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34、其他综合收益" w:id="320"/>
      <w:bookmarkEnd w:id="320"/>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38" w:hRule="exact"/>
        </w:trPr>
        <w:tc>
          <w:tcPr>
            <w:tcW w:w="28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2" w:right="190"/>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1" w:right="11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1" w:hRule="exact"/>
        </w:trPr>
        <w:tc>
          <w:tcPr>
            <w:tcW w:w="281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w:t>
            </w:r>
          </w:p>
        </w:tc>
        <w:tc>
          <w:tcPr>
            <w:tcW w:w="10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2,105,438.</w:t>
            </w:r>
          </w:p>
        </w:tc>
        <w:tc>
          <w:tcPr>
            <w:tcW w:w="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-8,234,97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-8,234,97</w:t>
            </w:r>
          </w:p>
        </w:tc>
        <w:tc>
          <w:tcPr>
            <w:tcW w:w="935" w:type="dxa"/>
            <w:vMerge w:val="restart"/>
            <w:tcBorders>
              <w:top w:val="single" w:sz="4" w:space="0" w:color="000000"/>
              <w:left w:val="single" w:sz="4" w:space="0" w:color="000000"/>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-6,129,</w:t>
            </w:r>
          </w:p>
        </w:tc>
      </w:tr>
      <w:tr>
        <w:trPr>
          <w:trHeight w:val="351" w:hRule="exact"/>
        </w:trPr>
        <w:tc>
          <w:tcPr>
            <w:tcW w:w="28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0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65</w:t>
            </w:r>
          </w:p>
        </w:tc>
        <w:tc>
          <w:tcPr>
            <w:tcW w:w="9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5.12</w:t>
            </w: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5.12</w:t>
            </w:r>
          </w:p>
        </w:tc>
        <w:tc>
          <w:tcPr>
            <w:tcW w:w="935" w:type="dxa"/>
            <w:vMerge/>
            <w:tcBorders>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85" w:right="0"/>
              <w:jc w:val="center"/>
              <w:rPr>
                <w:rFonts w:ascii="Times New Roman" w:hAnsi="Times New Roman" w:cs="Times New Roman" w:eastAsia="Times New Roman" w:hint="default"/>
                <w:sz w:val="18"/>
                <w:szCs w:val="18"/>
              </w:rPr>
            </w:pPr>
            <w:r>
              <w:rPr>
                <w:rFonts w:ascii="Times New Roman"/>
                <w:sz w:val="18"/>
              </w:rPr>
              <w:t>536.47</w:t>
            </w:r>
          </w:p>
        </w:tc>
      </w:tr>
    </w:tbl>
    <w:p>
      <w:pPr>
        <w:spacing w:after="0" w:line="240" w:lineRule="auto"/>
        <w:jc w:val="center"/>
        <w:rPr>
          <w:rFonts w:ascii="Times New Roman" w:hAnsi="Times New Roman" w:cs="Times New Roman" w:eastAsia="Times New Roman" w:hint="default"/>
          <w:sz w:val="18"/>
          <w:szCs w:val="18"/>
        </w:rPr>
        <w:sectPr>
          <w:footerReference w:type="default" r:id="rId30"/>
          <w:pgSz w:w="11910" w:h="16840"/>
          <w:pgMar w:footer="1009" w:header="919" w:top="1120" w:bottom="1200" w:left="1020" w:right="0"/>
          <w:pgNumType w:start="16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6"/>
              <w:jc w:val="left"/>
              <w:rPr>
                <w:rFonts w:ascii="宋体" w:hAnsi="宋体" w:cs="宋体" w:eastAsia="宋体" w:hint="default"/>
                <w:sz w:val="18"/>
                <w:szCs w:val="18"/>
              </w:rPr>
            </w:pPr>
            <w:r>
              <w:rPr>
                <w:rFonts w:ascii="宋体" w:hAnsi="宋体" w:cs="宋体" w:eastAsia="宋体" w:hint="default"/>
                <w:sz w:val="18"/>
                <w:szCs w:val="18"/>
              </w:rPr>
              <w:t>其中：权益法下可转损益的其他 综合收益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2,105,438.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-8,234,97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-8,234,97</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5.12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536.47</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2,105,438.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-8,234,97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-8,234,97</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5.12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3" w:right="0"/>
              <w:jc w:val="lef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536.47</w:t>
            </w:r>
          </w:p>
        </w:tc>
      </w:tr>
    </w:tbl>
    <w:p>
      <w:pPr>
        <w:pStyle w:val="BodyText"/>
        <w:spacing w:line="360" w:lineRule="auto" w:before="50"/>
        <w:ind w:right="4094"/>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35、盈余公积" w:id="321"/>
      <w:bookmarkEnd w:id="321"/>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55,224,954.04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16,968,691.92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72,193,645.96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55,224,954.04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16,968,691.92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72,193,645.96</w:t>
            </w:r>
          </w:p>
        </w:tc>
      </w:tr>
    </w:tbl>
    <w:p>
      <w:pPr>
        <w:pStyle w:val="BodyText"/>
        <w:spacing w:line="357" w:lineRule="auto" w:before="52"/>
        <w:ind w:right="6254"/>
        <w:jc w:val="left"/>
      </w:pPr>
      <w:r>
        <w:rPr/>
        <w:t>盈余公积说明，包括本期增减变动情况、变动原因说明：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6、未分配利润" w:id="322"/>
      <w:bookmarkEnd w:id="322"/>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350,159,000.84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249,160,843.65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350,159,000.84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249,160,843.65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177,780,372.07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208,463,060.81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16,968,691.92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18,378,904.02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111,311,937.00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89,085,999.60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399,658,743.99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350,159,000.84</w:t>
            </w:r>
          </w:p>
        </w:tc>
      </w:tr>
    </w:tbl>
    <w:p>
      <w:pPr>
        <w:pStyle w:val="BodyText"/>
        <w:spacing w:line="240" w:lineRule="auto" w:before="51"/>
        <w:ind w:right="952"/>
        <w:jc w:val="left"/>
      </w:pPr>
      <w:r>
        <w:rPr/>
        <w:t>调整期初未分配利润明细：</w:t>
      </w:r>
    </w:p>
    <w:p>
      <w:pPr>
        <w:pStyle w:val="BodyText"/>
        <w:spacing w:line="240" w:lineRule="auto" w:before="115"/>
        <w:ind w:right="952"/>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52"/>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52"/>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52"/>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52"/>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52"/>
        <w:jc w:val="left"/>
        <w:rPr>
          <w:b w:val="0"/>
          <w:bCs w:val="0"/>
        </w:rPr>
      </w:pPr>
      <w:bookmarkStart w:name="37、营业收入和营业成本" w:id="323"/>
      <w:bookmarkEnd w:id="323"/>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631,422,037.89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122,147,400.62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532,757,617.99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91,389,870.25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7,678,455.92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6,047,000.56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4,260,348.09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1,511,300.57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639,100,493.81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128,194,401.18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537,017,966.08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92,901,170.82</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8、税金及附加" w:id="324"/>
      <w:bookmarkEnd w:id="324"/>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1,083,248.65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1,189,802.34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861,348.34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959,313.17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1,934,640.05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3,954,441.51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646,593.58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894,299.55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65,477.13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51,676.50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4,591,307.75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7,049,533.07</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9、销售费用" w:id="325"/>
      <w:bookmarkEnd w:id="325"/>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10,622,405.37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8,777,639.45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5,449,841.01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4,287,304.00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2,247,152.83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1,054,651.89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280,985.68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55,555.53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2,097,443.95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1,198,371.35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443,401.49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598,123.95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404,528.02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344,107.80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21,545,758.35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16,315,753.97</w:t>
            </w:r>
          </w:p>
        </w:tc>
      </w:tr>
    </w:tbl>
    <w:p>
      <w:pPr>
        <w:pStyle w:val="BodyText"/>
        <w:spacing w:line="357" w:lineRule="auto" w:before="50"/>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0、管理费用" w:id="326"/>
      <w:bookmarkEnd w:id="326"/>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41" w:right="0"/>
              <w:jc w:val="left"/>
              <w:rPr>
                <w:rFonts w:ascii="Times New Roman" w:hAnsi="Times New Roman" w:cs="Times New Roman" w:eastAsia="Times New Roman" w:hint="default"/>
                <w:sz w:val="18"/>
                <w:szCs w:val="18"/>
              </w:rPr>
            </w:pPr>
            <w:r>
              <w:rPr>
                <w:rFonts w:ascii="Times New Roman"/>
                <w:sz w:val="18"/>
              </w:rPr>
              <w:t>24,559,957.92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41" w:right="0"/>
              <w:jc w:val="left"/>
              <w:rPr>
                <w:rFonts w:ascii="Times New Roman" w:hAnsi="Times New Roman" w:cs="Times New Roman" w:eastAsia="Times New Roman" w:hint="default"/>
                <w:sz w:val="18"/>
                <w:szCs w:val="18"/>
              </w:rPr>
            </w:pPr>
            <w:r>
              <w:rPr>
                <w:rFonts w:ascii="Times New Roman"/>
                <w:sz w:val="18"/>
              </w:rPr>
              <w:t>14,102,852.86</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12,622,772.99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6,010,961.55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1,062,606.32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741,946.42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2,127,261.83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1,138,409.85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9,591,830.20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6,536,708.49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6,402,822.95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2,412,646.30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股权激励摊销费用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2,591,858.64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5,263,734.92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23,728,598.87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15,438,235.62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82,687,709.72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51,645,496.01</w:t>
            </w:r>
          </w:p>
        </w:tc>
      </w:tr>
    </w:tbl>
    <w:p>
      <w:pPr>
        <w:pStyle w:val="BodyText"/>
        <w:spacing w:line="360" w:lineRule="auto" w:before="50"/>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41、研发费用" w:id="327"/>
      <w:bookmarkEnd w:id="327"/>
      <w:r>
        <w:rPr>
          <w:b w:val="0"/>
          <w:bCs w:val="0"/>
        </w:rPr>
      </w:r>
      <w:r>
        <w:rPr>
          <w:rFonts w:ascii="Times New Roman" w:hAnsi="Times New Roman" w:cs="Times New Roman" w:eastAsia="Times New Roman" w:hint="default"/>
        </w:rPr>
        <w:t>41</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205,112,948.33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174,989,821.91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17,320,596.61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6,605,346.61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6,337,545.96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10,585,719.15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1,608,015.48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346,422.08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230,379,106.38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192,527,309.75</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42、财务费用" w:id="328"/>
      <w:bookmarkEnd w:id="328"/>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5,716,525.04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398,372.61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11,219,653.60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19,976,149.57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53,570.79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54,156.52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-5,449,557.83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-19,523,620.36</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3、资产减值损失" w:id="329"/>
      <w:bookmarkEnd w:id="329"/>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28,274,334.57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3,897,324.58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137,387.82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13,615.87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28,411,722.39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3,910,940.45</w:t>
            </w:r>
          </w:p>
        </w:tc>
      </w:tr>
    </w:tbl>
    <w:p>
      <w:pPr>
        <w:pStyle w:val="BodyText"/>
        <w:spacing w:line="360" w:lineRule="auto" w:before="50"/>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44、其他收益" w:id="330"/>
      <w:bookmarkEnd w:id="330"/>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19,927,376.75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5,698,968.07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19,393,289.67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10,005,646.32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个税手续费返还款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12,308.59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45、投资收益" w:id="331"/>
      <w:bookmarkEnd w:id="331"/>
      <w:r>
        <w:rPr>
          <w:b w:val="0"/>
          <w:bCs w:val="0"/>
        </w:rPr>
      </w:r>
      <w:r>
        <w:rPr>
          <w:rFonts w:ascii="Times New Roman" w:hAnsi="Times New Roman" w:cs="Times New Roman" w:eastAsia="Times New Roman" w:hint="default"/>
        </w:rPr>
        <w:t>45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-1,121,088.99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27,922,503.89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3,626,706.17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6,378,991.96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委托贷款产生的投资收益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497,012.58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资产收益权回购取得的收益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2,152,830.19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4,658,447.37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34,798,508.43</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46、公允价值变动收益" w:id="332"/>
      <w:bookmarkEnd w:id="332"/>
      <w:r>
        <w:rPr>
          <w:b w:val="0"/>
          <w:bCs w:val="0"/>
        </w:rPr>
      </w:r>
      <w:r>
        <w:rPr>
          <w:rFonts w:ascii="Times New Roman" w:hAnsi="Times New Roman" w:cs="Times New Roman" w:eastAsia="Times New Roman" w:hint="default"/>
        </w:rPr>
        <w:t>46</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47、资产处置收益" w:id="333"/>
      <w:bookmarkEnd w:id="333"/>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非流动资产处置利得（损失）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-52,015.37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50,387.52</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48、营业外收入" w:id="334"/>
      <w:bookmarkEnd w:id="334"/>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500,005.00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500,005.00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45,146.15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40,648.08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45,146.15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545,151.15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40,648.08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545,151.15</w:t>
            </w:r>
          </w:p>
        </w:tc>
      </w:tr>
    </w:tbl>
    <w:p>
      <w:pPr>
        <w:pStyle w:val="BodyText"/>
        <w:spacing w:line="240" w:lineRule="auto" w:before="50"/>
        <w:ind w:right="952"/>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49、营业外支出" w:id="335"/>
      <w:bookmarkEnd w:id="335"/>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20,263.46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20,263.46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20,263.46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111,866.93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20,263.46</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50、所得税费用" w:id="336"/>
      <w:bookmarkEnd w:id="336"/>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所得税费用表" w:id="337"/>
      <w:bookmarkEnd w:id="33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17,111,683.86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21,894,579.56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-5,268,435.09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2,943.46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11,843,248.77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21,897,523.02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2）会计利润与所得税费用调整过程" w:id="338"/>
      <w:bookmarkEnd w:id="33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193,204,340.57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19,320,434.06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309,524.77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244,987.36</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359,035.40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112,108.90</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65"/>
              <w:jc w:val="left"/>
              <w:rPr>
                <w:rFonts w:ascii="宋体" w:hAnsi="宋体" w:cs="宋体" w:eastAsia="宋体" w:hint="default"/>
                <w:sz w:val="18"/>
                <w:szCs w:val="18"/>
              </w:rPr>
            </w:pPr>
            <w:r>
              <w:rPr>
                <w:rFonts w:ascii="宋体" w:hAnsi="宋体" w:cs="宋体" w:eastAsia="宋体" w:hint="default"/>
                <w:sz w:val="18"/>
                <w:szCs w:val="18"/>
              </w:rPr>
              <w:t>以前年度已确认递延所得税的可抵扣暂时性差异和可抵扣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-111,240.02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252,902.32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-8,285,468.62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11,843,248.77</w:t>
            </w:r>
          </w:p>
        </w:tc>
      </w:tr>
    </w:tbl>
    <w:p>
      <w:pPr>
        <w:pStyle w:val="BodyText"/>
        <w:spacing w:line="360" w:lineRule="auto" w:before="51"/>
        <w:ind w:right="10034"/>
        <w:jc w:val="left"/>
      </w:pPr>
      <w:r>
        <w:rPr/>
        <w:t>其他说明 无</w:t>
      </w:r>
    </w:p>
    <w:p>
      <w:pPr>
        <w:spacing w:line="240" w:lineRule="auto" w:before="12"/>
        <w:rPr>
          <w:rFonts w:ascii="宋体" w:hAnsi="宋体" w:cs="宋体" w:eastAsia="宋体" w:hint="default"/>
          <w:sz w:val="19"/>
          <w:szCs w:val="19"/>
        </w:rPr>
      </w:pPr>
    </w:p>
    <w:p>
      <w:pPr>
        <w:spacing w:line="547" w:lineRule="auto" w:before="0"/>
        <w:ind w:left="112" w:right="8857" w:firstLine="0"/>
        <w:jc w:val="left"/>
        <w:rPr>
          <w:rFonts w:ascii="宋体" w:hAnsi="宋体" w:cs="宋体" w:eastAsia="宋体" w:hint="default"/>
          <w:sz w:val="21"/>
          <w:szCs w:val="21"/>
        </w:rPr>
      </w:pPr>
      <w:bookmarkStart w:name="51、其他综合收益" w:id="339"/>
      <w:bookmarkEnd w:id="339"/>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bookmarkStart w:name="52、现金流量表项目" w:id="340"/>
      <w:bookmarkEnd w:id="340"/>
      <w:r>
        <w:rPr>
          <w:rFonts w:ascii="宋体" w:hAnsi="宋体" w:cs="宋体" w:eastAsia="宋体" w:hint="default"/>
          <w:sz w:val="18"/>
          <w:szCs w:val="18"/>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952"/>
        <w:jc w:val="left"/>
        <w:rPr>
          <w:b w:val="0"/>
          <w:bCs w:val="0"/>
        </w:rPr>
      </w:pPr>
      <w:bookmarkStart w:name="（1）收到的其他与经营活动有关的现金" w:id="341"/>
      <w:bookmarkEnd w:id="34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12,341,833.75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7,898,968.07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7,666,191.32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19,976,149.57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3,230,290.25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代采购业务垫付款收回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41,172,715.07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应收保理款的减少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467,114.34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41,407,575.48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14,275,737.71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106,285,720.21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52,650,855.35</w:t>
            </w:r>
          </w:p>
        </w:tc>
      </w:tr>
    </w:tbl>
    <w:p>
      <w:pPr>
        <w:pStyle w:val="BodyText"/>
        <w:spacing w:line="240" w:lineRule="auto" w:before="50"/>
        <w:ind w:right="952"/>
        <w:jc w:val="left"/>
      </w:pPr>
      <w:r>
        <w:rPr/>
        <w:t>收到的其他与经营活动有关的现金说明：</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支付的其他与经营活动有关的现金" w:id="342"/>
      <w:bookmarkEnd w:id="34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63,492,327.78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43,979,172.25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443,128.00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1,230,882.00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代采购业务垫付款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127,738,984.29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180,834,205.53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102,279,899.27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47,823,698.48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41,362,347.06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239,498,138.55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369,686,506.11</w:t>
            </w:r>
          </w:p>
        </w:tc>
      </w:tr>
    </w:tbl>
    <w:p>
      <w:pPr>
        <w:pStyle w:val="BodyText"/>
        <w:spacing w:line="360" w:lineRule="auto" w:before="51"/>
        <w:ind w:right="7514"/>
        <w:jc w:val="left"/>
      </w:pPr>
      <w:r>
        <w:rPr/>
        <w:t>支付的其他与经营活动有关的现金说明：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收到的其他与投资活动有关的现金" w:id="343"/>
      <w:bookmarkEnd w:id="34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委托贷款取得的投资收益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10,550,179.24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资产收益权本金和利息的收回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122,152,830.19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122,152,830.19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10,550,179.24</w:t>
            </w:r>
          </w:p>
        </w:tc>
      </w:tr>
    </w:tbl>
    <w:p>
      <w:pPr>
        <w:pStyle w:val="BodyText"/>
        <w:spacing w:line="357" w:lineRule="auto" w:before="51"/>
        <w:ind w:right="7514"/>
        <w:jc w:val="left"/>
      </w:pPr>
      <w:r>
        <w:rPr/>
        <w:t>收到的其他与投资活动有关的现金说明：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支付的其他与投资活动有关的现金" w:id="344"/>
      <w:bookmarkEnd w:id="34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购买资产收益权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0"/>
        <w:ind w:right="7514"/>
        <w:jc w:val="left"/>
      </w:pPr>
      <w:r>
        <w:rPr/>
        <w:t>支付的其他与投资活动有关的现金说明：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5）收到的其他与筹资活动有关的现金" w:id="345"/>
      <w:bookmarkEnd w:id="34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952"/>
        <w:jc w:val="left"/>
      </w:pPr>
      <w:r>
        <w:rPr/>
        <w:t>收到的其他与筹资活动有关的现金说明：</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6）支付的其他与筹资活动有关的现金" w:id="346"/>
      <w:bookmarkEnd w:id="34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非公开发行股票相关费用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700,000.01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1,631,475.00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1,450,200.00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1,631,475.00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2,150,200.01</w:t>
            </w:r>
          </w:p>
        </w:tc>
      </w:tr>
    </w:tbl>
    <w:p>
      <w:pPr>
        <w:pStyle w:val="BodyText"/>
        <w:spacing w:line="357" w:lineRule="auto" w:before="52"/>
        <w:ind w:right="7514"/>
        <w:jc w:val="left"/>
      </w:pPr>
      <w:r>
        <w:rPr/>
        <w:t>支付的其他与筹资活动有关的现金说明：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53、现金流量表补充资料" w:id="347"/>
      <w:bookmarkEnd w:id="347"/>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现金流量表补充资料" w:id="348"/>
      <w:bookmarkEnd w:id="34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181,361,091.80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220,776,150.84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28,411,722.39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3,910,940.45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29,455,028.96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14,608,439.69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392,810.07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505,067.41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350,200.99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341,831.97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52,015.37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-50,387.52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5,540,231.74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398,372.69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-4,658,447.37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-34,798,508.43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-5,268,435.09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2,943.46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496,277.52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91,198.52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-279,813,552.82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-371,177,786.47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-8,021,146.39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42,214,006.70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2,657,314.49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5,827,298.24</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-49,044,888.34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-117,350,432.45</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372,002,940.35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786,950,024.60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786,950,024.60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1,082,608,874.88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-414,947,084.25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-295,658,850.28</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2）本期支付的取得子公司的现金净额" w:id="349"/>
      <w:bookmarkEnd w:id="34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本期收到的处置子公司的现金净额" w:id="350"/>
      <w:bookmarkEnd w:id="35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现金和现金等价物的构成" w:id="351"/>
      <w:bookmarkEnd w:id="35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372,002,940.35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786,950,024.60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22,304.20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392,002,940.35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786,927,720.35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372,002,940.35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786,950,024.60</w:t>
            </w:r>
          </w:p>
        </w:tc>
      </w:tr>
    </w:tbl>
    <w:p>
      <w:pPr>
        <w:pStyle w:val="BodyText"/>
        <w:spacing w:line="360" w:lineRule="auto" w:before="49"/>
        <w:ind w:right="9854"/>
        <w:jc w:val="left"/>
      </w:pPr>
      <w:r>
        <w:rPr/>
        <w:t>其他说明： 无</w:t>
      </w:r>
    </w:p>
    <w:p>
      <w:pPr>
        <w:spacing w:after="0" w:line="36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54、所有者权益变动表项目注释" w:id="352"/>
      <w:bookmarkEnd w:id="352"/>
      <w:r>
        <w:rPr>
          <w:b w:val="0"/>
          <w:bCs w:val="0"/>
        </w:rPr>
      </w:r>
      <w:r>
        <w:rPr>
          <w:rFonts w:ascii="Times New Roman" w:hAnsi="Times New Roman" w:cs="Times New Roman" w:eastAsia="Times New Roman" w:hint="default"/>
        </w:rPr>
        <w:t>54</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174"/>
        <w:jc w:val="left"/>
      </w:pPr>
      <w:r>
        <w:rPr/>
        <w:t>说明对上年期末余额进行调整的“其他”项目名称及调整金额等事项：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55、所有权或使用权受到限制的资产" w:id="353"/>
      <w:bookmarkEnd w:id="353"/>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218,000.00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智慧广场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42,280,567.35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42,498,567.35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52"/>
        <w:jc w:val="left"/>
      </w:pPr>
      <w:r>
        <w:rPr/>
        <w:t>其他说明：</w:t>
      </w:r>
    </w:p>
    <w:p>
      <w:pPr>
        <w:pStyle w:val="BodyText"/>
        <w:spacing w:line="316" w:lineRule="auto" w:before="115"/>
        <w:ind w:right="1132" w:firstLine="360"/>
        <w:jc w:val="both"/>
      </w:pPr>
      <w:r>
        <w:rPr>
          <w:spacing w:val="-2"/>
        </w:rPr>
        <w:t>注1、本公司以智慧广场B栋1101作为抵押物，同时，唐球、鄢建红提供连带责任保证，向交通银行股份有限公司深圳车</w:t>
      </w:r>
      <w:r>
        <w:rPr/>
        <w:t> </w:t>
      </w:r>
      <w:r>
        <w:rPr>
          <w:spacing w:val="-2"/>
        </w:rPr>
        <w:t>公庙支行借款人民币18,000,000.00元，借款期10年，约定的借款到期日为2021年2月25日。截止2018年12月31日，借款余额</w:t>
      </w:r>
      <w:r>
        <w:rPr>
          <w:spacing w:val="-51"/>
        </w:rPr>
        <w:t> </w:t>
      </w:r>
      <w:r>
        <w:rPr>
          <w:spacing w:val="-51"/>
        </w:rPr>
      </w:r>
      <w:r>
        <w:rPr/>
        <w:t>4,961,109.92元。</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56、外币货币性项目" w:id="354"/>
      <w:bookmarkEnd w:id="354"/>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外币货币性项目" w:id="355"/>
      <w:bookmarkEnd w:id="35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1009" w:header="919" w:top="1120" w:bottom="1200" w:left="1020" w:right="0"/>
          <w:pgNumType w:start="170"/>
        </w:sectPr>
      </w:pPr>
    </w:p>
    <w:p>
      <w:pPr>
        <w:spacing w:line="240" w:lineRule="auto" w:before="12"/>
        <w:rPr>
          <w:rFonts w:ascii="宋体" w:hAnsi="宋体" w:cs="宋体" w:eastAsia="宋体" w:hint="default"/>
          <w:sz w:val="20"/>
          <w:szCs w:val="20"/>
        </w:rPr>
      </w:pPr>
    </w:p>
    <w:p>
      <w:pPr>
        <w:pStyle w:val="BodyText"/>
        <w:spacing w:line="357" w:lineRule="auto" w:before="44"/>
        <w:ind w:right="9854"/>
        <w:jc w:val="left"/>
      </w:pPr>
      <w:r>
        <w:rPr/>
        <w:t>其他说明： 无</w:t>
      </w:r>
    </w:p>
    <w:p>
      <w:pPr>
        <w:spacing w:line="240" w:lineRule="auto" w:before="3"/>
        <w:rPr>
          <w:rFonts w:ascii="宋体" w:hAnsi="宋体" w:cs="宋体" w:eastAsia="宋体" w:hint="default"/>
          <w:sz w:val="20"/>
          <w:szCs w:val="20"/>
        </w:rPr>
      </w:pPr>
    </w:p>
    <w:p>
      <w:pPr>
        <w:pStyle w:val="Heading3"/>
        <w:spacing w:line="256" w:lineRule="auto"/>
        <w:ind w:right="952"/>
        <w:jc w:val="left"/>
        <w:rPr>
          <w:b w:val="0"/>
          <w:bCs w:val="0"/>
        </w:rPr>
      </w:pPr>
      <w:bookmarkStart w:name="（2）境外经营实体说明，包括对于重要的境外经营实体，应披露其境外主要经营地、记账" w:id="356"/>
      <w:bookmarkEnd w:id="356"/>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7、政府补助" w:id="357"/>
      <w:bookmarkEnd w:id="357"/>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政府补助基本情况" w:id="358"/>
      <w:bookmarkEnd w:id="35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272,459.23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272,459.23</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both"/>
              <w:rPr>
                <w:rFonts w:ascii="宋体" w:hAnsi="宋体" w:cs="宋体" w:eastAsia="宋体" w:hint="default"/>
                <w:sz w:val="18"/>
                <w:szCs w:val="18"/>
              </w:rPr>
            </w:pPr>
            <w:r>
              <w:rPr>
                <w:rFonts w:ascii="宋体" w:hAnsi="宋体" w:cs="宋体" w:eastAsia="宋体" w:hint="default"/>
                <w:sz w:val="18"/>
                <w:szCs w:val="18"/>
              </w:rPr>
              <w:t>深经贸信息预算字</w:t>
            </w:r>
          </w:p>
          <w:p>
            <w:pPr>
              <w:pStyle w:val="TableParagraph"/>
              <w:spacing w:line="240" w:lineRule="auto" w:before="76"/>
              <w:ind w:left="10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[2017]103 </w:t>
            </w:r>
            <w:r>
              <w:rPr>
                <w:rFonts w:ascii="宋体" w:hAnsi="宋体" w:cs="宋体" w:eastAsia="宋体" w:hint="default"/>
                <w:sz w:val="18"/>
                <w:szCs w:val="18"/>
              </w:rPr>
              <w:t>号</w:t>
            </w:r>
            <w:r>
              <w:rPr>
                <w:rFonts w:ascii="宋体" w:hAnsi="宋体" w:cs="宋体" w:eastAsia="宋体" w:hint="default"/>
                <w:spacing w:val="-4"/>
                <w:sz w:val="18"/>
                <w:szCs w:val="18"/>
              </w:rPr>
              <w:t> </w:t>
            </w:r>
            <w:r>
              <w:rPr>
                <w:rFonts w:ascii="宋体" w:hAnsi="宋体" w:cs="宋体" w:eastAsia="宋体" w:hint="default"/>
                <w:sz w:val="18"/>
                <w:szCs w:val="18"/>
              </w:rPr>
              <w:t>市经贸信息</w:t>
            </w:r>
          </w:p>
          <w:p>
            <w:pPr>
              <w:pStyle w:val="TableParagraph"/>
              <w:spacing w:line="312" w:lineRule="auto" w:before="63"/>
              <w:ind w:left="101" w:right="100"/>
              <w:jc w:val="both"/>
              <w:rPr>
                <w:rFonts w:ascii="宋体" w:hAnsi="宋体" w:cs="宋体" w:eastAsia="宋体" w:hint="default"/>
                <w:sz w:val="18"/>
                <w:szCs w:val="18"/>
              </w:rPr>
            </w:pPr>
            <w:r>
              <w:rPr>
                <w:rFonts w:ascii="宋体" w:hAnsi="宋体" w:cs="宋体" w:eastAsia="宋体" w:hint="default"/>
                <w:spacing w:val="-3"/>
                <w:sz w:val="18"/>
                <w:szCs w:val="18"/>
              </w:rPr>
              <w:t>委、市财政委关于下达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年度深圳市服务贸易创新发 展试点项目服务贸易人才培 训资助计划的通知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福田区产业发展专项资金补 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深圳市福田区科技创新局</w:t>
            </w:r>
          </w:p>
          <w:p>
            <w:pPr>
              <w:pStyle w:val="TableParagraph"/>
              <w:spacing w:line="300" w:lineRule="auto" w:before="76"/>
              <w:ind w:left="101" w:right="14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( 2016</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年国家高新技</w:t>
            </w:r>
            <w:r>
              <w:rPr>
                <w:rFonts w:ascii="宋体" w:hAnsi="宋体" w:cs="宋体" w:eastAsia="宋体" w:hint="default"/>
                <w:w w:val="99"/>
                <w:sz w:val="18"/>
                <w:szCs w:val="18"/>
              </w:rPr>
              <w:t> </w:t>
            </w:r>
            <w:r>
              <w:rPr>
                <w:rFonts w:ascii="宋体" w:hAnsi="宋体" w:cs="宋体" w:eastAsia="宋体" w:hint="default"/>
                <w:sz w:val="18"/>
                <w:szCs w:val="18"/>
              </w:rPr>
              <w:t>术企业认定资金支持 </w:t>
            </w:r>
            <w:r>
              <w:rPr>
                <w:rFonts w:ascii="Times New Roman" w:hAnsi="Times New Roman" w:cs="Times New Roman" w:eastAsia="Times New Roman"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残疾人和用人单位养老及医 疗保险补贴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6,917.52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6,917.52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42"/>
              <w:jc w:val="left"/>
              <w:rPr>
                <w:rFonts w:ascii="宋体" w:hAnsi="宋体" w:cs="宋体" w:eastAsia="宋体" w:hint="default"/>
                <w:sz w:val="18"/>
                <w:szCs w:val="18"/>
              </w:rPr>
            </w:pPr>
            <w:r>
              <w:rPr>
                <w:rFonts w:ascii="Times New Roman" w:hAnsi="Times New Roman" w:cs="Times New Roman" w:eastAsia="Times New Roman" w:hint="default"/>
                <w:sz w:val="18"/>
                <w:szCs w:val="18"/>
              </w:rPr>
              <w:t>P2P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金融理财服务平台关键 技术研究项目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01"/>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20160522</w:t>
            </w:r>
            <w:r>
              <w:rPr>
                <w:rFonts w:ascii="宋体" w:hAnsi="宋体" w:cs="宋体" w:eastAsia="宋体" w:hint="default"/>
                <w:spacing w:val="-3"/>
                <w:sz w:val="18"/>
                <w:szCs w:val="18"/>
              </w:rPr>
              <w:t>：金融交易系统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关键技术研发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浦东新区开发管理委员会开 发扶持资金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年高新财政扶持基金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黄浦区税务局扶持资金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2）政府补助退回情况" w:id="359"/>
      <w:bookmarkEnd w:id="35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224"/>
        <w:jc w:val="left"/>
      </w:pPr>
      <w:r>
        <w:rPr/>
        <w:t>□ 适用 √ 不适用 其他说明：</w:t>
      </w:r>
    </w:p>
    <w:p>
      <w:pPr>
        <w:spacing w:after="0" w:line="36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58、其他" w:id="360"/>
      <w:bookmarkEnd w:id="360"/>
      <w:r>
        <w:rPr>
          <w:b w:val="0"/>
          <w:bCs w:val="0"/>
        </w:rPr>
      </w:r>
      <w:r>
        <w:rPr>
          <w:rFonts w:ascii="Times New Roman" w:hAnsi="Times New Roman" w:cs="Times New Roman" w:eastAsia="Times New Roman" w:hint="default"/>
        </w:rPr>
        <w:t>58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八、合并范围的变更" w:id="361"/>
      <w:bookmarkEnd w:id="36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非同一控制下企业合并" w:id="362"/>
      <w:bookmarkEnd w:id="36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本期发生的非同一控制下企业合并" w:id="363"/>
      <w:bookmarkEnd w:id="36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购买日至</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购买日至</w:t>
            </w: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6" w:right="164"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6" w:right="163"/>
              <w:jc w:val="left"/>
              <w:rPr>
                <w:rFonts w:ascii="宋体" w:hAnsi="宋体" w:cs="宋体" w:eastAsia="宋体" w:hint="default"/>
                <w:sz w:val="18"/>
                <w:szCs w:val="18"/>
              </w:rPr>
            </w:pPr>
            <w:r>
              <w:rPr>
                <w:rFonts w:ascii="宋体" w:hAnsi="宋体" w:cs="宋体" w:eastAsia="宋体" w:hint="default"/>
                <w:sz w:val="18"/>
                <w:szCs w:val="18"/>
              </w:rPr>
              <w:t>期末被购 买方的收</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期末被购 买方的净</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合并成本及商誉" w:id="364"/>
      <w:bookmarkEnd w:id="36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51"/>
        <w:ind w:right="6074"/>
        <w:jc w:val="left"/>
      </w:pPr>
      <w:r>
        <w:rPr/>
        <w:t>合并成本公允价值的确定方法、或有对价及其变动的说明： 无</w:t>
      </w:r>
    </w:p>
    <w:p>
      <w:pPr>
        <w:pStyle w:val="BodyText"/>
        <w:spacing w:line="360" w:lineRule="auto" w:before="29"/>
        <w:ind w:right="8594"/>
        <w:jc w:val="left"/>
      </w:pPr>
      <w:r>
        <w:rPr/>
        <w:t>大额商誉形成的主要原因： 无</w:t>
      </w:r>
    </w:p>
    <w:p>
      <w:pPr>
        <w:pStyle w:val="BodyText"/>
        <w:spacing w:line="360" w:lineRule="auto" w:before="25"/>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3）被购买方于购买日可辨认资产、负债" w:id="365"/>
      <w:bookmarkEnd w:id="36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0"/>
        <w:ind w:right="7514"/>
        <w:jc w:val="left"/>
      </w:pPr>
      <w:r>
        <w:rPr/>
        <w:t>可辨认资产、负债公允价值的确定方法： 无 企业合并中承担的被购买方的或有负债： 无</w:t>
      </w:r>
    </w:p>
    <w:p>
      <w:pPr>
        <w:pStyle w:val="BodyText"/>
        <w:spacing w:line="240" w:lineRule="auto" w:before="29"/>
        <w:ind w:right="952"/>
        <w:jc w:val="left"/>
      </w:pPr>
      <w:r>
        <w:rPr/>
        <w:t>其他说明：</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购买日之前持有的股权按照公允价值重新计量产生的利得或损失" w:id="366"/>
      <w:bookmarkEnd w:id="36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是否存在通过多次交易分步实现企业合并且在报告期内取得控制权的交易</w:t>
      </w:r>
    </w:p>
    <w:p>
      <w:pPr>
        <w:pStyle w:val="BodyText"/>
        <w:spacing w:line="240" w:lineRule="auto" w:before="117"/>
        <w:ind w:right="952"/>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5）购买日或合并当期期末无法合理确定合并对价或被购买方可辨认资产、负债公允价值" w:id="367"/>
      <w:bookmarkEnd w:id="36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6）其他说明" w:id="368"/>
      <w:bookmarkEnd w:id="36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同一控制下企业合并" w:id="369"/>
      <w:bookmarkEnd w:id="36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本期发生的同一控制下企业合并" w:id="370"/>
      <w:bookmarkEnd w:id="37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4"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4" w:right="165"/>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8" w:right="164"/>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6"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4"/>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7" w:right="165"/>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357" w:lineRule="auto" w:before="50"/>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合并成本" w:id="371"/>
      <w:bookmarkEnd w:id="37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8594"/>
        <w:jc w:val="left"/>
      </w:pPr>
      <w:r>
        <w:rPr/>
        <w:t>或有对价及其变动的说明： 无</w:t>
      </w:r>
    </w:p>
    <w:p>
      <w:pPr>
        <w:pStyle w:val="BodyText"/>
        <w:spacing w:line="360" w:lineRule="auto" w:before="25"/>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合并日被合并方资产、负债的账面价值" w:id="372"/>
      <w:bookmarkEnd w:id="37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3;width:3185;height:397" coordorigin="13,13" coordsize="3185,397">
              <v:shape style="position:absolute;left:13;top:13;width:3185;height:397" coordorigin="13,13" coordsize="3185,397" path="m13,13l3198,13,3198,410,13,410,13,13xe" filled="true" fillcolor="#d2d2d2" stroked="false">
                <v:path arrowok="t"/>
                <v:fill type="solid"/>
              </v:shape>
            </v:group>
            <v:group style="position:absolute;left:3203;top:13;width:6375;height:397" coordorigin="3203,13" coordsize="6375,397">
              <v:shape style="position:absolute;left:3203;top:13;width:6375;height:397" coordorigin="3203,13" coordsize="6375,397" path="m3203,13l9578,13,9578,410,3203,410,3203,13xe" filled="true" fillcolor="#e0ffff" stroked="false">
                <v:path arrowok="t"/>
                <v:fill type="solid"/>
              </v:shape>
            </v:group>
            <v:group style="position:absolute;left:13;top:415;width:3185;height:397" coordorigin="13,415" coordsize="3185,397">
              <v:shape style="position:absolute;left:13;top:415;width:3185;height:397" coordorigin="13,415" coordsize="3185,397" path="m13,415l3198,415,3198,812,13,812,13,415xe" filled="true" fillcolor="#d2d2d2" stroked="false">
                <v:path arrowok="t"/>
                <v:fill type="solid"/>
              </v:shape>
            </v:group>
            <v:group style="position:absolute;left:3203;top:415;width:3185;height:397" coordorigin="3203,415" coordsize="3185,397">
              <v:shape style="position:absolute;left:3203;top:415;width:3185;height:397" coordorigin="3203,415" coordsize="3185,397" path="m3203,415l6388,415,6388,812,3203,812,3203,415xe" filled="true" fillcolor="#d2d2d2" stroked="false">
                <v:path arrowok="t"/>
                <v:fill type="solid"/>
              </v:shape>
            </v:group>
            <v:group style="position:absolute;left:6393;top:415;width:3185;height:397" coordorigin="6393,415" coordsize="3185,397">
              <v:shape style="position:absolute;left:6393;top:415;width:3185;height:397" coordorigin="6393,415" coordsize="3185,397" path="m6393,415l9578,415,9578,812,6393,812,6393,415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3" w:lineRule="exact"/>
        <w:rPr>
          <w:rFonts w:ascii="宋体" w:hAnsi="宋体" w:cs="宋体" w:eastAsia="宋体" w:hint="default"/>
          <w:sz w:val="20"/>
          <w:szCs w:val="20"/>
        </w:rPr>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44"/>
        <w:ind w:right="7514"/>
        <w:jc w:val="left"/>
      </w:pPr>
      <w:r>
        <w:rPr/>
        <w:t>企业合并中承担的被合并方的或有负债： 无</w:t>
      </w:r>
    </w:p>
    <w:p>
      <w:pPr>
        <w:pStyle w:val="BodyText"/>
        <w:spacing w:line="360" w:lineRule="auto" w:before="29"/>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反向购买" w:id="373"/>
      <w:bookmarkEnd w:id="37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2"/>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pStyle w:val="BodyText"/>
        <w:spacing w:line="240" w:lineRule="auto" w:before="59"/>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处置子公司" w:id="374"/>
      <w:bookmarkEnd w:id="37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是否存在单次处置对子公司投资即丧失控制权的情形</w:t>
      </w:r>
    </w:p>
    <w:p>
      <w:pPr>
        <w:pStyle w:val="BodyText"/>
        <w:spacing w:line="357" w:lineRule="auto" w:before="117"/>
        <w:ind w:right="4994"/>
        <w:jc w:val="left"/>
      </w:pPr>
      <w:r>
        <w:rPr/>
        <w:t>□ 是 √ 否 是否存在通过多次交易分步处置对子公司投资且在本期丧失控制权的情形</w:t>
      </w:r>
    </w:p>
    <w:p>
      <w:pPr>
        <w:pStyle w:val="BodyText"/>
        <w:spacing w:line="240" w:lineRule="auto" w:before="29"/>
        <w:ind w:right="952"/>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其他原因的合并范围变动" w:id="375"/>
      <w:bookmarkEnd w:id="37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6、其他" w:id="376"/>
      <w:bookmarkEnd w:id="376"/>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3"/>
        <w:rPr>
          <w:rFonts w:ascii="宋体" w:hAnsi="宋体" w:cs="宋体" w:eastAsia="宋体" w:hint="default"/>
          <w:sz w:val="25"/>
          <w:szCs w:val="25"/>
        </w:rPr>
      </w:pPr>
    </w:p>
    <w:p>
      <w:pPr>
        <w:pStyle w:val="Heading2"/>
        <w:spacing w:line="240" w:lineRule="auto"/>
        <w:ind w:right="952"/>
        <w:jc w:val="left"/>
        <w:rPr>
          <w:b w:val="0"/>
          <w:bCs w:val="0"/>
        </w:rPr>
      </w:pPr>
      <w:bookmarkStart w:name="九、在其他主体中的权益" w:id="377"/>
      <w:bookmarkEnd w:id="377"/>
      <w:r>
        <w:rPr>
          <w:b w:val="0"/>
          <w:bCs w:val="0"/>
        </w:rPr>
      </w: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在子公司中的权益" w:id="378"/>
      <w:bookmarkEnd w:id="37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企业集团的构成" w:id="379"/>
      <w:bookmarkEnd w:id="37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上海赢量金融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链石（苏州）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上海赢保商业 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链石（上海）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77"/>
              <w:jc w:val="left"/>
              <w:rPr>
                <w:rFonts w:ascii="宋体" w:hAnsi="宋体" w:cs="宋体" w:eastAsia="宋体" w:hint="default"/>
                <w:sz w:val="18"/>
                <w:szCs w:val="18"/>
              </w:rPr>
            </w:pPr>
            <w:r>
              <w:rPr>
                <w:rFonts w:ascii="宋体" w:hAnsi="宋体" w:cs="宋体" w:eastAsia="宋体" w:hint="default"/>
                <w:sz w:val="18"/>
                <w:szCs w:val="18"/>
              </w:rPr>
              <w:t>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上海蒲园供应 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供应链服务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上海赢数网络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0"/>
        <w:ind w:right="6974"/>
        <w:jc w:val="left"/>
      </w:pPr>
      <w:r>
        <w:rPr/>
        <w:t>在子公司的持股比例不同于表决权比例的说明： 无</w:t>
      </w:r>
    </w:p>
    <w:p>
      <w:pPr>
        <w:pStyle w:val="BodyText"/>
        <w:spacing w:line="357" w:lineRule="auto" w:before="27"/>
        <w:ind w:right="2834"/>
        <w:jc w:val="left"/>
      </w:pPr>
      <w:r>
        <w:rPr/>
        <w:t>持有半数或以下表决权但仍控制被投资单位、以及持有半数以上表决权但不控制被投资单位的依据： 无</w:t>
      </w:r>
    </w:p>
    <w:p>
      <w:pPr>
        <w:pStyle w:val="BodyText"/>
        <w:spacing w:line="360" w:lineRule="auto" w:before="29"/>
        <w:ind w:right="6434"/>
        <w:jc w:val="left"/>
      </w:pPr>
      <w:r>
        <w:rPr/>
        <w:t>对于纳入合并范围的重要的结构化主体，控制的依据： 无</w:t>
      </w:r>
    </w:p>
    <w:p>
      <w:pPr>
        <w:pStyle w:val="BodyText"/>
        <w:spacing w:line="360" w:lineRule="auto" w:before="25"/>
        <w:ind w:right="7694"/>
        <w:jc w:val="left"/>
      </w:pPr>
      <w:r>
        <w:rPr/>
        <w:t>确定公司是代理人还是委托人的依据： 无</w:t>
      </w:r>
    </w:p>
    <w:p>
      <w:pPr>
        <w:pStyle w:val="BodyText"/>
        <w:spacing w:line="357" w:lineRule="auto" w:before="27"/>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重要的非全资子公司" w:id="380"/>
      <w:bookmarkEnd w:id="38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上海赢量金融服务有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4,887,704.35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72,217,356.35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链石（苏州）信息科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-1,301,343.07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11,256,940.24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上海赢保商业保理有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-5,641.55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37,603,732.47</w:t>
            </w:r>
          </w:p>
        </w:tc>
      </w:tr>
    </w:tbl>
    <w:p>
      <w:pPr>
        <w:pStyle w:val="BodyText"/>
        <w:spacing w:line="360" w:lineRule="auto" w:before="50"/>
        <w:ind w:right="6434"/>
        <w:jc w:val="left"/>
      </w:pPr>
      <w:r>
        <w:rPr/>
        <w:t>子公司少数股东的持股比例不同于表决权比例的说明： 无</w:t>
      </w:r>
    </w:p>
    <w:p>
      <w:pPr>
        <w:pStyle w:val="BodyText"/>
        <w:spacing w:line="357" w:lineRule="auto" w:before="27"/>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重要非全资子公司的主要财务信息" w:id="381"/>
      <w:bookmarkEnd w:id="38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子公</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4"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司名</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0"/>
              <w:ind w:left="182" w:right="0"/>
              <w:jc w:val="left"/>
              <w:rPr>
                <w:rFonts w:ascii="宋体" w:hAnsi="宋体" w:cs="宋体" w:eastAsia="宋体" w:hint="default"/>
                <w:sz w:val="18"/>
                <w:szCs w:val="18"/>
              </w:rPr>
            </w:pPr>
            <w:r>
              <w:rPr>
                <w:rFonts w:ascii="宋体" w:hAnsi="宋体" w:cs="宋体" w:eastAsia="宋体" w:hint="default"/>
                <w:sz w:val="18"/>
                <w:szCs w:val="18"/>
              </w:rPr>
              <w:t>非流</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0"/>
              <w:ind w:right="180"/>
              <w:jc w:val="right"/>
              <w:rPr>
                <w:rFonts w:ascii="宋体" w:hAnsi="宋体" w:cs="宋体" w:eastAsia="宋体" w:hint="default"/>
                <w:sz w:val="18"/>
                <w:szCs w:val="18"/>
              </w:rPr>
            </w:pPr>
            <w:r>
              <w:rPr>
                <w:rFonts w:ascii="宋体" w:hAnsi="宋体" w:cs="宋体" w:eastAsia="宋体" w:hint="default"/>
                <w:sz w:val="18"/>
                <w:szCs w:val="18"/>
              </w:rPr>
              <w:t>非流</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流动</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非流</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流动</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非流</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368"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left="182" w:right="0"/>
              <w:jc w:val="left"/>
              <w:rPr>
                <w:rFonts w:ascii="宋体" w:hAnsi="宋体" w:cs="宋体" w:eastAsia="宋体" w:hint="default"/>
                <w:sz w:val="18"/>
                <w:szCs w:val="18"/>
              </w:rPr>
            </w:pPr>
            <w:r>
              <w:rPr>
                <w:rFonts w:ascii="宋体" w:hAnsi="宋体" w:cs="宋体" w:eastAsia="宋体" w:hint="default"/>
                <w:sz w:val="18"/>
                <w:szCs w:val="18"/>
              </w:rPr>
              <w:t>动资</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180"/>
              <w:jc w:val="right"/>
              <w:rPr>
                <w:rFonts w:ascii="宋体" w:hAnsi="宋体" w:cs="宋体" w:eastAsia="宋体" w:hint="default"/>
                <w:sz w:val="18"/>
                <w:szCs w:val="18"/>
              </w:rPr>
            </w:pPr>
            <w:r>
              <w:rPr>
                <w:rFonts w:ascii="宋体" w:hAnsi="宋体" w:cs="宋体" w:eastAsia="宋体" w:hint="default"/>
                <w:sz w:val="18"/>
                <w:szCs w:val="18"/>
              </w:rPr>
              <w:t>动负</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left="18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动资</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动负</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3"/>
              <w:ind w:left="182"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赢量 金融 服务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376,04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124,97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2,125.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501,01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3,979.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263,82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4,795.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03</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263,82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4,795.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313,50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9,403.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w w:val="95"/>
                <w:sz w:val="18"/>
              </w:rPr>
              <w:t>31,811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,254.2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345,32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0,657.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121,57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4,004.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121,57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4,004.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赢保 商业 保理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203,00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7,691.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3" w:right="0"/>
              <w:jc w:val="left"/>
              <w:rPr>
                <w:rFonts w:ascii="Times New Roman" w:hAnsi="Times New Roman" w:cs="Times New Roman" w:eastAsia="Times New Roman" w:hint="default"/>
                <w:sz w:val="18"/>
                <w:szCs w:val="18"/>
              </w:rPr>
            </w:pPr>
            <w:r>
              <w:rPr>
                <w:rFonts w:ascii="Times New Roman"/>
                <w:sz w:val="18"/>
              </w:rPr>
              <w:t>3,829,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794.53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206,83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7,486.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983.67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983.67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199,13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1" w:right="0"/>
              <w:jc w:val="left"/>
              <w:rPr>
                <w:rFonts w:ascii="Times New Roman" w:hAnsi="Times New Roman" w:cs="Times New Roman" w:eastAsia="Times New Roman" w:hint="default"/>
                <w:sz w:val="18"/>
                <w:szCs w:val="18"/>
              </w:rPr>
            </w:pPr>
            <w:r>
              <w:rPr>
                <w:rFonts w:ascii="Times New Roman"/>
                <w:sz w:val="18"/>
              </w:rPr>
              <w:t>4,255,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050.03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203,39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3,408.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5" w:right="0"/>
              <w:jc w:val="lef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022.26</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3" w:right="0"/>
              <w:jc w:val="lef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022.26</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7"/>
              <w:jc w:val="both"/>
              <w:rPr>
                <w:rFonts w:ascii="宋体" w:hAnsi="宋体" w:cs="宋体" w:eastAsia="宋体" w:hint="default"/>
                <w:sz w:val="18"/>
                <w:szCs w:val="18"/>
              </w:rPr>
            </w:pPr>
            <w:r>
              <w:rPr>
                <w:rFonts w:ascii="宋体" w:hAnsi="宋体" w:cs="宋体" w:eastAsia="宋体" w:hint="default"/>
                <w:sz w:val="18"/>
                <w:szCs w:val="18"/>
              </w:rPr>
              <w:t>上海赢量 金融服务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46,279,532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13,442,531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13,442,531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-56,131,05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3.81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64,288,599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43,062,077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43,062,077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-161,977,8</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53.32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7"/>
              <w:jc w:val="both"/>
              <w:rPr>
                <w:rFonts w:ascii="宋体" w:hAnsi="宋体" w:cs="宋体" w:eastAsia="宋体" w:hint="default"/>
                <w:sz w:val="18"/>
                <w:szCs w:val="18"/>
              </w:rPr>
            </w:pPr>
            <w:r>
              <w:rPr>
                <w:rFonts w:ascii="宋体" w:hAnsi="宋体" w:cs="宋体" w:eastAsia="宋体" w:hint="default"/>
                <w:sz w:val="18"/>
                <w:szCs w:val="18"/>
              </w:rPr>
              <w:t>上海赢保 商业保理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15,228,642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2,632,116.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2,632,116.0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3,793,999.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11,327,653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153,386.62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153,386.62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-195,956,3</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49.13</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使用企业集团资产和清偿企业集团债务的重大限制" w:id="382"/>
      <w:bookmarkEnd w:id="38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5）向纳入合并财务报表范围的结构化主体提供的财务支持或其他支持" w:id="383"/>
      <w:bookmarkEnd w:id="38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985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2、在子公司的所有者权益份额发生变化且仍控制子公司的交易" w:id="384"/>
      <w:bookmarkEnd w:id="38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在子公司所有者权益份额发生变化的情况说明" w:id="385"/>
      <w:bookmarkEnd w:id="38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无</w:t>
      </w:r>
    </w:p>
    <w:p>
      <w:pPr>
        <w:spacing w:after="0" w:line="24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2）交易对于少数股东权益及归属于母公司所有者权益的影响" w:id="386"/>
      <w:bookmarkEnd w:id="38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360" w:lineRule="auto" w:before="51"/>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在合营安排或联营企业中的权益" w:id="387"/>
      <w:bookmarkEnd w:id="38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重要的合营企业或联营企业" w:id="388"/>
      <w:bookmarkEnd w:id="38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9" w:right="139" w:hanging="89"/>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8" w:right="135"/>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北京东方金信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both"/>
              <w:rPr>
                <w:rFonts w:ascii="宋体" w:hAnsi="宋体" w:cs="宋体" w:eastAsia="宋体" w:hint="default"/>
                <w:sz w:val="18"/>
                <w:szCs w:val="18"/>
              </w:rPr>
            </w:pPr>
            <w:r>
              <w:rPr>
                <w:rFonts w:ascii="宋体" w:hAnsi="宋体" w:cs="宋体" w:eastAsia="宋体" w:hint="default"/>
                <w:sz w:val="18"/>
                <w:szCs w:val="18"/>
              </w:rPr>
              <w:t>东吴（苏州） 金融科技服务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北京营安金融 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北京慧闻科技</w:t>
            </w:r>
          </w:p>
          <w:p>
            <w:pPr>
              <w:pStyle w:val="TableParagraph"/>
              <w:spacing w:line="316" w:lineRule="auto" w:before="76"/>
              <w:ind w:left="101" w:right="177"/>
              <w:jc w:val="left"/>
              <w:rPr>
                <w:rFonts w:ascii="宋体" w:hAnsi="宋体" w:cs="宋体" w:eastAsia="宋体" w:hint="default"/>
                <w:sz w:val="18"/>
                <w:szCs w:val="18"/>
              </w:rPr>
            </w:pPr>
            <w:r>
              <w:rPr>
                <w:rFonts w:ascii="宋体" w:hAnsi="宋体" w:cs="宋体" w:eastAsia="宋体" w:hint="default"/>
                <w:sz w:val="18"/>
                <w:szCs w:val="18"/>
              </w:rPr>
              <w:t>（集团）有限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怀光智能科技</w:t>
            </w:r>
          </w:p>
          <w:p>
            <w:pPr>
              <w:pStyle w:val="TableParagraph"/>
              <w:spacing w:line="316" w:lineRule="auto" w:before="76"/>
              <w:ind w:left="101" w:right="177"/>
              <w:jc w:val="left"/>
              <w:rPr>
                <w:rFonts w:ascii="宋体" w:hAnsi="宋体" w:cs="宋体" w:eastAsia="宋体" w:hint="default"/>
                <w:sz w:val="18"/>
                <w:szCs w:val="18"/>
              </w:rPr>
            </w:pPr>
            <w:r>
              <w:rPr>
                <w:rFonts w:ascii="宋体" w:hAnsi="宋体" w:cs="宋体" w:eastAsia="宋体" w:hint="default"/>
                <w:sz w:val="18"/>
                <w:szCs w:val="18"/>
              </w:rPr>
              <w:t>（武汉）有限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left"/>
              <w:rPr>
                <w:rFonts w:ascii="宋体" w:hAnsi="宋体" w:cs="宋体" w:eastAsia="宋体" w:hint="default"/>
                <w:sz w:val="18"/>
                <w:szCs w:val="18"/>
              </w:rPr>
            </w:pPr>
            <w:r>
              <w:rPr>
                <w:rFonts w:ascii="宋体" w:hAnsi="宋体" w:cs="宋体" w:eastAsia="宋体" w:hint="default"/>
                <w:sz w:val="18"/>
                <w:szCs w:val="18"/>
              </w:rPr>
              <w:t>上海怀若智能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50"/>
        <w:ind w:right="5894"/>
        <w:jc w:val="left"/>
      </w:pPr>
      <w:r>
        <w:rPr/>
        <w:t>在合营企业或联营企业的持股比例不同于表决权比例的说明： 无</w:t>
      </w:r>
    </w:p>
    <w:p>
      <w:pPr>
        <w:pStyle w:val="BodyText"/>
        <w:spacing w:line="340" w:lineRule="auto" w:before="25"/>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1"/>
        <w:rPr>
          <w:rFonts w:ascii="宋体" w:hAnsi="宋体" w:cs="宋体" w:eastAsia="宋体" w:hint="default"/>
          <w:sz w:val="21"/>
          <w:szCs w:val="21"/>
        </w:rPr>
      </w:pPr>
    </w:p>
    <w:p>
      <w:pPr>
        <w:pStyle w:val="Heading3"/>
        <w:spacing w:line="240" w:lineRule="auto"/>
        <w:ind w:right="952"/>
        <w:jc w:val="left"/>
        <w:rPr>
          <w:b w:val="0"/>
          <w:bCs w:val="0"/>
        </w:rPr>
      </w:pPr>
      <w:bookmarkStart w:name="（2）重要合营企业的主要财务信息" w:id="389"/>
      <w:bookmarkEnd w:id="38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360" w:lineRule="auto" w:before="51"/>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重要联营企业的主要财务信息" w:id="390"/>
      <w:bookmarkEnd w:id="39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36"/>
        <w:gridCol w:w="736"/>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北京 东方 金信 科技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北京 营安 金融 信息 服务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6" w:lineRule="auto" w:before="76"/>
              <w:ind w:left="101" w:right="101" w:firstLine="2"/>
              <w:jc w:val="center"/>
              <w:rPr>
                <w:rFonts w:ascii="宋体" w:hAnsi="宋体" w:cs="宋体" w:eastAsia="宋体" w:hint="default"/>
                <w:sz w:val="18"/>
                <w:szCs w:val="18"/>
              </w:rPr>
            </w:pPr>
            <w:r>
              <w:rPr>
                <w:rFonts w:ascii="宋体" w:hAnsi="宋体" w:cs="宋体" w:eastAsia="宋体" w:hint="default"/>
                <w:sz w:val="18"/>
                <w:szCs w:val="18"/>
              </w:rPr>
              <w:t>（苏 </w:t>
            </w:r>
            <w:r>
              <w:rPr>
                <w:rFonts w:ascii="宋体" w:hAnsi="宋体" w:cs="宋体" w:eastAsia="宋体" w:hint="default"/>
                <w:spacing w:val="-7"/>
                <w:sz w:val="18"/>
                <w:szCs w:val="18"/>
              </w:rPr>
              <w:t>州）金</w:t>
            </w:r>
            <w:r>
              <w:rPr>
                <w:rFonts w:ascii="宋体" w:hAnsi="宋体" w:cs="宋体" w:eastAsia="宋体" w:hint="default"/>
                <w:sz w:val="18"/>
                <w:szCs w:val="18"/>
              </w:rPr>
              <w:t> 融科 技有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81" w:right="182"/>
              <w:jc w:val="both"/>
              <w:rPr>
                <w:rFonts w:ascii="宋体" w:hAnsi="宋体" w:cs="宋体" w:eastAsia="宋体" w:hint="default"/>
                <w:sz w:val="18"/>
                <w:szCs w:val="18"/>
              </w:rPr>
            </w:pPr>
            <w:r>
              <w:rPr>
                <w:rFonts w:ascii="宋体" w:hAnsi="宋体" w:cs="宋体" w:eastAsia="宋体" w:hint="default"/>
                <w:sz w:val="18"/>
                <w:szCs w:val="18"/>
              </w:rPr>
              <w:t>北京 慧闻 科技</w:t>
            </w:r>
          </w:p>
          <w:p>
            <w:pPr>
              <w:pStyle w:val="TableParagraph"/>
              <w:spacing w:line="316" w:lineRule="auto" w:before="19"/>
              <w:ind w:left="102" w:right="100" w:hanging="3"/>
              <w:jc w:val="center"/>
              <w:rPr>
                <w:rFonts w:ascii="宋体" w:hAnsi="宋体" w:cs="宋体" w:eastAsia="宋体" w:hint="default"/>
                <w:sz w:val="18"/>
                <w:szCs w:val="18"/>
              </w:rPr>
            </w:pPr>
            <w:r>
              <w:rPr>
                <w:rFonts w:ascii="宋体" w:hAnsi="宋体" w:cs="宋体" w:eastAsia="宋体" w:hint="default"/>
                <w:sz w:val="18"/>
                <w:szCs w:val="18"/>
              </w:rPr>
              <w:t>（集 </w:t>
            </w:r>
            <w:r>
              <w:rPr>
                <w:rFonts w:ascii="宋体" w:hAnsi="宋体" w:cs="宋体" w:eastAsia="宋体" w:hint="default"/>
                <w:spacing w:val="-7"/>
                <w:sz w:val="18"/>
                <w:szCs w:val="18"/>
              </w:rPr>
              <w:t>团）有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怀光 智能 科技</w:t>
            </w:r>
          </w:p>
          <w:p>
            <w:pPr>
              <w:pStyle w:val="TableParagraph"/>
              <w:spacing w:line="316" w:lineRule="auto" w:before="19"/>
              <w:ind w:left="103" w:right="102"/>
              <w:jc w:val="center"/>
              <w:rPr>
                <w:rFonts w:ascii="宋体" w:hAnsi="宋体" w:cs="宋体" w:eastAsia="宋体" w:hint="default"/>
                <w:sz w:val="18"/>
                <w:szCs w:val="18"/>
              </w:rPr>
            </w:pPr>
            <w:r>
              <w:rPr>
                <w:rFonts w:ascii="宋体" w:hAnsi="宋体" w:cs="宋体" w:eastAsia="宋体" w:hint="default"/>
                <w:sz w:val="18"/>
                <w:szCs w:val="18"/>
              </w:rPr>
              <w:t>（武 </w:t>
            </w:r>
            <w:r>
              <w:rPr>
                <w:rFonts w:ascii="宋体" w:hAnsi="宋体" w:cs="宋体" w:eastAsia="宋体" w:hint="default"/>
                <w:spacing w:val="-8"/>
                <w:sz w:val="18"/>
                <w:szCs w:val="18"/>
              </w:rPr>
              <w:t>汉）有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上海 怀若 智能 科技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1" w:right="182"/>
              <w:jc w:val="both"/>
              <w:rPr>
                <w:rFonts w:ascii="宋体" w:hAnsi="宋体" w:cs="宋体" w:eastAsia="宋体" w:hint="default"/>
                <w:sz w:val="18"/>
                <w:szCs w:val="18"/>
              </w:rPr>
            </w:pPr>
            <w:r>
              <w:rPr>
                <w:rFonts w:ascii="宋体" w:hAnsi="宋体" w:cs="宋体" w:eastAsia="宋体" w:hint="default"/>
                <w:sz w:val="18"/>
                <w:szCs w:val="18"/>
              </w:rPr>
              <w:t>北京 东方 金信 科技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北京 营安 金融 信息 服务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6" w:lineRule="auto" w:before="76"/>
              <w:ind w:left="102" w:right="101" w:firstLine="2"/>
              <w:jc w:val="center"/>
              <w:rPr>
                <w:rFonts w:ascii="宋体" w:hAnsi="宋体" w:cs="宋体" w:eastAsia="宋体" w:hint="default"/>
                <w:sz w:val="18"/>
                <w:szCs w:val="18"/>
              </w:rPr>
            </w:pPr>
            <w:r>
              <w:rPr>
                <w:rFonts w:ascii="宋体" w:hAnsi="宋体" w:cs="宋体" w:eastAsia="宋体" w:hint="default"/>
                <w:sz w:val="18"/>
                <w:szCs w:val="18"/>
              </w:rPr>
              <w:t>（苏 </w:t>
            </w:r>
            <w:r>
              <w:rPr>
                <w:rFonts w:ascii="宋体" w:hAnsi="宋体" w:cs="宋体" w:eastAsia="宋体" w:hint="default"/>
                <w:spacing w:val="-7"/>
                <w:sz w:val="18"/>
                <w:szCs w:val="18"/>
              </w:rPr>
              <w:t>州）金</w:t>
            </w:r>
            <w:r>
              <w:rPr>
                <w:rFonts w:ascii="宋体" w:hAnsi="宋体" w:cs="宋体" w:eastAsia="宋体" w:hint="default"/>
                <w:sz w:val="18"/>
                <w:szCs w:val="18"/>
              </w:rPr>
              <w:t> 融科 技有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北京 慧闻 科技</w:t>
            </w:r>
          </w:p>
          <w:p>
            <w:pPr>
              <w:pStyle w:val="TableParagraph"/>
              <w:spacing w:line="316" w:lineRule="auto" w:before="19"/>
              <w:ind w:left="102" w:right="100" w:hanging="3"/>
              <w:jc w:val="center"/>
              <w:rPr>
                <w:rFonts w:ascii="宋体" w:hAnsi="宋体" w:cs="宋体" w:eastAsia="宋体" w:hint="default"/>
                <w:sz w:val="18"/>
                <w:szCs w:val="18"/>
              </w:rPr>
            </w:pPr>
            <w:r>
              <w:rPr>
                <w:rFonts w:ascii="宋体" w:hAnsi="宋体" w:cs="宋体" w:eastAsia="宋体" w:hint="default"/>
                <w:sz w:val="18"/>
                <w:szCs w:val="18"/>
              </w:rPr>
              <w:t>（集 </w:t>
            </w:r>
            <w:r>
              <w:rPr>
                <w:rFonts w:ascii="宋体" w:hAnsi="宋体" w:cs="宋体" w:eastAsia="宋体" w:hint="default"/>
                <w:spacing w:val="-7"/>
                <w:sz w:val="18"/>
                <w:szCs w:val="18"/>
              </w:rPr>
              <w:t>团）有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怀光 智能 科技</w:t>
            </w:r>
          </w:p>
          <w:p>
            <w:pPr>
              <w:pStyle w:val="TableParagraph"/>
              <w:spacing w:line="316" w:lineRule="auto" w:before="19"/>
              <w:ind w:left="103" w:right="102"/>
              <w:jc w:val="center"/>
              <w:rPr>
                <w:rFonts w:ascii="宋体" w:hAnsi="宋体" w:cs="宋体" w:eastAsia="宋体" w:hint="default"/>
                <w:sz w:val="18"/>
                <w:szCs w:val="18"/>
              </w:rPr>
            </w:pPr>
            <w:r>
              <w:rPr>
                <w:rFonts w:ascii="宋体" w:hAnsi="宋体" w:cs="宋体" w:eastAsia="宋体" w:hint="default"/>
                <w:sz w:val="18"/>
                <w:szCs w:val="18"/>
              </w:rPr>
              <w:t>（武 </w:t>
            </w:r>
            <w:r>
              <w:rPr>
                <w:rFonts w:ascii="宋体" w:hAnsi="宋体" w:cs="宋体" w:eastAsia="宋体" w:hint="default"/>
                <w:spacing w:val="-8"/>
                <w:sz w:val="18"/>
                <w:szCs w:val="18"/>
              </w:rPr>
              <w:t>汉）有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上海 怀若 智能 科技 有限 公司</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193,82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6,261.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46,101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,384.4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118,29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0,017.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4,979,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926.10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2,156,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,708.4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91,024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,410.7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49,631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,999.1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707,36</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9,753.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3,297,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466.33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8,349,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685.46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570,11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882,73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2,162.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2,108,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727.48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1,491,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584.40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489.45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4,990,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379.31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55,827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788,99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0,386.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439,59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11,897</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202,17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46,671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,494.7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022,18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7,088,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653.58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3,648,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359.81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,197.8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96,014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,790.0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49,687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,826.1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360,13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057.19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13,027</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83,818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,000.4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297,77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2,506.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,591.9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472,04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37,300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,226.6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2,562.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755,56</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5,043.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2,776,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427.00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9.36</w:t>
            </w: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非流</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14,023</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动负</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,125.3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83,818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,000.4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297,77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2,506.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,591.9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472,04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37,300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,226.6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2,562.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769,58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8,169.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2,776,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427.00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9.36</w:t>
            </w: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归属</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于母 公司 股东</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118,35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7,946.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45,551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,488.3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703,24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9,673.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-3,316,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938.40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3,631,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140.33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13,459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,156.0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58,714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,563.4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49,685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,263.7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726,77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960,63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0.19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-224,7</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02.13</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1" w:right="262"/>
              <w:jc w:val="both"/>
              <w:rPr>
                <w:rFonts w:ascii="宋体" w:hAnsi="宋体" w:cs="宋体" w:eastAsia="宋体" w:hint="default"/>
                <w:sz w:val="18"/>
                <w:szCs w:val="18"/>
              </w:rPr>
            </w:pPr>
            <w:r>
              <w:rPr>
                <w:rFonts w:ascii="宋体" w:hAnsi="宋体" w:cs="宋体" w:eastAsia="宋体" w:hint="default"/>
                <w:sz w:val="18"/>
                <w:szCs w:val="18"/>
              </w:rPr>
              <w:t>按持 股比 例计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,316.5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225,03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9,895.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-663,3</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87.68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342.10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5,383,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662.44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12,682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,345.7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14,905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,579.1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232,56</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7,030.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36"/>
        <w:gridCol w:w="736"/>
      </w:tblGrid>
      <w:tr>
        <w:trPr>
          <w:trHeight w:val="318"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算的</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净资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产份</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对联</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营企</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941"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业权 益投 资的</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47,545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,757.3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527,51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9,187.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8,746,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410.85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3,789,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342.10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17,473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,543.2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36,072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,450.0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14,905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,579.1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535,04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6,322.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07"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账面</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存在</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报价</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的联</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营企</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业权</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益投</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资的</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151,32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5,913.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1,174,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528.27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w w:val="95"/>
                <w:sz w:val="18"/>
              </w:rPr>
              <w:t>12,611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422.40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86,705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,306.0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80,714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净利 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,644.7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2,212,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7,945.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859.67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141.78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,184.4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-314,7</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36.29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4,297.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2,627,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534.08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2"/>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,644.7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-23,52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2,296.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7,945.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859.67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141.78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,184.4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-314,7</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36.29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79,358</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,506.1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4）不重要的合营企业和联营企业的汇总财务信息" w:id="391"/>
      <w:bookmarkEnd w:id="39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5）合营企业或联营企业向本公司转移资金的能力存在重大限制的说明" w:id="392"/>
      <w:bookmarkEnd w:id="39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6）合营企业或联营企业发生的超额亏损" w:id="393"/>
      <w:bookmarkEnd w:id="39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61" w:right="110"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60" w:lineRule="auto" w:before="49"/>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7）与合营企业投资相关的未确认承诺" w:id="394"/>
      <w:bookmarkEnd w:id="39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8）与合营企业或联营企业投资相关的或有负债" w:id="395"/>
      <w:bookmarkEnd w:id="39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4、重要的共同经营" w:id="396"/>
      <w:bookmarkEnd w:id="39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95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在未纳入合并财务报表范围的结构化主体中的权益" w:id="397"/>
      <w:bookmarkEnd w:id="39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未纳入合并财务报表范围的结构化主体的相关说明：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Heading3"/>
        <w:spacing w:line="240" w:lineRule="auto"/>
        <w:ind w:right="952"/>
        <w:jc w:val="left"/>
        <w:rPr>
          <w:b w:val="0"/>
          <w:bCs w:val="0"/>
        </w:rPr>
      </w:pPr>
      <w:r>
        <w:rPr>
          <w:rFonts w:ascii="Times New Roman" w:hAnsi="Times New Roman" w:cs="Times New Roman" w:eastAsia="Times New Roman" w:hint="default"/>
        </w:rPr>
        <w:t>6</w:t>
      </w:r>
      <w:r>
        <w:rPr/>
        <w:t>、其他</w:t>
      </w:r>
      <w:r>
        <w:rPr>
          <w:b w:val="0"/>
          <w:bCs w:val="0"/>
        </w:rPr>
      </w:r>
    </w:p>
    <w:p>
      <w:pPr>
        <w:spacing w:after="0" w:line="240" w:lineRule="auto"/>
        <w:jc w:val="left"/>
        <w:sectPr>
          <w:footerReference w:type="default" r:id="rId32"/>
          <w:pgSz w:w="11910" w:h="16840"/>
          <w:pgMar w:footer="1009" w:header="919" w:top="1120" w:bottom="1200" w:left="1020" w:right="0"/>
          <w:pgNumType w:start="180"/>
        </w:sectPr>
      </w:pPr>
    </w:p>
    <w:p>
      <w:pPr>
        <w:spacing w:line="240" w:lineRule="auto" w:before="8"/>
        <w:rPr>
          <w:rFonts w:ascii="宋体" w:hAnsi="宋体" w:cs="宋体" w:eastAsia="宋体" w:hint="default"/>
          <w:b/>
          <w:bCs/>
          <w:sz w:val="18"/>
          <w:szCs w:val="18"/>
        </w:rPr>
      </w:pPr>
    </w:p>
    <w:p>
      <w:pPr>
        <w:pStyle w:val="Heading2"/>
        <w:spacing w:line="240" w:lineRule="auto" w:before="26"/>
        <w:ind w:right="952"/>
        <w:jc w:val="left"/>
        <w:rPr>
          <w:b w:val="0"/>
          <w:bCs w:val="0"/>
        </w:rPr>
      </w:pPr>
      <w:bookmarkStart w:name="十、与金融工具相关的风险" w:id="398"/>
      <w:bookmarkEnd w:id="39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20"/>
        <w:jc w:val="both"/>
      </w:pPr>
      <w:r>
        <w:rPr/>
        <w:t>本公司报告期的金融工具，金融资产主要为因经营而直接产生的贷款与应收款项，如应收账款、其他应收款等；金融 </w:t>
      </w:r>
      <w:r>
        <w:rPr>
          <w:spacing w:val="-2"/>
        </w:rPr>
        <w:t>负债主要为因经营而直接产生的其他金融负债，如应付账款、应付利息、其他应付款、一年内到期的非流动负债、长期借款</w:t>
      </w:r>
      <w:r>
        <w:rPr>
          <w:spacing w:val="-63"/>
        </w:rPr>
        <w:t> </w:t>
      </w:r>
      <w:r>
        <w:rPr>
          <w:spacing w:val="-63"/>
        </w:rPr>
      </w:r>
      <w:r>
        <w:rPr/>
        <w:t>等。</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本公司的金融工具导致的主要风险是信用风险、流动风险及市场风险。</w:t>
      </w:r>
    </w:p>
    <w:p>
      <w:pPr>
        <w:spacing w:line="240" w:lineRule="auto" w:before="10"/>
        <w:rPr>
          <w:rFonts w:ascii="宋体" w:hAnsi="宋体" w:cs="宋体" w:eastAsia="宋体" w:hint="default"/>
          <w:sz w:val="17"/>
          <w:szCs w:val="17"/>
        </w:rPr>
      </w:pPr>
    </w:p>
    <w:p>
      <w:pPr>
        <w:pStyle w:val="BodyText"/>
        <w:spacing w:line="477" w:lineRule="auto"/>
        <w:ind w:left="532" w:right="6374"/>
        <w:jc w:val="left"/>
      </w:pPr>
      <w:r>
        <w:rPr/>
        <w:t>（一）金融工具分类 1.资产负债表日的各类金融资产的账面价值如下：</w:t>
      </w:r>
    </w:p>
    <w:p>
      <w:pPr>
        <w:spacing w:line="240" w:lineRule="auto" w:before="1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884"/>
        <w:gridCol w:w="2858"/>
        <w:gridCol w:w="2052"/>
      </w:tblGrid>
      <w:tr>
        <w:trPr>
          <w:trHeight w:val="347" w:hRule="exact"/>
        </w:trPr>
        <w:tc>
          <w:tcPr>
            <w:tcW w:w="3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28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00"/>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347" w:hRule="exact"/>
        </w:trPr>
        <w:tc>
          <w:tcPr>
            <w:tcW w:w="3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5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01"/>
              <w:jc w:val="right"/>
              <w:rPr>
                <w:rFonts w:ascii="宋体" w:hAnsi="宋体" w:cs="宋体" w:eastAsia="宋体" w:hint="default"/>
                <w:sz w:val="18"/>
                <w:szCs w:val="18"/>
              </w:rPr>
            </w:pPr>
            <w:r>
              <w:rPr>
                <w:rFonts w:ascii="宋体"/>
                <w:spacing w:val="-1"/>
                <w:sz w:val="18"/>
              </w:rPr>
              <w:t>392,220,940.35</w:t>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786,980,024.60</w:t>
            </w:r>
          </w:p>
        </w:tc>
      </w:tr>
      <w:tr>
        <w:trPr>
          <w:trHeight w:val="347" w:hRule="exact"/>
        </w:trPr>
        <w:tc>
          <w:tcPr>
            <w:tcW w:w="3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85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01"/>
              <w:jc w:val="right"/>
              <w:rPr>
                <w:rFonts w:ascii="宋体" w:hAnsi="宋体" w:cs="宋体" w:eastAsia="宋体" w:hint="default"/>
                <w:sz w:val="18"/>
                <w:szCs w:val="18"/>
              </w:rPr>
            </w:pPr>
            <w:r>
              <w:rPr>
                <w:rFonts w:ascii="宋体"/>
                <w:spacing w:val="-1"/>
                <w:sz w:val="18"/>
              </w:rPr>
              <w:t>538,306,992.52</w:t>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394,567,838.42</w:t>
            </w:r>
          </w:p>
        </w:tc>
      </w:tr>
      <w:tr>
        <w:trPr>
          <w:trHeight w:val="347" w:hRule="exact"/>
        </w:trPr>
        <w:tc>
          <w:tcPr>
            <w:tcW w:w="3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01"/>
              <w:jc w:val="right"/>
              <w:rPr>
                <w:rFonts w:ascii="宋体" w:hAnsi="宋体" w:cs="宋体" w:eastAsia="宋体" w:hint="default"/>
                <w:sz w:val="18"/>
                <w:szCs w:val="18"/>
              </w:rPr>
            </w:pPr>
            <w:r>
              <w:rPr>
                <w:rFonts w:ascii="宋体"/>
                <w:spacing w:val="-1"/>
                <w:sz w:val="18"/>
              </w:rPr>
              <w:t>366,451,052.71</w:t>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262,975,064.75</w:t>
            </w:r>
          </w:p>
        </w:tc>
      </w:tr>
      <w:tr>
        <w:trPr>
          <w:trHeight w:val="347" w:hRule="exact"/>
        </w:trPr>
        <w:tc>
          <w:tcPr>
            <w:tcW w:w="3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5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01"/>
              <w:jc w:val="right"/>
              <w:rPr>
                <w:rFonts w:ascii="宋体" w:hAnsi="宋体" w:cs="宋体" w:eastAsia="宋体" w:hint="default"/>
                <w:sz w:val="18"/>
                <w:szCs w:val="18"/>
              </w:rPr>
            </w:pPr>
            <w:r>
              <w:rPr>
                <w:rFonts w:ascii="宋体"/>
                <w:spacing w:val="-1"/>
                <w:sz w:val="18"/>
              </w:rPr>
              <w:t>35,425,700.00</w:t>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pacing w:val="-1"/>
                <w:sz w:val="18"/>
              </w:rPr>
              <w:t>35,425,700.00</w:t>
            </w:r>
          </w:p>
        </w:tc>
      </w:tr>
      <w:tr>
        <w:trPr>
          <w:trHeight w:val="347" w:hRule="exact"/>
        </w:trPr>
        <w:tc>
          <w:tcPr>
            <w:tcW w:w="3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其他流动资产（理财产品、委托贷款）</w:t>
            </w:r>
          </w:p>
        </w:tc>
        <w:tc>
          <w:tcPr>
            <w:tcW w:w="28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01"/>
              <w:jc w:val="right"/>
              <w:rPr>
                <w:rFonts w:ascii="宋体" w:hAnsi="宋体" w:cs="宋体" w:eastAsia="宋体" w:hint="default"/>
                <w:sz w:val="18"/>
                <w:szCs w:val="18"/>
              </w:rPr>
            </w:pPr>
            <w:r>
              <w:rPr>
                <w:rFonts w:ascii="宋体"/>
                <w:spacing w:val="-1"/>
                <w:sz w:val="18"/>
              </w:rPr>
              <w:t>325,900,000.00</w:t>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spacing w:val="-1"/>
                <w:sz w:val="18"/>
              </w:rPr>
              <w:t>19,900,000.00</w:t>
            </w:r>
          </w:p>
        </w:tc>
      </w:tr>
      <w:tr>
        <w:trPr>
          <w:trHeight w:val="364" w:hRule="exact"/>
        </w:trPr>
        <w:tc>
          <w:tcPr>
            <w:tcW w:w="388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85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601"/>
              <w:jc w:val="right"/>
              <w:rPr>
                <w:rFonts w:ascii="宋体" w:hAnsi="宋体" w:cs="宋体" w:eastAsia="宋体" w:hint="default"/>
                <w:sz w:val="18"/>
                <w:szCs w:val="18"/>
              </w:rPr>
            </w:pPr>
            <w:r>
              <w:rPr>
                <w:rFonts w:ascii="宋体"/>
                <w:sz w:val="18"/>
              </w:rPr>
            </w:r>
            <w:r>
              <w:rPr>
                <w:rFonts w:ascii="宋体"/>
                <w:spacing w:val="-1"/>
                <w:sz w:val="18"/>
                <w:u w:val="single" w:color="000000"/>
              </w:rPr>
              <w:t>1,658,304,685.58</w:t>
            </w:r>
            <w:r>
              <w:rPr>
                <w:rFonts w:ascii="宋体"/>
                <w:spacing w:val="-1"/>
                <w:sz w:val="18"/>
              </w:rPr>
            </w:r>
          </w:p>
        </w:tc>
        <w:tc>
          <w:tcPr>
            <w:tcW w:w="205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r>
            <w:r>
              <w:rPr>
                <w:rFonts w:ascii="宋体"/>
                <w:spacing w:val="-1"/>
                <w:sz w:val="18"/>
                <w:u w:val="single" w:color="000000"/>
              </w:rPr>
              <w:t>1,499,848,627.77</w:t>
            </w:r>
            <w:r>
              <w:rPr>
                <w:rFonts w:ascii="宋体"/>
                <w:spacing w:val="-1"/>
                <w:sz w:val="18"/>
              </w:rPr>
            </w:r>
          </w:p>
        </w:tc>
      </w:tr>
    </w:tbl>
    <w:p>
      <w:pPr>
        <w:spacing w:line="240" w:lineRule="auto" w:before="6"/>
        <w:rPr>
          <w:rFonts w:ascii="宋体" w:hAnsi="宋体" w:cs="宋体" w:eastAsia="宋体" w:hint="default"/>
          <w:sz w:val="7"/>
          <w:szCs w:val="7"/>
        </w:rPr>
      </w:pPr>
    </w:p>
    <w:p>
      <w:pPr>
        <w:pStyle w:val="BodyText"/>
        <w:spacing w:line="240" w:lineRule="auto" w:before="44"/>
        <w:ind w:left="532" w:right="952"/>
        <w:jc w:val="left"/>
      </w:pPr>
      <w:r>
        <w:rPr/>
        <w:t>注：可供出售金融资产的情况说明详见本附注六（七）可供出售金融资产。</w:t>
      </w:r>
    </w:p>
    <w:p>
      <w:pPr>
        <w:spacing w:line="240" w:lineRule="auto" w:before="10"/>
        <w:rPr>
          <w:rFonts w:ascii="宋体" w:hAnsi="宋体" w:cs="宋体" w:eastAsia="宋体" w:hint="default"/>
          <w:sz w:val="17"/>
          <w:szCs w:val="17"/>
        </w:rPr>
      </w:pPr>
    </w:p>
    <w:p>
      <w:pPr>
        <w:pStyle w:val="BodyText"/>
        <w:spacing w:line="240" w:lineRule="auto"/>
        <w:ind w:left="532" w:right="952"/>
        <w:jc w:val="left"/>
      </w:pPr>
      <w:r>
        <w:rPr/>
        <w:t>（二）金融负债</w:t>
      </w:r>
    </w:p>
    <w:p>
      <w:pPr>
        <w:spacing w:line="240" w:lineRule="auto" w:before="7"/>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562"/>
        <w:gridCol w:w="3443"/>
        <w:gridCol w:w="1791"/>
      </w:tblGrid>
      <w:tr>
        <w:trPr>
          <w:trHeight w:val="347" w:hRule="exact"/>
        </w:trPr>
        <w:tc>
          <w:tcPr>
            <w:tcW w:w="356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44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07"/>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347" w:hRule="exact"/>
        </w:trPr>
        <w:tc>
          <w:tcPr>
            <w:tcW w:w="356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4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08"/>
              <w:jc w:val="right"/>
              <w:rPr>
                <w:rFonts w:ascii="宋体" w:hAnsi="宋体" w:cs="宋体" w:eastAsia="宋体" w:hint="default"/>
                <w:sz w:val="18"/>
                <w:szCs w:val="18"/>
              </w:rPr>
            </w:pPr>
            <w:r>
              <w:rPr>
                <w:rFonts w:ascii="宋体"/>
                <w:spacing w:val="-1"/>
                <w:sz w:val="18"/>
              </w:rPr>
              <w:t>235,000,000.00</w:t>
            </w:r>
          </w:p>
        </w:tc>
        <w:tc>
          <w:tcPr>
            <w:tcW w:w="1791" w:type="dxa"/>
            <w:tcBorders>
              <w:top w:val="single" w:sz="6" w:space="0" w:color="000000"/>
              <w:left w:val="nil" w:sz="6" w:space="0" w:color="auto"/>
              <w:bottom w:val="single" w:sz="6" w:space="0" w:color="000000"/>
              <w:right w:val="nil" w:sz="6" w:space="0" w:color="auto"/>
            </w:tcBorders>
          </w:tcPr>
          <w:p>
            <w:pPr/>
          </w:p>
        </w:tc>
      </w:tr>
      <w:tr>
        <w:trPr>
          <w:trHeight w:val="347" w:hRule="exact"/>
        </w:trPr>
        <w:tc>
          <w:tcPr>
            <w:tcW w:w="356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4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08"/>
              <w:jc w:val="right"/>
              <w:rPr>
                <w:rFonts w:ascii="宋体" w:hAnsi="宋体" w:cs="宋体" w:eastAsia="宋体" w:hint="default"/>
                <w:sz w:val="18"/>
                <w:szCs w:val="18"/>
              </w:rPr>
            </w:pPr>
            <w:r>
              <w:rPr>
                <w:rFonts w:ascii="宋体"/>
                <w:spacing w:val="-1"/>
                <w:sz w:val="18"/>
              </w:rPr>
              <w:t>2,031,543.16</w:t>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6,432,590.15</w:t>
            </w:r>
          </w:p>
        </w:tc>
      </w:tr>
      <w:tr>
        <w:trPr>
          <w:trHeight w:val="347" w:hRule="exact"/>
        </w:trPr>
        <w:tc>
          <w:tcPr>
            <w:tcW w:w="356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4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08"/>
              <w:jc w:val="right"/>
              <w:rPr>
                <w:rFonts w:ascii="宋体" w:hAnsi="宋体" w:cs="宋体" w:eastAsia="宋体" w:hint="default"/>
                <w:sz w:val="18"/>
                <w:szCs w:val="18"/>
              </w:rPr>
            </w:pPr>
            <w:r>
              <w:rPr>
                <w:rFonts w:ascii="宋体"/>
                <w:spacing w:val="-1"/>
                <w:sz w:val="18"/>
              </w:rPr>
              <w:t>39,668,160.21</w:t>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spacing w:val="-1"/>
                <w:sz w:val="18"/>
              </w:rPr>
              <w:t>62,397,384.70</w:t>
            </w:r>
          </w:p>
        </w:tc>
      </w:tr>
      <w:tr>
        <w:trPr>
          <w:trHeight w:val="347" w:hRule="exact"/>
        </w:trPr>
        <w:tc>
          <w:tcPr>
            <w:tcW w:w="356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4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08"/>
              <w:jc w:val="right"/>
              <w:rPr>
                <w:rFonts w:ascii="宋体" w:hAnsi="宋体" w:cs="宋体" w:eastAsia="宋体" w:hint="default"/>
                <w:sz w:val="18"/>
                <w:szCs w:val="18"/>
              </w:rPr>
            </w:pPr>
            <w:r>
              <w:rPr>
                <w:rFonts w:ascii="宋体"/>
                <w:spacing w:val="-1"/>
                <w:sz w:val="18"/>
              </w:rPr>
              <w:t>717,965.33</w:t>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2,061,758.55</w:t>
            </w:r>
          </w:p>
        </w:tc>
      </w:tr>
      <w:tr>
        <w:trPr>
          <w:trHeight w:val="347" w:hRule="exact"/>
        </w:trPr>
        <w:tc>
          <w:tcPr>
            <w:tcW w:w="356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4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08"/>
              <w:jc w:val="right"/>
              <w:rPr>
                <w:rFonts w:ascii="宋体" w:hAnsi="宋体" w:cs="宋体" w:eastAsia="宋体" w:hint="default"/>
                <w:sz w:val="18"/>
                <w:szCs w:val="18"/>
              </w:rPr>
            </w:pPr>
            <w:r>
              <w:rPr>
                <w:rFonts w:ascii="宋体"/>
                <w:spacing w:val="-1"/>
                <w:sz w:val="18"/>
              </w:rPr>
              <w:t>4,243,144.59</w:t>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4,961,109.92</w:t>
            </w:r>
          </w:p>
        </w:tc>
      </w:tr>
      <w:tr>
        <w:trPr>
          <w:trHeight w:val="364" w:hRule="exact"/>
        </w:trPr>
        <w:tc>
          <w:tcPr>
            <w:tcW w:w="356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44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608"/>
              <w:jc w:val="right"/>
              <w:rPr>
                <w:rFonts w:ascii="宋体" w:hAnsi="宋体" w:cs="宋体" w:eastAsia="宋体" w:hint="default"/>
                <w:sz w:val="18"/>
                <w:szCs w:val="18"/>
              </w:rPr>
            </w:pPr>
            <w:r>
              <w:rPr>
                <w:rFonts w:ascii="宋体"/>
                <w:sz w:val="18"/>
              </w:rPr>
            </w:r>
            <w:r>
              <w:rPr>
                <w:rFonts w:ascii="宋体"/>
                <w:spacing w:val="-1"/>
                <w:sz w:val="18"/>
                <w:u w:val="single" w:color="000000"/>
              </w:rPr>
              <w:t>281,660,813.29</w:t>
            </w:r>
            <w:r>
              <w:rPr>
                <w:rFonts w:ascii="宋体"/>
                <w:spacing w:val="-1"/>
                <w:sz w:val="18"/>
              </w:rPr>
            </w:r>
          </w:p>
        </w:tc>
        <w:tc>
          <w:tcPr>
            <w:tcW w:w="179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z w:val="18"/>
              </w:rPr>
            </w:r>
            <w:r>
              <w:rPr>
                <w:rFonts w:ascii="宋体"/>
                <w:spacing w:val="-1"/>
                <w:sz w:val="18"/>
                <w:u w:val="single" w:color="000000"/>
              </w:rPr>
              <w:t>75,852,843.32</w:t>
            </w:r>
            <w:r>
              <w:rPr>
                <w:rFonts w:ascii="宋体"/>
                <w:spacing w:val="-1"/>
                <w:sz w:val="18"/>
              </w:rPr>
            </w:r>
          </w:p>
        </w:tc>
      </w:tr>
    </w:tbl>
    <w:p>
      <w:pPr>
        <w:spacing w:line="240" w:lineRule="auto" w:before="6"/>
        <w:rPr>
          <w:rFonts w:ascii="宋体" w:hAnsi="宋体" w:cs="宋体" w:eastAsia="宋体" w:hint="default"/>
          <w:sz w:val="7"/>
          <w:szCs w:val="7"/>
        </w:rPr>
      </w:pPr>
    </w:p>
    <w:p>
      <w:pPr>
        <w:pStyle w:val="BodyText"/>
        <w:spacing w:line="240" w:lineRule="auto" w:before="44"/>
        <w:ind w:left="532" w:right="952"/>
        <w:jc w:val="left"/>
      </w:pPr>
      <w:r>
        <w:rPr/>
        <w:t>本公司金融资产归类为贷款及应收款项；金融负债归类为其他金融负债。</w:t>
      </w:r>
    </w:p>
    <w:p>
      <w:pPr>
        <w:pStyle w:val="BodyText"/>
        <w:spacing w:line="460" w:lineRule="atLeast" w:before="8"/>
        <w:ind w:left="532" w:right="952"/>
        <w:jc w:val="left"/>
      </w:pPr>
      <w:r>
        <w:rPr/>
        <w:t>（三）信用风险 信用风险，是指金融工具的一方不能履行义务，造成另一方发生财务损失的风险。本公司其他金融资产包括货币资金</w:t>
      </w:r>
    </w:p>
    <w:p>
      <w:pPr>
        <w:pStyle w:val="BodyText"/>
        <w:spacing w:line="240" w:lineRule="auto" w:before="76"/>
        <w:ind w:right="952"/>
        <w:jc w:val="left"/>
      </w:pPr>
      <w:r>
        <w:rPr/>
        <w:t>及其他应收款等，这些金融资产的信用风险源自交易对手违约，最大风险敞口等于这些工具的账面金额。</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本公司仅与经认可的、信誉良好的第三方进行交易，对应收账款余额进行持续监控，以确保本公司不致面临重大坏账 </w:t>
      </w:r>
      <w:r>
        <w:rPr>
          <w:spacing w:val="-2"/>
        </w:rPr>
        <w:t>风险。本公司的客户主要系银行、证券公司及资产管理公司，该类客户通常资本金充足、信用良好，故本公司应收账款的信</w:t>
      </w:r>
      <w:r>
        <w:rPr>
          <w:spacing w:val="-63"/>
        </w:rPr>
        <w:t> </w:t>
      </w:r>
      <w:r>
        <w:rPr>
          <w:spacing w:val="-63"/>
        </w:rPr>
      </w:r>
      <w:r>
        <w:rPr/>
        <w:t>用风险较低。</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对于供应链业务和保理业务，本公司主要面临赊销、支付保理本金、垫付货款导致的客户或供应商信用风险。在签订 新合同之前，本公司会对新客户和供应商的信用风险进行评估，公司的客户群体主要为A股上市公司及其核心供应商、新三</w:t>
      </w:r>
      <w:r>
        <w:rPr>
          <w:spacing w:val="-85"/>
        </w:rPr>
        <w:t> </w:t>
      </w:r>
      <w:r>
        <w:rPr>
          <w:spacing w:val="-85"/>
        </w:rPr>
      </w:r>
      <w:r>
        <w:rPr>
          <w:spacing w:val="-2"/>
        </w:rPr>
        <w:t>板上市企业及国家级农业龙头企业，其信用风险可控，公司利用金融科技手段，创新服务产品，优化交易结构、增加风控措</w:t>
      </w:r>
      <w:r>
        <w:rPr>
          <w:spacing w:val="-64"/>
        </w:rPr>
        <w:t> </w:t>
      </w:r>
      <w:r>
        <w:rPr>
          <w:spacing w:val="-64"/>
        </w:rPr>
      </w:r>
      <w:r>
        <w:rPr/>
        <w:t>施，密切跟踪客户的信用风险，持续进行评估，努力规避风险。</w:t>
      </w:r>
    </w:p>
    <w:p>
      <w:pPr>
        <w:spacing w:line="240" w:lineRule="auto" w:before="5"/>
        <w:rPr>
          <w:rFonts w:ascii="宋体" w:hAnsi="宋体" w:cs="宋体" w:eastAsia="宋体" w:hint="default"/>
          <w:sz w:val="13"/>
          <w:szCs w:val="13"/>
        </w:rPr>
      </w:pPr>
    </w:p>
    <w:p>
      <w:pPr>
        <w:pStyle w:val="BodyText"/>
        <w:spacing w:line="240" w:lineRule="auto"/>
        <w:ind w:left="532" w:right="952"/>
        <w:jc w:val="left"/>
      </w:pPr>
      <w:r>
        <w:rPr/>
        <w:t>本公司的流动资金存放于信用评级较高的银行，故流动资金的信用风险较低。</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477" w:lineRule="auto" w:before="44"/>
        <w:ind w:left="532" w:right="2274"/>
        <w:jc w:val="left"/>
      </w:pPr>
      <w:r>
        <w:rPr/>
        <w:t>信用风险集中按照客户、地理区域和行业进行管理。在本公司内部不存在重大信用风险集中。 本公司因应收账款和其他应收款产生的信用风险敞口的量化数据，参见附注</w:t>
      </w:r>
      <w:r>
        <w:rPr>
          <w:rFonts w:ascii="Times New Roman" w:hAnsi="Times New Roman" w:cs="Times New Roman" w:eastAsia="Times New Roman" w:hint="default"/>
        </w:rPr>
        <w:t>“</w:t>
      </w:r>
      <w:r>
        <w:rPr/>
        <w:t>六（二）</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六（四）</w:t>
      </w:r>
      <w:r>
        <w:rPr>
          <w:rFonts w:ascii="Times New Roman" w:hAnsi="Times New Roman" w:cs="Times New Roman" w:eastAsia="Times New Roman" w:hint="default"/>
        </w:rPr>
        <w:t>”</w:t>
      </w:r>
      <w:r>
        <w:rPr/>
        <w:t>。</w:t>
      </w:r>
    </w:p>
    <w:p>
      <w:pPr>
        <w:pStyle w:val="BodyText"/>
        <w:spacing w:line="477" w:lineRule="auto" w:before="21"/>
        <w:ind w:left="532" w:right="4214"/>
        <w:jc w:val="left"/>
      </w:pPr>
      <w:r>
        <w:rPr/>
        <w:t>（四）流动风险 流动风险，是指企业在履行与金融负债有关的义务时遇到资金短缺的风险。 本公司定期检查当前和预期的资金流动性需求，以确保维持充裕的现金储备。 下表概括了金融资产和金融负债按未折现的现金流量所作的到期期限分析：</w:t>
      </w:r>
    </w:p>
    <w:tbl>
      <w:tblPr>
        <w:tblW w:w="0" w:type="auto"/>
        <w:jc w:val="left"/>
        <w:tblInd w:w="113" w:type="dxa"/>
        <w:tblLayout w:type="fixed"/>
        <w:tblCellMar>
          <w:top w:w="0" w:type="dxa"/>
          <w:left w:w="0" w:type="dxa"/>
          <w:bottom w:w="0" w:type="dxa"/>
          <w:right w:w="0" w:type="dxa"/>
        </w:tblCellMar>
        <w:tblLook w:val="01E0"/>
      </w:tblPr>
      <w:tblGrid>
        <w:gridCol w:w="2400"/>
        <w:gridCol w:w="1720"/>
        <w:gridCol w:w="971"/>
        <w:gridCol w:w="766"/>
        <w:gridCol w:w="1387"/>
        <w:gridCol w:w="1552"/>
      </w:tblGrid>
      <w:tr>
        <w:trPr>
          <w:trHeight w:val="976" w:hRule="exact"/>
        </w:trPr>
        <w:tc>
          <w:tcPr>
            <w:tcW w:w="2400" w:type="dxa"/>
            <w:tcBorders>
              <w:top w:val="nil" w:sz="6" w:space="0" w:color="auto"/>
              <w:left w:val="nil" w:sz="6" w:space="0" w:color="auto"/>
              <w:bottom w:val="single" w:sz="6" w:space="0" w:color="000000"/>
              <w:right w:val="nil" w:sz="6" w:space="0" w:color="auto"/>
            </w:tcBorders>
          </w:tcPr>
          <w:p>
            <w:pPr>
              <w:pStyle w:val="TableParagraph"/>
              <w:spacing w:line="477" w:lineRule="auto" w:before="44"/>
              <w:ind w:left="418" w:right="179"/>
              <w:jc w:val="left"/>
              <w:rPr>
                <w:rFonts w:ascii="宋体" w:hAnsi="宋体" w:cs="宋体" w:eastAsia="宋体" w:hint="default"/>
                <w:sz w:val="18"/>
                <w:szCs w:val="18"/>
              </w:rPr>
            </w:pPr>
            <w:r>
              <w:rPr>
                <w:rFonts w:ascii="宋体" w:hAnsi="宋体" w:cs="宋体" w:eastAsia="宋体" w:hint="default"/>
                <w:sz w:val="18"/>
                <w:szCs w:val="18"/>
              </w:rPr>
              <w:t>1.金融资产 截至2018年12月31日止</w:t>
            </w:r>
          </w:p>
        </w:tc>
        <w:tc>
          <w:tcPr>
            <w:tcW w:w="6395" w:type="dxa"/>
            <w:gridSpan w:val="5"/>
            <w:tcBorders>
              <w:top w:val="nil" w:sz="6" w:space="0" w:color="auto"/>
              <w:left w:val="nil" w:sz="6" w:space="0" w:color="auto"/>
              <w:bottom w:val="single" w:sz="6" w:space="0" w:color="000000"/>
              <w:right w:val="nil" w:sz="6" w:space="0" w:color="auto"/>
            </w:tcBorders>
          </w:tcPr>
          <w:p>
            <w:pP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4"/>
              <w:jc w:val="right"/>
              <w:rPr>
                <w:rFonts w:ascii="宋体" w:hAnsi="宋体" w:cs="宋体" w:eastAsia="宋体" w:hint="default"/>
                <w:sz w:val="18"/>
                <w:szCs w:val="18"/>
              </w:rPr>
            </w:pPr>
            <w:r>
              <w:rPr>
                <w:rFonts w:ascii="宋体" w:hAnsi="宋体" w:cs="宋体" w:eastAsia="宋体" w:hint="default"/>
                <w:b/>
                <w:bCs/>
                <w:w w:val="95"/>
                <w:sz w:val="18"/>
                <w:szCs w:val="18"/>
              </w:rPr>
              <w:t>1年以内</w:t>
            </w:r>
            <w:r>
              <w:rPr>
                <w:rFonts w:ascii="宋体" w:hAnsi="宋体" w:cs="宋体" w:eastAsia="宋体" w:hint="default"/>
                <w:sz w:val="18"/>
                <w:szCs w:val="18"/>
              </w:rPr>
            </w:r>
          </w:p>
        </w:tc>
        <w:tc>
          <w:tcPr>
            <w:tcW w:w="97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b/>
                <w:bCs/>
                <w:sz w:val="18"/>
                <w:szCs w:val="18"/>
              </w:rPr>
              <w:t>1-2年</w:t>
            </w:r>
            <w:r>
              <w:rPr>
                <w:rFonts w:ascii="宋体" w:hAnsi="宋体" w:cs="宋体" w:eastAsia="宋体" w:hint="default"/>
                <w:sz w:val="18"/>
                <w:szCs w:val="18"/>
              </w:rPr>
            </w:r>
          </w:p>
        </w:tc>
        <w:tc>
          <w:tcPr>
            <w:tcW w:w="76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9"/>
              <w:jc w:val="right"/>
              <w:rPr>
                <w:rFonts w:ascii="宋体" w:hAnsi="宋体" w:cs="宋体" w:eastAsia="宋体" w:hint="default"/>
                <w:sz w:val="18"/>
                <w:szCs w:val="18"/>
              </w:rPr>
            </w:pPr>
            <w:r>
              <w:rPr>
                <w:rFonts w:ascii="宋体" w:hAnsi="宋体" w:cs="宋体" w:eastAsia="宋体" w:hint="default"/>
                <w:b/>
                <w:bCs/>
                <w:w w:val="95"/>
                <w:sz w:val="18"/>
                <w:szCs w:val="18"/>
              </w:rPr>
              <w:t>2-3年</w:t>
            </w:r>
            <w:r>
              <w:rPr>
                <w:rFonts w:ascii="宋体" w:hAnsi="宋体" w:cs="宋体" w:eastAsia="宋体" w:hint="default"/>
                <w:sz w:val="18"/>
                <w:szCs w:val="18"/>
              </w:rPr>
            </w:r>
          </w:p>
        </w:tc>
        <w:tc>
          <w:tcPr>
            <w:tcW w:w="1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9"/>
              <w:jc w:val="right"/>
              <w:rPr>
                <w:rFonts w:ascii="宋体" w:hAnsi="宋体" w:cs="宋体" w:eastAsia="宋体" w:hint="default"/>
                <w:sz w:val="18"/>
                <w:szCs w:val="18"/>
              </w:rPr>
            </w:pPr>
            <w:r>
              <w:rPr>
                <w:rFonts w:ascii="宋体" w:hAnsi="宋体" w:cs="宋体" w:eastAsia="宋体" w:hint="default"/>
                <w:b/>
                <w:bCs/>
                <w:sz w:val="18"/>
                <w:szCs w:val="18"/>
              </w:rPr>
              <w:t>3年以上</w:t>
            </w:r>
            <w:r>
              <w:rPr>
                <w:rFonts w:ascii="宋体" w:hAnsi="宋体" w:cs="宋体" w:eastAsia="宋体" w:hint="default"/>
                <w:sz w:val="18"/>
                <w:szCs w:val="18"/>
              </w:rPr>
            </w: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538,306,992.52</w:t>
            </w: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538,306,992.52</w:t>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366,451,052.71</w:t>
            </w: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366,451,052.71</w:t>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20" w:type="dxa"/>
            <w:tcBorders>
              <w:top w:val="single" w:sz="6" w:space="0" w:color="000000"/>
              <w:left w:val="nil" w:sz="6" w:space="0" w:color="auto"/>
              <w:bottom w:val="single" w:sz="6" w:space="0" w:color="000000"/>
              <w:right w:val="nil" w:sz="6" w:space="0" w:color="auto"/>
            </w:tcBorders>
          </w:tcPr>
          <w:p>
            <w:pP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3"/>
              <w:jc w:val="right"/>
              <w:rPr>
                <w:rFonts w:ascii="宋体" w:hAnsi="宋体" w:cs="宋体" w:eastAsia="宋体" w:hint="default"/>
                <w:sz w:val="18"/>
                <w:szCs w:val="18"/>
              </w:rPr>
            </w:pPr>
            <w:r>
              <w:rPr>
                <w:rFonts w:ascii="宋体"/>
                <w:spacing w:val="-1"/>
                <w:sz w:val="18"/>
              </w:rPr>
              <w:t>35,425,700.00</w:t>
            </w: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pacing w:val="-1"/>
                <w:sz w:val="18"/>
              </w:rPr>
              <w:t>35,425,700.00</w:t>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其他流动资产（理财产品）</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325,900,000.00</w:t>
            </w: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325,900,000.00</w:t>
            </w:r>
          </w:p>
        </w:tc>
      </w:tr>
      <w:tr>
        <w:trPr>
          <w:trHeight w:val="971" w:hRule="exact"/>
        </w:trPr>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截至2017年12月31日止</w:t>
            </w:r>
          </w:p>
        </w:tc>
        <w:tc>
          <w:tcPr>
            <w:tcW w:w="172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81" w:right="0"/>
              <w:jc w:val="left"/>
              <w:rPr>
                <w:rFonts w:ascii="宋体" w:hAnsi="宋体" w:cs="宋体" w:eastAsia="宋体" w:hint="default"/>
                <w:sz w:val="18"/>
                <w:szCs w:val="18"/>
              </w:rPr>
            </w:pPr>
            <w:r>
              <w:rPr>
                <w:rFonts w:ascii="宋体"/>
                <w:sz w:val="18"/>
              </w:rPr>
            </w:r>
            <w:r>
              <w:rPr>
                <w:rFonts w:ascii="宋体"/>
                <w:sz w:val="18"/>
                <w:u w:val="single" w:color="000000"/>
              </w:rPr>
              <w:t>1,230,658,045.23</w:t>
            </w:r>
            <w:r>
              <w:rPr>
                <w:rFonts w:ascii="宋体"/>
                <w:sz w:val="18"/>
              </w:rPr>
            </w:r>
          </w:p>
        </w:tc>
        <w:tc>
          <w:tcPr>
            <w:tcW w:w="971" w:type="dxa"/>
            <w:tcBorders>
              <w:top w:val="single" w:sz="6" w:space="0" w:color="000000"/>
              <w:left w:val="nil" w:sz="6" w:space="0" w:color="auto"/>
              <w:bottom w:val="nil" w:sz="6" w:space="0" w:color="auto"/>
              <w:right w:val="nil" w:sz="6" w:space="0" w:color="auto"/>
            </w:tcBorders>
          </w:tcPr>
          <w:p>
            <w:pPr/>
          </w:p>
        </w:tc>
        <w:tc>
          <w:tcPr>
            <w:tcW w:w="766" w:type="dxa"/>
            <w:tcBorders>
              <w:top w:val="single" w:sz="6" w:space="0" w:color="000000"/>
              <w:left w:val="nil" w:sz="6" w:space="0" w:color="auto"/>
              <w:bottom w:val="nil" w:sz="6" w:space="0" w:color="auto"/>
              <w:right w:val="nil" w:sz="6" w:space="0" w:color="auto"/>
            </w:tcBorders>
          </w:tcPr>
          <w:p>
            <w:pPr/>
          </w:p>
        </w:tc>
        <w:tc>
          <w:tcPr>
            <w:tcW w:w="1387"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13"/>
              <w:jc w:val="right"/>
              <w:rPr>
                <w:rFonts w:ascii="宋体" w:hAnsi="宋体" w:cs="宋体" w:eastAsia="宋体" w:hint="default"/>
                <w:sz w:val="18"/>
                <w:szCs w:val="18"/>
              </w:rPr>
            </w:pPr>
            <w:r>
              <w:rPr>
                <w:rFonts w:ascii="宋体"/>
                <w:sz w:val="18"/>
              </w:rPr>
            </w:r>
            <w:r>
              <w:rPr>
                <w:rFonts w:ascii="宋体"/>
                <w:spacing w:val="-1"/>
                <w:sz w:val="18"/>
                <w:u w:val="single" w:color="000000"/>
              </w:rPr>
              <w:t>35,425,700.00</w:t>
            </w:r>
            <w:r>
              <w:rPr>
                <w:rFonts w:ascii="宋体"/>
                <w:spacing w:val="-1"/>
                <w:sz w:val="18"/>
              </w:rPr>
            </w:r>
          </w:p>
        </w:tc>
        <w:tc>
          <w:tcPr>
            <w:tcW w:w="155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r>
            <w:r>
              <w:rPr>
                <w:rFonts w:ascii="宋体"/>
                <w:spacing w:val="-1"/>
                <w:sz w:val="18"/>
                <w:u w:val="single" w:color="000000"/>
              </w:rPr>
              <w:t>1,266,083,745.23</w:t>
            </w:r>
            <w:r>
              <w:rPr>
                <w:rFonts w:ascii="宋体"/>
                <w:spacing w:val="-1"/>
                <w:sz w:val="18"/>
              </w:rPr>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812" w:right="0"/>
              <w:jc w:val="left"/>
              <w:rPr>
                <w:rFonts w:ascii="宋体" w:hAnsi="宋体" w:cs="宋体" w:eastAsia="宋体" w:hint="default"/>
                <w:sz w:val="18"/>
                <w:szCs w:val="18"/>
              </w:rPr>
            </w:pPr>
            <w:r>
              <w:rPr>
                <w:rFonts w:ascii="宋体" w:hAnsi="宋体" w:cs="宋体" w:eastAsia="宋体" w:hint="default"/>
                <w:b/>
                <w:bCs/>
                <w:sz w:val="18"/>
                <w:szCs w:val="18"/>
              </w:rPr>
              <w:t>1年以内</w:t>
            </w:r>
            <w:r>
              <w:rPr>
                <w:rFonts w:ascii="宋体" w:hAnsi="宋体" w:cs="宋体" w:eastAsia="宋体" w:hint="default"/>
                <w:sz w:val="18"/>
                <w:szCs w:val="18"/>
              </w:rPr>
            </w:r>
          </w:p>
        </w:tc>
        <w:tc>
          <w:tcPr>
            <w:tcW w:w="97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96" w:right="0"/>
              <w:jc w:val="left"/>
              <w:rPr>
                <w:rFonts w:ascii="宋体" w:hAnsi="宋体" w:cs="宋体" w:eastAsia="宋体" w:hint="default"/>
                <w:sz w:val="18"/>
                <w:szCs w:val="18"/>
              </w:rPr>
            </w:pPr>
            <w:r>
              <w:rPr>
                <w:rFonts w:ascii="宋体" w:hAnsi="宋体" w:cs="宋体" w:eastAsia="宋体" w:hint="default"/>
                <w:b/>
                <w:bCs/>
                <w:sz w:val="18"/>
                <w:szCs w:val="18"/>
              </w:rPr>
              <w:t>1-2年</w:t>
            </w:r>
            <w:r>
              <w:rPr>
                <w:rFonts w:ascii="宋体" w:hAnsi="宋体" w:cs="宋体" w:eastAsia="宋体" w:hint="default"/>
                <w:sz w:val="18"/>
                <w:szCs w:val="18"/>
              </w:rPr>
            </w:r>
          </w:p>
        </w:tc>
        <w:tc>
          <w:tcPr>
            <w:tcW w:w="76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b/>
                <w:bCs/>
                <w:w w:val="95"/>
                <w:sz w:val="18"/>
                <w:szCs w:val="18"/>
              </w:rPr>
              <w:t>2-3年</w:t>
            </w:r>
            <w:r>
              <w:rPr>
                <w:rFonts w:ascii="宋体" w:hAnsi="宋体" w:cs="宋体" w:eastAsia="宋体" w:hint="default"/>
                <w:sz w:val="18"/>
                <w:szCs w:val="18"/>
              </w:rPr>
            </w:r>
          </w:p>
        </w:tc>
        <w:tc>
          <w:tcPr>
            <w:tcW w:w="1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b/>
                <w:bCs/>
                <w:w w:val="95"/>
                <w:sz w:val="18"/>
                <w:szCs w:val="18"/>
              </w:rPr>
              <w:t>3年以上</w:t>
            </w:r>
            <w:r>
              <w:rPr>
                <w:rFonts w:ascii="宋体" w:hAnsi="宋体" w:cs="宋体" w:eastAsia="宋体" w:hint="default"/>
                <w:sz w:val="18"/>
                <w:szCs w:val="18"/>
              </w:rPr>
            </w: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81" w:right="0"/>
              <w:jc w:val="left"/>
              <w:rPr>
                <w:rFonts w:ascii="宋体" w:hAnsi="宋体" w:cs="宋体" w:eastAsia="宋体" w:hint="default"/>
                <w:sz w:val="18"/>
                <w:szCs w:val="18"/>
              </w:rPr>
            </w:pPr>
            <w:r>
              <w:rPr>
                <w:rFonts w:ascii="宋体"/>
                <w:sz w:val="18"/>
              </w:rPr>
              <w:t>394,567,838.42</w:t>
            </w: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394,567,838.42</w:t>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81" w:right="0"/>
              <w:jc w:val="left"/>
              <w:rPr>
                <w:rFonts w:ascii="宋体" w:hAnsi="宋体" w:cs="宋体" w:eastAsia="宋体" w:hint="default"/>
                <w:sz w:val="18"/>
                <w:szCs w:val="18"/>
              </w:rPr>
            </w:pPr>
            <w:r>
              <w:rPr>
                <w:rFonts w:ascii="宋体"/>
                <w:sz w:val="18"/>
              </w:rPr>
              <w:t>262,975,064.75</w:t>
            </w: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262,975,064.75</w:t>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20" w:type="dxa"/>
            <w:tcBorders>
              <w:top w:val="single" w:sz="6" w:space="0" w:color="000000"/>
              <w:left w:val="nil" w:sz="6" w:space="0" w:color="auto"/>
              <w:bottom w:val="single" w:sz="6" w:space="0" w:color="000000"/>
              <w:right w:val="nil" w:sz="6" w:space="0" w:color="auto"/>
            </w:tcBorders>
          </w:tcPr>
          <w:p>
            <w:pP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35,425,700.00</w:t>
            </w: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spacing w:val="-1"/>
                <w:sz w:val="18"/>
              </w:rPr>
              <w:t>35,425,700.00</w:t>
            </w:r>
          </w:p>
        </w:tc>
      </w:tr>
      <w:tr>
        <w:trPr>
          <w:trHeight w:val="347" w:hRule="exact"/>
        </w:trPr>
        <w:tc>
          <w:tcPr>
            <w:tcW w:w="240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其他流动资产（理财产品）</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72" w:right="0"/>
              <w:jc w:val="left"/>
              <w:rPr>
                <w:rFonts w:ascii="宋体" w:hAnsi="宋体" w:cs="宋体" w:eastAsia="宋体" w:hint="default"/>
                <w:sz w:val="18"/>
                <w:szCs w:val="18"/>
              </w:rPr>
            </w:pPr>
            <w:r>
              <w:rPr>
                <w:rFonts w:ascii="宋体"/>
                <w:sz w:val="18"/>
              </w:rPr>
              <w:t>19,900,000.00</w:t>
            </w:r>
          </w:p>
        </w:tc>
        <w:tc>
          <w:tcPr>
            <w:tcW w:w="971" w:type="dxa"/>
            <w:tcBorders>
              <w:top w:val="single" w:sz="6" w:space="0" w:color="000000"/>
              <w:left w:val="nil" w:sz="6" w:space="0" w:color="auto"/>
              <w:bottom w:val="single" w:sz="6" w:space="0" w:color="000000"/>
              <w:right w:val="nil" w:sz="6" w:space="0" w:color="auto"/>
            </w:tcBorders>
          </w:tcPr>
          <w:p>
            <w:pPr/>
          </w:p>
        </w:tc>
        <w:tc>
          <w:tcPr>
            <w:tcW w:w="766" w:type="dxa"/>
            <w:tcBorders>
              <w:top w:val="single" w:sz="6" w:space="0" w:color="000000"/>
              <w:left w:val="nil" w:sz="6" w:space="0" w:color="auto"/>
              <w:bottom w:val="single" w:sz="6" w:space="0" w:color="000000"/>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
        </w:tc>
        <w:tc>
          <w:tcPr>
            <w:tcW w:w="15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pacing w:val="-1"/>
                <w:sz w:val="18"/>
              </w:rPr>
              <w:t>19,900,000.00</w:t>
            </w:r>
          </w:p>
        </w:tc>
      </w:tr>
      <w:tr>
        <w:trPr>
          <w:trHeight w:val="363" w:hRule="exact"/>
        </w:trPr>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720"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81" w:right="0"/>
              <w:jc w:val="left"/>
              <w:rPr>
                <w:rFonts w:ascii="宋体" w:hAnsi="宋体" w:cs="宋体" w:eastAsia="宋体" w:hint="default"/>
                <w:sz w:val="18"/>
                <w:szCs w:val="18"/>
              </w:rPr>
            </w:pPr>
            <w:r>
              <w:rPr>
                <w:rFonts w:ascii="宋体"/>
                <w:sz w:val="18"/>
              </w:rPr>
            </w:r>
            <w:r>
              <w:rPr>
                <w:rFonts w:ascii="宋体"/>
                <w:sz w:val="18"/>
                <w:u w:val="single" w:color="000000"/>
              </w:rPr>
              <w:t>677,442,903.17</w:t>
            </w:r>
            <w:r>
              <w:rPr>
                <w:rFonts w:ascii="宋体"/>
                <w:sz w:val="18"/>
              </w:rPr>
            </w:r>
          </w:p>
        </w:tc>
        <w:tc>
          <w:tcPr>
            <w:tcW w:w="971" w:type="dxa"/>
            <w:tcBorders>
              <w:top w:val="single" w:sz="6" w:space="0" w:color="000000"/>
              <w:left w:val="nil" w:sz="6" w:space="0" w:color="auto"/>
              <w:bottom w:val="nil" w:sz="6" w:space="0" w:color="auto"/>
              <w:right w:val="nil" w:sz="6" w:space="0" w:color="auto"/>
            </w:tcBorders>
          </w:tcPr>
          <w:p>
            <w:pPr/>
          </w:p>
        </w:tc>
        <w:tc>
          <w:tcPr>
            <w:tcW w:w="766" w:type="dxa"/>
            <w:tcBorders>
              <w:top w:val="single" w:sz="6" w:space="0" w:color="000000"/>
              <w:left w:val="nil" w:sz="6" w:space="0" w:color="auto"/>
              <w:bottom w:val="nil" w:sz="6" w:space="0" w:color="auto"/>
              <w:right w:val="nil" w:sz="6" w:space="0" w:color="auto"/>
            </w:tcBorders>
          </w:tcPr>
          <w:p>
            <w:pPr/>
          </w:p>
        </w:tc>
        <w:tc>
          <w:tcPr>
            <w:tcW w:w="138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r>
            <w:r>
              <w:rPr>
                <w:rFonts w:ascii="宋体"/>
                <w:spacing w:val="-1"/>
                <w:sz w:val="18"/>
                <w:u w:val="single" w:color="000000"/>
              </w:rPr>
              <w:t>35,425,700.00</w:t>
            </w:r>
            <w:r>
              <w:rPr>
                <w:rFonts w:ascii="宋体"/>
                <w:spacing w:val="-1"/>
                <w:sz w:val="18"/>
              </w:rPr>
            </w:r>
          </w:p>
        </w:tc>
        <w:tc>
          <w:tcPr>
            <w:tcW w:w="155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z w:val="18"/>
              </w:rPr>
            </w:r>
            <w:r>
              <w:rPr>
                <w:rFonts w:ascii="宋体"/>
                <w:spacing w:val="-1"/>
                <w:sz w:val="18"/>
                <w:u w:val="single" w:color="000000"/>
              </w:rPr>
              <w:t>712,868,603.17</w:t>
            </w:r>
            <w:r>
              <w:rPr>
                <w:rFonts w:ascii="宋体"/>
                <w:spacing w:val="-1"/>
                <w:sz w:val="18"/>
              </w:rPr>
            </w:r>
          </w:p>
        </w:tc>
      </w:tr>
    </w:tbl>
    <w:p>
      <w:pPr>
        <w:pStyle w:val="BodyText"/>
        <w:spacing w:line="477" w:lineRule="auto"/>
        <w:ind w:left="532" w:right="8534"/>
        <w:jc w:val="left"/>
      </w:pPr>
      <w:r>
        <w:rPr/>
        <w:t>2.金融负债 截至2018年12月31日止</w:t>
      </w:r>
    </w:p>
    <w:p>
      <w:pPr>
        <w:spacing w:line="240" w:lineRule="auto" w:before="1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345"/>
        <w:gridCol w:w="1546"/>
        <w:gridCol w:w="2225"/>
        <w:gridCol w:w="1188"/>
        <w:gridCol w:w="1492"/>
      </w:tblGrid>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55"/>
              <w:jc w:val="right"/>
              <w:rPr>
                <w:rFonts w:ascii="宋体" w:hAnsi="宋体" w:cs="宋体" w:eastAsia="宋体" w:hint="default"/>
                <w:sz w:val="18"/>
                <w:szCs w:val="18"/>
              </w:rPr>
            </w:pPr>
            <w:r>
              <w:rPr>
                <w:rFonts w:ascii="宋体" w:hAnsi="宋体" w:cs="宋体" w:eastAsia="宋体" w:hint="default"/>
                <w:b/>
                <w:bCs/>
                <w:w w:val="95"/>
                <w:sz w:val="18"/>
                <w:szCs w:val="18"/>
              </w:rPr>
              <w:t>1年以内</w:t>
            </w:r>
            <w:r>
              <w:rPr>
                <w:rFonts w:ascii="宋体" w:hAnsi="宋体" w:cs="宋体" w:eastAsia="宋体" w:hint="default"/>
                <w:sz w:val="18"/>
                <w:szCs w:val="18"/>
              </w:rPr>
            </w:r>
          </w:p>
        </w:tc>
        <w:tc>
          <w:tcPr>
            <w:tcW w:w="2225" w:type="dxa"/>
            <w:tcBorders>
              <w:top w:val="single" w:sz="6" w:space="0" w:color="000000"/>
              <w:left w:val="nil" w:sz="6" w:space="0" w:color="auto"/>
              <w:bottom w:val="single" w:sz="6" w:space="0" w:color="000000"/>
              <w:right w:val="nil" w:sz="6" w:space="0" w:color="auto"/>
            </w:tcBorders>
          </w:tcPr>
          <w:p>
            <w:pPr>
              <w:pStyle w:val="TableParagraph"/>
              <w:tabs>
                <w:tab w:pos="1295" w:val="left" w:leader="none"/>
              </w:tabs>
              <w:spacing w:line="240" w:lineRule="auto" w:before="21"/>
              <w:ind w:right="320"/>
              <w:jc w:val="right"/>
              <w:rPr>
                <w:rFonts w:ascii="宋体" w:hAnsi="宋体" w:cs="宋体" w:eastAsia="宋体" w:hint="default"/>
                <w:sz w:val="18"/>
                <w:szCs w:val="18"/>
              </w:rPr>
            </w:pPr>
            <w:r>
              <w:rPr>
                <w:rFonts w:ascii="宋体" w:hAnsi="宋体" w:cs="宋体" w:eastAsia="宋体" w:hint="default"/>
                <w:b/>
                <w:bCs/>
                <w:w w:val="95"/>
                <w:sz w:val="18"/>
                <w:szCs w:val="18"/>
              </w:rPr>
              <w:t>1-2年</w:t>
              <w:tab/>
              <w:t>2-3年</w:t>
            </w:r>
            <w:r>
              <w:rPr>
                <w:rFonts w:ascii="宋体" w:hAnsi="宋体" w:cs="宋体" w:eastAsia="宋体" w:hint="default"/>
                <w:sz w:val="18"/>
                <w:szCs w:val="18"/>
              </w:rPr>
            </w:r>
          </w:p>
        </w:tc>
        <w:tc>
          <w:tcPr>
            <w:tcW w:w="118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29"/>
              <w:jc w:val="right"/>
              <w:rPr>
                <w:rFonts w:ascii="宋体" w:hAnsi="宋体" w:cs="宋体" w:eastAsia="宋体" w:hint="default"/>
                <w:sz w:val="18"/>
                <w:szCs w:val="18"/>
              </w:rPr>
            </w:pPr>
            <w:r>
              <w:rPr>
                <w:rFonts w:ascii="宋体" w:hAnsi="宋体" w:cs="宋体" w:eastAsia="宋体" w:hint="default"/>
                <w:b/>
                <w:bCs/>
                <w:sz w:val="18"/>
                <w:szCs w:val="18"/>
              </w:rPr>
              <w:t>3年以上</w:t>
            </w:r>
            <w:r>
              <w:rPr>
                <w:rFonts w:ascii="宋体" w:hAnsi="宋体" w:cs="宋体" w:eastAsia="宋体" w:hint="default"/>
                <w:sz w:val="18"/>
                <w:szCs w:val="18"/>
              </w:rPr>
            </w: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56"/>
              <w:jc w:val="right"/>
              <w:rPr>
                <w:rFonts w:ascii="宋体" w:hAnsi="宋体" w:cs="宋体" w:eastAsia="宋体" w:hint="default"/>
                <w:sz w:val="18"/>
                <w:szCs w:val="18"/>
              </w:rPr>
            </w:pPr>
            <w:r>
              <w:rPr>
                <w:rFonts w:ascii="宋体"/>
                <w:spacing w:val="-1"/>
                <w:sz w:val="18"/>
              </w:rPr>
              <w:t>235,000,000.00</w:t>
            </w:r>
          </w:p>
        </w:tc>
        <w:tc>
          <w:tcPr>
            <w:tcW w:w="2225" w:type="dxa"/>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235,000,000.00</w:t>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56"/>
              <w:jc w:val="right"/>
              <w:rPr>
                <w:rFonts w:ascii="宋体" w:hAnsi="宋体" w:cs="宋体" w:eastAsia="宋体" w:hint="default"/>
                <w:sz w:val="18"/>
                <w:szCs w:val="18"/>
              </w:rPr>
            </w:pPr>
            <w:r>
              <w:rPr>
                <w:rFonts w:ascii="宋体"/>
                <w:spacing w:val="-1"/>
                <w:sz w:val="18"/>
              </w:rPr>
              <w:t>2,031,543.16</w:t>
            </w:r>
          </w:p>
        </w:tc>
        <w:tc>
          <w:tcPr>
            <w:tcW w:w="2225" w:type="dxa"/>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2,031,543.16</w:t>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56"/>
              <w:jc w:val="right"/>
              <w:rPr>
                <w:rFonts w:ascii="宋体" w:hAnsi="宋体" w:cs="宋体" w:eastAsia="宋体" w:hint="default"/>
                <w:sz w:val="18"/>
                <w:szCs w:val="18"/>
              </w:rPr>
            </w:pPr>
            <w:r>
              <w:rPr>
                <w:rFonts w:ascii="宋体"/>
                <w:spacing w:val="-1"/>
                <w:sz w:val="18"/>
              </w:rPr>
              <w:t>39,668,160.21</w:t>
            </w:r>
          </w:p>
        </w:tc>
        <w:tc>
          <w:tcPr>
            <w:tcW w:w="2225" w:type="dxa"/>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pacing w:val="-1"/>
                <w:sz w:val="18"/>
              </w:rPr>
              <w:t>39,668,160.21</w:t>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56"/>
              <w:jc w:val="right"/>
              <w:rPr>
                <w:rFonts w:ascii="宋体" w:hAnsi="宋体" w:cs="宋体" w:eastAsia="宋体" w:hint="default"/>
                <w:sz w:val="18"/>
                <w:szCs w:val="18"/>
              </w:rPr>
            </w:pPr>
            <w:r>
              <w:rPr>
                <w:rFonts w:ascii="宋体"/>
                <w:spacing w:val="-1"/>
                <w:sz w:val="18"/>
              </w:rPr>
              <w:t>717,965.33</w:t>
            </w:r>
          </w:p>
        </w:tc>
        <w:tc>
          <w:tcPr>
            <w:tcW w:w="2225" w:type="dxa"/>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717,965.33</w:t>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46" w:type="dxa"/>
            <w:tcBorders>
              <w:top w:val="single" w:sz="6" w:space="0" w:color="000000"/>
              <w:left w:val="nil" w:sz="6" w:space="0" w:color="auto"/>
              <w:bottom w:val="single" w:sz="6" w:space="0" w:color="000000"/>
              <w:right w:val="nil" w:sz="6" w:space="0" w:color="auto"/>
            </w:tcBorders>
          </w:tcPr>
          <w:p>
            <w:pPr/>
          </w:p>
        </w:tc>
        <w:tc>
          <w:tcPr>
            <w:tcW w:w="222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22"/>
              <w:jc w:val="right"/>
              <w:rPr>
                <w:rFonts w:ascii="宋体" w:hAnsi="宋体" w:cs="宋体" w:eastAsia="宋体" w:hint="default"/>
                <w:sz w:val="18"/>
                <w:szCs w:val="18"/>
              </w:rPr>
            </w:pPr>
            <w:r>
              <w:rPr>
                <w:rFonts w:ascii="宋体"/>
                <w:spacing w:val="-1"/>
                <w:sz w:val="18"/>
              </w:rPr>
              <w:t>4,243,144.59</w:t>
            </w: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4,243,144.59</w:t>
            </w:r>
          </w:p>
        </w:tc>
      </w:tr>
      <w:tr>
        <w:trPr>
          <w:trHeight w:val="971"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截至2017年12月31日止</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56"/>
              <w:jc w:val="right"/>
              <w:rPr>
                <w:rFonts w:ascii="宋体" w:hAnsi="宋体" w:cs="宋体" w:eastAsia="宋体" w:hint="default"/>
                <w:sz w:val="18"/>
                <w:szCs w:val="18"/>
              </w:rPr>
            </w:pPr>
            <w:r>
              <w:rPr>
                <w:rFonts w:ascii="宋体"/>
                <w:sz w:val="18"/>
              </w:rPr>
            </w:r>
            <w:r>
              <w:rPr>
                <w:rFonts w:ascii="宋体"/>
                <w:spacing w:val="-1"/>
                <w:sz w:val="18"/>
                <w:u w:val="single" w:color="000000"/>
              </w:rPr>
              <w:t>277,417,668.70</w:t>
            </w:r>
            <w:r>
              <w:rPr>
                <w:rFonts w:ascii="宋体"/>
                <w:spacing w:val="-1"/>
                <w:sz w:val="18"/>
              </w:rPr>
            </w:r>
          </w:p>
        </w:tc>
        <w:tc>
          <w:tcPr>
            <w:tcW w:w="222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322"/>
              <w:jc w:val="right"/>
              <w:rPr>
                <w:rFonts w:ascii="宋体" w:hAnsi="宋体" w:cs="宋体" w:eastAsia="宋体" w:hint="default"/>
                <w:sz w:val="18"/>
                <w:szCs w:val="18"/>
              </w:rPr>
            </w:pPr>
            <w:r>
              <w:rPr>
                <w:rFonts w:ascii="宋体"/>
                <w:sz w:val="18"/>
              </w:rPr>
            </w:r>
            <w:r>
              <w:rPr>
                <w:rFonts w:ascii="宋体"/>
                <w:spacing w:val="-1"/>
                <w:sz w:val="18"/>
                <w:u w:val="single" w:color="000000"/>
              </w:rPr>
              <w:t>4,243,144.59</w:t>
            </w:r>
            <w:r>
              <w:rPr>
                <w:rFonts w:ascii="宋体"/>
                <w:spacing w:val="-1"/>
                <w:sz w:val="18"/>
              </w:rPr>
            </w: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z w:val="18"/>
              </w:rPr>
            </w:r>
            <w:r>
              <w:rPr>
                <w:rFonts w:ascii="宋体"/>
                <w:spacing w:val="-1"/>
                <w:sz w:val="18"/>
                <w:u w:val="single" w:color="000000"/>
              </w:rPr>
              <w:t>281,660,813.29</w:t>
            </w:r>
            <w:r>
              <w:rPr>
                <w:rFonts w:ascii="宋体"/>
                <w:spacing w:val="-1"/>
                <w:sz w:val="18"/>
              </w:rPr>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52"/>
              <w:jc w:val="right"/>
              <w:rPr>
                <w:rFonts w:ascii="宋体" w:hAnsi="宋体" w:cs="宋体" w:eastAsia="宋体" w:hint="default"/>
                <w:sz w:val="18"/>
                <w:szCs w:val="18"/>
              </w:rPr>
            </w:pPr>
            <w:r>
              <w:rPr>
                <w:rFonts w:ascii="宋体" w:hAnsi="宋体" w:cs="宋体" w:eastAsia="宋体" w:hint="default"/>
                <w:b/>
                <w:bCs/>
                <w:w w:val="95"/>
                <w:sz w:val="18"/>
                <w:szCs w:val="18"/>
              </w:rPr>
              <w:t>1年以内</w:t>
            </w:r>
            <w:r>
              <w:rPr>
                <w:rFonts w:ascii="宋体" w:hAnsi="宋体" w:cs="宋体" w:eastAsia="宋体" w:hint="default"/>
                <w:sz w:val="18"/>
                <w:szCs w:val="18"/>
              </w:rPr>
            </w:r>
          </w:p>
        </w:tc>
        <w:tc>
          <w:tcPr>
            <w:tcW w:w="2225" w:type="dxa"/>
            <w:tcBorders>
              <w:top w:val="single" w:sz="6" w:space="0" w:color="000000"/>
              <w:left w:val="nil" w:sz="6" w:space="0" w:color="auto"/>
              <w:bottom w:val="single" w:sz="6" w:space="0" w:color="000000"/>
              <w:right w:val="nil" w:sz="6" w:space="0" w:color="auto"/>
            </w:tcBorders>
          </w:tcPr>
          <w:p>
            <w:pPr>
              <w:pStyle w:val="TableParagraph"/>
              <w:tabs>
                <w:tab w:pos="895" w:val="left" w:leader="none"/>
              </w:tabs>
              <w:spacing w:line="240" w:lineRule="auto" w:before="21"/>
              <w:ind w:right="328"/>
              <w:jc w:val="right"/>
              <w:rPr>
                <w:rFonts w:ascii="宋体" w:hAnsi="宋体" w:cs="宋体" w:eastAsia="宋体" w:hint="default"/>
                <w:sz w:val="18"/>
                <w:szCs w:val="18"/>
              </w:rPr>
            </w:pPr>
            <w:r>
              <w:rPr>
                <w:rFonts w:ascii="宋体" w:hAnsi="宋体" w:cs="宋体" w:eastAsia="宋体" w:hint="default"/>
                <w:b/>
                <w:bCs/>
                <w:sz w:val="18"/>
                <w:szCs w:val="18"/>
              </w:rPr>
              <w:t>1-2年</w:t>
              <w:tab/>
            </w:r>
            <w:r>
              <w:rPr>
                <w:rFonts w:ascii="宋体" w:hAnsi="宋体" w:cs="宋体" w:eastAsia="宋体" w:hint="default"/>
                <w:b/>
                <w:bCs/>
                <w:w w:val="95"/>
                <w:sz w:val="18"/>
                <w:szCs w:val="18"/>
              </w:rPr>
              <w:t>2-3年</w:t>
            </w:r>
            <w:r>
              <w:rPr>
                <w:rFonts w:ascii="宋体" w:hAnsi="宋体" w:cs="宋体" w:eastAsia="宋体" w:hint="default"/>
                <w:sz w:val="18"/>
                <w:szCs w:val="18"/>
              </w:rPr>
            </w:r>
          </w:p>
        </w:tc>
        <w:tc>
          <w:tcPr>
            <w:tcW w:w="118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21"/>
              <w:jc w:val="right"/>
              <w:rPr>
                <w:rFonts w:ascii="宋体" w:hAnsi="宋体" w:cs="宋体" w:eastAsia="宋体" w:hint="default"/>
                <w:sz w:val="18"/>
                <w:szCs w:val="18"/>
              </w:rPr>
            </w:pPr>
            <w:r>
              <w:rPr>
                <w:rFonts w:ascii="宋体" w:hAnsi="宋体" w:cs="宋体" w:eastAsia="宋体" w:hint="default"/>
                <w:b/>
                <w:bCs/>
                <w:w w:val="95"/>
                <w:sz w:val="18"/>
                <w:szCs w:val="18"/>
              </w:rPr>
              <w:t>3年以上</w:t>
            </w:r>
            <w:r>
              <w:rPr>
                <w:rFonts w:ascii="宋体" w:hAnsi="宋体" w:cs="宋体" w:eastAsia="宋体" w:hint="default"/>
                <w:sz w:val="18"/>
                <w:szCs w:val="18"/>
              </w:rPr>
            </w: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54"/>
              <w:jc w:val="right"/>
              <w:rPr>
                <w:rFonts w:ascii="宋体" w:hAnsi="宋体" w:cs="宋体" w:eastAsia="宋体" w:hint="default"/>
                <w:sz w:val="18"/>
                <w:szCs w:val="18"/>
              </w:rPr>
            </w:pPr>
            <w:r>
              <w:rPr>
                <w:rFonts w:ascii="宋体"/>
                <w:spacing w:val="-1"/>
                <w:sz w:val="18"/>
              </w:rPr>
              <w:t>6,432,590.15</w:t>
            </w:r>
          </w:p>
        </w:tc>
        <w:tc>
          <w:tcPr>
            <w:tcW w:w="2225" w:type="dxa"/>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6,432,590.15</w:t>
            </w:r>
          </w:p>
        </w:tc>
      </w:tr>
      <w:tr>
        <w:trPr>
          <w:trHeight w:val="347" w:hRule="exact"/>
        </w:trPr>
        <w:tc>
          <w:tcPr>
            <w:tcW w:w="2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54"/>
              <w:jc w:val="right"/>
              <w:rPr>
                <w:rFonts w:ascii="宋体" w:hAnsi="宋体" w:cs="宋体" w:eastAsia="宋体" w:hint="default"/>
                <w:sz w:val="18"/>
                <w:szCs w:val="18"/>
              </w:rPr>
            </w:pPr>
            <w:r>
              <w:rPr>
                <w:rFonts w:ascii="宋体"/>
                <w:spacing w:val="-1"/>
                <w:sz w:val="18"/>
              </w:rPr>
              <w:t>62,397,384.70</w:t>
            </w:r>
          </w:p>
        </w:tc>
        <w:tc>
          <w:tcPr>
            <w:tcW w:w="2225" w:type="dxa"/>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c>
          <w:tcPr>
            <w:tcW w:w="149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spacing w:val="-1"/>
                <w:sz w:val="18"/>
              </w:rPr>
              <w:t>62,397,384.70</w:t>
            </w:r>
          </w:p>
        </w:tc>
      </w:tr>
      <w:tr>
        <w:trPr>
          <w:trHeight w:val="364" w:hRule="exact"/>
        </w:trPr>
        <w:tc>
          <w:tcPr>
            <w:tcW w:w="2345"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4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54"/>
              <w:jc w:val="right"/>
              <w:rPr>
                <w:rFonts w:ascii="宋体" w:hAnsi="宋体" w:cs="宋体" w:eastAsia="宋体" w:hint="default"/>
                <w:sz w:val="18"/>
                <w:szCs w:val="18"/>
              </w:rPr>
            </w:pPr>
            <w:r>
              <w:rPr>
                <w:rFonts w:ascii="宋体"/>
                <w:spacing w:val="-1"/>
                <w:sz w:val="18"/>
              </w:rPr>
              <w:t>2,061,758.55</w:t>
            </w:r>
          </w:p>
        </w:tc>
        <w:tc>
          <w:tcPr>
            <w:tcW w:w="2225" w:type="dxa"/>
            <w:tcBorders>
              <w:top w:val="single" w:sz="6" w:space="0" w:color="000000"/>
              <w:left w:val="nil" w:sz="6" w:space="0" w:color="auto"/>
              <w:bottom w:val="nil" w:sz="6" w:space="0" w:color="auto"/>
              <w:right w:val="nil" w:sz="6" w:space="0" w:color="auto"/>
            </w:tcBorders>
          </w:tcPr>
          <w:p>
            <w:pPr/>
          </w:p>
        </w:tc>
        <w:tc>
          <w:tcPr>
            <w:tcW w:w="1188" w:type="dxa"/>
            <w:tcBorders>
              <w:top w:val="single" w:sz="6" w:space="0" w:color="000000"/>
              <w:left w:val="nil" w:sz="6" w:space="0" w:color="auto"/>
              <w:bottom w:val="nil" w:sz="6" w:space="0" w:color="auto"/>
              <w:right w:val="nil" w:sz="6" w:space="0" w:color="auto"/>
            </w:tcBorders>
          </w:tcPr>
          <w:p>
            <w:pPr/>
          </w:p>
        </w:tc>
        <w:tc>
          <w:tcPr>
            <w:tcW w:w="149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2,061,758.55</w:t>
            </w:r>
          </w:p>
        </w:tc>
      </w:tr>
    </w:tbl>
    <w:p>
      <w:pPr>
        <w:spacing w:after="0" w:line="240" w:lineRule="auto"/>
        <w:jc w:val="right"/>
        <w:rPr>
          <w:rFonts w:ascii="宋体" w:hAnsi="宋体" w:cs="宋体" w:eastAsia="宋体" w:hint="default"/>
          <w:sz w:val="18"/>
          <w:szCs w:val="18"/>
        </w:rPr>
        <w:sectPr>
          <w:pgSz w:w="11910" w:h="16840"/>
          <w:pgMar w:header="919" w:footer="1009" w:top="1120" w:bottom="1200" w:left="1020" w:right="0"/>
        </w:sectPr>
      </w:pPr>
    </w:p>
    <w:p>
      <w:pPr>
        <w:spacing w:line="240" w:lineRule="auto" w:before="13"/>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1648"/>
        <w:gridCol w:w="2215"/>
        <w:gridCol w:w="1583"/>
        <w:gridCol w:w="1902"/>
        <w:gridCol w:w="1448"/>
      </w:tblGrid>
      <w:tr>
        <w:trPr>
          <w:trHeight w:val="347" w:hRule="exact"/>
        </w:trPr>
        <w:tc>
          <w:tcPr>
            <w:tcW w:w="164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15" w:type="dxa"/>
            <w:tcBorders>
              <w:top w:val="single" w:sz="6" w:space="0" w:color="000000"/>
              <w:left w:val="nil" w:sz="6" w:space="0" w:color="auto"/>
              <w:bottom w:val="single" w:sz="6" w:space="0" w:color="000000"/>
              <w:right w:val="nil" w:sz="6" w:space="0" w:color="auto"/>
            </w:tcBorders>
          </w:tcPr>
          <w:p>
            <w:pPr/>
          </w:p>
        </w:tc>
        <w:tc>
          <w:tcPr>
            <w:tcW w:w="158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27" w:right="0"/>
              <w:jc w:val="left"/>
              <w:rPr>
                <w:rFonts w:ascii="宋体" w:hAnsi="宋体" w:cs="宋体" w:eastAsia="宋体" w:hint="default"/>
                <w:sz w:val="18"/>
                <w:szCs w:val="18"/>
              </w:rPr>
            </w:pPr>
            <w:r>
              <w:rPr>
                <w:rFonts w:ascii="宋体"/>
                <w:sz w:val="18"/>
              </w:rPr>
              <w:t>717,965.33</w:t>
            </w:r>
          </w:p>
        </w:tc>
        <w:tc>
          <w:tcPr>
            <w:tcW w:w="190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65"/>
              <w:jc w:val="right"/>
              <w:rPr>
                <w:rFonts w:ascii="宋体" w:hAnsi="宋体" w:cs="宋体" w:eastAsia="宋体" w:hint="default"/>
                <w:sz w:val="18"/>
                <w:szCs w:val="18"/>
              </w:rPr>
            </w:pPr>
            <w:r>
              <w:rPr>
                <w:rFonts w:ascii="宋体"/>
                <w:spacing w:val="-1"/>
                <w:sz w:val="18"/>
              </w:rPr>
              <w:t>4,243,144.59</w:t>
            </w:r>
          </w:p>
        </w:tc>
        <w:tc>
          <w:tcPr>
            <w:tcW w:w="144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4,961,109.92</w:t>
            </w:r>
          </w:p>
        </w:tc>
      </w:tr>
      <w:tr>
        <w:trPr>
          <w:trHeight w:val="365" w:hRule="exact"/>
        </w:trPr>
        <w:tc>
          <w:tcPr>
            <w:tcW w:w="1648"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215"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916" w:right="0"/>
              <w:jc w:val="left"/>
              <w:rPr>
                <w:rFonts w:ascii="宋体" w:hAnsi="宋体" w:cs="宋体" w:eastAsia="宋体" w:hint="default"/>
                <w:sz w:val="18"/>
                <w:szCs w:val="18"/>
              </w:rPr>
            </w:pPr>
            <w:r>
              <w:rPr>
                <w:rFonts w:ascii="宋体"/>
                <w:sz w:val="18"/>
              </w:rPr>
            </w:r>
            <w:r>
              <w:rPr>
                <w:rFonts w:ascii="宋体"/>
                <w:sz w:val="18"/>
                <w:u w:val="single" w:color="000000"/>
              </w:rPr>
              <w:t>70,891,733.40</w:t>
            </w:r>
            <w:r>
              <w:rPr>
                <w:rFonts w:ascii="宋体"/>
                <w:sz w:val="18"/>
              </w:rPr>
            </w:r>
          </w:p>
        </w:tc>
        <w:tc>
          <w:tcPr>
            <w:tcW w:w="1583"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27" w:right="0"/>
              <w:jc w:val="left"/>
              <w:rPr>
                <w:rFonts w:ascii="宋体" w:hAnsi="宋体" w:cs="宋体" w:eastAsia="宋体" w:hint="default"/>
                <w:sz w:val="18"/>
                <w:szCs w:val="18"/>
              </w:rPr>
            </w:pPr>
            <w:r>
              <w:rPr>
                <w:rFonts w:ascii="宋体"/>
                <w:sz w:val="18"/>
              </w:rPr>
            </w:r>
            <w:r>
              <w:rPr>
                <w:rFonts w:ascii="宋体"/>
                <w:sz w:val="18"/>
                <w:u w:val="single" w:color="000000"/>
              </w:rPr>
              <w:t>717,965.33</w:t>
            </w:r>
            <w:r>
              <w:rPr>
                <w:rFonts w:ascii="宋体"/>
                <w:sz w:val="18"/>
              </w:rPr>
            </w:r>
          </w:p>
        </w:tc>
        <w:tc>
          <w:tcPr>
            <w:tcW w:w="1902"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right="265"/>
              <w:jc w:val="right"/>
              <w:rPr>
                <w:rFonts w:ascii="宋体" w:hAnsi="宋体" w:cs="宋体" w:eastAsia="宋体" w:hint="default"/>
                <w:sz w:val="18"/>
                <w:szCs w:val="18"/>
              </w:rPr>
            </w:pPr>
            <w:r>
              <w:rPr>
                <w:rFonts w:ascii="宋体"/>
                <w:sz w:val="18"/>
              </w:rPr>
            </w:r>
            <w:r>
              <w:rPr>
                <w:rFonts w:ascii="宋体"/>
                <w:spacing w:val="-1"/>
                <w:sz w:val="18"/>
                <w:u w:val="single" w:color="000000"/>
              </w:rPr>
              <w:t>4,243,144.59</w:t>
            </w:r>
            <w:r>
              <w:rPr>
                <w:rFonts w:ascii="宋体"/>
                <w:spacing w:val="-1"/>
                <w:sz w:val="18"/>
              </w:rPr>
            </w:r>
          </w:p>
        </w:tc>
        <w:tc>
          <w:tcPr>
            <w:tcW w:w="1448"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right="9"/>
              <w:jc w:val="right"/>
              <w:rPr>
                <w:rFonts w:ascii="宋体" w:hAnsi="宋体" w:cs="宋体" w:eastAsia="宋体" w:hint="default"/>
                <w:sz w:val="18"/>
                <w:szCs w:val="18"/>
              </w:rPr>
            </w:pPr>
            <w:r>
              <w:rPr>
                <w:rFonts w:ascii="宋体"/>
                <w:sz w:val="18"/>
              </w:rPr>
            </w:r>
            <w:r>
              <w:rPr>
                <w:rFonts w:ascii="宋体"/>
                <w:spacing w:val="-1"/>
                <w:sz w:val="18"/>
                <w:u w:val="single" w:color="000000"/>
              </w:rPr>
              <w:t>75,852,843.32</w:t>
            </w:r>
            <w:r>
              <w:rPr>
                <w:rFonts w:ascii="宋体"/>
                <w:spacing w:val="-1"/>
                <w:sz w:val="18"/>
              </w:rPr>
            </w:r>
          </w:p>
        </w:tc>
      </w:tr>
    </w:tbl>
    <w:p>
      <w:pPr>
        <w:pStyle w:val="BodyText"/>
        <w:spacing w:line="222" w:lineRule="exact"/>
        <w:ind w:left="532" w:right="952"/>
        <w:jc w:val="left"/>
      </w:pPr>
      <w:r>
        <w:rPr/>
        <w:t>（五）汇率风险</w:t>
      </w:r>
    </w:p>
    <w:p>
      <w:pPr>
        <w:spacing w:line="240" w:lineRule="auto" w:before="10"/>
        <w:rPr>
          <w:rFonts w:ascii="宋体" w:hAnsi="宋体" w:cs="宋体" w:eastAsia="宋体" w:hint="default"/>
          <w:sz w:val="17"/>
          <w:szCs w:val="17"/>
        </w:rPr>
      </w:pPr>
    </w:p>
    <w:p>
      <w:pPr>
        <w:pStyle w:val="BodyText"/>
        <w:spacing w:line="240" w:lineRule="auto"/>
        <w:ind w:left="472" w:right="952"/>
        <w:jc w:val="left"/>
      </w:pPr>
      <w:r>
        <w:rPr/>
        <w:t>公司期末未持有较大金额的外币，预计未来不会面临汇率风险。</w:t>
      </w:r>
    </w:p>
    <w:p>
      <w:pPr>
        <w:pStyle w:val="BodyText"/>
        <w:spacing w:line="470" w:lineRule="atLeast"/>
        <w:ind w:left="472" w:right="952" w:firstLine="60"/>
        <w:jc w:val="left"/>
      </w:pPr>
      <w:r>
        <w:rPr/>
        <w:t>（六）公允价值 </w:t>
      </w:r>
      <w:r>
        <w:rPr>
          <w:spacing w:val="-2"/>
        </w:rPr>
        <w:t>本公司各种金融工具，其中包括应收账款、其他应收款、应付账款、其他应付款、借款的公允价值，与相应的账面价值</w:t>
      </w:r>
    </w:p>
    <w:p>
      <w:pPr>
        <w:pStyle w:val="BodyText"/>
        <w:spacing w:line="240" w:lineRule="auto" w:before="76"/>
        <w:ind w:right="952"/>
        <w:jc w:val="left"/>
      </w:pPr>
      <w:r>
        <w:rPr/>
        <w:t>并无重大差异。</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十一、关联方及关联交易" w:id="399"/>
      <w:bookmarkEnd w:id="399"/>
      <w:r>
        <w:rPr>
          <w:b w:val="0"/>
          <w:bCs w:val="0"/>
        </w:rPr>
      </w: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本企业的母公司情况" w:id="400"/>
      <w:bookmarkEnd w:id="40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360" w:lineRule="auto" w:before="50"/>
        <w:ind w:right="8594"/>
        <w:jc w:val="left"/>
      </w:pPr>
      <w:r>
        <w:rPr/>
        <w:t>本企业的母公司情况的说明 无</w:t>
      </w:r>
    </w:p>
    <w:p>
      <w:pPr>
        <w:pStyle w:val="BodyText"/>
        <w:spacing w:line="360" w:lineRule="auto" w:before="25"/>
        <w:ind w:right="7334"/>
        <w:jc w:val="left"/>
      </w:pPr>
      <w:r>
        <w:rPr/>
        <w:t>本企业最终控制方是自然人唐球和鄢建红。 其他说明：</w:t>
      </w:r>
    </w:p>
    <w:p>
      <w:pPr>
        <w:pStyle w:val="BodyText"/>
        <w:spacing w:line="240" w:lineRule="auto" w:before="27"/>
        <w:ind w:right="952"/>
        <w:jc w:val="left"/>
      </w:pPr>
      <w:r>
        <w:rPr/>
        <w:t>无</w:t>
      </w:r>
    </w:p>
    <w:p>
      <w:pPr>
        <w:spacing w:line="240" w:lineRule="auto" w:before="11"/>
        <w:rPr>
          <w:rFonts w:ascii="宋体" w:hAnsi="宋体" w:cs="宋体" w:eastAsia="宋体" w:hint="default"/>
          <w:sz w:val="26"/>
          <w:szCs w:val="26"/>
        </w:rPr>
      </w:pPr>
    </w:p>
    <w:p>
      <w:pPr>
        <w:spacing w:line="547" w:lineRule="auto" w:before="0"/>
        <w:ind w:left="112" w:right="4274" w:firstLine="0"/>
        <w:jc w:val="left"/>
        <w:rPr>
          <w:rFonts w:ascii="宋体" w:hAnsi="宋体" w:cs="宋体" w:eastAsia="宋体" w:hint="default"/>
          <w:sz w:val="21"/>
          <w:szCs w:val="21"/>
        </w:rPr>
      </w:pPr>
      <w:bookmarkStart w:name="2、本企业的子公司情况" w:id="401"/>
      <w:bookmarkEnd w:id="4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02"/>
      <w:bookmarkEnd w:id="40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4"/>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2d2d2"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357" w:lineRule="auto" w:before="50"/>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4、其他关联方情况" w:id="403"/>
      <w:bookmarkEnd w:id="40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5"/>
          <w:szCs w:val="25"/>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92;top:10;width:4786;height:402" type="#_x0000_t202" filled="false" stroked="false">
                <v:textbox inset="0,0,0,0">
                  <w:txbxContent>
                    <w:p>
                      <w:pPr>
                        <w:spacing w:before="53"/>
                        <w:ind w:left="1403"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10034"/>
        <w:jc w:val="left"/>
      </w:pPr>
      <w:r>
        <w:rPr/>
        <w:t>其他说明 无</w:t>
      </w:r>
    </w:p>
    <w:p>
      <w:pPr>
        <w:spacing w:after="0" w:line="36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5、关联交易情况" w:id="404"/>
      <w:bookmarkEnd w:id="40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购销商品、提供和接受劳务的关联交易" w:id="405"/>
      <w:bookmarkEnd w:id="40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5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5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7334"/>
        <w:jc w:val="left"/>
      </w:pPr>
      <w:r>
        <w:rPr/>
        <w:t>购销商品、提供和接受劳务的关联交易说明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关联受托管理/承包及委托管理/出包情况" w:id="406"/>
      <w:bookmarkEnd w:id="40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2"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7" w:right="112"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38" w:right="112"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13" w:right="111" w:hanging="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19" w:footer="1009" w:top="1120" w:bottom="1200" w:left="1020" w:right="0"/>
        </w:sectPr>
      </w:pPr>
    </w:p>
    <w:p>
      <w:pPr>
        <w:pStyle w:val="BodyText"/>
        <w:spacing w:line="338" w:lineRule="auto" w:before="51"/>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504" w:space="6326"/>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本期确认的托</w:t>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1"/>
        <w:ind w:right="8904"/>
        <w:jc w:val="left"/>
      </w:pPr>
      <w:r>
        <w:rPr/>
        <w:t>关联管理</w:t>
      </w:r>
      <w:r>
        <w:rPr>
          <w:rFonts w:ascii="Times New Roman" w:hAnsi="Times New Roman" w:cs="Times New Roman" w:eastAsia="Times New Roman" w:hint="default"/>
        </w:rPr>
        <w:t>/</w:t>
      </w:r>
      <w:r>
        <w:rPr/>
        <w:t>出包情况说明 无</w:t>
      </w:r>
    </w:p>
    <w:p>
      <w:pPr>
        <w:spacing w:line="240" w:lineRule="auto" w:before="5"/>
        <w:rPr>
          <w:rFonts w:ascii="宋体" w:hAnsi="宋体" w:cs="宋体" w:eastAsia="宋体" w:hint="default"/>
          <w:sz w:val="21"/>
          <w:szCs w:val="21"/>
        </w:rPr>
      </w:pPr>
    </w:p>
    <w:p>
      <w:pPr>
        <w:pStyle w:val="Heading3"/>
        <w:spacing w:line="240" w:lineRule="auto"/>
        <w:ind w:right="952"/>
        <w:jc w:val="left"/>
        <w:rPr>
          <w:b w:val="0"/>
          <w:bCs w:val="0"/>
        </w:rPr>
      </w:pPr>
      <w:bookmarkStart w:name="（3）关联租赁情况" w:id="407"/>
      <w:bookmarkEnd w:id="40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本公司作为出租方：</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952"/>
        <w:jc w:val="left"/>
      </w:pPr>
      <w:r>
        <w:rPr/>
        <w:t>本公司作为承租方：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50"/>
        <w:ind w:right="9314"/>
        <w:jc w:val="left"/>
      </w:pPr>
      <w:r>
        <w:rPr/>
        <w:t>关联租赁情况说明 无</w:t>
      </w:r>
    </w:p>
    <w:p>
      <w:pPr>
        <w:spacing w:after="0" w:line="360" w:lineRule="auto"/>
        <w:jc w:val="left"/>
        <w:sectPr>
          <w:type w:val="continuous"/>
          <w:pgSz w:w="11910" w:h="16840"/>
          <w:pgMar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4）关联担保情况" w:id="408"/>
      <w:bookmarkEnd w:id="40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本公司作为担保方</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1"/>
        <w:ind w:right="952"/>
        <w:jc w:val="left"/>
      </w:pPr>
      <w:r>
        <w:rPr/>
        <w:t>本公司作为被担保方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360" w:lineRule="auto" w:before="50"/>
        <w:ind w:right="9314"/>
        <w:jc w:val="left"/>
      </w:pPr>
      <w:r>
        <w:rPr/>
        <w:t>关联担保情况说明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5）关联方资金拆借" w:id="409"/>
      <w:bookmarkEnd w:id="40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4"/>
        <w:ind w:right="952"/>
        <w:jc w:val="left"/>
        <w:rPr>
          <w:b w:val="0"/>
          <w:bCs w:val="0"/>
        </w:rPr>
      </w:pPr>
      <w:bookmarkStart w:name="（6）关联方资产转让、债务重组情况" w:id="410"/>
      <w:bookmarkEnd w:id="41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7）关键管理人员报酬" w:id="411"/>
      <w:bookmarkEnd w:id="41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8）其他关联交易" w:id="412"/>
      <w:bookmarkEnd w:id="41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6、关联方应收应付款项" w:id="413"/>
      <w:bookmarkEnd w:id="41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应收项目" w:id="414"/>
      <w:bookmarkEnd w:id="41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3188"/>
        <w:gridCol w:w="3188"/>
      </w:tblGrid>
      <w:tr>
        <w:trPr>
          <w:trHeight w:val="400"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0"/>
              <w:jc w:val="left"/>
              <w:rPr>
                <w:rFonts w:ascii="宋体" w:hAnsi="宋体" w:cs="宋体" w:eastAsia="宋体" w:hint="default"/>
                <w:sz w:val="18"/>
                <w:szCs w:val="18"/>
              </w:rPr>
            </w:pPr>
            <w:r>
              <w:rPr>
                <w:rFonts w:ascii="宋体" w:hAnsi="宋体" w:cs="宋体" w:eastAsia="宋体" w:hint="default"/>
                <w:sz w:val="18"/>
                <w:szCs w:val="18"/>
              </w:rPr>
              <w:t>北京营安金融信 息服务有限公司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1,104,056.54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2）应付项目" w:id="415"/>
      <w:bookmarkEnd w:id="41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7、关联方承诺" w:id="416"/>
      <w:bookmarkEnd w:id="41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8、其他" w:id="417"/>
      <w:bookmarkEnd w:id="417"/>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3"/>
        <w:rPr>
          <w:rFonts w:ascii="宋体" w:hAnsi="宋体" w:cs="宋体" w:eastAsia="宋体" w:hint="default"/>
          <w:sz w:val="25"/>
          <w:szCs w:val="25"/>
        </w:rPr>
      </w:pPr>
    </w:p>
    <w:p>
      <w:pPr>
        <w:pStyle w:val="Heading2"/>
        <w:spacing w:line="240" w:lineRule="auto"/>
        <w:ind w:right="952"/>
        <w:jc w:val="left"/>
        <w:rPr>
          <w:b w:val="0"/>
          <w:bCs w:val="0"/>
        </w:rPr>
      </w:pPr>
      <w:bookmarkStart w:name="十二、股份支付" w:id="418"/>
      <w:bookmarkEnd w:id="418"/>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股份支付总体情况" w:id="419"/>
      <w:bookmarkEnd w:id="41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1,072,500.00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168,750.00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bl>
    <w:p>
      <w:pPr>
        <w:pStyle w:val="BodyText"/>
        <w:spacing w:line="240" w:lineRule="auto" w:before="50"/>
        <w:ind w:right="952"/>
        <w:jc w:val="left"/>
      </w:pPr>
      <w:r>
        <w:rPr/>
        <w:t>其他说明</w:t>
      </w:r>
    </w:p>
    <w:p>
      <w:pPr>
        <w:pStyle w:val="BodyText"/>
        <w:spacing w:line="316" w:lineRule="auto" w:before="115"/>
        <w:ind w:right="1130" w:firstLine="420"/>
        <w:jc w:val="both"/>
      </w:pPr>
      <w:r>
        <w:rPr/>
        <w:t>注：根据2016年公司实施的限制性股票激励计划，经2018年8月14日第三届董事会第十八次会议审议通过，公司2016 年限制性股票激励计划第二个解锁期可解锁股票1,072,500股。公司2016年限制性股票原授予的激励对象冷林勇、李杨、李 </w:t>
      </w:r>
      <w:r>
        <w:rPr>
          <w:spacing w:val="-2"/>
        </w:rPr>
        <w:t>申、李莘共计4人因个人原因申请离职，已不具备股权激励对象的条件，对其持有的已获授权但尚未解锁的168,750股限制性</w:t>
      </w:r>
      <w:r>
        <w:rPr>
          <w:spacing w:val="-59"/>
        </w:rPr>
        <w:t> </w:t>
      </w:r>
      <w:r>
        <w:rPr>
          <w:spacing w:val="-59"/>
        </w:rPr>
      </w:r>
      <w:r>
        <w:rPr/>
        <w:t>股票进行回购注销。</w:t>
      </w:r>
    </w:p>
    <w:p>
      <w:pPr>
        <w:spacing w:line="240" w:lineRule="auto" w:before="8"/>
        <w:rPr>
          <w:rFonts w:ascii="宋体" w:hAnsi="宋体" w:cs="宋体" w:eastAsia="宋体" w:hint="default"/>
          <w:sz w:val="22"/>
          <w:szCs w:val="22"/>
        </w:rPr>
      </w:pPr>
    </w:p>
    <w:p>
      <w:pPr>
        <w:pStyle w:val="Heading3"/>
        <w:spacing w:line="240" w:lineRule="auto"/>
        <w:ind w:right="952"/>
        <w:jc w:val="left"/>
        <w:rPr>
          <w:b w:val="0"/>
          <w:bCs w:val="0"/>
        </w:rPr>
      </w:pPr>
      <w:bookmarkStart w:name="2、以权益结算的股份支付情况" w:id="420"/>
      <w:bookmarkEnd w:id="42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根据最新取得的可行权职工数等后续信息估计</w:t>
            </w:r>
          </w:p>
        </w:tc>
      </w:tr>
      <w:tr>
        <w:trPr>
          <w:trHeight w:val="400"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10,980,314.56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2,591,858.64</w:t>
            </w:r>
          </w:p>
        </w:tc>
      </w:tr>
    </w:tbl>
    <w:p>
      <w:pPr>
        <w:pStyle w:val="BodyText"/>
        <w:spacing w:line="360" w:lineRule="auto" w:before="50"/>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3、以现金结算的股份支付情况" w:id="421"/>
      <w:bookmarkEnd w:id="42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股份支付的修改、终止情况" w:id="422"/>
      <w:bookmarkEnd w:id="42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其他" w:id="423"/>
      <w:bookmarkEnd w:id="423"/>
      <w:r>
        <w:rPr>
          <w:b w:val="0"/>
          <w:bCs w:val="0"/>
        </w:rPr>
      </w: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3"/>
        <w:rPr>
          <w:rFonts w:ascii="宋体" w:hAnsi="宋体" w:cs="宋体" w:eastAsia="宋体" w:hint="default"/>
          <w:sz w:val="25"/>
          <w:szCs w:val="25"/>
        </w:rPr>
      </w:pPr>
    </w:p>
    <w:p>
      <w:pPr>
        <w:pStyle w:val="Heading2"/>
        <w:spacing w:line="240" w:lineRule="auto"/>
        <w:ind w:right="952"/>
        <w:jc w:val="left"/>
        <w:rPr>
          <w:b w:val="0"/>
          <w:bCs w:val="0"/>
        </w:rPr>
      </w:pPr>
      <w:bookmarkStart w:name="十三、承诺及或有事项" w:id="424"/>
      <w:bookmarkEnd w:id="424"/>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重要承诺事项" w:id="425"/>
      <w:bookmarkEnd w:id="42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资产负债表日存在的重要承诺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或有事项" w:id="426"/>
      <w:bookmarkEnd w:id="42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资产负债表日存在的重要或有事项" w:id="427"/>
      <w:bookmarkEnd w:id="42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公司没有需要披露的重要或有事项，也应予以说明" w:id="428"/>
      <w:bookmarkEnd w:id="42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3、其他" w:id="429"/>
      <w:bookmarkEnd w:id="429"/>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3"/>
        <w:rPr>
          <w:rFonts w:ascii="宋体" w:hAnsi="宋体" w:cs="宋体" w:eastAsia="宋体" w:hint="default"/>
          <w:sz w:val="25"/>
          <w:szCs w:val="25"/>
        </w:rPr>
      </w:pPr>
    </w:p>
    <w:p>
      <w:pPr>
        <w:pStyle w:val="Heading2"/>
        <w:spacing w:line="240" w:lineRule="auto"/>
        <w:ind w:right="952"/>
        <w:jc w:val="left"/>
        <w:rPr>
          <w:b w:val="0"/>
          <w:bCs w:val="0"/>
        </w:rPr>
      </w:pPr>
      <w:bookmarkStart w:name="十四、资产负债表日后事项" w:id="430"/>
      <w:bookmarkEnd w:id="430"/>
      <w:r>
        <w:rPr>
          <w:b w:val="0"/>
          <w:bCs w:val="0"/>
        </w:rPr>
      </w:r>
      <w:r>
        <w:rPr/>
        <w:t>十四、资产负债表日后事项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重要的非调整事项" w:id="431"/>
      <w:bookmarkEnd w:id="43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2、利润分配情况" w:id="432"/>
      <w:bookmarkEnd w:id="43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24"/>
          <w:szCs w:val="24"/>
        </w:rPr>
      </w:pPr>
    </w:p>
    <w:p>
      <w:pPr>
        <w:pStyle w:val="Heading3"/>
        <w:spacing w:line="240" w:lineRule="auto" w:before="34"/>
        <w:ind w:right="952"/>
        <w:jc w:val="left"/>
        <w:rPr>
          <w:b w:val="0"/>
          <w:bCs w:val="0"/>
        </w:rPr>
      </w:pPr>
      <w:bookmarkStart w:name="3、销售退回" w:id="433"/>
      <w:bookmarkEnd w:id="43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4、其他资产负债表日后事项说明" w:id="434"/>
      <w:bookmarkEnd w:id="43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1、本公司之公司控股股东、实际控制人唐球先生于2018年3月28日将31,000,000股股份用于质押，质押权人为国联证 券股份有限公司，原定于2019年3月28日到期解除质押，因唐球申请延期购回，双方签订展期合同，现到期日变为2020年3</w:t>
      </w:r>
      <w:r>
        <w:rPr>
          <w:spacing w:val="-11"/>
        </w:rPr>
        <w:t> </w:t>
      </w:r>
      <w:r>
        <w:rPr>
          <w:spacing w:val="-11"/>
        </w:rPr>
      </w:r>
      <w:r>
        <w:rPr/>
        <w:t>月26日。</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截至本财务报告报出之日止，控股股东、实际控制人唐球先生共计持有本公司股份 170,740,705</w:t>
      </w:r>
      <w:r>
        <w:rPr>
          <w:spacing w:val="-52"/>
        </w:rPr>
        <w:t> </w:t>
      </w:r>
      <w:r>
        <w:rPr/>
        <w:t>股，占本公司总股本</w:t>
      </w:r>
      <w:r>
        <w:rPr/>
        <w:t> 的23.00%，累计被质押股份 94,560,000 股，占其持有本公司股份总数的55.38%，占公司总股本的</w:t>
      </w:r>
      <w:r>
        <w:rPr>
          <w:spacing w:val="-13"/>
        </w:rPr>
        <w:t> </w:t>
      </w:r>
      <w:r>
        <w:rPr/>
        <w:t>12.74%。</w:t>
      </w:r>
    </w:p>
    <w:p>
      <w:pPr>
        <w:spacing w:line="240" w:lineRule="auto" w:before="5"/>
        <w:rPr>
          <w:rFonts w:ascii="宋体" w:hAnsi="宋体" w:cs="宋体" w:eastAsia="宋体" w:hint="default"/>
          <w:sz w:val="13"/>
          <w:szCs w:val="13"/>
        </w:rPr>
      </w:pPr>
    </w:p>
    <w:p>
      <w:pPr>
        <w:pStyle w:val="BodyText"/>
        <w:spacing w:line="316" w:lineRule="auto"/>
        <w:ind w:right="952" w:firstLine="420"/>
        <w:jc w:val="left"/>
      </w:pPr>
      <w:r>
        <w:rPr>
          <w:spacing w:val="-3"/>
        </w:rPr>
        <w:t>2、本公司于2019年4月12日解除限售股份18,333,330股，占公司总股本的2.47%。该限售股份持有人唐球为公司董事长、</w:t>
      </w:r>
      <w:r>
        <w:rPr/>
        <w:t> 总经理，上述股份在解除限售后还需符合在任职期间每年可转让股份额度不超过其所持有本公司股份总数25%的规定。截至</w:t>
      </w:r>
      <w:r>
        <w:rPr>
          <w:spacing w:val="-85"/>
        </w:rPr>
        <w:t> </w:t>
      </w:r>
      <w:r>
        <w:rPr>
          <w:spacing w:val="-85"/>
        </w:rPr>
      </w:r>
      <w:r>
        <w:rPr/>
        <w:t>2019年4月10日，唐球共持有公司股份170,740,705</w:t>
      </w:r>
      <w:r>
        <w:rPr>
          <w:spacing w:val="-3"/>
        </w:rPr>
        <w:t> </w:t>
      </w:r>
      <w:r>
        <w:rPr/>
        <w:t>股，其中可转让流通股42,685,176股，其所持有的可转让流通股已达到</w:t>
      </w:r>
      <w:r>
        <w:rPr/>
        <w:t> 其持有公司股份总数的25%。本次解除限售的18,333,330股全部转为高管锁定股，本次实际可上市流通股份数量为0股。</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3</w:t>
      </w:r>
      <w:r>
        <w:rPr/>
        <w:t>、</w:t>
      </w:r>
      <w:r>
        <w:rPr>
          <w:spacing w:val="1"/>
        </w:rPr>
        <w:t>2</w:t>
      </w:r>
      <w:r>
        <w:rPr>
          <w:spacing w:val="-2"/>
        </w:rPr>
        <w:t>0</w:t>
      </w:r>
      <w:r>
        <w:rPr>
          <w:spacing w:val="1"/>
        </w:rPr>
        <w:t>18</w:t>
      </w:r>
      <w:r>
        <w:rPr/>
        <w:t>年</w:t>
      </w:r>
      <w:r>
        <w:rPr>
          <w:spacing w:val="1"/>
        </w:rPr>
        <w:t>3</w:t>
      </w:r>
      <w:r>
        <w:rPr/>
        <w:t>月</w:t>
      </w:r>
      <w:r>
        <w:rPr>
          <w:spacing w:val="1"/>
        </w:rPr>
        <w:t>7</w:t>
      </w:r>
      <w:r>
        <w:rPr/>
        <w:t>日</w:t>
      </w:r>
      <w:r>
        <w:rPr>
          <w:spacing w:val="2"/>
        </w:rPr>
        <w:t>，</w:t>
      </w:r>
      <w:r>
        <w:rPr/>
        <w:t>本公</w:t>
      </w:r>
      <w:r>
        <w:rPr>
          <w:spacing w:val="2"/>
        </w:rPr>
        <w:t>司</w:t>
      </w:r>
      <w:r>
        <w:rPr/>
        <w:t>与中</w:t>
      </w:r>
      <w:r>
        <w:rPr>
          <w:spacing w:val="2"/>
        </w:rPr>
        <w:t>国</w:t>
      </w:r>
      <w:r>
        <w:rPr/>
        <w:t>银行股</w:t>
      </w:r>
      <w:r>
        <w:rPr>
          <w:spacing w:val="2"/>
        </w:rPr>
        <w:t>份</w:t>
      </w:r>
      <w:r>
        <w:rPr/>
        <w:t>有限</w:t>
      </w:r>
      <w:r>
        <w:rPr>
          <w:spacing w:val="2"/>
        </w:rPr>
        <w:t>公</w:t>
      </w:r>
      <w:r>
        <w:rPr/>
        <w:t>司深</w:t>
      </w:r>
      <w:r>
        <w:rPr>
          <w:spacing w:val="2"/>
        </w:rPr>
        <w:t>圳</w:t>
      </w:r>
      <w:r>
        <w:rPr/>
        <w:t>中心</w:t>
      </w:r>
      <w:r>
        <w:rPr>
          <w:spacing w:val="2"/>
        </w:rPr>
        <w:t>区</w:t>
      </w:r>
      <w:r>
        <w:rPr/>
        <w:t>支行</w:t>
      </w:r>
      <w:r>
        <w:rPr>
          <w:spacing w:val="2"/>
        </w:rPr>
        <w:t>签</w:t>
      </w:r>
      <w:r>
        <w:rPr/>
        <w:t>订《</w:t>
      </w:r>
      <w:r>
        <w:rPr>
          <w:spacing w:val="2"/>
        </w:rPr>
        <w:t>授</w:t>
      </w:r>
      <w:r>
        <w:rPr/>
        <w:t>信额度</w:t>
      </w:r>
      <w:r>
        <w:rPr>
          <w:spacing w:val="2"/>
        </w:rPr>
        <w:t>协</w:t>
      </w:r>
      <w:r>
        <w:rPr/>
        <w:t>议</w:t>
      </w:r>
      <w:r>
        <w:rPr>
          <w:spacing w:val="-89"/>
        </w:rPr>
        <w:t>》</w:t>
      </w:r>
      <w:r>
        <w:rPr/>
        <w:t>（</w:t>
      </w:r>
      <w:r>
        <w:rPr>
          <w:spacing w:val="2"/>
        </w:rPr>
        <w:t>编</w:t>
      </w:r>
      <w:r>
        <w:rPr/>
        <w:t>号：</w:t>
      </w:r>
      <w:r>
        <w:rPr>
          <w:spacing w:val="1"/>
        </w:rPr>
        <w:t>2</w:t>
      </w:r>
      <w:r>
        <w:rPr>
          <w:spacing w:val="-2"/>
        </w:rPr>
        <w:t>0</w:t>
      </w:r>
      <w:r>
        <w:rPr>
          <w:spacing w:val="1"/>
        </w:rPr>
        <w:t>18</w:t>
      </w:r>
      <w:r>
        <w:rPr/>
        <w:t>圳</w:t>
      </w:r>
      <w:r>
        <w:rPr>
          <w:spacing w:val="2"/>
        </w:rPr>
        <w:t>中</w:t>
      </w:r>
      <w:r>
        <w:rPr/>
        <w:t>银中</w:t>
      </w:r>
      <w:r>
        <w:rPr>
          <w:spacing w:val="2"/>
        </w:rPr>
        <w:t>额</w:t>
      </w:r>
      <w:r>
        <w:rPr/>
        <w:t>协</w:t>
      </w:r>
      <w:r>
        <w:rPr/>
        <w:t> 字第</w:t>
      </w:r>
      <w:r>
        <w:rPr>
          <w:spacing w:val="1"/>
        </w:rPr>
        <w:t>0</w:t>
      </w:r>
      <w:r>
        <w:rPr>
          <w:spacing w:val="-2"/>
        </w:rPr>
        <w:t>0</w:t>
      </w:r>
      <w:r>
        <w:rPr>
          <w:spacing w:val="1"/>
        </w:rPr>
        <w:t>0</w:t>
      </w:r>
      <w:r>
        <w:rPr>
          <w:spacing w:val="-2"/>
        </w:rPr>
        <w:t>0</w:t>
      </w:r>
      <w:r>
        <w:rPr>
          <w:spacing w:val="1"/>
        </w:rPr>
        <w:t>0</w:t>
      </w:r>
      <w:r>
        <w:rPr>
          <w:spacing w:val="-2"/>
        </w:rPr>
        <w:t>1</w:t>
      </w:r>
      <w:r>
        <w:rPr>
          <w:spacing w:val="1"/>
        </w:rPr>
        <w:t>5</w:t>
      </w:r>
      <w:r>
        <w:rPr/>
        <w:t>号</w:t>
      </w:r>
      <w:r>
        <w:rPr>
          <w:spacing w:val="-92"/>
        </w:rPr>
        <w:t>）</w:t>
      </w:r>
      <w:r>
        <w:rPr/>
        <w:t>，获得短期流贷额度人民币</w:t>
      </w:r>
      <w:r>
        <w:rPr>
          <w:spacing w:val="1"/>
        </w:rPr>
        <w:t>1</w:t>
      </w:r>
      <w:r>
        <w:rPr/>
        <w:t>亿元整，合同有效期至</w:t>
      </w:r>
      <w:r>
        <w:rPr>
          <w:spacing w:val="1"/>
        </w:rPr>
        <w:t>2</w:t>
      </w:r>
      <w:r>
        <w:rPr>
          <w:spacing w:val="-2"/>
        </w:rPr>
        <w:t>0</w:t>
      </w:r>
      <w:r>
        <w:rPr>
          <w:spacing w:val="1"/>
        </w:rPr>
        <w:t>1</w:t>
      </w:r>
      <w:r>
        <w:rPr>
          <w:spacing w:val="-2"/>
        </w:rPr>
        <w:t>9</w:t>
      </w:r>
      <w:r>
        <w:rPr/>
        <w:t>年</w:t>
      </w:r>
      <w:r>
        <w:rPr>
          <w:spacing w:val="-2"/>
        </w:rPr>
        <w:t>3</w:t>
      </w:r>
      <w:r>
        <w:rPr/>
        <w:t>月</w:t>
      </w:r>
      <w:r>
        <w:rPr>
          <w:spacing w:val="1"/>
        </w:rPr>
        <w:t>7</w:t>
      </w:r>
      <w:r>
        <w:rPr/>
        <w:t>日，在有效期内额度可循环使用。</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2019年3月22日，本公司与中国银行股份有限公司深圳中心区支行签订流动资金借款合同（编号：2019圳中银中司借字</w:t>
      </w:r>
      <w:r>
        <w:rPr/>
        <w:t> </w:t>
      </w:r>
      <w:r>
        <w:rPr>
          <w:spacing w:val="-3"/>
        </w:rPr>
        <w:t>第000034号），借款金额人民币2,500万元，借款用途为支付员工工资（含奖金）。合同约定借款利息从借款人实际提款日起</w:t>
      </w:r>
      <w:r>
        <w:rPr>
          <w:spacing w:val="-88"/>
        </w:rPr>
        <w:t> </w:t>
      </w:r>
      <w:r>
        <w:rPr>
          <w:spacing w:val="-88"/>
        </w:rPr>
      </w:r>
      <w:r>
        <w:rPr/>
        <w:t>算，按实际提款额和用款天数计算，借款利率适用人民币借款浮动利率。本公司于2019年4月1日实际提款2,500万元，按协</w:t>
      </w:r>
      <w:r>
        <w:rPr/>
        <w:t> 议约定方式计息。该合同属于《授信额度协议》项下的单项协议。</w:t>
      </w:r>
    </w:p>
    <w:p>
      <w:pPr>
        <w:spacing w:line="240" w:lineRule="auto" w:before="9"/>
        <w:rPr>
          <w:rFonts w:ascii="宋体" w:hAnsi="宋体" w:cs="宋体" w:eastAsia="宋体" w:hint="default"/>
          <w:sz w:val="20"/>
          <w:szCs w:val="20"/>
        </w:rPr>
      </w:pPr>
    </w:p>
    <w:p>
      <w:pPr>
        <w:pStyle w:val="Heading2"/>
        <w:spacing w:line="240" w:lineRule="auto"/>
        <w:ind w:right="952"/>
        <w:jc w:val="left"/>
        <w:rPr>
          <w:b w:val="0"/>
          <w:bCs w:val="0"/>
        </w:rPr>
      </w:pPr>
      <w:bookmarkStart w:name="十五、其他重要事项" w:id="435"/>
      <w:bookmarkEnd w:id="435"/>
      <w:r>
        <w:rPr>
          <w:b w:val="0"/>
          <w:bCs w:val="0"/>
        </w:rPr>
      </w: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前期会计差错更正" w:id="436"/>
      <w:bookmarkEnd w:id="43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追溯重述法" w:id="437"/>
      <w:bookmarkEnd w:id="43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2）未来适用法" w:id="438"/>
      <w:bookmarkEnd w:id="43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10"/>
        <w:rPr>
          <w:rFonts w:ascii="宋体" w:hAnsi="宋体" w:cs="宋体" w:eastAsia="宋体" w:hint="default"/>
          <w:b/>
          <w:bCs/>
          <w:sz w:val="19"/>
          <w:szCs w:val="19"/>
        </w:rPr>
      </w:pPr>
    </w:p>
    <w:p>
      <w:pPr>
        <w:pStyle w:val="Heading3"/>
        <w:spacing w:line="240" w:lineRule="auto" w:before="34"/>
        <w:ind w:right="952"/>
        <w:jc w:val="left"/>
        <w:rPr>
          <w:b w:val="0"/>
          <w:bCs w:val="0"/>
        </w:rPr>
      </w:pPr>
      <w:bookmarkStart w:name="2、债务重组" w:id="439"/>
      <w:bookmarkEnd w:id="43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3、资产置换" w:id="440"/>
      <w:bookmarkEnd w:id="44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非货币性资产交换" w:id="441"/>
      <w:bookmarkEnd w:id="44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其他资产置换" w:id="442"/>
      <w:bookmarkEnd w:id="44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年金计划" w:id="443"/>
      <w:bookmarkEnd w:id="44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5、终止经营" w:id="444"/>
      <w:bookmarkEnd w:id="44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归属于母公司</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所有者的终止</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经营利润</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6、分部信息" w:id="445"/>
      <w:bookmarkEnd w:id="44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2"/>
        <w:jc w:val="left"/>
        <w:rPr>
          <w:b w:val="0"/>
          <w:bCs w:val="0"/>
        </w:rPr>
      </w:pPr>
      <w:bookmarkStart w:name="（1）报告分部的确定依据与会计政策" w:id="446"/>
      <w:bookmarkEnd w:id="44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报告分部的财务信息" w:id="447"/>
      <w:bookmarkEnd w:id="44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3）公司无报告分部的，或者不能披露各报告分部的资产总额和负债总额的，应说明原因" w:id="448"/>
      <w:bookmarkEnd w:id="44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after="0" w:line="240"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4）其他说明" w:id="449"/>
      <w:bookmarkEnd w:id="44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7、其他对投资者决策有影响的重要交易和事项" w:id="450"/>
      <w:bookmarkEnd w:id="45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8、其他" w:id="451"/>
      <w:bookmarkEnd w:id="451"/>
      <w:r>
        <w:rPr>
          <w:b w:val="0"/>
          <w:bCs w:val="0"/>
        </w:rPr>
      </w:r>
      <w:r>
        <w:rPr>
          <w:rFonts w:ascii="Times New Roman" w:hAnsi="Times New Roman" w:cs="Times New Roman" w:eastAsia="Times New Roman" w:hint="default"/>
        </w:rPr>
        <w:t>8</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
        <w:rPr>
          <w:rFonts w:ascii="宋体" w:hAnsi="宋体" w:cs="宋体" w:eastAsia="宋体" w:hint="default"/>
          <w:sz w:val="25"/>
          <w:szCs w:val="25"/>
        </w:rPr>
      </w:pPr>
    </w:p>
    <w:p>
      <w:pPr>
        <w:pStyle w:val="Heading2"/>
        <w:spacing w:line="240" w:lineRule="auto"/>
        <w:ind w:right="952"/>
        <w:jc w:val="left"/>
        <w:rPr>
          <w:b w:val="0"/>
          <w:bCs w:val="0"/>
        </w:rPr>
      </w:pPr>
      <w:bookmarkStart w:name="十六、母公司财务报表主要项目注释" w:id="452"/>
      <w:bookmarkEnd w:id="452"/>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应收票据及应收账款" w:id="453"/>
      <w:bookmarkEnd w:id="453"/>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395,938,215.90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241,621,739.63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395,938,215.90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241,621,739.63</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1）应收票据" w:id="454"/>
      <w:bookmarkEnd w:id="45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52"/>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95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4)期末公司因出票人未履约而将其转应收账款的票据" w:id="455"/>
      <w:bookmarkEnd w:id="45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7"/>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1"/>
        <w:ind w:right="10034"/>
        <w:jc w:val="left"/>
      </w:pPr>
      <w:r>
        <w:rPr/>
        <w:t>其他说明 无</w:t>
      </w:r>
    </w:p>
    <w:p>
      <w:pPr>
        <w:spacing w:after="0" w:line="360" w:lineRule="auto"/>
        <w:jc w:val="left"/>
        <w:sectPr>
          <w:footerReference w:type="default" r:id="rId33"/>
          <w:pgSz w:w="11910" w:h="16840"/>
          <w:pgMar w:footer="1009" w:header="919" w:top="1120" w:bottom="1200" w:left="1020" w:right="0"/>
          <w:pgNumType w:start="19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2）应收账款" w:id="456"/>
      <w:bookmarkEnd w:id="45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9,112.2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896.35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395,93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8,215.9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44,04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310.17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241,621,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739.63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9,112.2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896.35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395,93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8,215.9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44,04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310.17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241,621,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739.63</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09" w:top="112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5"/>
        <w:ind w:right="160"/>
        <w:jc w:val="left"/>
      </w:pPr>
      <w:r>
        <w:rPr/>
        <w:t>□ 适用 √ 不适用 组合中，按账龄分析法计提坏账准备的应收账款：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4253" w:space="457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382,549,208.53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19,127,460.43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31,697,029.69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3,169,702.97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5,698,772.97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1,709,631.89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3,824,101.06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3,824,101.06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423,769,112.25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27,830,896.35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360" w:lineRule="auto" w:before="51"/>
        <w:ind w:right="4392"/>
        <w:jc w:val="left"/>
      </w:pPr>
      <w:r>
        <w:rPr/>
        <w:t>确定该组合依据的说明： 无</w:t>
      </w:r>
    </w:p>
    <w:p>
      <w:pPr>
        <w:pStyle w:val="BodyText"/>
        <w:spacing w:line="240" w:lineRule="auto" w:before="25"/>
        <w:ind w:right="-8"/>
        <w:jc w:val="left"/>
      </w:pPr>
      <w:r>
        <w:rPr/>
        <w:t>组合中，采用余额百分比法计提坏账准备的应收账款：</w:t>
      </w:r>
    </w:p>
    <w:p>
      <w:pPr>
        <w:pStyle w:val="BodyText"/>
        <w:spacing w:line="357" w:lineRule="auto" w:before="117"/>
        <w:ind w:right="2412"/>
        <w:jc w:val="left"/>
      </w:pPr>
      <w:r>
        <w:rPr/>
        <w:t>□ 适用 √ 不适用 组合中，采用其他方法计提坏账准备的应收账款： 无</w:t>
      </w:r>
    </w:p>
    <w:p>
      <w:pPr>
        <w:pStyle w:val="BodyText"/>
        <w:spacing w:line="240" w:lineRule="auto" w:before="29"/>
        <w:ind w:right="-8"/>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8"/>
        <w:jc w:val="left"/>
      </w:pPr>
      <w:r>
        <w:rPr/>
        <w:t>本期计提坏账准备金额</w:t>
      </w:r>
      <w:r>
        <w:rPr>
          <w:spacing w:val="-47"/>
        </w:rPr>
        <w:t> </w:t>
      </w:r>
      <w:r>
        <w:rPr>
          <w:rFonts w:ascii="Times New Roman" w:hAnsi="Times New Roman" w:cs="Times New Roman" w:eastAsia="Times New Roman" w:hint="default"/>
        </w:rPr>
        <w:t>10,508,586.18</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6505" w:space="232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9" w:footer="1009" w:top="1120" w:bottom="1200" w:left="1020" w:right="0"/>
        </w:sectPr>
      </w:pPr>
    </w:p>
    <w:p>
      <w:pPr>
        <w:pStyle w:val="BodyText"/>
        <w:spacing w:line="240" w:lineRule="auto" w:before="44"/>
        <w:ind w:right="0"/>
        <w:jc w:val="left"/>
      </w:pPr>
      <w:r>
        <w:rPr/>
        <w:t>无</w:t>
      </w:r>
    </w:p>
    <w:p>
      <w:pPr>
        <w:pStyle w:val="Heading4"/>
        <w:spacing w:line="240" w:lineRule="auto" w:before="51"/>
        <w:ind w:right="0"/>
        <w:jc w:val="left"/>
      </w:pPr>
      <w:r>
        <w:rPr>
          <w:rFonts w:ascii="Times New Roman" w:hAnsi="Times New Roman" w:cs="Times New Roman" w:eastAsia="Times New Roman" w:hint="default"/>
          <w:w w:val="95"/>
        </w:rPr>
        <w:t>3)</w:t>
      </w:r>
      <w:r>
        <w:rPr>
          <w:w w:val="95"/>
        </w:rPr>
        <w:t>本期实际核销的应收账款情况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017" w:space="5812"/>
            <w:col w:w="2061"/>
          </w:cols>
        </w:sectPr>
      </w:pP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952"/>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60" w:lineRule="auto" w:before="51"/>
        <w:ind w:right="9134"/>
        <w:jc w:val="left"/>
      </w:pPr>
      <w:r>
        <w:rPr/>
        <w:t>应收账款核销说明： 无</w:t>
      </w:r>
    </w:p>
    <w:p>
      <w:pPr>
        <w:pStyle w:val="BodyText"/>
        <w:spacing w:line="240" w:lineRule="auto" w:before="25"/>
        <w:ind w:right="95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387"/>
        <w:gridCol w:w="1428"/>
        <w:gridCol w:w="1579"/>
        <w:gridCol w:w="994"/>
        <w:gridCol w:w="1456"/>
        <w:gridCol w:w="1410"/>
      </w:tblGrid>
      <w:tr>
        <w:trPr>
          <w:trHeight w:val="659" w:hRule="exact"/>
        </w:trPr>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28"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15" w:right="487"/>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08"/>
              <w:jc w:val="right"/>
              <w:rPr>
                <w:rFonts w:ascii="宋体" w:hAnsi="宋体" w:cs="宋体" w:eastAsia="宋体" w:hint="default"/>
                <w:sz w:val="18"/>
                <w:szCs w:val="18"/>
              </w:rPr>
            </w:pPr>
            <w:r>
              <w:rPr>
                <w:rFonts w:ascii="宋体" w:hAnsi="宋体" w:cs="宋体" w:eastAsia="宋体" w:hint="default"/>
                <w:b/>
                <w:bCs/>
                <w:w w:val="95"/>
                <w:sz w:val="18"/>
                <w:szCs w:val="18"/>
              </w:rPr>
              <w:t>金额</w:t>
            </w:r>
            <w:r>
              <w:rPr>
                <w:rFonts w:ascii="宋体" w:hAnsi="宋体" w:cs="宋体" w:eastAsia="宋体" w:hint="default"/>
                <w:sz w:val="18"/>
                <w:szCs w:val="18"/>
              </w:rPr>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09"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3" w:right="256" w:firstLine="134"/>
              <w:jc w:val="left"/>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b/>
                <w:bCs/>
                <w:w w:val="99"/>
                <w:sz w:val="18"/>
                <w:szCs w:val="18"/>
              </w:rPr>
              <w:t> </w:t>
            </w:r>
            <w:r>
              <w:rPr>
                <w:rFonts w:ascii="宋体" w:hAnsi="宋体" w:cs="宋体" w:eastAsia="宋体" w:hint="default"/>
                <w:b/>
                <w:bCs/>
                <w:sz w:val="18"/>
                <w:szCs w:val="18"/>
              </w:rPr>
              <w:t>总额比例（%）</w:t>
            </w:r>
            <w:r>
              <w:rPr>
                <w:rFonts w:ascii="宋体" w:hAnsi="宋体" w:cs="宋体" w:eastAsia="宋体" w:hint="default"/>
                <w:sz w:val="18"/>
                <w:szCs w:val="18"/>
              </w:rPr>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3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7" w:hRule="exact"/>
        </w:trPr>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42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09"/>
              <w:jc w:val="right"/>
              <w:rPr>
                <w:rFonts w:ascii="宋体" w:hAnsi="宋体" w:cs="宋体" w:eastAsia="宋体" w:hint="default"/>
                <w:sz w:val="18"/>
                <w:szCs w:val="18"/>
              </w:rPr>
            </w:pPr>
            <w:r>
              <w:rPr>
                <w:rFonts w:ascii="宋体"/>
                <w:spacing w:val="-1"/>
                <w:sz w:val="18"/>
              </w:rPr>
              <w:t>32,188,914.66</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31"/>
              <w:jc w:val="right"/>
              <w:rPr>
                <w:rFonts w:ascii="宋体" w:hAnsi="宋体" w:cs="宋体" w:eastAsia="宋体" w:hint="default"/>
                <w:sz w:val="18"/>
                <w:szCs w:val="18"/>
              </w:rPr>
            </w:pPr>
            <w:r>
              <w:rPr>
                <w:rFonts w:ascii="宋体"/>
                <w:sz w:val="18"/>
              </w:rPr>
              <w:t>7.60</w:t>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1,609,445.73</w:t>
            </w:r>
          </w:p>
        </w:tc>
      </w:tr>
      <w:tr>
        <w:trPr>
          <w:trHeight w:val="347" w:hRule="exact"/>
        </w:trPr>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42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09"/>
              <w:jc w:val="right"/>
              <w:rPr>
                <w:rFonts w:ascii="宋体" w:hAnsi="宋体" w:cs="宋体" w:eastAsia="宋体" w:hint="default"/>
                <w:sz w:val="18"/>
                <w:szCs w:val="18"/>
              </w:rPr>
            </w:pPr>
            <w:r>
              <w:rPr>
                <w:rFonts w:ascii="宋体"/>
                <w:spacing w:val="-1"/>
                <w:sz w:val="18"/>
              </w:rPr>
              <w:t>22,119,225.02</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31"/>
              <w:jc w:val="right"/>
              <w:rPr>
                <w:rFonts w:ascii="宋体" w:hAnsi="宋体" w:cs="宋体" w:eastAsia="宋体" w:hint="default"/>
                <w:sz w:val="18"/>
                <w:szCs w:val="18"/>
              </w:rPr>
            </w:pPr>
            <w:r>
              <w:rPr>
                <w:rFonts w:ascii="宋体"/>
                <w:sz w:val="18"/>
              </w:rPr>
              <w:t>5.22</w:t>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1,105,961.25</w:t>
            </w:r>
          </w:p>
        </w:tc>
      </w:tr>
      <w:tr>
        <w:trPr>
          <w:trHeight w:val="659" w:hRule="exact"/>
        </w:trPr>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c>
          <w:tcPr>
            <w:tcW w:w="142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09"/>
              <w:jc w:val="right"/>
              <w:rPr>
                <w:rFonts w:ascii="宋体" w:hAnsi="宋体" w:cs="宋体" w:eastAsia="宋体" w:hint="default"/>
                <w:sz w:val="18"/>
                <w:szCs w:val="18"/>
              </w:rPr>
            </w:pPr>
            <w:r>
              <w:rPr>
                <w:rFonts w:ascii="宋体"/>
                <w:spacing w:val="-1"/>
                <w:sz w:val="18"/>
              </w:rPr>
              <w:t>21,476,271.90</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1年以内</w:t>
            </w:r>
          </w:p>
          <w:p>
            <w:pPr>
              <w:pStyle w:val="TableParagraph"/>
              <w:spacing w:line="240" w:lineRule="auto" w:before="76"/>
              <w:ind w:left="250" w:right="0"/>
              <w:jc w:val="left"/>
              <w:rPr>
                <w:rFonts w:ascii="宋体" w:hAnsi="宋体" w:cs="宋体" w:eastAsia="宋体" w:hint="default"/>
                <w:sz w:val="18"/>
                <w:szCs w:val="18"/>
              </w:rPr>
            </w:pPr>
            <w:r>
              <w:rPr>
                <w:rFonts w:ascii="宋体" w:hAnsi="宋体" w:cs="宋体" w:eastAsia="宋体" w:hint="default"/>
                <w:sz w:val="18"/>
                <w:szCs w:val="18"/>
              </w:rPr>
              <w:t>1年至2年</w:t>
            </w: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31"/>
              <w:jc w:val="right"/>
              <w:rPr>
                <w:rFonts w:ascii="宋体" w:hAnsi="宋体" w:cs="宋体" w:eastAsia="宋体" w:hint="default"/>
                <w:sz w:val="18"/>
                <w:szCs w:val="18"/>
              </w:rPr>
            </w:pPr>
            <w:r>
              <w:rPr>
                <w:rFonts w:ascii="宋体"/>
                <w:sz w:val="18"/>
              </w:rPr>
              <w:t>5.07</w:t>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1,169,242.86</w:t>
            </w:r>
          </w:p>
        </w:tc>
      </w:tr>
      <w:tr>
        <w:trPr>
          <w:trHeight w:val="347" w:hRule="exact"/>
        </w:trPr>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42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09"/>
              <w:jc w:val="right"/>
              <w:rPr>
                <w:rFonts w:ascii="宋体" w:hAnsi="宋体" w:cs="宋体" w:eastAsia="宋体" w:hint="default"/>
                <w:sz w:val="18"/>
                <w:szCs w:val="18"/>
              </w:rPr>
            </w:pPr>
            <w:r>
              <w:rPr>
                <w:rFonts w:ascii="宋体"/>
                <w:spacing w:val="-1"/>
                <w:sz w:val="18"/>
              </w:rPr>
              <w:t>13,113,580.25</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31"/>
              <w:jc w:val="right"/>
              <w:rPr>
                <w:rFonts w:ascii="宋体" w:hAnsi="宋体" w:cs="宋体" w:eastAsia="宋体" w:hint="default"/>
                <w:sz w:val="18"/>
                <w:szCs w:val="18"/>
              </w:rPr>
            </w:pPr>
            <w:r>
              <w:rPr>
                <w:rFonts w:ascii="宋体"/>
                <w:sz w:val="18"/>
              </w:rPr>
              <w:t>3.09</w:t>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655,679.01</w:t>
            </w:r>
          </w:p>
        </w:tc>
      </w:tr>
      <w:tr>
        <w:trPr>
          <w:trHeight w:val="347" w:hRule="exact"/>
        </w:trPr>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42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09"/>
              <w:jc w:val="right"/>
              <w:rPr>
                <w:rFonts w:ascii="宋体" w:hAnsi="宋体" w:cs="宋体" w:eastAsia="宋体" w:hint="default"/>
                <w:sz w:val="18"/>
                <w:szCs w:val="18"/>
              </w:rPr>
            </w:pPr>
            <w:r>
              <w:rPr>
                <w:rFonts w:ascii="宋体"/>
                <w:spacing w:val="-1"/>
                <w:sz w:val="18"/>
              </w:rPr>
              <w:t>13,107,451.88</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z w:val="18"/>
                <w:szCs w:val="18"/>
              </w:rPr>
              <w:t>1年以内</w:t>
            </w: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31"/>
              <w:jc w:val="right"/>
              <w:rPr>
                <w:rFonts w:ascii="宋体" w:hAnsi="宋体" w:cs="宋体" w:eastAsia="宋体" w:hint="default"/>
                <w:sz w:val="18"/>
                <w:szCs w:val="18"/>
              </w:rPr>
            </w:pPr>
            <w:r>
              <w:rPr>
                <w:rFonts w:ascii="宋体"/>
                <w:sz w:val="18"/>
              </w:rPr>
              <w:t>3.09</w:t>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655,372.59</w:t>
            </w:r>
          </w:p>
        </w:tc>
      </w:tr>
      <w:tr>
        <w:trPr>
          <w:trHeight w:val="364" w:hRule="exact"/>
        </w:trPr>
        <w:tc>
          <w:tcPr>
            <w:tcW w:w="2387"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428" w:type="dxa"/>
            <w:tcBorders>
              <w:top w:val="single" w:sz="6" w:space="0" w:color="000000"/>
              <w:left w:val="nil" w:sz="6" w:space="0" w:color="auto"/>
              <w:bottom w:val="nil" w:sz="6" w:space="0" w:color="auto"/>
              <w:right w:val="nil" w:sz="6" w:space="0" w:color="auto"/>
            </w:tcBorders>
          </w:tcPr>
          <w:p>
            <w:pPr/>
          </w:p>
        </w:tc>
        <w:tc>
          <w:tcPr>
            <w:tcW w:w="1579"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207"/>
              <w:jc w:val="right"/>
              <w:rPr>
                <w:rFonts w:ascii="宋体" w:hAnsi="宋体" w:cs="宋体" w:eastAsia="宋体" w:hint="default"/>
                <w:sz w:val="18"/>
                <w:szCs w:val="18"/>
              </w:rPr>
            </w:pPr>
            <w:r>
              <w:rPr>
                <w:rFonts w:ascii="宋体"/>
                <w:sz w:val="18"/>
              </w:rPr>
            </w:r>
            <w:r>
              <w:rPr>
                <w:rFonts w:ascii="宋体"/>
                <w:spacing w:val="-1"/>
                <w:sz w:val="18"/>
                <w:u w:val="single" w:color="000000"/>
              </w:rPr>
              <w:t>102,005,443.71</w:t>
            </w:r>
            <w:r>
              <w:rPr>
                <w:rFonts w:ascii="宋体"/>
                <w:spacing w:val="-1"/>
                <w:sz w:val="18"/>
              </w:rPr>
            </w:r>
          </w:p>
        </w:tc>
        <w:tc>
          <w:tcPr>
            <w:tcW w:w="994" w:type="dxa"/>
            <w:tcBorders>
              <w:top w:val="single" w:sz="6" w:space="0" w:color="000000"/>
              <w:left w:val="nil" w:sz="6" w:space="0" w:color="auto"/>
              <w:bottom w:val="nil" w:sz="6" w:space="0" w:color="auto"/>
              <w:right w:val="nil" w:sz="6" w:space="0" w:color="auto"/>
            </w:tcBorders>
          </w:tcPr>
          <w:p>
            <w:pPr/>
          </w:p>
        </w:tc>
        <w:tc>
          <w:tcPr>
            <w:tcW w:w="145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231"/>
              <w:jc w:val="right"/>
              <w:rPr>
                <w:rFonts w:ascii="宋体" w:hAnsi="宋体" w:cs="宋体" w:eastAsia="宋体" w:hint="default"/>
                <w:sz w:val="18"/>
                <w:szCs w:val="18"/>
              </w:rPr>
            </w:pPr>
            <w:r>
              <w:rPr>
                <w:rFonts w:ascii="宋体"/>
                <w:sz w:val="18"/>
              </w:rPr>
            </w:r>
            <w:r>
              <w:rPr>
                <w:rFonts w:ascii="宋体"/>
                <w:spacing w:val="-1"/>
                <w:sz w:val="18"/>
                <w:u w:val="single" w:color="000000"/>
              </w:rPr>
              <w:t>24.07</w:t>
            </w:r>
            <w:r>
              <w:rPr>
                <w:rFonts w:ascii="宋体"/>
                <w:spacing w:val="-1"/>
                <w:sz w:val="18"/>
              </w:rPr>
            </w:r>
          </w:p>
        </w:tc>
        <w:tc>
          <w:tcPr>
            <w:tcW w:w="141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r>
            <w:r>
              <w:rPr>
                <w:rFonts w:ascii="宋体"/>
                <w:spacing w:val="-1"/>
                <w:sz w:val="18"/>
                <w:u w:val="single" w:color="000000"/>
              </w:rPr>
              <w:t>5,195,701.44</w:t>
            </w:r>
            <w:r>
              <w:rPr>
                <w:rFonts w:ascii="宋体"/>
                <w:spacing w:val="-1"/>
                <w:sz w:val="18"/>
              </w:rPr>
            </w:r>
          </w:p>
        </w:tc>
      </w:tr>
    </w:tbl>
    <w:p>
      <w:pPr>
        <w:spacing w:line="240" w:lineRule="auto" w:before="7"/>
        <w:rPr>
          <w:rFonts w:ascii="宋体" w:hAnsi="宋体" w:cs="宋体" w:eastAsia="宋体" w:hint="default"/>
          <w:sz w:val="22"/>
          <w:szCs w:val="22"/>
        </w:rPr>
      </w:pPr>
    </w:p>
    <w:p>
      <w:pPr>
        <w:pStyle w:val="BodyText"/>
        <w:spacing w:line="338" w:lineRule="auto" w:before="44"/>
        <w:ind w:right="7544"/>
        <w:jc w:val="left"/>
      </w:pPr>
      <w:r>
        <w:rPr>
          <w:rFonts w:ascii="Times New Roman" w:hAnsi="Times New Roman" w:cs="Times New Roman" w:eastAsia="Times New Roman" w:hint="default"/>
        </w:rPr>
        <w:t>5)</w:t>
      </w:r>
      <w:r>
        <w:rPr/>
        <w:t>因金融资产转移而终止确认的应收账款 无</w:t>
      </w:r>
    </w:p>
    <w:p>
      <w:pPr>
        <w:pStyle w:val="BodyText"/>
        <w:spacing w:line="340" w:lineRule="auto" w:before="43"/>
        <w:ind w:right="6824"/>
        <w:jc w:val="left"/>
      </w:pPr>
      <w:r>
        <w:rPr>
          <w:rFonts w:ascii="Times New Roman" w:hAnsi="Times New Roman" w:cs="Times New Roman" w:eastAsia="Times New Roman" w:hint="default"/>
        </w:rPr>
        <w:t>6)</w:t>
      </w:r>
      <w:r>
        <w:rPr/>
        <w:t>转移应收账款且继续涉入形成的资产、负债金额 无</w:t>
      </w:r>
    </w:p>
    <w:p>
      <w:pPr>
        <w:pStyle w:val="BodyText"/>
        <w:spacing w:line="360" w:lineRule="auto" w:before="3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52"/>
        <w:jc w:val="left"/>
        <w:rPr>
          <w:b w:val="0"/>
          <w:bCs w:val="0"/>
        </w:rPr>
      </w:pPr>
      <w:bookmarkStart w:name="2、其他应收款" w:id="457"/>
      <w:bookmarkEnd w:id="45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15,061,725.42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10,910,905.93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15,061,725.42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10,910,905.93</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1）应收利息" w:id="458"/>
      <w:bookmarkEnd w:id="45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after="0" w:line="240" w:lineRule="auto"/>
        <w:jc w:val="right"/>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52"/>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2）应收股利" w:id="459"/>
      <w:bookmarkEnd w:id="45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应收股利</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52"/>
        <w:jc w:val="left"/>
      </w:pP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3）其他应收款" w:id="460"/>
      <w:bookmarkEnd w:id="46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16,088,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040.44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1,026,3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15.02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15,061,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725.42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4,346</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1,143,4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40.51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10,910,9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05.93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16,088,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040.44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1,026,3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15.02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15,061,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725.42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4,346</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1,143,4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40.51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10,910,9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05.93</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09" w:top="1120" w:bottom="1200" w:left="1020" w:right="0"/>
        </w:sectPr>
      </w:pPr>
    </w:p>
    <w:p>
      <w:pPr>
        <w:pStyle w:val="BodyText"/>
        <w:spacing w:line="240" w:lineRule="auto" w:before="50"/>
        <w:ind w:right="-20"/>
        <w:jc w:val="left"/>
      </w:pPr>
      <w:r>
        <w:rPr/>
        <w:t>期末单项金额重大并单项计提坏账准备的其他应收款：</w:t>
      </w:r>
    </w:p>
    <w:p>
      <w:pPr>
        <w:pStyle w:val="BodyText"/>
        <w:spacing w:line="360" w:lineRule="auto" w:before="115"/>
        <w:ind w:right="160"/>
        <w:jc w:val="left"/>
      </w:pPr>
      <w:r>
        <w:rPr/>
        <w:t>□ 适用 √ 不适用 组合中，按账龄分析法计提坏账准备的其他应收款：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4433" w:space="4396"/>
            <w:col w:w="2061"/>
          </w:cols>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15,633,637.28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781,681.86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21,630.00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205,303.16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205,303.16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16,088,040.44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1,026,315.02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6.38%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09" w:top="1120" w:bottom="1200" w:left="1020" w:right="0"/>
        </w:sectPr>
      </w:pPr>
    </w:p>
    <w:p>
      <w:pPr>
        <w:pStyle w:val="BodyText"/>
        <w:spacing w:line="360" w:lineRule="auto" w:before="50"/>
        <w:ind w:right="4159"/>
        <w:jc w:val="left"/>
      </w:pPr>
      <w:r>
        <w:rPr/>
        <w:t>确定该组合依据的说明： 无</w:t>
      </w:r>
    </w:p>
    <w:p>
      <w:pPr>
        <w:pStyle w:val="BodyText"/>
        <w:spacing w:line="240" w:lineRule="auto" w:before="27"/>
        <w:ind w:right="-10"/>
        <w:jc w:val="left"/>
      </w:pPr>
      <w:r>
        <w:rPr/>
        <w:t>组合中，采用余额百分比法计提坏账准备的其他应收款：</w:t>
      </w:r>
    </w:p>
    <w:p>
      <w:pPr>
        <w:pStyle w:val="BodyText"/>
        <w:spacing w:line="360" w:lineRule="auto" w:before="115"/>
        <w:ind w:right="1999"/>
        <w:jc w:val="left"/>
      </w:pPr>
      <w:r>
        <w:rPr/>
        <w:t>□ 适用 √ 不适用 组合中，采用其他方法计提坏账准备的其他应收款：</w:t>
      </w:r>
    </w:p>
    <w:p>
      <w:pPr>
        <w:pStyle w:val="BodyText"/>
        <w:spacing w:line="240" w:lineRule="auto" w:before="27"/>
        <w:ind w:right="4159"/>
        <w:jc w:val="left"/>
      </w:pPr>
      <w:r>
        <w:rPr/>
        <w:t>□ 适用 √ 不适用</w:t>
      </w:r>
    </w:p>
    <w:p>
      <w:pPr>
        <w:pStyle w:val="BodyText"/>
        <w:spacing w:line="240" w:lineRule="auto" w:before="115"/>
        <w:ind w:right="-1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0"/>
        <w:jc w:val="left"/>
      </w:pPr>
      <w:r>
        <w:rPr/>
        <w:t>本期计提坏账准备金额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元；本期收回或转回坏账准备金额</w:t>
      </w:r>
      <w:r>
        <w:rPr>
          <w:spacing w:val="-48"/>
        </w:rPr>
        <w:t> </w:t>
      </w:r>
      <w:r>
        <w:rPr>
          <w:rFonts w:ascii="Times New Roman" w:hAnsi="Times New Roman" w:cs="Times New Roman" w:eastAsia="Times New Roman" w:hint="default"/>
        </w:rPr>
        <w:t>117,125.49</w:t>
      </w:r>
      <w:r>
        <w:rPr>
          <w:rFonts w:ascii="Times New Roman" w:hAnsi="Times New Roman" w:cs="Times New Roman" w:eastAsia="Times New Roman" w:hint="default"/>
          <w:spacing w:val="-6"/>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6272" w:space="2558"/>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11"/>
        <w:ind w:right="-20"/>
        <w:jc w:val="left"/>
      </w:pPr>
      <w:r>
        <w:rPr/>
        <w:t>无</w:t>
      </w:r>
    </w:p>
    <w:p>
      <w:pPr>
        <w:spacing w:before="28"/>
        <w:ind w:left="112" w:right="-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673" w:space="5157"/>
            <w:col w:w="2060"/>
          </w:cols>
        </w:sectPr>
      </w:pP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952"/>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pStyle w:val="BodyText"/>
        <w:spacing w:line="360" w:lineRule="auto" w:before="50"/>
        <w:ind w:right="852"/>
        <w:jc w:val="left"/>
      </w:pPr>
      <w:r>
        <w:rPr/>
        <w:t>其他应收款核销说明： 无</w:t>
      </w:r>
    </w:p>
    <w:p>
      <w:pPr>
        <w:pStyle w:val="BodyText"/>
        <w:spacing w:line="240" w:lineRule="auto" w:before="2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应收政府补助</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9,871,763.72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6,465,846.53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2,549,290.18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4,012,483.41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1,978,301.49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1,394,361.65</w:t>
            </w:r>
          </w:p>
        </w:tc>
      </w:tr>
      <w:tr>
        <w:trPr>
          <w:trHeight w:val="400"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1,662,520.84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135,078.67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42,576.18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26,164.21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16,088,040.44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12,054,346.44</w:t>
            </w:r>
          </w:p>
        </w:tc>
      </w:tr>
    </w:tbl>
    <w:p>
      <w:pPr>
        <w:pStyle w:val="BodyText"/>
        <w:spacing w:line="240" w:lineRule="auto" w:before="51"/>
        <w:ind w:right="95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30"/>
              <w:jc w:val="left"/>
              <w:rPr>
                <w:rFonts w:ascii="宋体" w:hAnsi="宋体" w:cs="宋体" w:eastAsia="宋体" w:hint="default"/>
                <w:sz w:val="18"/>
                <w:szCs w:val="18"/>
              </w:rPr>
            </w:pPr>
            <w:r>
              <w:rPr>
                <w:rFonts w:ascii="宋体" w:hAnsi="宋体" w:cs="宋体" w:eastAsia="宋体" w:hint="default"/>
                <w:sz w:val="18"/>
                <w:szCs w:val="18"/>
              </w:rPr>
              <w:t>国家税务总局深圳 市福田区税务局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9,871,763.72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493,588.19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北京嘉禾国信投资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1,633,803.18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81,690.16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邬守兰</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1,222,000.00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61,100.00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邓冰</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147,282.53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7,364.13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田野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108,284.00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5,414.20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12,983,133.43</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80.70%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649,156.68</w:t>
            </w:r>
          </w:p>
        </w:tc>
      </w:tr>
    </w:tbl>
    <w:p>
      <w:pPr>
        <w:pStyle w:val="BodyText"/>
        <w:spacing w:line="240" w:lineRule="auto" w:before="52"/>
        <w:ind w:right="952"/>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7" w:right="100"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515,638.46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4" w:right="101"/>
              <w:jc w:val="left"/>
              <w:rPr>
                <w:rFonts w:ascii="宋体" w:hAnsi="宋体" w:cs="宋体" w:eastAsia="宋体" w:hint="default"/>
                <w:sz w:val="18"/>
                <w:szCs w:val="18"/>
              </w:rPr>
            </w:pPr>
            <w:r>
              <w:rPr>
                <w:rFonts w:ascii="宋体" w:hAnsi="宋体" w:cs="宋体" w:eastAsia="宋体" w:hint="default"/>
                <w:spacing w:val="-6"/>
                <w:sz w:val="18"/>
                <w:szCs w:val="18"/>
              </w:rPr>
              <w:t>深福税通〔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2596</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号</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526,671.62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01"/>
              <w:jc w:val="left"/>
              <w:rPr>
                <w:rFonts w:ascii="宋体" w:hAnsi="宋体" w:cs="宋体" w:eastAsia="宋体" w:hint="default"/>
                <w:sz w:val="18"/>
                <w:szCs w:val="18"/>
              </w:rPr>
            </w:pPr>
            <w:r>
              <w:rPr>
                <w:rFonts w:ascii="宋体" w:hAnsi="宋体" w:cs="宋体" w:eastAsia="宋体" w:hint="default"/>
                <w:spacing w:val="-6"/>
                <w:sz w:val="18"/>
                <w:szCs w:val="18"/>
              </w:rPr>
              <w:t>深福税通〔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2789</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号</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1,399,201.30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156845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1,139,446.17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01"/>
              <w:jc w:val="left"/>
              <w:rPr>
                <w:rFonts w:ascii="宋体" w:hAnsi="宋体" w:cs="宋体" w:eastAsia="宋体" w:hint="default"/>
                <w:sz w:val="18"/>
                <w:szCs w:val="18"/>
              </w:rPr>
            </w:pPr>
            <w:r>
              <w:rPr>
                <w:rFonts w:ascii="宋体" w:hAnsi="宋体" w:cs="宋体" w:eastAsia="宋体" w:hint="default"/>
                <w:spacing w:val="-6"/>
                <w:sz w:val="18"/>
                <w:szCs w:val="18"/>
              </w:rPr>
              <w:t>深福税通〔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2850</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号</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790,400.57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2,883,749.95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2,616,655.65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深福税通〔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156908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pStyle w:val="BodyText"/>
        <w:spacing w:line="309" w:lineRule="auto" w:before="10"/>
        <w:ind w:right="7364"/>
        <w:jc w:val="left"/>
      </w:pPr>
      <w:r>
        <w:rPr/>
        <w:t>无 </w:t>
      </w:r>
      <w:r>
        <w:rPr>
          <w:rFonts w:ascii="Times New Roman" w:hAnsi="Times New Roman" w:cs="Times New Roman" w:eastAsia="Times New Roman" w:hint="default"/>
        </w:rPr>
        <w:t>7)</w:t>
      </w:r>
      <w:r>
        <w:rPr/>
        <w:t>因金融资产转移而终止确认的其他应收款 无</w:t>
      </w:r>
    </w:p>
    <w:p>
      <w:pPr>
        <w:pStyle w:val="BodyText"/>
        <w:spacing w:line="240" w:lineRule="auto" w:before="65"/>
        <w:ind w:right="952"/>
        <w:jc w:val="left"/>
      </w:pPr>
      <w:r>
        <w:rPr>
          <w:rFonts w:ascii="Times New Roman" w:hAnsi="Times New Roman" w:cs="Times New Roman" w:eastAsia="Times New Roman" w:hint="default"/>
        </w:rPr>
        <w:t>8)</w:t>
      </w:r>
      <w:r>
        <w:rPr/>
        <w:t>转移其他应收款且继续涉入形成的资产、负债金额</w:t>
      </w:r>
    </w:p>
    <w:p>
      <w:pPr>
        <w:spacing w:after="0" w:line="240" w:lineRule="auto"/>
        <w:jc w:val="left"/>
        <w:sectPr>
          <w:pgSz w:w="11910" w:h="16840"/>
          <w:pgMar w:header="919" w:footer="1009" w:top="112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44"/>
        <w:ind w:right="985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952"/>
        <w:jc w:val="left"/>
        <w:rPr>
          <w:b w:val="0"/>
          <w:bCs w:val="0"/>
        </w:rPr>
      </w:pPr>
      <w:bookmarkStart w:name="3、长期股权投资" w:id="461"/>
      <w:bookmarkEnd w:id="46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259,000,000.00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259,000,000.00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347,000,000.00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347,000,000.00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618,739,687.62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618,739,687.62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586,024,351.73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586,024,351.73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877,739,687.62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877,739,687.62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933,024,351.73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933,024,351.73</w:t>
            </w: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1）对子公司投资" w:id="462"/>
      <w:bookmarkEnd w:id="46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61"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上海赢量金融</w:t>
            </w:r>
          </w:p>
        </w:tc>
        <w:tc>
          <w:tcPr>
            <w:tcW w:w="1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140,000,000.0</w:t>
            </w: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140,000,000.0</w:t>
            </w: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53"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7"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链石（苏州）信</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6"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息科技有限公</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3"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left"/>
              <w:rPr>
                <w:rFonts w:ascii="宋体" w:hAnsi="宋体" w:cs="宋体" w:eastAsia="宋体" w:hint="default"/>
                <w:sz w:val="18"/>
                <w:szCs w:val="18"/>
              </w:rPr>
            </w:pPr>
            <w:r>
              <w:rPr>
                <w:rFonts w:ascii="宋体" w:hAnsi="宋体" w:cs="宋体" w:eastAsia="宋体" w:hint="default"/>
                <w:sz w:val="18"/>
                <w:szCs w:val="18"/>
              </w:rPr>
              <w:t>上海赢保商业 保理有限公司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186,000,000.0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347,000,000.0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259,000,000.0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2）对联营、合营企业投资" w:id="463"/>
      <w:bookmarkEnd w:id="46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0"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北京东</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方金信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36,072,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5,571,4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5,901,9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47,545,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450.04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07.26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757.30</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东吴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124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left"/>
              <w:rPr>
                <w:rFonts w:ascii="宋体" w:hAnsi="宋体" w:cs="宋体" w:eastAsia="宋体" w:hint="default"/>
                <w:sz w:val="18"/>
                <w:szCs w:val="18"/>
              </w:rPr>
            </w:pPr>
            <w:r>
              <w:rPr>
                <w:rFonts w:ascii="宋体" w:hAnsi="宋体" w:cs="宋体" w:eastAsia="宋体" w:hint="default"/>
                <w:sz w:val="18"/>
                <w:szCs w:val="18"/>
              </w:rPr>
              <w:t>（苏 州）金 融科技 服务有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6,322.5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7" w:right="0"/>
              <w:jc w:val="center"/>
              <w:rPr>
                <w:rFonts w:ascii="Times New Roman" w:hAnsi="Times New Roman" w:cs="Times New Roman" w:eastAsia="Times New Roman" w:hint="default"/>
                <w:sz w:val="18"/>
                <w:szCs w:val="18"/>
              </w:rPr>
            </w:pPr>
            <w:r>
              <w:rPr>
                <w:rFonts w:ascii="Times New Roman"/>
                <w:sz w:val="18"/>
              </w:rPr>
              <w:t>707,84</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0.11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6"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975.12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9,187.5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北京营</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安金融 信息服 务有限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14,905,</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579.11</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-1,240,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132.60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13,665,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446.51</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北京慧</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闻科技</w:t>
            </w:r>
          </w:p>
          <w:p>
            <w:pPr>
              <w:pStyle w:val="TableParagraph"/>
              <w:spacing w:line="316" w:lineRule="auto" w:before="76"/>
              <w:ind w:left="101" w:right="142"/>
              <w:jc w:val="left"/>
              <w:rPr>
                <w:rFonts w:ascii="宋体" w:hAnsi="宋体" w:cs="宋体" w:eastAsia="宋体" w:hint="default"/>
                <w:sz w:val="18"/>
                <w:szCs w:val="18"/>
              </w:rPr>
            </w:pPr>
            <w:r>
              <w:rPr>
                <w:rFonts w:ascii="宋体" w:hAnsi="宋体" w:cs="宋体" w:eastAsia="宋体" w:hint="default"/>
                <w:sz w:val="18"/>
                <w:szCs w:val="18"/>
              </w:rPr>
              <w:t>（集 团）有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-3,253,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589.15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8,746,4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10.85</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怀光智</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能科技</w:t>
            </w:r>
          </w:p>
          <w:p>
            <w:pPr>
              <w:pStyle w:val="TableParagraph"/>
              <w:spacing w:line="316" w:lineRule="auto" w:before="76"/>
              <w:ind w:left="101" w:right="142"/>
              <w:jc w:val="left"/>
              <w:rPr>
                <w:rFonts w:ascii="宋体" w:hAnsi="宋体" w:cs="宋体" w:eastAsia="宋体" w:hint="default"/>
                <w:sz w:val="18"/>
                <w:szCs w:val="18"/>
              </w:rPr>
            </w:pPr>
            <w:r>
              <w:rPr>
                <w:rFonts w:ascii="宋体" w:hAnsi="宋体" w:cs="宋体" w:eastAsia="宋体" w:hint="default"/>
                <w:sz w:val="18"/>
                <w:szCs w:val="18"/>
              </w:rPr>
              <w:t>（武 汉）有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-710,65</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7.90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3,789,3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42.10</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上海怀</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若智能</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17,473,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456.71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543.29</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4,351.7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42,071,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088.99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586,02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4,351.7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42,071,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088.99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975.12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952"/>
        <w:jc w:val="left"/>
        <w:rPr>
          <w:b w:val="0"/>
          <w:bCs w:val="0"/>
        </w:rPr>
      </w:pPr>
      <w:bookmarkStart w:name="（3）其他说明" w:id="464"/>
      <w:bookmarkEnd w:id="46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52" w:firstLine="420"/>
        <w:jc w:val="left"/>
      </w:pPr>
      <w:r>
        <w:rPr>
          <w:spacing w:val="-3"/>
        </w:rPr>
        <w:t>注：本期将持有子公司上海赢保商业保理有限公司44%的股权转让给本公司之子公司上海赢量金融服务有限公司，该44%</w:t>
      </w:r>
      <w:r>
        <w:rPr/>
        <w:t> 的股权账面价值为88,000,000.00元。</w:t>
      </w:r>
    </w:p>
    <w:p>
      <w:pPr>
        <w:spacing w:after="0" w:line="316" w:lineRule="auto"/>
        <w:jc w:val="left"/>
        <w:sectPr>
          <w:pgSz w:w="11910" w:h="16840"/>
          <w:pgMar w:header="919" w:footer="1009"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52"/>
        <w:jc w:val="left"/>
        <w:rPr>
          <w:b w:val="0"/>
          <w:bCs w:val="0"/>
        </w:rPr>
      </w:pPr>
      <w:bookmarkStart w:name="4、营业收入和营业成本" w:id="465"/>
      <w:bookmarkEnd w:id="46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583,067,155.27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119,056,127.76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474,868,870.30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87,083,298.38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10,616,676.58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6,047,000.56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4,155,586.18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1,511,300.57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593,683,831.85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125,103,128.32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479,024,456.48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88,594,598.95</w:t>
            </w:r>
          </w:p>
        </w:tc>
      </w:tr>
    </w:tbl>
    <w:p>
      <w:pPr>
        <w:pStyle w:val="BodyText"/>
        <w:spacing w:line="360" w:lineRule="auto" w:before="51"/>
        <w:ind w:right="95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52"/>
        <w:jc w:val="left"/>
        <w:rPr>
          <w:b w:val="0"/>
          <w:bCs w:val="0"/>
        </w:rPr>
      </w:pPr>
      <w:bookmarkStart w:name="5、投资收益" w:id="466"/>
      <w:bookmarkEnd w:id="46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-1,121,088.99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27,922,503.89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1,239,007.36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2,241,095.88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4,959,850.65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委托贷款产生的投资收益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2,359,014.25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32,882,354.54</w:t>
            </w:r>
          </w:p>
        </w:tc>
      </w:tr>
    </w:tbl>
    <w:p>
      <w:pPr>
        <w:spacing w:line="240" w:lineRule="auto" w:before="4"/>
        <w:rPr>
          <w:rFonts w:ascii="宋体" w:hAnsi="宋体" w:cs="宋体" w:eastAsia="宋体" w:hint="default"/>
          <w:sz w:val="19"/>
          <w:szCs w:val="19"/>
        </w:rPr>
      </w:pPr>
    </w:p>
    <w:p>
      <w:pPr>
        <w:pStyle w:val="Heading3"/>
        <w:spacing w:line="240" w:lineRule="auto" w:before="34"/>
        <w:ind w:right="952"/>
        <w:jc w:val="left"/>
        <w:rPr>
          <w:b w:val="0"/>
          <w:bCs w:val="0"/>
        </w:rPr>
      </w:pPr>
      <w:bookmarkStart w:name="6、其他" w:id="467"/>
      <w:bookmarkEnd w:id="467"/>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3"/>
        <w:rPr>
          <w:rFonts w:ascii="宋体" w:hAnsi="宋体" w:cs="宋体" w:eastAsia="宋体" w:hint="default"/>
          <w:sz w:val="25"/>
          <w:szCs w:val="25"/>
        </w:rPr>
      </w:pPr>
    </w:p>
    <w:p>
      <w:pPr>
        <w:pStyle w:val="Heading2"/>
        <w:spacing w:line="240" w:lineRule="auto"/>
        <w:ind w:right="952"/>
        <w:jc w:val="left"/>
        <w:rPr>
          <w:b w:val="0"/>
          <w:bCs w:val="0"/>
        </w:rPr>
      </w:pPr>
      <w:bookmarkStart w:name="十七、补充资料" w:id="468"/>
      <w:bookmarkEnd w:id="468"/>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2"/>
        <w:jc w:val="left"/>
        <w:rPr>
          <w:b w:val="0"/>
          <w:bCs w:val="0"/>
        </w:rPr>
      </w:pPr>
      <w:bookmarkStart w:name="1、当期非经常性损益明细表" w:id="469"/>
      <w:bookmarkEnd w:id="46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2"/>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-52,015.37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6"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密切相关，按照国家统一标准定额或定</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19,927,376.75</w:t>
            </w:r>
          </w:p>
        </w:tc>
        <w:tc>
          <w:tcPr>
            <w:tcW w:w="3186" w:type="dxa"/>
            <w:vMerge/>
            <w:tcBorders>
              <w:left w:val="single" w:sz="4" w:space="0" w:color="000000"/>
              <w:right w:val="single" w:sz="4" w:space="0" w:color="000000"/>
            </w:tcBorders>
          </w:tcPr>
          <w:p>
            <w:pPr/>
          </w:p>
        </w:tc>
      </w:tr>
      <w:tr>
        <w:trPr>
          <w:trHeight w:val="353"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量享受的政府补助除外）</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35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保值业务外，持有交易性金融资产、交</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5,779,536.36</w:t>
            </w:r>
          </w:p>
        </w:tc>
        <w:tc>
          <w:tcPr>
            <w:tcW w:w="3186" w:type="dxa"/>
            <w:vMerge/>
            <w:tcBorders>
              <w:left w:val="single" w:sz="4" w:space="0" w:color="000000"/>
              <w:right w:val="single" w:sz="4" w:space="0" w:color="000000"/>
            </w:tcBorders>
          </w:tcPr>
          <w:p>
            <w:pPr/>
          </w:p>
        </w:tc>
      </w:tr>
      <w:tr>
        <w:trPr>
          <w:trHeight w:val="316"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09"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98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50"/>
              <w:jc w:val="both"/>
              <w:rPr>
                <w:rFonts w:ascii="宋体" w:hAnsi="宋体" w:cs="宋体" w:eastAsia="宋体" w:hint="default"/>
                <w:sz w:val="18"/>
                <w:szCs w:val="18"/>
              </w:rPr>
            </w:pPr>
            <w:r>
              <w:rPr>
                <w:rFonts w:ascii="宋体" w:hAnsi="宋体" w:cs="宋体" w:eastAsia="宋体" w:hint="default"/>
                <w:sz w:val="18"/>
                <w:szCs w:val="18"/>
              </w:rPr>
              <w:t>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524,887.69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2,938,533.88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1,360,571.18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21,880,680.37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52"/>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0"/>
        <w:ind w:right="95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52"/>
        <w:jc w:val="left"/>
        <w:rPr>
          <w:b w:val="0"/>
          <w:bCs w:val="0"/>
        </w:rPr>
      </w:pPr>
      <w:bookmarkStart w:name="2、净资产收益率及每股收益" w:id="470"/>
      <w:bookmarkEnd w:id="47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0.2395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0.2100</w:t>
            </w:r>
          </w:p>
        </w:tc>
      </w:tr>
    </w:tbl>
    <w:p>
      <w:pPr>
        <w:spacing w:line="240" w:lineRule="auto" w:before="5"/>
        <w:rPr>
          <w:rFonts w:ascii="宋体" w:hAnsi="宋体" w:cs="宋体" w:eastAsia="宋体" w:hint="default"/>
          <w:b/>
          <w:bCs/>
          <w:sz w:val="19"/>
          <w:szCs w:val="19"/>
        </w:rPr>
      </w:pPr>
    </w:p>
    <w:p>
      <w:pPr>
        <w:pStyle w:val="Heading3"/>
        <w:spacing w:line="240" w:lineRule="auto" w:before="34"/>
        <w:ind w:right="952"/>
        <w:jc w:val="left"/>
        <w:rPr>
          <w:b w:val="0"/>
          <w:bCs w:val="0"/>
        </w:rPr>
      </w:pPr>
      <w:bookmarkStart w:name="3、境内外会计准则下会计数据差异" w:id="471"/>
      <w:bookmarkEnd w:id="47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2"/>
        <w:jc w:val="left"/>
        <w:rPr>
          <w:b w:val="0"/>
          <w:bCs w:val="0"/>
        </w:rPr>
      </w:pPr>
      <w:bookmarkStart w:name="（1）同时按照国际会计准则与按中国会计准则披露的财务报告中净利润和净资产差异情况" w:id="472"/>
      <w:bookmarkEnd w:id="47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2）同时按照境外会计准则与按中国会计准则披露的财务报告中净利润和净资产差异情况" w:id="473"/>
      <w:bookmarkEnd w:id="47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2"/>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952"/>
        <w:jc w:val="left"/>
        <w:rPr>
          <w:b w:val="0"/>
          <w:bCs w:val="0"/>
        </w:rPr>
      </w:pPr>
      <w:bookmarkStart w:name="（3）境内外会计准则下会计数据差异原因说明，对已经境外审计机构审计的数据进行差异" w:id="474"/>
      <w:bookmarkEnd w:id="474"/>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2"/>
        <w:jc w:val="left"/>
        <w:rPr>
          <w:b w:val="0"/>
          <w:bCs w:val="0"/>
        </w:rPr>
      </w:pPr>
      <w:bookmarkStart w:name="4、其他" w:id="475"/>
      <w:bookmarkEnd w:id="475"/>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2"/>
        <w:jc w:val="left"/>
      </w:pPr>
      <w:r>
        <w:rPr/>
        <w:t>无</w:t>
      </w:r>
    </w:p>
    <w:p>
      <w:pPr>
        <w:spacing w:after="0" w:line="240" w:lineRule="auto"/>
        <w:jc w:val="left"/>
        <w:sectPr>
          <w:pgSz w:w="11910" w:h="16840"/>
          <w:pgMar w:header="919" w:footer="1009"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247" w:right="952"/>
        <w:jc w:val="left"/>
        <w:rPr>
          <w:b w:val="0"/>
          <w:bCs w:val="0"/>
        </w:rPr>
      </w:pPr>
      <w:bookmarkStart w:name="第十二节 备查文件目录" w:id="476"/>
      <w:bookmarkEnd w:id="476"/>
      <w:r>
        <w:rPr>
          <w:b w:val="0"/>
          <w:bCs w:val="0"/>
        </w:rPr>
      </w:r>
      <w:bookmarkStart w:name="_bookmark11" w:id="477"/>
      <w:bookmarkEnd w:id="477"/>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194"/>
        <w:jc w:val="left"/>
      </w:pPr>
      <w:r>
        <w:rPr/>
        <w:t>一、载有公司法定代表人签名的《2018年年度报告》文本原件；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 五、其他备查文件。</w:t>
      </w:r>
    </w:p>
    <w:p>
      <w:pPr>
        <w:pStyle w:val="BodyText"/>
        <w:spacing w:line="240" w:lineRule="auto" w:before="19"/>
        <w:ind w:right="952"/>
        <w:jc w:val="left"/>
      </w:pPr>
      <w:r>
        <w:rPr/>
        <w:t>以上备查文件的备置地点：公司证券事务部</w:t>
      </w:r>
    </w:p>
    <w:sectPr>
      <w:footerReference w:type="default" r:id="rId34"/>
      <w:pgSz w:w="11910" w:h="16840"/>
      <w:pgMar w:footer="1009" w:header="919" w:top="1120" w:bottom="1200" w:left="1020" w:right="0"/>
      <w:pgNumType w:star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7240" type="#_x0000_t75" stroked="false">
          <v:imagedata r:id="rId1" o:title=""/>
        </v:shape>
      </w:pict>
    </w:r>
    <w:r>
      <w:rPr/>
      <w:pict>
        <v:shape style="position:absolute;margin-left:294.440002pt;margin-top:794.007935pt;width:6.5pt;height:11pt;mso-position-horizontal-relative:page;mso-position-vertical-relative:page;z-index:-12672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760" type="#_x0000_t75" stroked="false">
          <v:imagedata r:id="rId1" o:title=""/>
        </v:shape>
      </w:pict>
    </w:r>
    <w:r>
      <w:rPr/>
      <w:pict>
        <v:shape style="position:absolute;margin-left:291.158997pt;margin-top:780.447937pt;width:13.1pt;height:11pt;mso-position-horizontal-relative:page;mso-position-vertical-relative:page;z-index:-1266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712" type="#_x0000_t75" stroked="false">
          <v:imagedata r:id="rId1" o:title=""/>
        </v:shape>
      </w:pict>
    </w:r>
    <w:r>
      <w:rPr/>
      <w:pict>
        <v:shape style="position:absolute;margin-left:291.158997pt;margin-top:780.447937pt;width:13.1pt;height:11pt;mso-position-horizontal-relative:page;mso-position-vertical-relative:page;z-index:-1266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664" type="#_x0000_t75" stroked="false">
          <v:imagedata r:id="rId1" o:title=""/>
        </v:shape>
      </w:pict>
    </w:r>
    <w:r>
      <w:rPr/>
      <w:pict>
        <v:shape style="position:absolute;margin-left:288.880005pt;margin-top:780.447937pt;width:17.5pt;height:11pt;mso-position-horizontal-relative:page;mso-position-vertical-relative:page;z-index:-1266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616" type="#_x0000_t75" stroked="false">
          <v:imagedata r:id="rId1" o:title=""/>
        </v:shape>
      </w:pict>
    </w:r>
    <w:r>
      <w:rPr/>
      <w:pict>
        <v:shape style="position:absolute;margin-left:289.119995pt;margin-top:780.447937pt;width:17.3pt;height:11pt;mso-position-horizontal-relative:page;mso-position-vertical-relative:page;z-index:-1266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568" type="#_x0000_t75" stroked="false">
          <v:imagedata r:id="rId1" o:title=""/>
        </v:shape>
      </w:pict>
    </w:r>
    <w:r>
      <w:rPr/>
      <w:pict>
        <v:shape style="position:absolute;margin-left:288.880005pt;margin-top:780.447937pt;width:17.5pt;height:11pt;mso-position-horizontal-relative:page;mso-position-vertical-relative:page;z-index:-1266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520" type="#_x0000_t75" stroked="false">
          <v:imagedata r:id="rId1" o:title=""/>
        </v:shape>
      </w:pict>
    </w:r>
    <w:r>
      <w:rPr/>
      <w:pict>
        <v:shape style="position:absolute;margin-left:288.880005pt;margin-top:780.447937pt;width:17.5pt;height:11pt;mso-position-horizontal-relative:page;mso-position-vertical-relative:page;z-index:-126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472" type="#_x0000_t75" stroked="false">
          <v:imagedata r:id="rId1" o:title=""/>
        </v:shape>
      </w:pict>
    </w:r>
    <w:r>
      <w:rPr/>
      <w:pict>
        <v:shape style="position:absolute;margin-left:288.880005pt;margin-top:780.447937pt;width:17.5pt;height:11pt;mso-position-horizontal-relative:page;mso-position-vertical-relative:page;z-index:-126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424" type="#_x0000_t75" stroked="false">
          <v:imagedata r:id="rId1" o:title=""/>
        </v:shape>
      </w:pict>
    </w:r>
    <w:r>
      <w:rPr/>
      <w:pict>
        <v:shape style="position:absolute;margin-left:288.880005pt;margin-top:780.447937pt;width:17.5pt;height:11pt;mso-position-horizontal-relative:page;mso-position-vertical-relative:page;z-index:-1266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376" type="#_x0000_t75" stroked="false">
          <v:imagedata r:id="rId1" o:title=""/>
        </v:shape>
      </w:pict>
    </w:r>
    <w:r>
      <w:rPr/>
      <w:pict>
        <v:shape style="position:absolute;margin-left:288.880005pt;margin-top:780.447937pt;width:17.5pt;height:11pt;mso-position-horizontal-relative:page;mso-position-vertical-relative:page;z-index:-1266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328" type="#_x0000_t75" stroked="false">
          <v:imagedata r:id="rId1" o:title=""/>
        </v:shape>
      </w:pict>
    </w:r>
    <w:r>
      <w:rPr/>
      <w:pict>
        <v:shape style="position:absolute;margin-left:288.880005pt;margin-top:780.447937pt;width:17.5pt;height:11pt;mso-position-horizontal-relative:page;mso-position-vertical-relative:page;z-index:-1266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7192" type="#_x0000_t75" stroked="false">
          <v:imagedata r:id="rId1" o:title=""/>
        </v:shape>
      </w:pict>
    </w:r>
    <w:r>
      <w:rPr/>
      <w:pict>
        <v:shape style="position:absolute;margin-left:293.440002pt;margin-top:780.447937pt;width:8.5pt;height:11pt;mso-position-horizontal-relative:page;mso-position-vertical-relative:page;z-index:-1267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280" type="#_x0000_t75" stroked="false">
          <v:imagedata r:id="rId1" o:title=""/>
        </v:shape>
      </w:pict>
    </w:r>
    <w:r>
      <w:rPr/>
      <w:pict>
        <v:shape style="position:absolute;margin-left:288.880005pt;margin-top:780.447937pt;width:17.5pt;height:11pt;mso-position-horizontal-relative:page;mso-position-vertical-relative:page;z-index:-1266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232" type="#_x0000_t75" stroked="false">
          <v:imagedata r:id="rId1" o:title=""/>
        </v:shape>
      </w:pict>
    </w:r>
    <w:r>
      <w:rPr/>
      <w:pict>
        <v:shape style="position:absolute;margin-left:288.880005pt;margin-top:780.447937pt;width:17.5pt;height:11pt;mso-position-horizontal-relative:page;mso-position-vertical-relative:page;z-index:-1266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184" type="#_x0000_t75" stroked="false">
          <v:imagedata r:id="rId1" o:title=""/>
        </v:shape>
      </w:pict>
    </w:r>
    <w:r>
      <w:rPr/>
      <w:pict>
        <v:shape style="position:absolute;margin-left:288.880005pt;margin-top:780.447937pt;width:17.5pt;height:11pt;mso-position-horizontal-relative:page;mso-position-vertical-relative:page;z-index:-1266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7096" type="#_x0000_t75" stroked="false">
          <v:imagedata r:id="rId1" o:title=""/>
        </v:shape>
      </w:pict>
    </w:r>
    <w:r>
      <w:rPr/>
      <w:pict>
        <v:shape style="position:absolute;margin-left:291.158997pt;margin-top:780.447937pt;width:13.1pt;height:11pt;mso-position-horizontal-relative:page;mso-position-vertical-relative:page;z-index:-1267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7048" type="#_x0000_t75" stroked="false">
          <v:imagedata r:id="rId1" o:title=""/>
        </v:shape>
      </w:pict>
    </w:r>
    <w:r>
      <w:rPr/>
      <w:pict>
        <v:shape style="position:absolute;margin-left:291.158997pt;margin-top:780.447937pt;width:13.1pt;height:11pt;mso-position-horizontal-relative:page;mso-position-vertical-relative:page;z-index:-1267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7000" type="#_x0000_t75" stroked="false">
          <v:imagedata r:id="rId1" o:title=""/>
        </v:shape>
      </w:pict>
    </w:r>
    <w:r>
      <w:rPr/>
      <w:pict>
        <v:shape style="position:absolute;margin-left:291.158997pt;margin-top:780.447937pt;width:13.1pt;height:11pt;mso-position-horizontal-relative:page;mso-position-vertical-relative:page;z-index:-1266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952" type="#_x0000_t75" stroked="false">
          <v:imagedata r:id="rId1" o:title=""/>
        </v:shape>
      </w:pict>
    </w:r>
    <w:r>
      <w:rPr/>
      <w:pict>
        <v:shape style="position:absolute;margin-left:291.158997pt;margin-top:780.447937pt;width:13.1pt;height:11pt;mso-position-horizontal-relative:page;mso-position-vertical-relative:page;z-index:-1266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904" type="#_x0000_t75" stroked="false">
          <v:imagedata r:id="rId1" o:title=""/>
        </v:shape>
      </w:pict>
    </w:r>
    <w:r>
      <w:rPr/>
      <w:pict>
        <v:shape style="position:absolute;margin-left:291.158997pt;margin-top:780.447937pt;width:13.1pt;height:11pt;mso-position-horizontal-relative:page;mso-position-vertical-relative:page;z-index:-1266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856" type="#_x0000_t75" stroked="false">
          <v:imagedata r:id="rId1" o:title=""/>
        </v:shape>
      </w:pict>
    </w:r>
    <w:r>
      <w:rPr/>
      <w:pict>
        <v:shape style="position:absolute;margin-left:291.158997pt;margin-top:780.447937pt;width:13.1pt;height:11pt;mso-position-horizontal-relative:page;mso-position-vertical-relative:page;z-index:-1266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6808" type="#_x0000_t75" stroked="false">
          <v:imagedata r:id="rId1" o:title=""/>
        </v:shape>
      </w:pict>
    </w:r>
    <w:r>
      <w:rPr/>
      <w:pict>
        <v:shape style="position:absolute;margin-left:291.158997pt;margin-top:780.447937pt;width:13.1pt;height:11pt;mso-position-horizontal-relative:page;mso-position-vertical-relative:page;z-index:-1266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19995pt;margin-top:38.355648pt;width:231.45pt;height:11.5pt;mso-position-horizontal-relative:page;mso-position-vertical-relative:page;z-index:-1267264" type="#_x0000_t202" filled="false" stroked="false">
          <v:textbox inset="0,0,0,0">
            <w:txbxContent>
              <w:p>
                <w:pPr>
                  <w:pStyle w:val="BodyText"/>
                  <w:spacing w:line="214" w:lineRule="exact"/>
                  <w:ind w:left="20" w:right="0"/>
                  <w:jc w:val="left"/>
                </w:pPr>
                <w:r>
                  <w:rPr/>
                  <w:t>深圳市赢时胜信息技术股份有限公司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6.440025pt;width:481.9pt;height:.1pt;mso-position-horizontal-relative:page;mso-position-vertical-relative:page;z-index:-1267144" coordorigin="1134,1129" coordsize="9638,2">
          <v:shape style="position:absolute;left:1134;top:1129;width:9638;height:2" coordorigin="1134,1129" coordsize="9638,0" path="m1134,1129l10772,1129e" filled="false" stroked="true" strokeweight=".48pt" strokecolor="#000000">
            <v:path arrowok="t"/>
          </v:shape>
          <w10:wrap type="none"/>
        </v:group>
      </w:pict>
    </w:r>
    <w:r>
      <w:rPr/>
      <w:pict>
        <v:shape style="position:absolute;margin-left:308.119995pt;margin-top:44.95565pt;width:231.45pt;height:11.4pt;mso-position-horizontal-relative:page;mso-position-vertical-relative:page;z-index:-1267120" type="#_x0000_t202" filled="false" stroked="false">
          <v:textbox inset="0,0,0,0">
            <w:txbxContent>
              <w:p>
                <w:pPr>
                  <w:pStyle w:val="BodyText"/>
                  <w:spacing w:line="214" w:lineRule="exact"/>
                  <w:ind w:left="20" w:right="0"/>
                  <w:jc w:val="left"/>
                </w:pPr>
                <w:r>
                  <w:rPr/>
                  <w:t>深圳市赢时胜信息技术股份有限公司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513"/>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112"/>
      <w:outlineLvl w:val="4"/>
    </w:pPr>
    <w:rPr>
      <w:rFonts w:ascii="宋体" w:hAnsi="宋体" w:eastAsia="宋体"/>
      <w:sz w:val="21"/>
      <w:szCs w:val="21"/>
    </w:rPr>
  </w:style>
  <w:style w:styleId="Heading5" w:type="paragraph">
    <w:name w:val="Heading 5"/>
    <w:basedOn w:val="Normal"/>
    <w:uiPriority w:val="1"/>
    <w:qFormat/>
    <w:pPr>
      <w:spacing w:before="1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ysstech.com/" TargetMode="External"/><Relationship Id="rId11" Type="http://schemas.openxmlformats.org/officeDocument/2006/relationships/hyperlink" Target="mailto:ysstech@ysstech.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3.jpeg"/><Relationship Id="rId20" Type="http://schemas.openxmlformats.org/officeDocument/2006/relationships/footer" Target="footer9.xml"/><Relationship Id="rId21" Type="http://schemas.openxmlformats.org/officeDocument/2006/relationships/hyperlink" Target="http://www.cninfo.co/" TargetMode="Externa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dc:creator>
  <dcterms:created xsi:type="dcterms:W3CDTF">2020-05-05T02:08:02Z</dcterms:created>
  <dcterms:modified xsi:type="dcterms:W3CDTF">2020-05-05T02:08:02Z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WPS 文字</vt:lpwstr>
  </property>
  <property fmtid="{D5CDD505-2E9C-101B-9397-08002B2CF9AE}" pid="4" name="LastSaved">
    <vt:filetime>2020-05-04T00:00:00Z</vt:filetime>
  </property>
</Properties>
</file>