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6.700001pt;margin-top:49.890026pt;width:481.9pt;height:.1pt;mso-position-horizontal-relative:page;mso-position-vertical-relative:page;z-index:0" coordorigin="1134,998" coordsize="9638,2">
            <v:shape style="position:absolute;left:1134;top:998;width:9638;height:2" coordorigin="1134,998" coordsize="9638,0" path="m1134,998l10772,998e" filled="false" stroked="true" strokeweight=".48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3"/>
          <w:szCs w:val="13"/>
        </w:rPr>
      </w:pPr>
    </w:p>
    <w:p>
      <w:pPr>
        <w:spacing w:line="1628" w:lineRule="exact"/>
        <w:ind w:left="419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2"/>
          <w:sz w:val="20"/>
          <w:szCs w:val="20"/>
        </w:rPr>
        <w:drawing>
          <wp:inline distT="0" distB="0" distL="0" distR="0">
            <wp:extent cx="945009" cy="1033843"/>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945009" cy="1033843"/>
                    </a:xfrm>
                    <a:prstGeom prst="rect">
                      <a:avLst/>
                    </a:prstGeom>
                  </pic:spPr>
                </pic:pic>
              </a:graphicData>
            </a:graphic>
          </wp:inline>
        </w:drawing>
      </w:r>
      <w:r>
        <w:rPr>
          <w:rFonts w:ascii="Times New Roman" w:hAnsi="Times New Roman" w:cs="Times New Roman" w:eastAsia="Times New Roman" w:hint="default"/>
          <w:position w:val="-32"/>
          <w:sz w:val="20"/>
          <w:szCs w:val="20"/>
        </w:rPr>
      </w:r>
    </w:p>
    <w:p>
      <w:pPr>
        <w:spacing w:line="240" w:lineRule="auto" w:before="7"/>
        <w:rPr>
          <w:rFonts w:ascii="Times New Roman" w:hAnsi="Times New Roman" w:cs="Times New Roman" w:eastAsia="Times New Roman" w:hint="default"/>
          <w:sz w:val="12"/>
          <w:szCs w:val="12"/>
        </w:rPr>
      </w:pPr>
    </w:p>
    <w:p>
      <w:pPr>
        <w:spacing w:line="460" w:lineRule="exact" w:before="0"/>
        <w:ind w:left="2025" w:right="3037" w:firstLine="0"/>
        <w:jc w:val="center"/>
        <w:rPr>
          <w:rFonts w:ascii="宋体" w:hAnsi="宋体" w:cs="宋体" w:eastAsia="宋体" w:hint="default"/>
          <w:sz w:val="36"/>
          <w:szCs w:val="36"/>
        </w:rPr>
      </w:pPr>
      <w:r>
        <w:rPr>
          <w:rFonts w:ascii="宋体" w:hAnsi="宋体" w:cs="宋体" w:eastAsia="宋体" w:hint="default"/>
          <w:b/>
          <w:bCs/>
          <w:sz w:val="36"/>
          <w:szCs w:val="36"/>
        </w:rPr>
        <w:t>深圳市赢时胜信息技术股份有限公司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017" w:right="3037"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8"/>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5"/>
        <w:rPr>
          <w:rFonts w:ascii="宋体" w:hAnsi="宋体" w:cs="宋体" w:eastAsia="宋体" w:hint="default"/>
          <w:b/>
          <w:bCs/>
          <w:sz w:val="32"/>
          <w:szCs w:val="32"/>
        </w:rPr>
      </w:pPr>
    </w:p>
    <w:p>
      <w:pPr>
        <w:spacing w:before="0"/>
        <w:ind w:left="2022" w:right="3037" w:firstLine="0"/>
        <w:jc w:val="center"/>
        <w:rPr>
          <w:rFonts w:ascii="Times New Roman" w:hAnsi="Times New Roman" w:cs="Times New Roman" w:eastAsia="Times New Roman" w:hint="default"/>
          <w:sz w:val="22"/>
          <w:szCs w:val="22"/>
        </w:rPr>
      </w:pPr>
      <w:r>
        <w:rPr>
          <w:rFonts w:ascii="Times New Roman"/>
          <w:b/>
          <w:sz w:val="22"/>
        </w:rPr>
        <w:t>2020-016</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29"/>
        <w:ind w:left="2017" w:right="3037"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2020</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w:t>
      </w:r>
      <w:r>
        <w:rPr>
          <w:rFonts w:ascii="宋体" w:hAnsi="宋体" w:cs="宋体" w:eastAsia="宋体" w:hint="default"/>
          <w:b/>
          <w:bCs/>
          <w:spacing w:val="-83"/>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5"/>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87" w:footer="1016" w:top="1100" w:bottom="1200" w:left="1020" w:right="0"/>
        </w:sectPr>
      </w:pP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82.4pt;height:.5pt;mso-position-horizontal-relative:char;mso-position-vertical-relative:line" coordorigin="0,0" coordsize="9648,10">
            <v:group style="position:absolute;left:5;top:5;width:9638;height:2" coordorigin="5,5" coordsize="9638,2">
              <v:shape style="position:absolute;left:5;top:5;width:9638;height:2" coordorigin="5,5" coordsize="9638,0" path="m5,5l9643,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Heading1"/>
        <w:spacing w:line="240" w:lineRule="auto"/>
        <w:ind w:left="2846" w:right="915"/>
        <w:jc w:val="left"/>
        <w:rPr>
          <w:b w:val="0"/>
          <w:bCs w:val="0"/>
        </w:rPr>
      </w:pPr>
      <w:bookmarkStart w:name="第一节重要提示、目录和释义" w:id="1"/>
      <w:bookmarkEnd w:id="1"/>
      <w:r>
        <w:rPr>
          <w:b w:val="0"/>
          <w:bCs w:val="0"/>
        </w:rPr>
      </w:r>
      <w:bookmarkStart w:name="_bookmark0" w:id="2"/>
      <w:bookmarkEnd w:id="2"/>
      <w:r>
        <w:rPr>
          <w:b w:val="0"/>
          <w:bCs w:val="0"/>
        </w:rPr>
      </w:r>
      <w:r>
        <w:rPr/>
        <w:t>第一节重要提示、目录和释义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2"/>
        <w:ind w:left="112" w:right="1128" w:firstLine="561"/>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0"/>
        <w:ind w:left="112" w:right="1127" w:firstLine="561"/>
        <w:jc w:val="both"/>
        <w:rPr>
          <w:rFonts w:ascii="宋体" w:hAnsi="宋体" w:cs="宋体" w:eastAsia="宋体" w:hint="default"/>
          <w:sz w:val="28"/>
          <w:szCs w:val="28"/>
        </w:rPr>
      </w:pPr>
      <w:r>
        <w:rPr>
          <w:rFonts w:ascii="宋体" w:hAnsi="宋体" w:cs="宋体" w:eastAsia="宋体" w:hint="default"/>
          <w:b/>
          <w:bCs/>
          <w:spacing w:val="-1"/>
          <w:sz w:val="28"/>
          <w:szCs w:val="28"/>
        </w:rPr>
        <w:t>公司负责人唐球、主管会计工作负责人伍国安及会计机构负责人</w:t>
      </w:r>
      <w:r>
        <w:rPr>
          <w:rFonts w:ascii="Times New Roman" w:hAnsi="Times New Roman" w:cs="Times New Roman" w:eastAsia="Times New Roman" w:hint="default"/>
          <w:b/>
          <w:bCs/>
          <w:spacing w:val="-1"/>
          <w:sz w:val="28"/>
          <w:szCs w:val="28"/>
        </w:rPr>
        <w:t>(</w:t>
      </w:r>
      <w:r>
        <w:rPr>
          <w:rFonts w:ascii="宋体" w:hAnsi="宋体" w:cs="宋体" w:eastAsia="宋体" w:hint="default"/>
          <w:b/>
          <w:bCs/>
          <w:spacing w:val="-1"/>
          <w:sz w:val="28"/>
          <w:szCs w:val="28"/>
        </w:rPr>
        <w:t>会计主管</w:t>
      </w:r>
      <w:r>
        <w:rPr>
          <w:rFonts w:ascii="宋体" w:hAnsi="宋体" w:cs="宋体" w:eastAsia="宋体" w:hint="default"/>
          <w:b/>
          <w:bCs/>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廖拾秀声明：保证年度报告中财务报告的真实、准确、完整。</w:t>
      </w:r>
      <w:r>
        <w:rPr>
          <w:rFonts w:ascii="宋体" w:hAnsi="宋体" w:cs="宋体" w:eastAsia="宋体" w:hint="default"/>
          <w:sz w:val="28"/>
          <w:szCs w:val="28"/>
        </w:rPr>
      </w:r>
    </w:p>
    <w:p>
      <w:pPr>
        <w:spacing w:before="148"/>
        <w:ind w:left="674" w:right="915"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sz w:val="28"/>
          <w:szCs w:val="28"/>
        </w:rPr>
      </w:r>
    </w:p>
    <w:p>
      <w:pPr>
        <w:spacing w:line="240" w:lineRule="auto" w:before="5"/>
        <w:rPr>
          <w:rFonts w:ascii="宋体" w:hAnsi="宋体" w:cs="宋体" w:eastAsia="宋体" w:hint="default"/>
          <w:b/>
          <w:bCs/>
          <w:sz w:val="27"/>
          <w:szCs w:val="27"/>
        </w:rPr>
      </w:pPr>
    </w:p>
    <w:p>
      <w:pPr>
        <w:spacing w:line="408" w:lineRule="auto" w:before="0"/>
        <w:ind w:left="112" w:right="1128" w:firstLine="561"/>
        <w:jc w:val="both"/>
        <w:rPr>
          <w:rFonts w:ascii="宋体" w:hAnsi="宋体" w:cs="宋体" w:eastAsia="宋体" w:hint="default"/>
          <w:sz w:val="28"/>
          <w:szCs w:val="28"/>
        </w:rPr>
      </w:pPr>
      <w:r>
        <w:rPr>
          <w:rFonts w:ascii="宋体" w:hAnsi="宋体" w:cs="宋体" w:eastAsia="宋体" w:hint="default"/>
          <w:b/>
          <w:bCs/>
          <w:spacing w:val="2"/>
          <w:sz w:val="28"/>
          <w:szCs w:val="28"/>
        </w:rPr>
        <w:t>（一）经营业绩季节性波动风险。历年来，公司金融软件营业收入和净利</w:t>
      </w:r>
      <w:r>
        <w:rPr>
          <w:rFonts w:ascii="宋体" w:hAnsi="宋体" w:cs="宋体" w:eastAsia="宋体" w:hint="default"/>
          <w:b/>
          <w:bCs/>
          <w:w w:val="99"/>
          <w:sz w:val="28"/>
          <w:szCs w:val="28"/>
        </w:rPr>
        <w:t> </w:t>
      </w:r>
      <w:r>
        <w:rPr>
          <w:rFonts w:ascii="宋体" w:hAnsi="宋体" w:cs="宋体" w:eastAsia="宋体" w:hint="default"/>
          <w:b/>
          <w:bCs/>
          <w:spacing w:val="2"/>
          <w:sz w:val="28"/>
          <w:szCs w:val="28"/>
        </w:rPr>
        <w:t>润存在较为明显的季节性特征。第一季度营业收入较低，第四季度营业收入占</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当年收入总额的比例较高，接近全年的一半，这是由于金融机构的软件系统采</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购主要集中在下半年，且通常在第四季度进行验收。同时，由于软件企业员工</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工资性支出、房租物业管理及水电费用及固定资产摊销等成本比较稳定，造成</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公司净利润的季节性波动比营业收入的季节性波动更为明显，不能根据季度的</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经营业绩情况判断全年的经营业绩，如果第四季度营业收入达不到预期水平，</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z w:val="28"/>
          <w:szCs w:val="28"/>
        </w:rPr>
        <w:t>可能导致公司全年业绩下降。</w:t>
      </w:r>
      <w:r>
        <w:rPr>
          <w:rFonts w:ascii="宋体" w:hAnsi="宋体" w:cs="宋体" w:eastAsia="宋体" w:hint="default"/>
          <w:sz w:val="28"/>
          <w:szCs w:val="28"/>
        </w:rPr>
      </w:r>
    </w:p>
    <w:p>
      <w:pPr>
        <w:spacing w:line="391" w:lineRule="auto" w:before="160"/>
        <w:ind w:left="112" w:right="915" w:firstLine="561"/>
        <w:jc w:val="left"/>
        <w:rPr>
          <w:rFonts w:ascii="宋体" w:hAnsi="宋体" w:cs="宋体" w:eastAsia="宋体" w:hint="default"/>
          <w:sz w:val="28"/>
          <w:szCs w:val="28"/>
        </w:rPr>
      </w:pPr>
      <w:r>
        <w:rPr>
          <w:rFonts w:ascii="宋体" w:hAnsi="宋体" w:cs="宋体" w:eastAsia="宋体" w:hint="default"/>
          <w:b/>
          <w:bCs/>
          <w:spacing w:val="-8"/>
          <w:sz w:val="28"/>
          <w:szCs w:val="28"/>
        </w:rPr>
        <w:t>（二）应收账款发生坏账的风险。公司应收账款余额较大，截至</w:t>
      </w:r>
      <w:r>
        <w:rPr>
          <w:rFonts w:ascii="宋体" w:hAnsi="宋体" w:cs="宋体" w:eastAsia="宋体" w:hint="default"/>
          <w:b/>
          <w:bCs/>
          <w:spacing w:val="-66"/>
          <w:sz w:val="28"/>
          <w:szCs w:val="28"/>
        </w:rPr>
        <w:t> </w:t>
      </w:r>
      <w:r>
        <w:rPr>
          <w:rFonts w:ascii="Times New Roman" w:hAnsi="Times New Roman" w:cs="Times New Roman" w:eastAsia="Times New Roman" w:hint="default"/>
          <w:b/>
          <w:bCs/>
          <w:sz w:val="28"/>
          <w:szCs w:val="28"/>
        </w:rPr>
        <w:t>2019</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年末，</w:t>
      </w:r>
      <w:r>
        <w:rPr>
          <w:rFonts w:ascii="宋体" w:hAnsi="宋体" w:cs="宋体" w:eastAsia="宋体" w:hint="default"/>
          <w:b/>
          <w:bCs/>
          <w:w w:val="99"/>
          <w:sz w:val="28"/>
          <w:szCs w:val="28"/>
        </w:rPr>
        <w:t> </w:t>
      </w:r>
      <w:r>
        <w:rPr>
          <w:rFonts w:ascii="宋体" w:hAnsi="宋体" w:cs="宋体" w:eastAsia="宋体" w:hint="default"/>
          <w:b/>
          <w:bCs/>
          <w:sz w:val="28"/>
          <w:szCs w:val="28"/>
        </w:rPr>
        <w:t>公司应收账款账面价值为</w:t>
      </w:r>
      <w:r>
        <w:rPr>
          <w:rFonts w:ascii="宋体" w:hAnsi="宋体" w:cs="宋体" w:eastAsia="宋体" w:hint="default"/>
          <w:b/>
          <w:bCs/>
          <w:spacing w:val="-69"/>
          <w:sz w:val="28"/>
          <w:szCs w:val="28"/>
        </w:rPr>
        <w:t> </w:t>
      </w:r>
      <w:r>
        <w:rPr>
          <w:rFonts w:ascii="Times New Roman" w:hAnsi="Times New Roman" w:cs="Times New Roman" w:eastAsia="Times New Roman" w:hint="default"/>
          <w:b/>
          <w:bCs/>
          <w:spacing w:val="-3"/>
          <w:sz w:val="28"/>
          <w:szCs w:val="28"/>
        </w:rPr>
        <w:t>73,117.73</w:t>
      </w:r>
      <w:r>
        <w:rPr>
          <w:rFonts w:ascii="Times New Roman" w:hAnsi="Times New Roman" w:cs="Times New Roman" w:eastAsia="Times New Roman" w:hint="default"/>
          <w:b/>
          <w:bCs/>
          <w:spacing w:val="4"/>
          <w:sz w:val="28"/>
          <w:szCs w:val="28"/>
        </w:rPr>
        <w:t> </w:t>
      </w:r>
      <w:r>
        <w:rPr>
          <w:rFonts w:ascii="宋体" w:hAnsi="宋体" w:cs="宋体" w:eastAsia="宋体" w:hint="default"/>
          <w:b/>
          <w:bCs/>
          <w:spacing w:val="-8"/>
          <w:sz w:val="28"/>
          <w:szCs w:val="28"/>
        </w:rPr>
        <w:t>万元，占期末总资产的比例为</w:t>
      </w:r>
      <w:r>
        <w:rPr>
          <w:rFonts w:ascii="宋体" w:hAnsi="宋体" w:cs="宋体" w:eastAsia="宋体" w:hint="default"/>
          <w:b/>
          <w:bCs/>
          <w:spacing w:val="-69"/>
          <w:sz w:val="28"/>
          <w:szCs w:val="28"/>
        </w:rPr>
        <w:t> </w:t>
      </w:r>
      <w:r>
        <w:rPr>
          <w:rFonts w:ascii="Times New Roman" w:hAnsi="Times New Roman" w:cs="Times New Roman" w:eastAsia="Times New Roman" w:hint="default"/>
          <w:b/>
          <w:bCs/>
          <w:spacing w:val="-9"/>
          <w:sz w:val="28"/>
          <w:szCs w:val="28"/>
        </w:rPr>
        <w:t>22.95%</w:t>
      </w:r>
      <w:r>
        <w:rPr>
          <w:rFonts w:ascii="宋体" w:hAnsi="宋体" w:cs="宋体" w:eastAsia="宋体" w:hint="default"/>
          <w:b/>
          <w:bCs/>
          <w:spacing w:val="-9"/>
          <w:sz w:val="28"/>
          <w:szCs w:val="28"/>
        </w:rPr>
        <w:t>，</w:t>
      </w:r>
      <w:r>
        <w:rPr>
          <w:rFonts w:ascii="Times New Roman" w:hAnsi="Times New Roman" w:cs="Times New Roman" w:eastAsia="Times New Roman" w:hint="default"/>
          <w:b/>
          <w:bCs/>
          <w:spacing w:val="-9"/>
          <w:sz w:val="28"/>
          <w:szCs w:val="28"/>
        </w:rPr>
        <w:t>2017</w:t>
      </w:r>
      <w:r>
        <w:rPr>
          <w:rFonts w:ascii="Times New Roman" w:hAnsi="Times New Roman" w:cs="Times New Roman" w:eastAsia="Times New Roman" w:hint="default"/>
          <w:b/>
          <w:bCs/>
          <w:spacing w:val="-60"/>
          <w:sz w:val="28"/>
          <w:szCs w:val="28"/>
        </w:rPr>
        <w:t> </w:t>
      </w:r>
      <w:r>
        <w:rPr>
          <w:rFonts w:ascii="Times New Roman" w:hAnsi="Times New Roman" w:cs="Times New Roman" w:eastAsia="Times New Roman" w:hint="default"/>
          <w:b/>
          <w:bCs/>
          <w:spacing w:val="-60"/>
          <w:sz w:val="28"/>
          <w:szCs w:val="28"/>
        </w:rPr>
      </w:r>
      <w:r>
        <w:rPr>
          <w:rFonts w:ascii="宋体" w:hAnsi="宋体" w:cs="宋体" w:eastAsia="宋体" w:hint="default"/>
          <w:b/>
          <w:bCs/>
          <w:sz w:val="28"/>
          <w:szCs w:val="28"/>
        </w:rPr>
        <w:t>年至</w:t>
      </w:r>
      <w:r>
        <w:rPr>
          <w:rFonts w:ascii="宋体" w:hAnsi="宋体" w:cs="宋体" w:eastAsia="宋体" w:hint="default"/>
          <w:b/>
          <w:bCs/>
          <w:spacing w:val="-65"/>
          <w:sz w:val="28"/>
          <w:szCs w:val="28"/>
        </w:rPr>
        <w:t> </w:t>
      </w:r>
      <w:r>
        <w:rPr>
          <w:rFonts w:ascii="Times New Roman" w:hAnsi="Times New Roman" w:cs="Times New Roman" w:eastAsia="Times New Roman" w:hint="default"/>
          <w:b/>
          <w:bCs/>
          <w:sz w:val="28"/>
          <w:szCs w:val="28"/>
        </w:rPr>
        <w:t>2019</w:t>
      </w:r>
      <w:r>
        <w:rPr>
          <w:rFonts w:ascii="Times New Roman" w:hAnsi="Times New Roman" w:cs="Times New Roman" w:eastAsia="Times New Roman" w:hint="default"/>
          <w:b/>
          <w:bCs/>
          <w:spacing w:val="5"/>
          <w:sz w:val="28"/>
          <w:szCs w:val="28"/>
        </w:rPr>
        <w:t> </w:t>
      </w:r>
      <w:r>
        <w:rPr>
          <w:rFonts w:ascii="宋体" w:hAnsi="宋体" w:cs="宋体" w:eastAsia="宋体" w:hint="default"/>
          <w:b/>
          <w:bCs/>
          <w:spacing w:val="2"/>
          <w:sz w:val="28"/>
          <w:szCs w:val="28"/>
        </w:rPr>
        <w:t>年</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公司应收账款周转率分别为</w:t>
      </w:r>
      <w:r>
        <w:rPr>
          <w:rFonts w:ascii="宋体" w:hAnsi="宋体" w:cs="宋体" w:eastAsia="宋体" w:hint="default"/>
          <w:b/>
          <w:bCs/>
          <w:spacing w:val="-65"/>
          <w:sz w:val="28"/>
          <w:szCs w:val="28"/>
        </w:rPr>
        <w:t> </w:t>
      </w:r>
      <w:r>
        <w:rPr>
          <w:rFonts w:ascii="Times New Roman" w:hAnsi="Times New Roman" w:cs="Times New Roman" w:eastAsia="Times New Roman" w:hint="default"/>
          <w:b/>
          <w:bCs/>
          <w:sz w:val="28"/>
          <w:szCs w:val="28"/>
        </w:rPr>
        <w:t>2.04</w:t>
      </w:r>
      <w:r>
        <w:rPr>
          <w:rFonts w:ascii="Times New Roman" w:hAnsi="Times New Roman" w:cs="Times New Roman" w:eastAsia="Times New Roman" w:hint="default"/>
          <w:b/>
          <w:bCs/>
          <w:spacing w:val="5"/>
          <w:sz w:val="28"/>
          <w:szCs w:val="28"/>
        </w:rPr>
        <w:t> </w:t>
      </w:r>
      <w:r>
        <w:rPr>
          <w:rFonts w:ascii="宋体" w:hAnsi="宋体" w:cs="宋体" w:eastAsia="宋体" w:hint="default"/>
          <w:b/>
          <w:bCs/>
          <w:sz w:val="28"/>
          <w:szCs w:val="28"/>
        </w:rPr>
        <w:t>次、</w:t>
      </w:r>
      <w:r>
        <w:rPr>
          <w:rFonts w:ascii="Times New Roman" w:hAnsi="Times New Roman" w:cs="Times New Roman" w:eastAsia="Times New Roman" w:hint="default"/>
          <w:b/>
          <w:bCs/>
          <w:sz w:val="28"/>
          <w:szCs w:val="28"/>
        </w:rPr>
        <w:t>1.44</w:t>
      </w:r>
      <w:r>
        <w:rPr>
          <w:rFonts w:ascii="Times New Roman" w:hAnsi="Times New Roman" w:cs="Times New Roman" w:eastAsia="Times New Roman" w:hint="default"/>
          <w:b/>
          <w:bCs/>
          <w:spacing w:val="5"/>
          <w:sz w:val="28"/>
          <w:szCs w:val="28"/>
        </w:rPr>
        <w:t> </w:t>
      </w:r>
      <w:r>
        <w:rPr>
          <w:rFonts w:ascii="宋体" w:hAnsi="宋体" w:cs="宋体" w:eastAsia="宋体" w:hint="default"/>
          <w:b/>
          <w:bCs/>
          <w:sz w:val="28"/>
          <w:szCs w:val="28"/>
        </w:rPr>
        <w:t>次、</w:t>
      </w:r>
      <w:r>
        <w:rPr>
          <w:rFonts w:ascii="Times New Roman" w:hAnsi="Times New Roman" w:cs="Times New Roman" w:eastAsia="Times New Roman" w:hint="default"/>
          <w:b/>
          <w:bCs/>
          <w:sz w:val="28"/>
          <w:szCs w:val="28"/>
        </w:rPr>
        <w:t>1.03</w:t>
      </w:r>
      <w:r>
        <w:rPr>
          <w:rFonts w:ascii="Times New Roman" w:hAnsi="Times New Roman" w:cs="Times New Roman" w:eastAsia="Times New Roman" w:hint="default"/>
          <w:b/>
          <w:bCs/>
          <w:spacing w:val="5"/>
          <w:sz w:val="28"/>
          <w:szCs w:val="28"/>
        </w:rPr>
        <w:t> </w:t>
      </w:r>
      <w:r>
        <w:rPr>
          <w:rFonts w:ascii="宋体" w:hAnsi="宋体" w:cs="宋体" w:eastAsia="宋体" w:hint="default"/>
          <w:b/>
          <w:bCs/>
          <w:spacing w:val="2"/>
          <w:sz w:val="28"/>
          <w:szCs w:val="28"/>
        </w:rPr>
        <w:t>次，应收账款</w:t>
      </w:r>
      <w:r>
        <w:rPr>
          <w:rFonts w:ascii="宋体" w:hAnsi="宋体" w:cs="宋体" w:eastAsia="宋体" w:hint="default"/>
          <w:b/>
          <w:bCs/>
          <w:spacing w:val="-136"/>
          <w:sz w:val="28"/>
          <w:szCs w:val="28"/>
        </w:rPr>
        <w:t> </w:t>
      </w:r>
      <w:r>
        <w:rPr>
          <w:rFonts w:ascii="宋体" w:hAnsi="宋体" w:cs="宋体" w:eastAsia="宋体" w:hint="default"/>
          <w:b/>
          <w:bCs/>
          <w:spacing w:val="-136"/>
          <w:sz w:val="28"/>
          <w:szCs w:val="28"/>
        </w:rPr>
      </w:r>
      <w:r>
        <w:rPr>
          <w:rFonts w:ascii="宋体" w:hAnsi="宋体" w:cs="宋体" w:eastAsia="宋体" w:hint="default"/>
          <w:b/>
          <w:bCs/>
          <w:spacing w:val="2"/>
          <w:sz w:val="28"/>
          <w:szCs w:val="28"/>
        </w:rPr>
        <w:t>周转率呈现下降。公司金融软件业务客户为金融机构客户，资金实力雄厚，信</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用良好，行业的坏账是极小的。公司控股子公司的供应链业务和商业保理业务</w:t>
      </w:r>
      <w:r>
        <w:rPr>
          <w:rFonts w:ascii="宋体" w:hAnsi="宋体" w:cs="宋体" w:eastAsia="宋体" w:hint="default"/>
          <w:spacing w:val="2"/>
          <w:sz w:val="28"/>
          <w:szCs w:val="28"/>
        </w:rPr>
      </w:r>
    </w:p>
    <w:p>
      <w:pPr>
        <w:spacing w:after="0" w:line="391" w:lineRule="auto"/>
        <w:jc w:val="left"/>
        <w:rPr>
          <w:rFonts w:ascii="宋体" w:hAnsi="宋体" w:cs="宋体" w:eastAsia="宋体" w:hint="default"/>
          <w:sz w:val="28"/>
          <w:szCs w:val="28"/>
        </w:rPr>
        <w:sectPr>
          <w:footerReference w:type="default" r:id="rId8"/>
          <w:pgSz w:w="11910" w:h="16840"/>
          <w:pgMar w:footer="1016" w:header="787" w:top="1100" w:bottom="1200" w:left="1020" w:right="0"/>
          <w:pgNumType w:start="2"/>
        </w:sectPr>
      </w:pP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82.4pt;height:.5pt;mso-position-horizontal-relative:char;mso-position-vertical-relative:line" coordorigin="0,0" coordsize="9648,10">
            <v:group style="position:absolute;left:5;top:5;width:9638;height:2" coordorigin="5,5" coordsize="9638,2">
              <v:shape style="position:absolute;left:5;top:5;width:9638;height:2" coordorigin="5,5" coordsize="9638,0" path="m5,5l9643,5e" filled="false" stroked="true" strokeweight=".48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b/>
          <w:bCs/>
          <w:sz w:val="29"/>
          <w:szCs w:val="29"/>
        </w:rPr>
      </w:pPr>
    </w:p>
    <w:p>
      <w:pPr>
        <w:spacing w:before="14"/>
        <w:ind w:left="112" w:right="915" w:firstLine="0"/>
        <w:jc w:val="left"/>
        <w:rPr>
          <w:rFonts w:ascii="宋体" w:hAnsi="宋体" w:cs="宋体" w:eastAsia="宋体" w:hint="default"/>
          <w:sz w:val="28"/>
          <w:szCs w:val="28"/>
        </w:rPr>
      </w:pPr>
      <w:r>
        <w:rPr>
          <w:rFonts w:ascii="宋体" w:hAnsi="宋体" w:cs="宋体" w:eastAsia="宋体" w:hint="default"/>
          <w:b/>
          <w:bCs/>
          <w:sz w:val="28"/>
          <w:szCs w:val="28"/>
        </w:rPr>
        <w:t>由于宏观经济环境影响，不排除风险事件发生的可能性。</w:t>
      </w:r>
      <w:r>
        <w:rPr>
          <w:rFonts w:ascii="宋体" w:hAnsi="宋体" w:cs="宋体" w:eastAsia="宋体" w:hint="default"/>
          <w:sz w:val="28"/>
          <w:szCs w:val="28"/>
        </w:rPr>
      </w:r>
    </w:p>
    <w:p>
      <w:pPr>
        <w:spacing w:line="240" w:lineRule="auto" w:before="3"/>
        <w:rPr>
          <w:rFonts w:ascii="宋体" w:hAnsi="宋体" w:cs="宋体" w:eastAsia="宋体" w:hint="default"/>
          <w:b/>
          <w:bCs/>
          <w:sz w:val="27"/>
          <w:szCs w:val="27"/>
        </w:rPr>
      </w:pPr>
    </w:p>
    <w:p>
      <w:pPr>
        <w:spacing w:line="408" w:lineRule="auto" w:before="0"/>
        <w:ind w:left="112" w:right="1128" w:firstLine="561"/>
        <w:jc w:val="both"/>
        <w:rPr>
          <w:rFonts w:ascii="宋体" w:hAnsi="宋体" w:cs="宋体" w:eastAsia="宋体" w:hint="default"/>
          <w:sz w:val="28"/>
          <w:szCs w:val="28"/>
        </w:rPr>
      </w:pPr>
      <w:r>
        <w:rPr>
          <w:rFonts w:ascii="宋体" w:hAnsi="宋体" w:cs="宋体" w:eastAsia="宋体" w:hint="default"/>
          <w:b/>
          <w:bCs/>
          <w:spacing w:val="2"/>
          <w:sz w:val="28"/>
          <w:szCs w:val="28"/>
        </w:rPr>
        <w:t>（三）管理风险。公司建立了较为规范的法人治理结构和内控制度体系，</w:t>
      </w:r>
      <w:r>
        <w:rPr>
          <w:rFonts w:ascii="宋体" w:hAnsi="宋体" w:cs="宋体" w:eastAsia="宋体" w:hint="default"/>
          <w:b/>
          <w:bCs/>
          <w:w w:val="99"/>
          <w:sz w:val="28"/>
          <w:szCs w:val="28"/>
        </w:rPr>
        <w:t> </w:t>
      </w:r>
      <w:r>
        <w:rPr>
          <w:rFonts w:ascii="宋体" w:hAnsi="宋体" w:cs="宋体" w:eastAsia="宋体" w:hint="default"/>
          <w:b/>
          <w:bCs/>
          <w:spacing w:val="2"/>
          <w:sz w:val="28"/>
          <w:szCs w:val="28"/>
        </w:rPr>
        <w:t>为公司保持持续稳定发展提供了重要保证。目前公司核心管理团队稳定，经营</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稳健，业绩持续增长。随着公司经营规模的扩大和战略转型发展，建立更加有</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效的管理决策体系，进一步完善内部控制体系和激励机制，引进、培养和留住</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技术及管理人才，切实提升公司软件工程能力、项目管理水平和团队管理水平</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都将成为公司面临的重要课题。如果公司在高速发展过程中，不能妥善、有效</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地解决高速成长带来的管理风险，特别是在战略转型过程中如不能有效地进行</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z w:val="28"/>
          <w:szCs w:val="28"/>
        </w:rPr>
        <w:t>整合和控制，可能就会对公司生产经营造成不利影响。</w:t>
      </w:r>
      <w:r>
        <w:rPr>
          <w:rFonts w:ascii="宋体" w:hAnsi="宋体" w:cs="宋体" w:eastAsia="宋体" w:hint="default"/>
          <w:sz w:val="28"/>
          <w:szCs w:val="28"/>
        </w:rPr>
      </w:r>
    </w:p>
    <w:p>
      <w:pPr>
        <w:spacing w:line="403" w:lineRule="auto" w:before="162"/>
        <w:ind w:left="112" w:right="915" w:firstLine="561"/>
        <w:jc w:val="left"/>
        <w:rPr>
          <w:rFonts w:ascii="宋体" w:hAnsi="宋体" w:cs="宋体" w:eastAsia="宋体" w:hint="default"/>
          <w:sz w:val="28"/>
          <w:szCs w:val="28"/>
        </w:rPr>
      </w:pPr>
      <w:r>
        <w:rPr>
          <w:rFonts w:ascii="宋体" w:hAnsi="宋体" w:cs="宋体" w:eastAsia="宋体" w:hint="default"/>
          <w:b/>
          <w:bCs/>
          <w:spacing w:val="2"/>
          <w:sz w:val="28"/>
          <w:szCs w:val="28"/>
        </w:rPr>
        <w:t>（四）人才风险。人才资源是软件企业的核心资源之一，是软件企业的第</w:t>
      </w:r>
      <w:r>
        <w:rPr>
          <w:rFonts w:ascii="宋体" w:hAnsi="宋体" w:cs="宋体" w:eastAsia="宋体" w:hint="default"/>
          <w:b/>
          <w:bCs/>
          <w:w w:val="99"/>
          <w:sz w:val="28"/>
          <w:szCs w:val="28"/>
        </w:rPr>
        <w:t> </w:t>
      </w:r>
      <w:r>
        <w:rPr>
          <w:rFonts w:ascii="宋体" w:hAnsi="宋体" w:cs="宋体" w:eastAsia="宋体" w:hint="default"/>
          <w:b/>
          <w:bCs/>
          <w:spacing w:val="2"/>
          <w:sz w:val="28"/>
          <w:szCs w:val="28"/>
        </w:rPr>
        <w:t>一生产力，软件行业的市场竞争越来越表现为高素质人才的竞争。软件企业的</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3"/>
          <w:sz w:val="28"/>
          <w:szCs w:val="28"/>
        </w:rPr>
        <w:t>人才流动性较高，本公司不可避免的面临核心技术人员及管理人员流失的风险。</w:t>
      </w:r>
      <w:r>
        <w:rPr>
          <w:rFonts w:ascii="宋体" w:hAnsi="宋体" w:cs="宋体" w:eastAsia="宋体" w:hint="default"/>
          <w:b/>
          <w:bCs/>
          <w:spacing w:val="-116"/>
          <w:sz w:val="28"/>
          <w:szCs w:val="28"/>
        </w:rPr>
        <w:t> </w:t>
      </w:r>
      <w:r>
        <w:rPr>
          <w:rFonts w:ascii="宋体" w:hAnsi="宋体" w:cs="宋体" w:eastAsia="宋体" w:hint="default"/>
          <w:b/>
          <w:bCs/>
          <w:spacing w:val="-116"/>
          <w:sz w:val="28"/>
          <w:szCs w:val="28"/>
        </w:rPr>
      </w:r>
      <w:r>
        <w:rPr>
          <w:rFonts w:ascii="宋体" w:hAnsi="宋体" w:cs="宋体" w:eastAsia="宋体" w:hint="default"/>
          <w:b/>
          <w:bCs/>
          <w:spacing w:val="2"/>
          <w:sz w:val="28"/>
          <w:szCs w:val="28"/>
        </w:rPr>
        <w:t>为吸引、保留和培养核心人员，公司建立了较为完善的人力资源体系，采取了</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一些有效的激励约束措施，例如部分关键人才直接持股，提高了公司核心人员</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的稳定性。公司上市后，能够获得更好的品牌效益，投入更多资源改善工作环</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z w:val="28"/>
          <w:szCs w:val="28"/>
        </w:rPr>
        <w:t>境和工作条件</w:t>
      </w:r>
      <w:r>
        <w:rPr>
          <w:rFonts w:ascii="Times New Roman" w:hAnsi="Times New Roman" w:cs="Times New Roman" w:eastAsia="Times New Roman" w:hint="default"/>
          <w:b/>
          <w:bCs/>
          <w:sz w:val="28"/>
          <w:szCs w:val="28"/>
        </w:rPr>
        <w:t>, </w:t>
      </w:r>
      <w:r>
        <w:rPr>
          <w:rFonts w:ascii="宋体" w:hAnsi="宋体" w:cs="宋体" w:eastAsia="宋体" w:hint="default"/>
          <w:b/>
          <w:bCs/>
          <w:spacing w:val="-6"/>
          <w:sz w:val="28"/>
          <w:szCs w:val="28"/>
        </w:rPr>
        <w:t>增强公司对高素质人才的吸引力和归属感。但是，上述措施并不</w:t>
      </w:r>
      <w:r>
        <w:rPr>
          <w:rFonts w:ascii="宋体" w:hAnsi="宋体" w:cs="宋体" w:eastAsia="宋体" w:hint="default"/>
          <w:b/>
          <w:bCs/>
          <w:spacing w:val="-120"/>
          <w:sz w:val="28"/>
          <w:szCs w:val="28"/>
        </w:rPr>
        <w:t> </w:t>
      </w:r>
      <w:r>
        <w:rPr>
          <w:rFonts w:ascii="宋体" w:hAnsi="宋体" w:cs="宋体" w:eastAsia="宋体" w:hint="default"/>
          <w:b/>
          <w:bCs/>
          <w:spacing w:val="-120"/>
          <w:sz w:val="28"/>
          <w:szCs w:val="28"/>
        </w:rPr>
      </w:r>
      <w:r>
        <w:rPr>
          <w:rFonts w:ascii="宋体" w:hAnsi="宋体" w:cs="宋体" w:eastAsia="宋体" w:hint="default"/>
          <w:b/>
          <w:bCs/>
          <w:spacing w:val="2"/>
          <w:sz w:val="28"/>
          <w:szCs w:val="28"/>
        </w:rPr>
        <w:t>能完全保证核心人员的稳定，如果出现核心人员流失、关键人才储备不足、人</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才结构失衡的情况，公司的生产经营将受到一定的负面影响。随着创新科技金</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z w:val="28"/>
          <w:szCs w:val="28"/>
        </w:rPr>
        <w:t>融市场竞争的加剧，公司将不断面临新技术、新产品研发的挑战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如果未来公司</w:t>
      </w:r>
      <w:r>
        <w:rPr>
          <w:rFonts w:ascii="宋体" w:hAnsi="宋体" w:cs="宋体" w:eastAsia="宋体" w:hint="default"/>
          <w:b/>
          <w:bCs/>
          <w:w w:val="99"/>
          <w:sz w:val="28"/>
          <w:szCs w:val="28"/>
        </w:rPr>
        <w:t> </w:t>
      </w:r>
      <w:r>
        <w:rPr>
          <w:rFonts w:ascii="宋体" w:hAnsi="宋体" w:cs="宋体" w:eastAsia="宋体" w:hint="default"/>
          <w:b/>
          <w:bCs/>
          <w:sz w:val="28"/>
          <w:szCs w:val="28"/>
        </w:rPr>
        <w:t>不能在技术储备、新产品研发、人才引入和培养方面获得持续的积累</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就有可能</w:t>
      </w:r>
      <w:r>
        <w:rPr>
          <w:rFonts w:ascii="宋体" w:hAnsi="宋体" w:cs="宋体" w:eastAsia="宋体" w:hint="default"/>
          <w:b/>
          <w:bCs/>
          <w:w w:val="99"/>
          <w:sz w:val="28"/>
          <w:szCs w:val="28"/>
        </w:rPr>
        <w:t> </w:t>
      </w:r>
      <w:r>
        <w:rPr>
          <w:rFonts w:ascii="宋体" w:hAnsi="宋体" w:cs="宋体" w:eastAsia="宋体" w:hint="default"/>
          <w:b/>
          <w:bCs/>
          <w:sz w:val="28"/>
          <w:szCs w:val="28"/>
        </w:rPr>
        <w:t>面临市场地位和竞争优势下降的风险。</w:t>
      </w:r>
      <w:r>
        <w:rPr>
          <w:rFonts w:ascii="宋体" w:hAnsi="宋体" w:cs="宋体" w:eastAsia="宋体" w:hint="default"/>
          <w:sz w:val="28"/>
          <w:szCs w:val="28"/>
        </w:rPr>
      </w:r>
    </w:p>
    <w:p>
      <w:pPr>
        <w:spacing w:before="168"/>
        <w:ind w:left="674" w:right="915" w:firstLine="0"/>
        <w:jc w:val="left"/>
        <w:rPr>
          <w:rFonts w:ascii="宋体" w:hAnsi="宋体" w:cs="宋体" w:eastAsia="宋体" w:hint="default"/>
          <w:sz w:val="28"/>
          <w:szCs w:val="28"/>
        </w:rPr>
      </w:pPr>
      <w:r>
        <w:rPr>
          <w:rFonts w:ascii="宋体" w:hAnsi="宋体" w:cs="宋体" w:eastAsia="宋体" w:hint="default"/>
          <w:b/>
          <w:bCs/>
          <w:spacing w:val="2"/>
          <w:sz w:val="28"/>
          <w:szCs w:val="28"/>
        </w:rPr>
        <w:t>（五）技术风险。公司长期致力于金融机构资产管理业务和资产托管业务</w:t>
      </w:r>
      <w:r>
        <w:rPr>
          <w:rFonts w:ascii="宋体" w:hAnsi="宋体" w:cs="宋体" w:eastAsia="宋体" w:hint="default"/>
          <w:spacing w:val="2"/>
          <w:sz w:val="28"/>
          <w:szCs w:val="28"/>
        </w:rPr>
      </w:r>
    </w:p>
    <w:p>
      <w:pPr>
        <w:spacing w:after="0"/>
        <w:jc w:val="left"/>
        <w:rPr>
          <w:rFonts w:ascii="宋体" w:hAnsi="宋体" w:cs="宋体" w:eastAsia="宋体" w:hint="default"/>
          <w:sz w:val="28"/>
          <w:szCs w:val="28"/>
        </w:rPr>
        <w:sectPr>
          <w:pgSz w:w="11910" w:h="16840"/>
          <w:pgMar w:header="787" w:footer="1016" w:top="1100" w:bottom="1200" w:left="1020" w:right="0"/>
        </w:sectPr>
      </w:pPr>
    </w:p>
    <w:p>
      <w:pPr>
        <w:spacing w:line="240" w:lineRule="auto" w:before="12"/>
        <w:rPr>
          <w:rFonts w:ascii="宋体" w:hAnsi="宋体" w:cs="宋体" w:eastAsia="宋体" w:hint="default"/>
          <w:b/>
          <w:bCs/>
          <w:sz w:val="28"/>
          <w:szCs w:val="28"/>
        </w:rPr>
      </w:pPr>
    </w:p>
    <w:p>
      <w:pPr>
        <w:spacing w:line="408" w:lineRule="auto" w:before="14"/>
        <w:ind w:left="112" w:right="1130" w:firstLine="0"/>
        <w:jc w:val="both"/>
        <w:rPr>
          <w:rFonts w:ascii="宋体" w:hAnsi="宋体" w:cs="宋体" w:eastAsia="宋体" w:hint="default"/>
          <w:sz w:val="28"/>
          <w:szCs w:val="28"/>
        </w:rPr>
      </w:pPr>
      <w:r>
        <w:rPr>
          <w:rFonts w:ascii="宋体" w:hAnsi="宋体" w:cs="宋体" w:eastAsia="宋体" w:hint="default"/>
          <w:b/>
          <w:bCs/>
          <w:spacing w:val="2"/>
          <w:sz w:val="28"/>
          <w:szCs w:val="28"/>
        </w:rPr>
        <w:t>信息化建设解决方案应用软件的开发和服务，经过多年努力和积累，形成了比</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较成熟的研发模式和服务体系，取得了显著的竞争优势。但信息技术发展日新</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月异，软件行业具有技术进步快、产品更新快、市场需求变化快的特点。如果</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公司不能及时准确地把握软件开发新技术发展趋势和市场需求新变化，调整软</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件开发模式，促进技术更新，创新赢利模式，公司将面临技术更新与产品开发</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z w:val="28"/>
          <w:szCs w:val="28"/>
        </w:rPr>
        <w:t>的风险。</w:t>
      </w:r>
      <w:r>
        <w:rPr>
          <w:rFonts w:ascii="宋体" w:hAnsi="宋体" w:cs="宋体" w:eastAsia="宋体" w:hint="default"/>
          <w:sz w:val="28"/>
          <w:szCs w:val="28"/>
        </w:rPr>
      </w:r>
    </w:p>
    <w:p>
      <w:pPr>
        <w:spacing w:line="408" w:lineRule="auto" w:before="160"/>
        <w:ind w:left="112" w:right="1128" w:firstLine="561"/>
        <w:jc w:val="both"/>
        <w:rPr>
          <w:rFonts w:ascii="宋体" w:hAnsi="宋体" w:cs="宋体" w:eastAsia="宋体" w:hint="default"/>
          <w:sz w:val="28"/>
          <w:szCs w:val="28"/>
        </w:rPr>
      </w:pPr>
      <w:r>
        <w:rPr>
          <w:rFonts w:ascii="宋体" w:hAnsi="宋体" w:cs="宋体" w:eastAsia="宋体" w:hint="default"/>
          <w:b/>
          <w:bCs/>
          <w:spacing w:val="2"/>
          <w:sz w:val="28"/>
          <w:szCs w:val="28"/>
        </w:rPr>
        <w:t>（六）战略投资不能达到预期收益的风险。面对金融科技的发展机遇，公</w:t>
      </w:r>
      <w:r>
        <w:rPr>
          <w:rFonts w:ascii="宋体" w:hAnsi="宋体" w:cs="宋体" w:eastAsia="宋体" w:hint="default"/>
          <w:b/>
          <w:bCs/>
          <w:w w:val="99"/>
          <w:sz w:val="28"/>
          <w:szCs w:val="28"/>
        </w:rPr>
        <w:t> </w:t>
      </w:r>
      <w:r>
        <w:rPr>
          <w:rFonts w:ascii="宋体" w:hAnsi="宋体" w:cs="宋体" w:eastAsia="宋体" w:hint="default"/>
          <w:b/>
          <w:bCs/>
          <w:spacing w:val="2"/>
          <w:sz w:val="28"/>
          <w:szCs w:val="28"/>
        </w:rPr>
        <w:t>司依托长久以来积累的人才积累、金融行业服务经验和客户基础，积极布局金</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融科技生态圈，推动公司金融科技的战略转型，以增强和提升公司的整体盈利</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能力和核心竞争力。但目前部分金融科技技术如人工智能的商业应用仍处于初</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级发展阶段，技术研发、应用和市场不确定因素较多，战略转型可能无法达到</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z w:val="28"/>
          <w:szCs w:val="28"/>
        </w:rPr>
        <w:t>预期效果。</w:t>
      </w:r>
      <w:r>
        <w:rPr>
          <w:rFonts w:ascii="宋体" w:hAnsi="宋体" w:cs="宋体" w:eastAsia="宋体" w:hint="default"/>
          <w:sz w:val="28"/>
          <w:szCs w:val="28"/>
        </w:rPr>
      </w:r>
    </w:p>
    <w:p>
      <w:pPr>
        <w:spacing w:before="162"/>
        <w:ind w:left="674" w:right="915"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92"/>
          <w:sz w:val="28"/>
          <w:szCs w:val="28"/>
        </w:rPr>
        <w:t> </w:t>
      </w:r>
      <w:r>
        <w:rPr>
          <w:rFonts w:ascii="Times New Roman" w:hAnsi="Times New Roman" w:cs="Times New Roman" w:eastAsia="Times New Roman" w:hint="default"/>
          <w:b/>
          <w:bCs/>
          <w:sz w:val="28"/>
          <w:szCs w:val="28"/>
        </w:rPr>
        <w:t>742,092,080</w:t>
      </w:r>
      <w:r>
        <w:rPr>
          <w:rFonts w:ascii="Times New Roman" w:hAnsi="Times New Roman" w:cs="Times New Roman" w:eastAsia="Times New Roman" w:hint="default"/>
          <w:b/>
          <w:bCs/>
          <w:spacing w:val="-23"/>
          <w:sz w:val="28"/>
          <w:szCs w:val="28"/>
        </w:rPr>
        <w:t> </w:t>
      </w:r>
      <w:r>
        <w:rPr>
          <w:rFonts w:ascii="宋体" w:hAnsi="宋体" w:cs="宋体" w:eastAsia="宋体" w:hint="default"/>
          <w:b/>
          <w:bCs/>
          <w:spacing w:val="-6"/>
          <w:sz w:val="28"/>
          <w:szCs w:val="28"/>
        </w:rPr>
        <w:t>为基数，向</w:t>
      </w:r>
      <w:r>
        <w:rPr>
          <w:rFonts w:ascii="宋体" w:hAnsi="宋体" w:cs="宋体" w:eastAsia="宋体" w:hint="default"/>
          <w:spacing w:val="-6"/>
          <w:sz w:val="28"/>
          <w:szCs w:val="28"/>
        </w:rPr>
      </w:r>
    </w:p>
    <w:p>
      <w:pPr>
        <w:spacing w:before="236"/>
        <w:ind w:left="112" w:right="0" w:firstLine="0"/>
        <w:jc w:val="both"/>
        <w:rPr>
          <w:rFonts w:ascii="宋体" w:hAnsi="宋体" w:cs="宋体" w:eastAsia="宋体" w:hint="default"/>
          <w:sz w:val="28"/>
          <w:szCs w:val="28"/>
        </w:rPr>
      </w:pPr>
      <w:r>
        <w:rPr>
          <w:rFonts w:ascii="宋体" w:hAnsi="宋体" w:cs="宋体" w:eastAsia="宋体" w:hint="default"/>
          <w:b/>
          <w:bCs/>
          <w:spacing w:val="-1"/>
          <w:w w:val="99"/>
          <w:sz w:val="28"/>
          <w:szCs w:val="28"/>
        </w:rPr>
        <w:t>全体</w:t>
      </w:r>
      <w:r>
        <w:rPr>
          <w:rFonts w:ascii="宋体" w:hAnsi="宋体" w:cs="宋体" w:eastAsia="宋体" w:hint="default"/>
          <w:b/>
          <w:bCs/>
          <w:spacing w:val="2"/>
          <w:w w:val="99"/>
          <w:sz w:val="28"/>
          <w:szCs w:val="28"/>
        </w:rPr>
        <w:t>股</w:t>
      </w:r>
      <w:r>
        <w:rPr>
          <w:rFonts w:ascii="宋体" w:hAnsi="宋体" w:cs="宋体" w:eastAsia="宋体" w:hint="default"/>
          <w:b/>
          <w:bCs/>
          <w:spacing w:val="-1"/>
          <w:w w:val="99"/>
          <w:sz w:val="28"/>
          <w:szCs w:val="28"/>
        </w:rPr>
        <w:t>东</w:t>
      </w:r>
      <w:r>
        <w:rPr>
          <w:rFonts w:ascii="宋体" w:hAnsi="宋体" w:cs="宋体" w:eastAsia="宋体" w:hint="default"/>
          <w:b/>
          <w:bCs/>
          <w:w w:val="99"/>
          <w:sz w:val="28"/>
          <w:szCs w:val="28"/>
        </w:rPr>
        <w:t>每</w:t>
      </w:r>
      <w:r>
        <w:rPr>
          <w:rFonts w:ascii="宋体" w:hAnsi="宋体" w:cs="宋体" w:eastAsia="宋体" w:hint="default"/>
          <w:b/>
          <w:bCs/>
          <w:spacing w:val="-72"/>
          <w:sz w:val="28"/>
          <w:szCs w:val="28"/>
        </w:rPr>
        <w:t> </w:t>
      </w:r>
      <w:r>
        <w:rPr>
          <w:rFonts w:ascii="Times New Roman" w:hAnsi="Times New Roman" w:cs="Times New Roman" w:eastAsia="Times New Roman" w:hint="default"/>
          <w:b/>
          <w:bCs/>
          <w:spacing w:val="1"/>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1"/>
          <w:w w:val="99"/>
          <w:sz w:val="28"/>
          <w:szCs w:val="28"/>
        </w:rPr>
        <w:t>股派</w:t>
      </w:r>
      <w:r>
        <w:rPr>
          <w:rFonts w:ascii="宋体" w:hAnsi="宋体" w:cs="宋体" w:eastAsia="宋体" w:hint="default"/>
          <w:b/>
          <w:bCs/>
          <w:spacing w:val="2"/>
          <w:w w:val="99"/>
          <w:sz w:val="28"/>
          <w:szCs w:val="28"/>
        </w:rPr>
        <w:t>发</w:t>
      </w:r>
      <w:r>
        <w:rPr>
          <w:rFonts w:ascii="宋体" w:hAnsi="宋体" w:cs="宋体" w:eastAsia="宋体" w:hint="default"/>
          <w:b/>
          <w:bCs/>
          <w:spacing w:val="-1"/>
          <w:w w:val="99"/>
          <w:sz w:val="28"/>
          <w:szCs w:val="28"/>
        </w:rPr>
        <w:t>现金红</w:t>
      </w:r>
      <w:r>
        <w:rPr>
          <w:rFonts w:ascii="宋体" w:hAnsi="宋体" w:cs="宋体" w:eastAsia="宋体" w:hint="default"/>
          <w:b/>
          <w:bCs/>
          <w:w w:val="99"/>
          <w:sz w:val="28"/>
          <w:szCs w:val="28"/>
        </w:rPr>
        <w:t>利</w:t>
      </w:r>
      <w:r>
        <w:rPr>
          <w:rFonts w:ascii="宋体" w:hAnsi="宋体" w:cs="宋体" w:eastAsia="宋体" w:hint="default"/>
          <w:b/>
          <w:bCs/>
          <w:spacing w:val="-72"/>
          <w:sz w:val="28"/>
          <w:szCs w:val="28"/>
        </w:rPr>
        <w:t> </w:t>
      </w:r>
      <w:r>
        <w:rPr>
          <w:rFonts w:ascii="Times New Roman" w:hAnsi="Times New Roman" w:cs="Times New Roman" w:eastAsia="Times New Roman" w:hint="default"/>
          <w:b/>
          <w:bCs/>
          <w:w w:val="100"/>
          <w:sz w:val="28"/>
          <w:szCs w:val="28"/>
        </w:rPr>
        <w:t>1</w:t>
      </w:r>
      <w:r>
        <w:rPr>
          <w:rFonts w:ascii="Times New Roman" w:hAnsi="Times New Roman" w:cs="Times New Roman" w:eastAsia="Times New Roman" w:hint="default"/>
          <w:b/>
          <w:bCs/>
          <w:sz w:val="28"/>
          <w:szCs w:val="28"/>
        </w:rPr>
        <w:t> </w:t>
      </w:r>
      <w:r>
        <w:rPr>
          <w:rFonts w:ascii="宋体" w:hAnsi="宋体" w:cs="宋体" w:eastAsia="宋体" w:hint="default"/>
          <w:b/>
          <w:bCs/>
          <w:spacing w:val="-13"/>
          <w:w w:val="99"/>
          <w:sz w:val="28"/>
          <w:szCs w:val="28"/>
        </w:rPr>
        <w:t>元</w:t>
      </w:r>
      <w:r>
        <w:rPr>
          <w:rFonts w:ascii="宋体" w:hAnsi="宋体" w:cs="宋体" w:eastAsia="宋体" w:hint="default"/>
          <w:b/>
          <w:bCs/>
          <w:spacing w:val="-1"/>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spacing w:val="-15"/>
          <w:w w:val="99"/>
          <w:sz w:val="28"/>
          <w:szCs w:val="28"/>
        </w:rPr>
        <w:t>，</w:t>
      </w:r>
      <w:r>
        <w:rPr>
          <w:rFonts w:ascii="宋体" w:hAnsi="宋体" w:cs="宋体" w:eastAsia="宋体" w:hint="default"/>
          <w:b/>
          <w:bCs/>
          <w:spacing w:val="-1"/>
          <w:w w:val="99"/>
          <w:sz w:val="28"/>
          <w:szCs w:val="28"/>
        </w:rPr>
        <w:t>送红</w:t>
      </w:r>
      <w:r>
        <w:rPr>
          <w:rFonts w:ascii="宋体" w:hAnsi="宋体" w:cs="宋体" w:eastAsia="宋体" w:hint="default"/>
          <w:b/>
          <w:bCs/>
          <w:w w:val="99"/>
          <w:sz w:val="28"/>
          <w:szCs w:val="28"/>
        </w:rPr>
        <w:t>股</w:t>
      </w:r>
      <w:r>
        <w:rPr>
          <w:rFonts w:ascii="宋体" w:hAnsi="宋体" w:cs="宋体" w:eastAsia="宋体" w:hint="default"/>
          <w:b/>
          <w:bCs/>
          <w:spacing w:val="-70"/>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13"/>
          <w:w w:val="99"/>
          <w:sz w:val="28"/>
          <w:szCs w:val="28"/>
        </w:rPr>
        <w:t>股</w:t>
      </w:r>
      <w:r>
        <w:rPr>
          <w:rFonts w:ascii="宋体" w:hAnsi="宋体" w:cs="宋体" w:eastAsia="宋体" w:hint="default"/>
          <w:b/>
          <w:bCs/>
          <w:spacing w:val="-1"/>
          <w:w w:val="99"/>
          <w:sz w:val="28"/>
          <w:szCs w:val="28"/>
        </w:rPr>
        <w:t>（含税</w:t>
      </w:r>
      <w:r>
        <w:rPr>
          <w:rFonts w:ascii="宋体" w:hAnsi="宋体" w:cs="宋体" w:eastAsia="宋体" w:hint="default"/>
          <w:b/>
          <w:bCs/>
          <w:spacing w:val="-142"/>
          <w:w w:val="99"/>
          <w:sz w:val="28"/>
          <w:szCs w:val="28"/>
        </w:rPr>
        <w:t>）</w:t>
      </w:r>
      <w:r>
        <w:rPr>
          <w:rFonts w:ascii="宋体" w:hAnsi="宋体" w:cs="宋体" w:eastAsia="宋体" w:hint="default"/>
          <w:b/>
          <w:bCs/>
          <w:spacing w:val="-13"/>
          <w:w w:val="99"/>
          <w:sz w:val="28"/>
          <w:szCs w:val="28"/>
        </w:rPr>
        <w:t>，</w:t>
      </w:r>
      <w:r>
        <w:rPr>
          <w:rFonts w:ascii="宋体" w:hAnsi="宋体" w:cs="宋体" w:eastAsia="宋体" w:hint="default"/>
          <w:b/>
          <w:bCs/>
          <w:spacing w:val="-1"/>
          <w:w w:val="99"/>
          <w:sz w:val="28"/>
          <w:szCs w:val="28"/>
        </w:rPr>
        <w:t>以资</w:t>
      </w:r>
      <w:r>
        <w:rPr>
          <w:rFonts w:ascii="宋体" w:hAnsi="宋体" w:cs="宋体" w:eastAsia="宋体" w:hint="default"/>
          <w:b/>
          <w:bCs/>
          <w:spacing w:val="2"/>
          <w:w w:val="99"/>
          <w:sz w:val="28"/>
          <w:szCs w:val="28"/>
        </w:rPr>
        <w:t>本</w:t>
      </w:r>
      <w:r>
        <w:rPr>
          <w:rFonts w:ascii="宋体" w:hAnsi="宋体" w:cs="宋体" w:eastAsia="宋体" w:hint="default"/>
          <w:b/>
          <w:bCs/>
          <w:spacing w:val="-1"/>
          <w:w w:val="99"/>
          <w:sz w:val="28"/>
          <w:szCs w:val="28"/>
        </w:rPr>
        <w:t>公</w:t>
      </w:r>
      <w:r>
        <w:rPr>
          <w:rFonts w:ascii="宋体" w:hAnsi="宋体" w:cs="宋体" w:eastAsia="宋体" w:hint="default"/>
          <w:b/>
          <w:bCs/>
          <w:w w:val="99"/>
          <w:sz w:val="28"/>
          <w:szCs w:val="28"/>
        </w:rPr>
        <w:t>积</w:t>
      </w:r>
      <w:r>
        <w:rPr>
          <w:rFonts w:ascii="宋体" w:hAnsi="宋体" w:cs="宋体" w:eastAsia="宋体" w:hint="default"/>
          <w:sz w:val="28"/>
          <w:szCs w:val="28"/>
        </w:rPr>
      </w:r>
    </w:p>
    <w:p>
      <w:pPr>
        <w:spacing w:before="236"/>
        <w:ind w:left="112" w:right="0" w:firstLine="0"/>
        <w:jc w:val="both"/>
        <w:rPr>
          <w:rFonts w:ascii="宋体" w:hAnsi="宋体" w:cs="宋体" w:eastAsia="宋体" w:hint="default"/>
          <w:sz w:val="28"/>
          <w:szCs w:val="28"/>
        </w:rPr>
      </w:pPr>
      <w:r>
        <w:rPr>
          <w:rFonts w:ascii="宋体" w:hAnsi="宋体" w:cs="宋体" w:eastAsia="宋体" w:hint="default"/>
          <w:b/>
          <w:bCs/>
          <w:sz w:val="28"/>
          <w:szCs w:val="28"/>
        </w:rPr>
        <w:t>金向全体股东每</w:t>
      </w:r>
      <w:r>
        <w:rPr>
          <w:rFonts w:ascii="宋体" w:hAnsi="宋体" w:cs="宋体" w:eastAsia="宋体" w:hint="default"/>
          <w:b/>
          <w:bCs/>
          <w:spacing w:val="-74"/>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股转增</w:t>
      </w:r>
      <w:r>
        <w:rPr>
          <w:rFonts w:ascii="宋体" w:hAnsi="宋体" w:cs="宋体" w:eastAsia="宋体" w:hint="default"/>
          <w:b/>
          <w:bCs/>
          <w:spacing w:val="-74"/>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both"/>
        <w:rPr>
          <w:rFonts w:ascii="宋体" w:hAnsi="宋体" w:cs="宋体" w:eastAsia="宋体" w:hint="default"/>
          <w:sz w:val="28"/>
          <w:szCs w:val="28"/>
        </w:rPr>
        <w:sectPr>
          <w:headerReference w:type="default" r:id="rId9"/>
          <w:pgSz w:w="11910" w:h="16840"/>
          <w:pgMar w:header="919" w:footer="1016" w:top="1120" w:bottom="1200" w:left="102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p>
      <w:pPr>
        <w:spacing w:line="460" w:lineRule="exact" w:before="0"/>
        <w:ind w:left="2020" w:right="3037"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2"/>
        <w:rPr>
          <w:rFonts w:ascii="宋体" w:hAnsi="宋体" w:cs="宋体" w:eastAsia="宋体" w:hint="default"/>
          <w:b/>
          <w:bCs/>
          <w:sz w:val="49"/>
          <w:szCs w:val="49"/>
        </w:rPr>
      </w:pPr>
    </w:p>
    <w:sdt>
      <w:sdtPr>
        <w:docPartObj>
          <w:docPartGallery w:val="Table of Contents"/>
          <w:docPartUnique/>
        </w:docPartObj>
      </w:sdtPr>
      <w:sdtEndPr/>
      <w:sdtContent>
        <w:p>
          <w:pPr>
            <w:pStyle w:val="TOC1"/>
            <w:tabs>
              <w:tab w:pos="9752"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第一节重要提示、目录和释义</w:t>
            </w:r>
            <w:r>
              <w:rPr>
                <w:rFonts w:ascii="Times New Roman" w:hAnsi="Times New Roman" w:cs="Times New Roman" w:eastAsia="Times New Roman" w:hint="default"/>
              </w:rPr>
              <w:tab/>
            </w:r>
            <w:r>
              <w:rPr>
                <w:rFonts w:ascii="Times New Roman" w:hAnsi="Times New Roman" w:cs="Times New Roman" w:eastAsia="Times New Roman" w:hint="default"/>
              </w:rPr>
              <w:t>2</w:t>
            </w:r>
          </w:hyperlink>
        </w:p>
        <w:p>
          <w:pPr>
            <w:pStyle w:val="TOC1"/>
            <w:tabs>
              <w:tab w:pos="9752" w:val="right" w:leader="dot"/>
            </w:tabs>
            <w:spacing w:line="240" w:lineRule="auto"/>
            <w:ind w:right="0"/>
            <w:jc w:val="left"/>
            <w:rPr>
              <w:rFonts w:ascii="Times New Roman" w:hAnsi="Times New Roman" w:cs="Times New Roman" w:eastAsia="Times New Roman" w:hint="default"/>
            </w:rPr>
          </w:pPr>
          <w:hyperlink w:history="true" w:anchor="_bookmark1">
            <w:r>
              <w:rPr/>
              <w:t>第二节公司简介和主要财务指标</w:t>
            </w:r>
            <w:r>
              <w:rPr>
                <w:rFonts w:ascii="Times New Roman" w:hAnsi="Times New Roman" w:cs="Times New Roman" w:eastAsia="Times New Roman" w:hint="default"/>
              </w:rPr>
              <w:tab/>
            </w:r>
            <w:r>
              <w:rPr>
                <w:rFonts w:ascii="Times New Roman" w:hAnsi="Times New Roman" w:cs="Times New Roman" w:eastAsia="Times New Roman" w:hint="default"/>
              </w:rPr>
              <w:t>8</w:t>
            </w:r>
          </w:hyperlink>
        </w:p>
        <w:p>
          <w:pPr>
            <w:pStyle w:val="TOC1"/>
            <w:tabs>
              <w:tab w:pos="9752" w:val="right" w:leader="dot"/>
            </w:tabs>
            <w:spacing w:line="240" w:lineRule="auto"/>
            <w:ind w:right="0"/>
            <w:jc w:val="left"/>
            <w:rPr>
              <w:rFonts w:ascii="Times New Roman" w:hAnsi="Times New Roman" w:cs="Times New Roman" w:eastAsia="Times New Roman" w:hint="default"/>
            </w:rPr>
          </w:pPr>
          <w:hyperlink w:history="true" w:anchor="_bookmark2">
            <w:r>
              <w:rPr/>
              <w:t>第三节公司业务概要</w:t>
            </w:r>
            <w:r>
              <w:rPr>
                <w:rFonts w:ascii="Times New Roman" w:hAnsi="Times New Roman" w:cs="Times New Roman" w:eastAsia="Times New Roman" w:hint="default"/>
              </w:rPr>
              <w:tab/>
            </w:r>
            <w:r>
              <w:rPr>
                <w:rFonts w:ascii="Times New Roman" w:hAnsi="Times New Roman" w:cs="Times New Roman" w:eastAsia="Times New Roman" w:hint="default"/>
              </w:rPr>
              <w:t>12</w:t>
            </w:r>
          </w:hyperlink>
        </w:p>
        <w:p>
          <w:pPr>
            <w:pStyle w:val="TOC1"/>
            <w:tabs>
              <w:tab w:pos="9752" w:val="right" w:leader="dot"/>
            </w:tabs>
            <w:spacing w:line="240" w:lineRule="auto" w:before="215"/>
            <w:ind w:right="0"/>
            <w:jc w:val="left"/>
            <w:rPr>
              <w:rFonts w:ascii="Times New Roman" w:hAnsi="Times New Roman" w:cs="Times New Roman" w:eastAsia="Times New Roman" w:hint="default"/>
            </w:rPr>
          </w:pPr>
          <w:hyperlink w:history="true" w:anchor="_bookmark3">
            <w:r>
              <w:rPr/>
              <w:t>第四节经营情况讨论与分析</w:t>
            </w:r>
            <w:r>
              <w:rPr>
                <w:rFonts w:ascii="Times New Roman" w:hAnsi="Times New Roman" w:cs="Times New Roman" w:eastAsia="Times New Roman" w:hint="default"/>
              </w:rPr>
              <w:tab/>
            </w:r>
            <w:r>
              <w:rPr>
                <w:rFonts w:ascii="Times New Roman" w:hAnsi="Times New Roman" w:cs="Times New Roman" w:eastAsia="Times New Roman" w:hint="default"/>
              </w:rPr>
              <w:t>14</w:t>
            </w:r>
          </w:hyperlink>
        </w:p>
        <w:p>
          <w:pPr>
            <w:pStyle w:val="TOC1"/>
            <w:tabs>
              <w:tab w:pos="9752" w:val="right" w:leader="dot"/>
            </w:tabs>
            <w:spacing w:line="240" w:lineRule="auto"/>
            <w:ind w:right="0"/>
            <w:jc w:val="left"/>
            <w:rPr>
              <w:rFonts w:ascii="Times New Roman" w:hAnsi="Times New Roman" w:cs="Times New Roman" w:eastAsia="Times New Roman" w:hint="default"/>
            </w:rPr>
          </w:pPr>
          <w:hyperlink w:history="true" w:anchor="_bookmark4">
            <w:r>
              <w:rPr/>
              <w:t>第五节重要事项</w:t>
            </w:r>
            <w:r>
              <w:rPr>
                <w:rFonts w:ascii="Times New Roman" w:hAnsi="Times New Roman" w:cs="Times New Roman" w:eastAsia="Times New Roman" w:hint="default"/>
              </w:rPr>
              <w:tab/>
            </w:r>
            <w:r>
              <w:rPr>
                <w:rFonts w:ascii="Times New Roman" w:hAnsi="Times New Roman" w:cs="Times New Roman" w:eastAsia="Times New Roman" w:hint="default"/>
              </w:rPr>
              <w:t>28</w:t>
            </w:r>
          </w:hyperlink>
        </w:p>
        <w:p>
          <w:pPr>
            <w:pStyle w:val="TOC1"/>
            <w:tabs>
              <w:tab w:pos="9752" w:val="right" w:leader="dot"/>
            </w:tabs>
            <w:spacing w:line="240" w:lineRule="auto"/>
            <w:ind w:right="0"/>
            <w:jc w:val="left"/>
            <w:rPr>
              <w:rFonts w:ascii="Times New Roman" w:hAnsi="Times New Roman" w:cs="Times New Roman" w:eastAsia="Times New Roman" w:hint="default"/>
            </w:rPr>
          </w:pPr>
          <w:hyperlink w:history="true" w:anchor="_bookmark5">
            <w:r>
              <w:rPr/>
              <w:t>第六节股份变动及股东情况</w:t>
            </w:r>
            <w:r>
              <w:rPr>
                <w:rFonts w:ascii="Times New Roman" w:hAnsi="Times New Roman" w:cs="Times New Roman" w:eastAsia="Times New Roman" w:hint="default"/>
              </w:rPr>
              <w:tab/>
            </w:r>
            <w:r>
              <w:rPr>
                <w:rFonts w:ascii="Times New Roman" w:hAnsi="Times New Roman" w:cs="Times New Roman" w:eastAsia="Times New Roman" w:hint="default"/>
              </w:rPr>
              <w:t>58</w:t>
            </w:r>
          </w:hyperlink>
        </w:p>
        <w:p>
          <w:pPr>
            <w:pStyle w:val="TOC1"/>
            <w:tabs>
              <w:tab w:pos="9752" w:val="right" w:leader="dot"/>
            </w:tabs>
            <w:spacing w:line="240" w:lineRule="auto" w:before="215"/>
            <w:ind w:right="0"/>
            <w:jc w:val="left"/>
            <w:rPr>
              <w:rFonts w:ascii="Times New Roman" w:hAnsi="Times New Roman" w:cs="Times New Roman" w:eastAsia="Times New Roman" w:hint="default"/>
            </w:rPr>
          </w:pPr>
          <w:hyperlink w:history="true" w:anchor="_bookmark6">
            <w:r>
              <w:rPr/>
              <w:t>第七节优先股相关情况</w:t>
            </w:r>
            <w:r>
              <w:rPr>
                <w:rFonts w:ascii="Times New Roman" w:hAnsi="Times New Roman" w:cs="Times New Roman" w:eastAsia="Times New Roman" w:hint="default"/>
              </w:rPr>
              <w:tab/>
            </w:r>
            <w:r>
              <w:rPr>
                <w:rFonts w:ascii="Times New Roman" w:hAnsi="Times New Roman" w:cs="Times New Roman" w:eastAsia="Times New Roman" w:hint="default"/>
              </w:rPr>
              <w:t>65</w:t>
            </w:r>
          </w:hyperlink>
        </w:p>
        <w:p>
          <w:pPr>
            <w:pStyle w:val="TOC1"/>
            <w:tabs>
              <w:tab w:pos="9752" w:val="right" w:leader="dot"/>
            </w:tabs>
            <w:spacing w:line="240" w:lineRule="auto"/>
            <w:ind w:right="0"/>
            <w:jc w:val="left"/>
            <w:rPr>
              <w:rFonts w:ascii="Times New Roman" w:hAnsi="Times New Roman" w:cs="Times New Roman" w:eastAsia="Times New Roman" w:hint="default"/>
            </w:rPr>
          </w:pPr>
          <w:hyperlink w:history="true" w:anchor="_bookmark7">
            <w:r>
              <w:rPr/>
              <w:t>第八节可转换公司债券相关情况</w:t>
            </w:r>
            <w:r>
              <w:rPr>
                <w:rFonts w:ascii="Times New Roman" w:hAnsi="Times New Roman" w:cs="Times New Roman" w:eastAsia="Times New Roman" w:hint="default"/>
              </w:rPr>
              <w:tab/>
            </w:r>
            <w:r>
              <w:rPr>
                <w:rFonts w:ascii="Times New Roman" w:hAnsi="Times New Roman" w:cs="Times New Roman" w:eastAsia="Times New Roman" w:hint="default"/>
              </w:rPr>
              <w:t>66</w:t>
            </w:r>
          </w:hyperlink>
        </w:p>
        <w:p>
          <w:pPr>
            <w:pStyle w:val="TOC1"/>
            <w:tabs>
              <w:tab w:pos="9752" w:val="right" w:leader="dot"/>
            </w:tabs>
            <w:spacing w:line="240" w:lineRule="auto"/>
            <w:ind w:right="0"/>
            <w:jc w:val="left"/>
            <w:rPr>
              <w:rFonts w:ascii="Times New Roman" w:hAnsi="Times New Roman" w:cs="Times New Roman" w:eastAsia="Times New Roman" w:hint="default"/>
            </w:rPr>
          </w:pPr>
          <w:hyperlink w:history="true" w:anchor="_bookmark8">
            <w:r>
              <w:rPr/>
              <w:t>第九节董事、监事、高级管理人员和员工情况</w:t>
            </w:r>
            <w:r>
              <w:rPr>
                <w:rFonts w:ascii="Times New Roman" w:hAnsi="Times New Roman" w:cs="Times New Roman" w:eastAsia="Times New Roman" w:hint="default"/>
              </w:rPr>
              <w:tab/>
            </w:r>
            <w:r>
              <w:rPr>
                <w:rFonts w:ascii="Times New Roman" w:hAnsi="Times New Roman" w:cs="Times New Roman" w:eastAsia="Times New Roman" w:hint="default"/>
              </w:rPr>
              <w:t>67</w:t>
            </w:r>
          </w:hyperlink>
        </w:p>
        <w:p>
          <w:pPr>
            <w:pStyle w:val="TOC1"/>
            <w:tabs>
              <w:tab w:pos="9752" w:val="right" w:leader="dot"/>
            </w:tabs>
            <w:spacing w:line="240" w:lineRule="auto" w:before="215"/>
            <w:ind w:right="0"/>
            <w:jc w:val="left"/>
            <w:rPr>
              <w:rFonts w:ascii="Times New Roman" w:hAnsi="Times New Roman" w:cs="Times New Roman" w:eastAsia="Times New Roman" w:hint="default"/>
            </w:rPr>
          </w:pPr>
          <w:hyperlink w:history="true" w:anchor="_bookmark9">
            <w:r>
              <w:rPr/>
              <w:t>第十节公司治理</w:t>
            </w:r>
            <w:r>
              <w:rPr>
                <w:rFonts w:ascii="Times New Roman" w:hAnsi="Times New Roman" w:cs="Times New Roman" w:eastAsia="Times New Roman" w:hint="default"/>
              </w:rPr>
              <w:tab/>
            </w:r>
            <w:r>
              <w:rPr>
                <w:rFonts w:ascii="Times New Roman" w:hAnsi="Times New Roman" w:cs="Times New Roman" w:eastAsia="Times New Roman" w:hint="default"/>
              </w:rPr>
              <w:t>74</w:t>
            </w:r>
          </w:hyperlink>
        </w:p>
        <w:p>
          <w:pPr>
            <w:pStyle w:val="TOC1"/>
            <w:tabs>
              <w:tab w:pos="9752" w:val="right" w:leader="dot"/>
            </w:tabs>
            <w:spacing w:line="240" w:lineRule="auto"/>
            <w:ind w:right="0"/>
            <w:jc w:val="left"/>
            <w:rPr>
              <w:rFonts w:ascii="Times New Roman" w:hAnsi="Times New Roman" w:cs="Times New Roman" w:eastAsia="Times New Roman" w:hint="default"/>
            </w:rPr>
          </w:pPr>
          <w:hyperlink w:history="true" w:anchor="_bookmark10">
            <w:r>
              <w:rPr/>
              <w:t>第十一节公司债券相关情况</w:t>
            </w:r>
            <w:r>
              <w:rPr>
                <w:rFonts w:ascii="Times New Roman" w:hAnsi="Times New Roman" w:cs="Times New Roman" w:eastAsia="Times New Roman" w:hint="default"/>
              </w:rPr>
              <w:tab/>
            </w:r>
            <w:r>
              <w:rPr>
                <w:rFonts w:ascii="Times New Roman" w:hAnsi="Times New Roman" w:cs="Times New Roman" w:eastAsia="Times New Roman" w:hint="default"/>
              </w:rPr>
              <w:t>80</w:t>
            </w:r>
          </w:hyperlink>
        </w:p>
        <w:p>
          <w:pPr>
            <w:pStyle w:val="TOC1"/>
            <w:tabs>
              <w:tab w:pos="9752" w:val="right" w:leader="dot"/>
            </w:tabs>
            <w:spacing w:line="240" w:lineRule="auto"/>
            <w:ind w:right="0"/>
            <w:jc w:val="left"/>
            <w:rPr>
              <w:rFonts w:ascii="Times New Roman" w:hAnsi="Times New Roman" w:cs="Times New Roman" w:eastAsia="Times New Roman" w:hint="default"/>
            </w:rPr>
          </w:pPr>
          <w:hyperlink w:history="true" w:anchor="_bookmark11">
            <w:r>
              <w:rPr/>
              <w:t>第十二节财务报告</w:t>
            </w:r>
            <w:r>
              <w:rPr>
                <w:rFonts w:ascii="Times New Roman" w:hAnsi="Times New Roman" w:cs="Times New Roman" w:eastAsia="Times New Roman" w:hint="default"/>
              </w:rPr>
              <w:tab/>
            </w:r>
            <w:r>
              <w:rPr>
                <w:rFonts w:ascii="Times New Roman" w:hAnsi="Times New Roman" w:cs="Times New Roman" w:eastAsia="Times New Roman" w:hint="default"/>
              </w:rPr>
              <w:t>81</w:t>
            </w:r>
          </w:hyperlink>
        </w:p>
        <w:p>
          <w:pPr>
            <w:pStyle w:val="TOC1"/>
            <w:tabs>
              <w:tab w:pos="9752" w:val="right" w:leader="dot"/>
            </w:tabs>
            <w:spacing w:line="240" w:lineRule="auto" w:before="215"/>
            <w:ind w:right="0"/>
            <w:jc w:val="left"/>
            <w:rPr>
              <w:rFonts w:ascii="Times New Roman" w:hAnsi="Times New Roman" w:cs="Times New Roman" w:eastAsia="Times New Roman" w:hint="default"/>
            </w:rPr>
          </w:pPr>
          <w:hyperlink w:history="true" w:anchor="_bookmark12">
            <w:r>
              <w:rPr/>
              <w:t>第十三节备查文件目录</w:t>
            </w:r>
            <w:r>
              <w:rPr>
                <w:rFonts w:ascii="Times New Roman" w:hAnsi="Times New Roman" w:cs="Times New Roman" w:eastAsia="Times New Roman" w:hint="default"/>
              </w:rPr>
              <w:tab/>
            </w:r>
            <w:r>
              <w:rPr>
                <w:rFonts w:ascii="Times New Roman" w:hAnsi="Times New Roman" w:cs="Times New Roman" w:eastAsia="Times New Roman" w:hint="default"/>
              </w:rPr>
              <w:t>220</w:t>
            </w:r>
          </w:hyperlink>
        </w:p>
        <w:p>
          <w:pPr/>
          <w:r>
            <w:fldChar w:fldCharType="end"/>
          </w:r>
        </w:p>
      </w:sdtContent>
    </w:sdt>
    <w:p>
      <w:pPr>
        <w:spacing w:after="0"/>
        <w:sectPr>
          <w:pgSz w:w="11910" w:h="16840"/>
          <w:pgMar w:header="919" w:footer="1016" w:top="1120" w:bottom="1200" w:left="1020" w:right="0"/>
        </w:sectPr>
      </w:pPr>
    </w:p>
    <w:p>
      <w:pPr>
        <w:spacing w:line="240" w:lineRule="auto" w:before="0"/>
        <w:rPr>
          <w:rFonts w:ascii="Times New Roman" w:hAnsi="Times New Roman" w:cs="Times New Roman" w:eastAsia="Times New Roman" w:hint="default"/>
          <w:sz w:val="32"/>
          <w:szCs w:val="32"/>
        </w:rPr>
      </w:pPr>
    </w:p>
    <w:p>
      <w:pPr>
        <w:spacing w:line="240" w:lineRule="auto" w:before="0"/>
        <w:rPr>
          <w:rFonts w:ascii="Times New Roman" w:hAnsi="Times New Roman" w:cs="Times New Roman" w:eastAsia="Times New Roman" w:hint="default"/>
          <w:sz w:val="32"/>
          <w:szCs w:val="32"/>
        </w:rPr>
      </w:pPr>
    </w:p>
    <w:p>
      <w:pPr>
        <w:spacing w:before="285"/>
        <w:ind w:left="2020" w:right="3037"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524"/>
        <w:gridCol w:w="621"/>
        <w:gridCol w:w="5424"/>
      </w:tblGrid>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公司、赢时胜</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深圳市赢时胜信息技术股份有限公司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股东大会、董事会、监事会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深圳市赢时胜信息技术股份有限公司股东大会、董事会、监事会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证监会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中登公司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中国证券登记结算有限责任公司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保荐机构、东吴证券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东吴证券股份有限公司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天职国际、会计师事务所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天职国际会计师事务所（特殊普通合伙）</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上期、上年同期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《深圳市赢时胜信息技术股份有限公司公司章程》</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上海赢量</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上海赢量信息科技有限公司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链石信息</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链石（苏州）信息科技有限公司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上海赢保</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上海赢保商业保理有限公司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东吴金科</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东吴</w:t>
            </w:r>
            <w:r>
              <w:rPr>
                <w:rFonts w:ascii="Times New Roman" w:hAnsi="Times New Roman" w:cs="Times New Roman" w:eastAsia="Times New Roman" w:hint="default"/>
                <w:sz w:val="18"/>
                <w:szCs w:val="18"/>
              </w:rPr>
              <w:t>(</w:t>
            </w:r>
            <w:r>
              <w:rPr>
                <w:rFonts w:ascii="宋体" w:hAnsi="宋体" w:cs="宋体" w:eastAsia="宋体" w:hint="default"/>
                <w:sz w:val="18"/>
                <w:szCs w:val="18"/>
              </w:rPr>
              <w:t>苏州</w:t>
            </w:r>
            <w:r>
              <w:rPr>
                <w:rFonts w:ascii="Times New Roman" w:hAnsi="Times New Roman" w:cs="Times New Roman" w:eastAsia="Times New Roman" w:hint="default"/>
                <w:sz w:val="18"/>
                <w:szCs w:val="18"/>
              </w:rPr>
              <w:t>)</w:t>
            </w:r>
            <w:r>
              <w:rPr>
                <w:rFonts w:ascii="宋体" w:hAnsi="宋体" w:cs="宋体" w:eastAsia="宋体" w:hint="default"/>
                <w:sz w:val="18"/>
                <w:szCs w:val="18"/>
              </w:rPr>
              <w:t>金融科技有限公司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阳光金服</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阳光恒美金融信息技术服务（上海）股份有限公司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东方金信</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北京东方金信科技有限公司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北京营安</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北京营安金融信息服务有限公司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上海怀若</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上海怀若智能科技有限公司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慧闻科技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北京慧闻科技（集团）有限公司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怀光智能</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怀光智能科技（武汉）有限公司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图灵机器人</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深圳市图灵机器人有限公司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达烁高科</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达烁高科（北京）信息技术有限公司</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ABCD</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104" w:right="10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宋体" w:hAnsi="宋体" w:cs="宋体" w:eastAsia="宋体" w:hint="default"/>
                <w:sz w:val="18"/>
                <w:szCs w:val="18"/>
              </w:rPr>
              <w:t>—</w:t>
            </w:r>
            <w:r>
              <w:rPr>
                <w:rFonts w:ascii="Times New Roman" w:hAnsi="Times New Roman" w:cs="Times New Roman" w:eastAsia="Times New Roman" w:hint="default"/>
                <w:sz w:val="18"/>
                <w:szCs w:val="18"/>
              </w:rPr>
              <w:t>AI</w:t>
            </w:r>
            <w:r>
              <w:rPr>
                <w:rFonts w:ascii="宋体" w:hAnsi="宋体" w:cs="宋体" w:eastAsia="宋体" w:hint="default"/>
                <w:sz w:val="18"/>
                <w:szCs w:val="18"/>
              </w:rPr>
              <w:t>，指人工智能，</w:t>
            </w:r>
            <w:r>
              <w:rPr>
                <w:rFonts w:ascii="Times New Roman" w:hAnsi="Times New Roman" w:cs="Times New Roman" w:eastAsia="Times New Roman" w:hint="default"/>
                <w:sz w:val="18"/>
                <w:szCs w:val="18"/>
              </w:rPr>
              <w:t>B</w:t>
            </w:r>
            <w:r>
              <w:rPr>
                <w:rFonts w:ascii="宋体" w:hAnsi="宋体" w:cs="宋体" w:eastAsia="宋体" w:hint="default"/>
                <w:sz w:val="18"/>
                <w:szCs w:val="18"/>
              </w:rPr>
              <w:t>—</w:t>
            </w:r>
            <w:r>
              <w:rPr>
                <w:rFonts w:ascii="Times New Roman" w:hAnsi="Times New Roman" w:cs="Times New Roman" w:eastAsia="Times New Roman" w:hint="default"/>
                <w:sz w:val="18"/>
                <w:szCs w:val="18"/>
              </w:rPr>
              <w:t>Blockchain </w:t>
            </w:r>
            <w:r>
              <w:rPr>
                <w:rFonts w:ascii="宋体" w:hAnsi="宋体" w:cs="宋体" w:eastAsia="宋体" w:hint="default"/>
                <w:sz w:val="18"/>
                <w:szCs w:val="18"/>
              </w:rPr>
              <w:t>指区块链，</w:t>
            </w:r>
            <w:r>
              <w:rPr>
                <w:rFonts w:ascii="Times New Roman" w:hAnsi="Times New Roman" w:cs="Times New Roman" w:eastAsia="Times New Roman" w:hint="default"/>
                <w:sz w:val="18"/>
                <w:szCs w:val="18"/>
              </w:rPr>
              <w:t>C</w:t>
            </w:r>
            <w:r>
              <w:rPr>
                <w:rFonts w:ascii="宋体" w:hAnsi="宋体" w:cs="宋体" w:eastAsia="宋体" w:hint="default"/>
                <w:sz w:val="18"/>
                <w:szCs w:val="18"/>
              </w:rPr>
              <w:t>—</w:t>
            </w:r>
            <w:r>
              <w:rPr>
                <w:rFonts w:ascii="Times New Roman" w:hAnsi="Times New Roman" w:cs="Times New Roman" w:eastAsia="Times New Roman" w:hint="default"/>
                <w:sz w:val="18"/>
                <w:szCs w:val="18"/>
              </w:rPr>
              <w:t>Cloud</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指云 计算，</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r>
              <w:rPr>
                <w:rFonts w:ascii="Times New Roman" w:hAnsi="Times New Roman" w:cs="Times New Roman" w:eastAsia="Times New Roman" w:hint="default"/>
                <w:sz w:val="18"/>
                <w:szCs w:val="18"/>
              </w:rPr>
              <w:t>Data,</w:t>
            </w:r>
            <w:r>
              <w:rPr>
                <w:rFonts w:ascii="宋体" w:hAnsi="宋体" w:cs="宋体" w:eastAsia="宋体" w:hint="default"/>
                <w:sz w:val="18"/>
                <w:szCs w:val="18"/>
              </w:rPr>
              <w:t>指大数据。</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Times New Roman" w:hAnsi="Times New Roman" w:cs="Times New Roman" w:eastAsia="Times New Roman" w:hint="default"/>
                <w:sz w:val="18"/>
                <w:szCs w:val="18"/>
              </w:rPr>
            </w:pPr>
            <w:r>
              <w:rPr>
                <w:rFonts w:ascii="Times New Roman"/>
                <w:sz w:val="18"/>
              </w:rPr>
              <w:t>FinTech</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金融科技（</w:t>
            </w:r>
            <w:r>
              <w:rPr>
                <w:rFonts w:ascii="Times New Roman" w:hAnsi="Times New Roman" w:cs="Times New Roman" w:eastAsia="Times New Roman" w:hint="default"/>
                <w:sz w:val="18"/>
                <w:szCs w:val="18"/>
              </w:rPr>
              <w:t>Financial</w:t>
            </w:r>
            <w:r>
              <w:rPr>
                <w:rFonts w:ascii="Times New Roman" w:hAnsi="Times New Roman" w:cs="Times New Roman" w:eastAsia="Times New Roman" w:hint="default"/>
                <w:spacing w:val="-13"/>
                <w:sz w:val="18"/>
                <w:szCs w:val="18"/>
              </w:rPr>
              <w:t> </w:t>
            </w:r>
            <w:r>
              <w:rPr>
                <w:rFonts w:ascii="Times New Roman" w:hAnsi="Times New Roman" w:cs="Times New Roman" w:eastAsia="Times New Roman" w:hint="default"/>
                <w:sz w:val="18"/>
                <w:szCs w:val="18"/>
              </w:rPr>
              <w:t>Technology</w:t>
            </w:r>
            <w:r>
              <w:rPr>
                <w:rFonts w:ascii="宋体" w:hAnsi="宋体" w:cs="宋体" w:eastAsia="宋体" w:hint="default"/>
                <w:sz w:val="18"/>
                <w:szCs w:val="18"/>
              </w:rPr>
              <w:t>）</w:t>
            </w:r>
          </w:p>
        </w:tc>
      </w:tr>
      <w:tr>
        <w:trPr>
          <w:trHeight w:val="40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IDC</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18"/>
                <w:szCs w:val="18"/>
              </w:rPr>
            </w:pPr>
            <w:hyperlink r:id="rId10">
              <w:r>
                <w:rPr>
                  <w:rFonts w:ascii="宋体" w:hAnsi="宋体" w:cs="宋体" w:eastAsia="宋体" w:hint="default"/>
                  <w:sz w:val="18"/>
                  <w:szCs w:val="18"/>
                </w:rPr>
                <w:t>互联网数据中心</w:t>
              </w:r>
            </w:hyperlink>
          </w:p>
        </w:tc>
      </w:tr>
    </w:tbl>
    <w:p>
      <w:pPr>
        <w:spacing w:after="0" w:line="240" w:lineRule="auto"/>
        <w:jc w:val="left"/>
        <w:rPr>
          <w:rFonts w:ascii="宋体" w:hAnsi="宋体" w:cs="宋体" w:eastAsia="宋体" w:hint="default"/>
          <w:sz w:val="18"/>
          <w:szCs w:val="18"/>
        </w:rPr>
        <w:sectPr>
          <w:pgSz w:w="11910" w:h="16840"/>
          <w:pgMar w:header="919" w:footer="1016"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3524"/>
        <w:gridCol w:w="621"/>
        <w:gridCol w:w="5424"/>
      </w:tblGrid>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TA</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104" w:right="165"/>
              <w:jc w:val="left"/>
              <w:rPr>
                <w:rFonts w:ascii="宋体" w:hAnsi="宋体" w:cs="宋体" w:eastAsia="宋体" w:hint="default"/>
                <w:sz w:val="18"/>
                <w:szCs w:val="18"/>
              </w:rPr>
            </w:pPr>
            <w:r>
              <w:rPr>
                <w:rFonts w:ascii="Times New Roman" w:hAnsi="Times New Roman" w:cs="Times New Roman" w:eastAsia="Times New Roman" w:hint="default"/>
                <w:sz w:val="18"/>
                <w:szCs w:val="18"/>
              </w:rPr>
              <w:t>TA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系统是中国结算公司开放式基金登记结算系统的简称。用于登 记投资者在上海证券账户或者深圳账户内的基金份额</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CNCF</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4" w:right="100"/>
              <w:jc w:val="left"/>
              <w:rPr>
                <w:rFonts w:ascii="宋体" w:hAnsi="宋体" w:cs="宋体" w:eastAsia="宋体" w:hint="default"/>
                <w:sz w:val="18"/>
                <w:szCs w:val="18"/>
              </w:rPr>
            </w:pPr>
            <w:r>
              <w:rPr>
                <w:rFonts w:ascii="宋体" w:hAnsi="宋体" w:cs="宋体" w:eastAsia="宋体" w:hint="default"/>
                <w:spacing w:val="-1"/>
                <w:sz w:val="18"/>
                <w:szCs w:val="18"/>
              </w:rPr>
              <w:t>是一个开源软件基金会，致力于使云原生计算具有普遍性和可持续</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性。通常代表符合云原生技术标准的云计算应用技术架构实现</w:t>
            </w:r>
          </w:p>
        </w:tc>
      </w:tr>
      <w:tr>
        <w:trPr>
          <w:trHeight w:val="1338"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left="101" w:right="0"/>
              <w:jc w:val="left"/>
              <w:rPr>
                <w:rFonts w:ascii="Times New Roman" w:hAnsi="Times New Roman" w:cs="Times New Roman" w:eastAsia="Times New Roman" w:hint="default"/>
                <w:sz w:val="18"/>
                <w:szCs w:val="18"/>
              </w:rPr>
            </w:pPr>
            <w:r>
              <w:rPr>
                <w:rFonts w:ascii="Times New Roman"/>
                <w:sz w:val="18"/>
              </w:rPr>
              <w:t>IaaS</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0"/>
              <w:ind w:left="104" w:right="10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Infrastructure</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as</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a Service</w:t>
            </w:r>
            <w:r>
              <w:rPr>
                <w:rFonts w:ascii="宋体" w:hAnsi="宋体" w:cs="宋体" w:eastAsia="宋体" w:hint="default"/>
                <w:sz w:val="18"/>
                <w:szCs w:val="18"/>
              </w:rPr>
              <w:t>）基础设施即服务，指把</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基础设施作 </w:t>
            </w:r>
            <w:r>
              <w:rPr>
                <w:rFonts w:ascii="宋体" w:hAnsi="宋体" w:cs="宋体" w:eastAsia="宋体" w:hint="default"/>
                <w:spacing w:val="-1"/>
                <w:sz w:val="18"/>
                <w:szCs w:val="18"/>
              </w:rPr>
              <w:t>为一种服务通过网络对外提供。在这种服务模型中，用户不用自己</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1"/>
                <w:sz w:val="18"/>
                <w:szCs w:val="18"/>
              </w:rPr>
              <w:t>构建一个数据中心，而是通过租用的方式来使用基础设施服务，包</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括服务器、存储和网络等</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PaaS</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4" w:right="17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Platform as a</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Service</w:t>
            </w:r>
            <w:r>
              <w:rPr>
                <w:rFonts w:ascii="宋体" w:hAnsi="宋体" w:cs="宋体" w:eastAsia="宋体" w:hint="default"/>
                <w:sz w:val="18"/>
                <w:szCs w:val="18"/>
              </w:rPr>
              <w:t>）平台即服务，把应用服务的运行和开发环 境作为一种服务提供的商业模式</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1" w:right="0"/>
              <w:jc w:val="left"/>
              <w:rPr>
                <w:rFonts w:ascii="Times New Roman" w:hAnsi="Times New Roman" w:cs="Times New Roman" w:eastAsia="Times New Roman" w:hint="default"/>
                <w:sz w:val="18"/>
                <w:szCs w:val="18"/>
              </w:rPr>
            </w:pPr>
            <w:r>
              <w:rPr>
                <w:rFonts w:ascii="Times New Roman"/>
                <w:sz w:val="18"/>
              </w:rPr>
              <w:t>API</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Application Programming</w:t>
            </w:r>
            <w:r>
              <w:rPr>
                <w:rFonts w:ascii="Times New Roman" w:hAnsi="Times New Roman" w:cs="Times New Roman" w:eastAsia="Times New Roman" w:hint="default"/>
                <w:spacing w:val="-14"/>
                <w:sz w:val="18"/>
                <w:szCs w:val="18"/>
              </w:rPr>
              <w:t> </w:t>
            </w:r>
            <w:r>
              <w:rPr>
                <w:rFonts w:ascii="Times New Roman" w:hAnsi="Times New Roman" w:cs="Times New Roman" w:eastAsia="Times New Roman" w:hint="default"/>
                <w:sz w:val="18"/>
                <w:szCs w:val="18"/>
              </w:rPr>
              <w:t>Interface</w:t>
            </w:r>
            <w:hyperlink r:id="rId11">
              <w:r>
                <w:rPr>
                  <w:rFonts w:ascii="宋体" w:hAnsi="宋体" w:cs="宋体" w:eastAsia="宋体" w:hint="default"/>
                  <w:sz w:val="18"/>
                  <w:szCs w:val="18"/>
                </w:rPr>
                <w:t>）应用程序</w:t>
              </w:r>
            </w:hyperlink>
            <w:r>
              <w:rPr>
                <w:rFonts w:ascii="宋体" w:hAnsi="宋体" w:cs="宋体" w:eastAsia="宋体" w:hint="default"/>
                <w:sz w:val="18"/>
                <w:szCs w:val="18"/>
              </w:rPr>
              <w:t>接口</w:t>
            </w:r>
          </w:p>
        </w:tc>
      </w:tr>
    </w:tbl>
    <w:p>
      <w:pPr>
        <w:spacing w:after="0" w:line="240" w:lineRule="auto"/>
        <w:jc w:val="left"/>
        <w:rPr>
          <w:rFonts w:ascii="宋体" w:hAnsi="宋体" w:cs="宋体" w:eastAsia="宋体" w:hint="default"/>
          <w:sz w:val="18"/>
          <w:szCs w:val="18"/>
        </w:rPr>
        <w:sectPr>
          <w:pgSz w:w="11910" w:h="16840"/>
          <w:pgMar w:header="919" w:footer="1016" w:top="1120" w:bottom="120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2"/>
          <w:szCs w:val="22"/>
        </w:rPr>
      </w:pPr>
    </w:p>
    <w:p>
      <w:pPr>
        <w:pStyle w:val="Heading1"/>
        <w:spacing w:line="240" w:lineRule="auto"/>
        <w:ind w:left="2685" w:right="915"/>
        <w:jc w:val="left"/>
        <w:rPr>
          <w:b w:val="0"/>
          <w:bCs w:val="0"/>
        </w:rPr>
      </w:pPr>
      <w:bookmarkStart w:name="第二节公司简介和主要财务指标" w:id="3"/>
      <w:bookmarkEnd w:id="3"/>
      <w:r>
        <w:rPr>
          <w:b w:val="0"/>
          <w:bCs w:val="0"/>
        </w:rPr>
      </w:r>
      <w:bookmarkStart w:name="_bookmark1" w:id="4"/>
      <w:bookmarkEnd w:id="4"/>
      <w:r>
        <w:rPr>
          <w:b w:val="0"/>
          <w:bCs w:val="0"/>
        </w:rPr>
      </w:r>
      <w:r>
        <w:rPr/>
        <w:t>第二节公司简介和主要财务指标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915"/>
        <w:jc w:val="left"/>
        <w:rPr>
          <w:b w:val="0"/>
          <w:bCs w:val="0"/>
        </w:rPr>
      </w:pPr>
      <w:bookmarkStart w:name="一、公司信息" w:id="5"/>
      <w:bookmarkEnd w:id="5"/>
      <w:r>
        <w:rPr>
          <w:b w:val="0"/>
          <w:bCs w:val="0"/>
        </w:rPr>
      </w:r>
      <w:r>
        <w:rPr/>
        <w:t>一、公司信息</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284"/>
        <w:gridCol w:w="2953"/>
        <w:gridCol w:w="2156"/>
        <w:gridCol w:w="2176"/>
      </w:tblGrid>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赢时胜</w:t>
            </w:r>
          </w:p>
        </w:tc>
        <w:tc>
          <w:tcPr>
            <w:tcW w:w="2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300377</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深圳市赢时胜信息技术股份有限公司</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赢时胜</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2" w:right="0"/>
              <w:jc w:val="left"/>
              <w:rPr>
                <w:rFonts w:ascii="Times New Roman" w:hAnsi="Times New Roman" w:cs="Times New Roman" w:eastAsia="Times New Roman" w:hint="default"/>
                <w:sz w:val="18"/>
                <w:szCs w:val="18"/>
              </w:rPr>
            </w:pPr>
            <w:r>
              <w:rPr>
                <w:rFonts w:ascii="Times New Roman"/>
                <w:sz w:val="18"/>
              </w:rPr>
              <w:t>SHENZHEN YSSTECH INFO-TECH</w:t>
            </w:r>
            <w:r>
              <w:rPr>
                <w:rFonts w:ascii="Times New Roman"/>
                <w:spacing w:val="-16"/>
                <w:sz w:val="18"/>
              </w:rPr>
              <w:t> </w:t>
            </w:r>
            <w:r>
              <w:rPr>
                <w:rFonts w:ascii="Times New Roman"/>
                <w:spacing w:val="-3"/>
                <w:sz w:val="18"/>
              </w:rPr>
              <w:t>CO.,LTD</w:t>
            </w:r>
          </w:p>
        </w:tc>
      </w:tr>
      <w:tr>
        <w:trPr>
          <w:trHeight w:val="714"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 w:right="190"/>
              <w:jc w:val="left"/>
              <w:rPr>
                <w:rFonts w:ascii="宋体" w:hAnsi="宋体" w:cs="宋体" w:eastAsia="宋体" w:hint="default"/>
                <w:sz w:val="18"/>
                <w:szCs w:val="18"/>
              </w:rPr>
            </w:pPr>
            <w:r>
              <w:rPr>
                <w:rFonts w:ascii="宋体" w:hAnsi="宋体" w:cs="宋体" w:eastAsia="宋体" w:hint="default"/>
                <w:sz w:val="18"/>
                <w:szCs w:val="18"/>
              </w:rPr>
              <w:t>公司的外文名称缩写（如 有）</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YSS</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唐球</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深圳市福田区华富街道莲花一村社区皇岗路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号深业上城（南区）</w:t>
            </w:r>
            <w:r>
              <w:rPr>
                <w:rFonts w:ascii="Times New Roman" w:hAnsi="Times New Roman" w:cs="Times New Roman" w:eastAsia="Times New Roman" w:hint="default"/>
                <w:sz w:val="18"/>
                <w:szCs w:val="18"/>
              </w:rPr>
              <w:t>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3701</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2" w:right="0"/>
              <w:jc w:val="left"/>
              <w:rPr>
                <w:rFonts w:ascii="Times New Roman" w:hAnsi="Times New Roman" w:cs="Times New Roman" w:eastAsia="Times New Roman" w:hint="default"/>
                <w:sz w:val="18"/>
                <w:szCs w:val="18"/>
              </w:rPr>
            </w:pPr>
            <w:r>
              <w:rPr>
                <w:rFonts w:ascii="Times New Roman"/>
                <w:sz w:val="18"/>
              </w:rPr>
              <w:t>518035</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深圳市福田区华富街道莲花一村社区皇岗路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号深业上城（南区）</w:t>
            </w:r>
            <w:r>
              <w:rPr>
                <w:rFonts w:ascii="Times New Roman" w:hAnsi="Times New Roman" w:cs="Times New Roman" w:eastAsia="Times New Roman" w:hint="default"/>
                <w:sz w:val="18"/>
                <w:szCs w:val="18"/>
              </w:rPr>
              <w:t>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3701</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2" w:right="0"/>
              <w:jc w:val="left"/>
              <w:rPr>
                <w:rFonts w:ascii="Times New Roman" w:hAnsi="Times New Roman" w:cs="Times New Roman" w:eastAsia="Times New Roman" w:hint="default"/>
                <w:sz w:val="18"/>
                <w:szCs w:val="18"/>
              </w:rPr>
            </w:pPr>
            <w:r>
              <w:rPr>
                <w:rFonts w:ascii="Times New Roman"/>
                <w:sz w:val="18"/>
              </w:rPr>
              <w:t>518035</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hyperlink r:id="rId12">
              <w:r>
                <w:rPr>
                  <w:rFonts w:ascii="Times New Roman"/>
                  <w:sz w:val="18"/>
                </w:rPr>
                <w:t>www.ysstech.com</w:t>
              </w:r>
            </w:hyperlink>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2" w:right="0"/>
              <w:jc w:val="left"/>
              <w:rPr>
                <w:rFonts w:ascii="Times New Roman" w:hAnsi="Times New Roman" w:cs="Times New Roman" w:eastAsia="Times New Roman" w:hint="default"/>
                <w:sz w:val="18"/>
                <w:szCs w:val="18"/>
              </w:rPr>
            </w:pPr>
            <w:hyperlink r:id="rId13">
              <w:r>
                <w:rPr>
                  <w:rFonts w:ascii="Times New Roman"/>
                  <w:sz w:val="18"/>
                </w:rPr>
                <w:t>ysstech@ysstech.com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915"/>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程霞</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张建科</w:t>
            </w:r>
          </w:p>
        </w:tc>
      </w:tr>
      <w:tr>
        <w:trPr>
          <w:trHeight w:val="357"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深圳市福田区华富街道莲花一村社区</w:t>
            </w:r>
          </w:p>
        </w:tc>
        <w:tc>
          <w:tcPr>
            <w:tcW w:w="31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深圳市福田区华富街道莲花一村社区</w:t>
            </w:r>
          </w:p>
        </w:tc>
      </w:tr>
      <w:tr>
        <w:trPr>
          <w:trHeight w:val="322"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皇岗路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5001</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号深业上城（南区）</w:t>
            </w:r>
            <w:r>
              <w:rPr>
                <w:rFonts w:ascii="Times New Roman" w:hAnsi="Times New Roman" w:cs="Times New Roman" w:eastAsia="Times New Roman" w:hint="default"/>
                <w:spacing w:val="-6"/>
                <w:sz w:val="18"/>
                <w:szCs w:val="18"/>
              </w:rPr>
              <w:t>T2</w:t>
            </w:r>
            <w:r>
              <w:rPr>
                <w:rFonts w:ascii="Times New Roman" w:hAnsi="Times New Roman" w:cs="Times New Roman" w:eastAsia="Times New Roman" w:hint="default"/>
                <w:sz w:val="18"/>
                <w:szCs w:val="18"/>
              </w:rPr>
              <w:t> </w:t>
            </w:r>
            <w:r>
              <w:rPr>
                <w:rFonts w:ascii="宋体" w:hAnsi="宋体" w:cs="宋体" w:eastAsia="宋体" w:hint="default"/>
                <w:sz w:val="18"/>
                <w:szCs w:val="18"/>
              </w:rPr>
              <w:t>栋</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皇岗路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5001</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号深业上城（南区）</w:t>
            </w:r>
            <w:r>
              <w:rPr>
                <w:rFonts w:ascii="Times New Roman" w:hAnsi="Times New Roman" w:cs="Times New Roman" w:eastAsia="Times New Roman" w:hint="default"/>
                <w:spacing w:val="-6"/>
                <w:sz w:val="18"/>
                <w:szCs w:val="18"/>
              </w:rPr>
              <w:t>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栋</w:t>
            </w:r>
          </w:p>
        </w:tc>
      </w:tr>
      <w:tr>
        <w:trPr>
          <w:trHeight w:val="347"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2"/>
              <w:ind w:left="102" w:right="0"/>
              <w:jc w:val="left"/>
              <w:rPr>
                <w:rFonts w:ascii="Times New Roman" w:hAnsi="Times New Roman" w:cs="Times New Roman" w:eastAsia="Times New Roman" w:hint="default"/>
                <w:sz w:val="18"/>
                <w:szCs w:val="18"/>
              </w:rPr>
            </w:pPr>
            <w:r>
              <w:rPr>
                <w:rFonts w:ascii="Times New Roman"/>
                <w:sz w:val="18"/>
              </w:rPr>
              <w:t>3701</w:t>
            </w:r>
          </w:p>
        </w:tc>
        <w:tc>
          <w:tcPr>
            <w:tcW w:w="31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2"/>
              <w:ind w:left="102" w:right="0"/>
              <w:jc w:val="left"/>
              <w:rPr>
                <w:rFonts w:ascii="Times New Roman" w:hAnsi="Times New Roman" w:cs="Times New Roman" w:eastAsia="Times New Roman" w:hint="default"/>
                <w:sz w:val="18"/>
                <w:szCs w:val="18"/>
              </w:rPr>
            </w:pPr>
            <w:r>
              <w:rPr>
                <w:rFonts w:ascii="Times New Roman"/>
                <w:sz w:val="18"/>
              </w:rPr>
              <w:t>3701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r>
              <w:rPr>
                <w:rFonts w:ascii="Times New Roman"/>
                <w:sz w:val="18"/>
              </w:rPr>
              <w:t>0755-23968617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r>
              <w:rPr>
                <w:rFonts w:ascii="Times New Roman"/>
                <w:sz w:val="18"/>
              </w:rPr>
              <w:t>0755-23968617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2" w:right="0"/>
              <w:jc w:val="left"/>
              <w:rPr>
                <w:rFonts w:ascii="Times New Roman" w:hAnsi="Times New Roman" w:cs="Times New Roman" w:eastAsia="Times New Roman" w:hint="default"/>
                <w:sz w:val="18"/>
                <w:szCs w:val="18"/>
              </w:rPr>
            </w:pPr>
            <w:r>
              <w:rPr>
                <w:rFonts w:ascii="Times New Roman"/>
                <w:sz w:val="18"/>
              </w:rPr>
              <w:t>0755-88265113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2" w:right="0"/>
              <w:jc w:val="left"/>
              <w:rPr>
                <w:rFonts w:ascii="Times New Roman" w:hAnsi="Times New Roman" w:cs="Times New Roman" w:eastAsia="Times New Roman" w:hint="default"/>
                <w:sz w:val="18"/>
                <w:szCs w:val="18"/>
              </w:rPr>
            </w:pPr>
            <w:r>
              <w:rPr>
                <w:rFonts w:ascii="Times New Roman"/>
                <w:sz w:val="18"/>
              </w:rPr>
              <w:t>0755-88265113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hyperlink r:id="rId13">
              <w:r>
                <w:rPr>
                  <w:rFonts w:ascii="Times New Roman"/>
                  <w:sz w:val="18"/>
                </w:rPr>
                <w:t>ysstech@ysstech.com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hyperlink r:id="rId13">
              <w:r>
                <w:rPr>
                  <w:rFonts w:ascii="Times New Roman"/>
                  <w:sz w:val="18"/>
                </w:rPr>
                <w:t>ysstech@ysstech.com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915"/>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992"/>
        <w:gridCol w:w="5576"/>
      </w:tblGrid>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《证券日报》</w:t>
            </w:r>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4">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公司证券事务部</w:t>
            </w:r>
          </w:p>
        </w:tc>
      </w:tr>
    </w:tbl>
    <w:p>
      <w:pPr>
        <w:spacing w:after="0" w:line="240" w:lineRule="auto"/>
        <w:jc w:val="left"/>
        <w:rPr>
          <w:rFonts w:ascii="宋体" w:hAnsi="宋体" w:cs="宋体" w:eastAsia="宋体" w:hint="default"/>
          <w:sz w:val="18"/>
          <w:szCs w:val="18"/>
        </w:rPr>
        <w:sectPr>
          <w:pgSz w:w="11910" w:h="16840"/>
          <w:pgMar w:header="919" w:footer="1016" w:top="1120" w:bottom="1200" w:left="1020" w:right="0"/>
        </w:sectPr>
      </w:pPr>
    </w:p>
    <w:p>
      <w:pPr>
        <w:spacing w:line="240" w:lineRule="auto" w:before="8"/>
        <w:rPr>
          <w:rFonts w:ascii="宋体" w:hAnsi="宋体" w:cs="宋体" w:eastAsia="宋体" w:hint="default"/>
          <w:b/>
          <w:bCs/>
          <w:sz w:val="18"/>
          <w:szCs w:val="18"/>
        </w:rPr>
      </w:pPr>
    </w:p>
    <w:p>
      <w:pPr>
        <w:pStyle w:val="Heading2"/>
        <w:spacing w:line="240" w:lineRule="auto" w:before="26"/>
        <w:ind w:right="915"/>
        <w:jc w:val="left"/>
        <w:rPr>
          <w:b w:val="0"/>
          <w:bCs w:val="0"/>
        </w:rPr>
      </w:pPr>
      <w:bookmarkStart w:name="四、其他有关资料" w:id="8"/>
      <w:bookmarkEnd w:id="8"/>
      <w:r>
        <w:rPr>
          <w:b w:val="0"/>
          <w:bCs w:val="0"/>
        </w:rPr>
      </w:r>
      <w:r>
        <w:rPr/>
        <w:t>四、其他有关资料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15"/>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62"/>
        <w:gridCol w:w="6906"/>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天职国际会计师事务所（特殊普通合伙）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深圳市福田区深南中路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号中核大厦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黎明、徐平</w:t>
            </w:r>
          </w:p>
        </w:tc>
      </w:tr>
    </w:tbl>
    <w:p>
      <w:pPr>
        <w:pStyle w:val="BodyText"/>
        <w:spacing w:line="240" w:lineRule="auto" w:before="51"/>
        <w:ind w:right="915"/>
        <w:jc w:val="left"/>
      </w:pPr>
      <w:r>
        <w:rPr/>
        <w:t>公司聘请的报告期内履行持续督导职责的保荐机构</w:t>
      </w:r>
    </w:p>
    <w:p>
      <w:pPr>
        <w:pStyle w:val="BodyText"/>
        <w:spacing w:line="357" w:lineRule="auto" w:before="117"/>
        <w:ind w:right="6794"/>
        <w:jc w:val="left"/>
      </w:pPr>
      <w:r>
        <w:rPr/>
        <w:t>□ 适用 √ 不适用 公司聘请的报告期内履行持续督导职责的财务顾问</w:t>
      </w:r>
    </w:p>
    <w:p>
      <w:pPr>
        <w:pStyle w:val="BodyText"/>
        <w:spacing w:line="240" w:lineRule="auto" w:before="29"/>
        <w:ind w:right="915"/>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915"/>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15"/>
        <w:jc w:val="left"/>
      </w:pPr>
      <w:r>
        <w:rPr/>
        <w:t>公司是否需追溯调整或重述以前年度会计数据</w:t>
      </w:r>
    </w:p>
    <w:p>
      <w:pPr>
        <w:pStyle w:val="BodyText"/>
        <w:spacing w:line="240" w:lineRule="auto" w:before="117"/>
        <w:ind w:right="915"/>
        <w:jc w:val="left"/>
      </w:pPr>
      <w:r>
        <w:rPr/>
        <w:t>□ 是 √ 否</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21"/>
        <w:gridCol w:w="1738"/>
        <w:gridCol w:w="1737"/>
        <w:gridCol w:w="1737"/>
        <w:gridCol w:w="1736"/>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7"/>
              <w:jc w:val="right"/>
              <w:rPr>
                <w:rFonts w:ascii="Times New Roman" w:hAnsi="Times New Roman" w:cs="Times New Roman" w:eastAsia="Times New Roman" w:hint="default"/>
                <w:sz w:val="18"/>
                <w:szCs w:val="18"/>
              </w:rPr>
            </w:pPr>
            <w:r>
              <w:rPr>
                <w:rFonts w:ascii="Times New Roman"/>
                <w:spacing w:val="-1"/>
                <w:sz w:val="18"/>
              </w:rPr>
              <w:t>655,579,978.11</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639,100,493.81</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2.58%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537,017,966.08</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136,436,981.53</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177,780,372.07</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-23.26%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208,463,060.81</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 w:right="167"/>
              <w:jc w:val="left"/>
              <w:rPr>
                <w:rFonts w:ascii="宋体" w:hAnsi="宋体" w:cs="宋体" w:eastAsia="宋体" w:hint="default"/>
                <w:sz w:val="18"/>
                <w:szCs w:val="18"/>
              </w:rPr>
            </w:pPr>
            <w:r>
              <w:rPr>
                <w:rFonts w:ascii="宋体" w:hAnsi="宋体" w:cs="宋体" w:eastAsia="宋体" w:hint="default"/>
                <w:sz w:val="18"/>
                <w:szCs w:val="18"/>
              </w:rPr>
              <w:t>归属于上市公司股东的扣除非 经常性损益的净利润（元）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2"/>
                <w:sz w:val="18"/>
              </w:rPr>
              <w:t>21,111,032.27</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155,899,691.70</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-86.46%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197,454,554.39</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124,586,918.32</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-49,044,888.34</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354.03%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-117,350,432.45</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0.1838</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0.2395</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-23.26%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0.2808</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0.1838</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0.2395</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8"/>
                <w:szCs w:val="18"/>
              </w:rPr>
            </w:pPr>
            <w:r>
              <w:rPr>
                <w:rFonts w:ascii="Times New Roman"/>
                <w:spacing w:val="-1"/>
                <w:sz w:val="18"/>
              </w:rPr>
              <w:t>-23.26%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0.2808</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4.96%</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6.54%</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-1.58%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7.92%</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3" w:right="142" w:hanging="632"/>
              <w:jc w:val="left"/>
              <w:rPr>
                <w:rFonts w:ascii="宋体" w:hAnsi="宋体" w:cs="宋体" w:eastAsia="宋体" w:hint="default"/>
                <w:sz w:val="18"/>
                <w:szCs w:val="18"/>
              </w:rPr>
            </w:pPr>
            <w:r>
              <w:rPr>
                <w:rFonts w:ascii="宋体" w:hAnsi="宋体" w:cs="宋体" w:eastAsia="宋体" w:hint="default"/>
                <w:sz w:val="18"/>
                <w:szCs w:val="18"/>
              </w:rPr>
              <w:t>本年末比上年末增 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3,185,448,497.87</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3,209,914,333.02</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-0.76%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2,938,710,527.97</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2"/>
                <w:sz w:val="18"/>
              </w:rPr>
              <w:t>2,808,647,111.82</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2,713,651,911.51</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3.50%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2,698,048,074.04</w:t>
            </w:r>
          </w:p>
        </w:tc>
      </w:tr>
    </w:tbl>
    <w:p>
      <w:pPr>
        <w:spacing w:line="240" w:lineRule="auto" w:before="1"/>
        <w:rPr>
          <w:rFonts w:ascii="宋体" w:hAnsi="宋体" w:cs="宋体" w:eastAsia="宋体" w:hint="default"/>
          <w:sz w:val="18"/>
          <w:szCs w:val="18"/>
        </w:rPr>
      </w:pPr>
    </w:p>
    <w:p>
      <w:pPr>
        <w:pStyle w:val="Heading2"/>
        <w:spacing w:line="240" w:lineRule="auto" w:before="26"/>
        <w:ind w:right="915"/>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21"/>
        <w:gridCol w:w="1740"/>
        <w:gridCol w:w="1739"/>
        <w:gridCol w:w="1739"/>
        <w:gridCol w:w="1730"/>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5"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153,117,329.79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205,499,050.74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189,382,637.83</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107,580,959.75</w:t>
            </w:r>
          </w:p>
        </w:tc>
      </w:tr>
      <w:tr>
        <w:trPr>
          <w:trHeight w:val="400"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26,243,021.11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54,077,408.74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44,715,095.63</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11,401,456.05</w:t>
            </w:r>
          </w:p>
        </w:tc>
      </w:tr>
    </w:tbl>
    <w:p>
      <w:pPr>
        <w:spacing w:after="0" w:line="240" w:lineRule="auto"/>
        <w:jc w:val="right"/>
        <w:rPr>
          <w:rFonts w:ascii="Times New Roman" w:hAnsi="Times New Roman" w:cs="Times New Roman" w:eastAsia="Times New Roman" w:hint="default"/>
          <w:sz w:val="18"/>
          <w:szCs w:val="18"/>
        </w:rPr>
        <w:sectPr>
          <w:pgSz w:w="11910" w:h="16840"/>
          <w:pgMar w:header="919" w:footer="1016"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2621"/>
        <w:gridCol w:w="1740"/>
        <w:gridCol w:w="1739"/>
        <w:gridCol w:w="1739"/>
        <w:gridCol w:w="1730"/>
      </w:tblGrid>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67"/>
              <w:jc w:val="left"/>
              <w:rPr>
                <w:rFonts w:ascii="宋体" w:hAnsi="宋体" w:cs="宋体" w:eastAsia="宋体" w:hint="default"/>
                <w:sz w:val="18"/>
                <w:szCs w:val="18"/>
              </w:rPr>
            </w:pPr>
            <w:r>
              <w:rPr>
                <w:rFonts w:ascii="宋体" w:hAnsi="宋体" w:cs="宋体" w:eastAsia="宋体" w:hint="default"/>
                <w:sz w:val="18"/>
                <w:szCs w:val="18"/>
              </w:rPr>
              <w:t>归属于上市公司股东的扣除非 经常性损益的净利润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22,370,379.46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53,328,004.83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44,035,964.29</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-98,623,316.31</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-63,863,879.68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-22,067,595.58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38,266,000.04</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172,252,393.54</w:t>
            </w:r>
          </w:p>
        </w:tc>
      </w:tr>
    </w:tbl>
    <w:p>
      <w:pPr>
        <w:pStyle w:val="BodyText"/>
        <w:spacing w:line="240" w:lineRule="auto" w:before="50"/>
        <w:ind w:right="915"/>
        <w:jc w:val="left"/>
      </w:pPr>
      <w:r>
        <w:rPr/>
        <w:t>上述财务指标或其加总数是否与公司已披露季度报告、半年度报告相关财务指标存在重大差异</w:t>
      </w:r>
    </w:p>
    <w:p>
      <w:pPr>
        <w:pStyle w:val="BodyText"/>
        <w:spacing w:line="240" w:lineRule="auto" w:before="117"/>
        <w:ind w:right="915"/>
        <w:jc w:val="left"/>
      </w:pPr>
      <w:r>
        <w:rPr/>
        <w:t>□ 是 √ 否</w:t>
      </w:r>
    </w:p>
    <w:p>
      <w:pPr>
        <w:spacing w:line="240" w:lineRule="auto" w:before="1"/>
        <w:rPr>
          <w:rFonts w:ascii="宋体" w:hAnsi="宋体" w:cs="宋体" w:eastAsia="宋体" w:hint="default"/>
          <w:sz w:val="25"/>
          <w:szCs w:val="25"/>
        </w:rPr>
      </w:pPr>
    </w:p>
    <w:p>
      <w:pPr>
        <w:pStyle w:val="Heading2"/>
        <w:spacing w:line="240" w:lineRule="auto"/>
        <w:ind w:right="915"/>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15"/>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1394"/>
        <w:jc w:val="left"/>
      </w:pPr>
      <w:r>
        <w:rPr/>
        <w:t>□ 适用 √ 不适用 公司报告期不存在按照国际会计准则与按照中国会计准则披露的财务报告中净利润和净资产差异情况。</w:t>
      </w:r>
    </w:p>
    <w:p>
      <w:pPr>
        <w:spacing w:line="240" w:lineRule="auto" w:before="12"/>
        <w:rPr>
          <w:rFonts w:ascii="宋体" w:hAnsi="宋体" w:cs="宋体" w:eastAsia="宋体" w:hint="default"/>
          <w:sz w:val="19"/>
          <w:szCs w:val="19"/>
        </w:rPr>
      </w:pPr>
    </w:p>
    <w:p>
      <w:pPr>
        <w:pStyle w:val="Heading3"/>
        <w:spacing w:line="240" w:lineRule="auto"/>
        <w:ind w:right="915"/>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2654"/>
        <w:jc w:val="left"/>
      </w:pPr>
      <w:r>
        <w:rPr/>
        <w:t>□ 适用 √ 不适用 公司报告期不存在按照境外会计准则与按照中国会计准则披露的财务报告中净利润和净资产差异情况。</w:t>
      </w:r>
    </w:p>
    <w:p>
      <w:pPr>
        <w:spacing w:line="240" w:lineRule="auto" w:before="2"/>
        <w:rPr>
          <w:rFonts w:ascii="宋体" w:hAnsi="宋体" w:cs="宋体" w:eastAsia="宋体" w:hint="default"/>
          <w:sz w:val="18"/>
          <w:szCs w:val="18"/>
        </w:rPr>
      </w:pPr>
    </w:p>
    <w:p>
      <w:pPr>
        <w:pStyle w:val="Heading2"/>
        <w:spacing w:line="240" w:lineRule="auto"/>
        <w:ind w:right="915"/>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915"/>
        <w:jc w:val="left"/>
      </w:pPr>
      <w:r>
        <w:rPr/>
        <w:t>√ 适用 □ 不适用</w:t>
      </w:r>
    </w:p>
    <w:p>
      <w:pPr>
        <w:pStyle w:val="BodyText"/>
        <w:spacing w:line="240" w:lineRule="auto" w:before="115"/>
        <w:ind w:left="0" w:right="113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296"/>
        <w:gridCol w:w="1520"/>
        <w:gridCol w:w="1520"/>
        <w:gridCol w:w="1522"/>
        <w:gridCol w:w="1710"/>
      </w:tblGrid>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22"/>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 减值准备的冲销部分）</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-10,837.55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-52,015.37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50,387.52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22"/>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 密切相关，按照国家统一标准定额或定 量享受的政府补助除外）</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13,585,648.41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19,927,376.75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5,698,968.07</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22"/>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 保值业务外，持有交易性金融资产、衍 生金融资产、交易性金融负债、衍生金 融负债产生的公允价值变动损益，以及 处置交易性金融资产、衍生金融资产、 交易性金融负债、衍生金融负债和其他 债权投资取得的投资收益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112,978,541.18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5,779,536.36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6,378,991.96</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497,012.58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22"/>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 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30,912.81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524,887.69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-71,218.88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12,416,025.98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2,938,533.88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1,148,899.02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-1,157,710.39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1,360,571.18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396,735.81</w:t>
            </w: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5"/>
          <w:pgSz w:w="11910" w:h="16840"/>
          <w:pgMar w:footer="1016" w:header="919" w:top="1120" w:bottom="1200" w:left="1020" w:right="0"/>
          <w:pgNumType w:start="1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3296"/>
        <w:gridCol w:w="1520"/>
        <w:gridCol w:w="1520"/>
        <w:gridCol w:w="1522"/>
        <w:gridCol w:w="1710"/>
      </w:tblGrid>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88" w:right="0"/>
              <w:jc w:val="left"/>
              <w:rPr>
                <w:rFonts w:ascii="Times New Roman" w:hAnsi="Times New Roman" w:cs="Times New Roman" w:eastAsia="Times New Roman" w:hint="default"/>
                <w:sz w:val="18"/>
                <w:szCs w:val="18"/>
              </w:rPr>
            </w:pPr>
            <w:r>
              <w:rPr>
                <w:rFonts w:ascii="Times New Roman"/>
                <w:sz w:val="18"/>
              </w:rPr>
              <w:t>115,325,949.26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71" w:right="0"/>
              <w:jc w:val="left"/>
              <w:rPr>
                <w:rFonts w:ascii="Times New Roman" w:hAnsi="Times New Roman" w:cs="Times New Roman" w:eastAsia="Times New Roman" w:hint="default"/>
                <w:sz w:val="18"/>
                <w:szCs w:val="18"/>
              </w:rPr>
            </w:pPr>
            <w:r>
              <w:rPr>
                <w:rFonts w:ascii="Times New Roman"/>
                <w:sz w:val="18"/>
              </w:rPr>
              <w:t>21,880,680.37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0" w:right="0"/>
              <w:jc w:val="left"/>
              <w:rPr>
                <w:rFonts w:ascii="Times New Roman" w:hAnsi="Times New Roman" w:cs="Times New Roman" w:eastAsia="Times New Roman" w:hint="default"/>
                <w:sz w:val="18"/>
                <w:szCs w:val="18"/>
              </w:rPr>
            </w:pPr>
            <w:r>
              <w:rPr>
                <w:rFonts w:ascii="Times New Roman"/>
                <w:sz w:val="18"/>
              </w:rPr>
              <w:t>11,008,506.42</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915"/>
        <w:jc w:val="left"/>
      </w:pPr>
      <w:r>
        <w:rPr>
          <w:spacing w:val="-3"/>
        </w:rPr>
        <w:t>对公司根据《公开发行证券的公司信息披露解释性公告第</w:t>
      </w:r>
      <w:r>
        <w:rPr>
          <w:spacing w:val="-38"/>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号——非经常性损益》定义界定的非经常性损益项目，以及把《公</w:t>
      </w:r>
    </w:p>
    <w:p>
      <w:pPr>
        <w:pStyle w:val="BodyText"/>
        <w:spacing w:line="300" w:lineRule="auto" w:before="63"/>
        <w:ind w:right="1120"/>
        <w:jc w:val="left"/>
      </w:pPr>
      <w:r>
        <w:rPr/>
        <w:t>开发行证券的公司信息披露解释性公告第</w:t>
      </w:r>
      <w:r>
        <w:rPr>
          <w:spacing w:val="-35"/>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号——非经常性损益》中列举的非经常性损益项目界定为经常性损益的项目，应</w:t>
      </w:r>
      <w:r>
        <w:rPr>
          <w:spacing w:val="-88"/>
        </w:rPr>
        <w:t> </w:t>
      </w:r>
      <w:r>
        <w:rPr>
          <w:spacing w:val="-88"/>
        </w:rPr>
      </w:r>
      <w:r>
        <w:rPr/>
        <w:t>说明原因</w:t>
      </w:r>
    </w:p>
    <w:p>
      <w:pPr>
        <w:pStyle w:val="BodyText"/>
        <w:spacing w:line="240" w:lineRule="auto" w:before="72"/>
        <w:ind w:right="915"/>
        <w:jc w:val="left"/>
      </w:pPr>
      <w:r>
        <w:rPr/>
        <w:t>□ 适用 √ 不适用</w:t>
      </w:r>
    </w:p>
    <w:p>
      <w:pPr>
        <w:pStyle w:val="BodyText"/>
        <w:spacing w:line="300" w:lineRule="auto" w:before="115"/>
        <w:ind w:right="1117"/>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号——非经常性损益》定义、列举的非经常性损益</w:t>
      </w:r>
      <w:r>
        <w:rPr/>
        <w:t> 项目界定为经常性损益的项目的情形。</w:t>
      </w:r>
    </w:p>
    <w:p>
      <w:pPr>
        <w:spacing w:after="0" w:line="300" w:lineRule="auto"/>
        <w:jc w:val="left"/>
        <w:sectPr>
          <w:pgSz w:w="11910" w:h="16840"/>
          <w:pgMar w:header="919" w:footer="1016" w:top="112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1"/>
        <w:spacing w:line="240" w:lineRule="auto"/>
        <w:ind w:left="3487" w:right="915"/>
        <w:jc w:val="left"/>
        <w:rPr>
          <w:b w:val="0"/>
          <w:bCs w:val="0"/>
        </w:rPr>
      </w:pPr>
      <w:bookmarkStart w:name="第三节公司业务概要" w:id="15"/>
      <w:bookmarkEnd w:id="15"/>
      <w:r>
        <w:rPr>
          <w:b w:val="0"/>
          <w:bCs w:val="0"/>
        </w:rPr>
      </w:r>
      <w:bookmarkStart w:name="_bookmark2" w:id="16"/>
      <w:bookmarkEnd w:id="16"/>
      <w:r>
        <w:rPr>
          <w:b w:val="0"/>
          <w:bCs w:val="0"/>
        </w:rPr>
      </w:r>
      <w:r>
        <w:rPr/>
        <w:t>第三节公司业务概要</w:t>
      </w:r>
      <w:r>
        <w:rPr>
          <w:b w:val="0"/>
          <w:bCs w:val="0"/>
        </w:rPr>
      </w:r>
    </w:p>
    <w:p>
      <w:pPr>
        <w:spacing w:line="240" w:lineRule="auto" w:before="10"/>
        <w:rPr>
          <w:rFonts w:ascii="宋体" w:hAnsi="宋体" w:cs="宋体" w:eastAsia="宋体" w:hint="default"/>
          <w:b/>
          <w:bCs/>
          <w:sz w:val="38"/>
          <w:szCs w:val="38"/>
        </w:rPr>
      </w:pPr>
    </w:p>
    <w:p>
      <w:pPr>
        <w:pStyle w:val="Heading2"/>
        <w:spacing w:line="240" w:lineRule="auto"/>
        <w:ind w:right="915"/>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25" w:firstLine="360"/>
        <w:jc w:val="both"/>
      </w:pPr>
      <w:r>
        <w:rPr>
          <w:spacing w:val="-2"/>
        </w:rPr>
        <w:t>报告期，公司经营紧紧围绕金融科技发展战略，公司主营业务继续聚焦为金融机构的资产管理和资产托管业务提供信息</w:t>
      </w:r>
      <w:r>
        <w:rPr/>
        <w:t> </w:t>
      </w:r>
      <w:r>
        <w:rPr>
          <w:spacing w:val="-2"/>
        </w:rPr>
        <w:t>化系统解决方案的应用软件及增值服务。公司主要产品包括资产托管系列软件、资金交易风险管理系列软件、财务估值核算</w:t>
      </w:r>
      <w:r>
        <w:rPr>
          <w:spacing w:val="-63"/>
        </w:rPr>
        <w:t> </w:t>
      </w:r>
      <w:r>
        <w:rPr>
          <w:spacing w:val="-63"/>
        </w:rPr>
      </w:r>
      <w:r>
        <w:rPr>
          <w:spacing w:val="-2"/>
        </w:rPr>
        <w:t>软件、金融资产投资绩效及风险管理软件、投资交易管理软件、金融数据中心系列软件等，“全资产、全业务、全数据、全</w:t>
      </w:r>
      <w:r>
        <w:rPr>
          <w:spacing w:val="-67"/>
        </w:rPr>
        <w:t> </w:t>
      </w:r>
      <w:r>
        <w:rPr>
          <w:spacing w:val="-67"/>
        </w:rPr>
      </w:r>
      <w:r>
        <w:rPr>
          <w:spacing w:val="-2"/>
        </w:rPr>
        <w:t>行业”是公司产品的特性，公司产品可广泛应用于金融行业研究、分析、投资、交易、风控、监督、清算、核算估值、绩效</w:t>
      </w:r>
      <w:r>
        <w:rPr>
          <w:spacing w:val="-64"/>
        </w:rPr>
        <w:t> </w:t>
      </w:r>
      <w:r>
        <w:rPr>
          <w:spacing w:val="-64"/>
        </w:rPr>
      </w:r>
      <w:r>
        <w:rPr>
          <w:spacing w:val="-2"/>
        </w:rPr>
        <w:t>评估、存托管、数据整合等业务环节，公司客户涵盖银行、基金公司、证券公司、保险公司、信托公司、期货公司、财务公</w:t>
      </w:r>
      <w:r>
        <w:rPr>
          <w:spacing w:val="-62"/>
        </w:rPr>
        <w:t> </w:t>
      </w:r>
      <w:r>
        <w:rPr>
          <w:spacing w:val="-62"/>
        </w:rPr>
      </w:r>
      <w:r>
        <w:rPr>
          <w:spacing w:val="-2"/>
        </w:rPr>
        <w:t>司、私募基金管理公司、全国社会保障理事会等。公司经营坚持以客户需求为导向，经营业务需求的主要来源：一是金融产</w:t>
      </w:r>
      <w:r>
        <w:rPr>
          <w:spacing w:val="-63"/>
        </w:rPr>
        <w:t> </w:t>
      </w:r>
      <w:r>
        <w:rPr>
          <w:spacing w:val="-63"/>
        </w:rPr>
      </w:r>
      <w:r>
        <w:rPr/>
        <w:t>品创新形成的IT需求，如科创板的开通、跨境跨市场ETF的推出；二是金融监管政策变化形成的IT需求，如“资管新规”发</w:t>
      </w:r>
      <w:r>
        <w:rPr>
          <w:spacing w:val="-86"/>
        </w:rPr>
        <w:t> </w:t>
      </w:r>
      <w:r>
        <w:rPr>
          <w:spacing w:val="-86"/>
        </w:rPr>
      </w:r>
      <w:r>
        <w:rPr>
          <w:spacing w:val="-2"/>
        </w:rPr>
        <w:t>布实施；三是信息技术发展要求客户对信息系统进行更新改造形成的IT需求，如云原生微服务新技术架构的升级、数据化智</w:t>
      </w:r>
      <w:r>
        <w:rPr>
          <w:spacing w:val="-62"/>
        </w:rPr>
        <w:t> </w:t>
      </w:r>
      <w:r>
        <w:rPr>
          <w:spacing w:val="-62"/>
        </w:rPr>
      </w:r>
      <w:r>
        <w:rPr>
          <w:spacing w:val="-2"/>
        </w:rPr>
        <w:t>能化应用；四是客户差异化竞争需要形成的个性化IT需求，如数据中台、技术中台、业务中台能力建设；五是金融机构客户</w:t>
      </w:r>
      <w:r>
        <w:rPr>
          <w:spacing w:val="-62"/>
        </w:rPr>
        <w:t> </w:t>
      </w:r>
      <w:r>
        <w:rPr>
          <w:spacing w:val="-62"/>
        </w:rPr>
      </w:r>
      <w:r>
        <w:rPr/>
        <w:t>增加产生的IT需求，如对外资金融机构的进一步开放。</w:t>
      </w:r>
    </w:p>
    <w:p>
      <w:pPr>
        <w:pStyle w:val="BodyText"/>
        <w:spacing w:line="316" w:lineRule="auto" w:before="19"/>
        <w:ind w:right="1130" w:firstLine="360"/>
        <w:jc w:val="both"/>
      </w:pPr>
      <w:r>
        <w:rPr>
          <w:spacing w:val="-2"/>
        </w:rPr>
        <w:t>报告期，随着我国资产管理与资产托管规模的增加、金融监管政策变化和新一代信息技术的快速发展与应用，金融机构</w:t>
      </w:r>
      <w:r>
        <w:rPr/>
        <w:t> 对信息化基础设施投入持续增加，资产管理与资产托管行业对IT信息化需求依然强劲。</w:t>
      </w:r>
    </w:p>
    <w:p>
      <w:pPr>
        <w:pStyle w:val="BodyText"/>
        <w:spacing w:line="316" w:lineRule="auto" w:before="19"/>
        <w:ind w:right="1034" w:firstLine="360"/>
        <w:jc w:val="left"/>
      </w:pPr>
      <w:r>
        <w:rPr>
          <w:spacing w:val="-2"/>
        </w:rPr>
        <w:t>公司深刻理解行业的发展变化趋势，紧贴客户需求变化，持续加大研发投入和产品创新，很好把握了金融机构信息化业</w:t>
      </w:r>
      <w:r>
        <w:rPr/>
        <w:t> 务系统云原生微服务技术架构升级转型和金融科技发展的趋势机会，及时跟进金融行业“数据中台、技术中台、业务中台” 能力体系建设要求，推出了智能托管、智能估值、智能化运营平台、报表世界监管报送平台、RPA自动化管理平台、金融产</w:t>
      </w:r>
      <w:r>
        <w:rPr>
          <w:spacing w:val="-85"/>
        </w:rPr>
        <w:t> </w:t>
      </w:r>
      <w:r>
        <w:rPr>
          <w:spacing w:val="-85"/>
        </w:rPr>
      </w:r>
      <w:r>
        <w:rPr>
          <w:spacing w:val="-2"/>
        </w:rPr>
        <w:t>品生命周期管理系统、银行理财综合方案、智能信息提取系统、智能舆情。公司传统产品线的市场份额持续稳定，市场优势</w:t>
      </w:r>
      <w:r>
        <w:rPr>
          <w:spacing w:val="-63"/>
        </w:rPr>
        <w:t> </w:t>
      </w:r>
      <w:r>
        <w:rPr>
          <w:spacing w:val="-63"/>
        </w:rPr>
      </w:r>
      <w:r>
        <w:rPr>
          <w:spacing w:val="-2"/>
        </w:rPr>
        <w:t>地位持续巩固。公司已经具备了为各家金融机构做整体金融科技转型的咨询服务规划能力和研发实施落地的能力，公司创新</w:t>
      </w:r>
      <w:r>
        <w:rPr>
          <w:spacing w:val="-64"/>
        </w:rPr>
        <w:t> </w:t>
      </w:r>
      <w:r>
        <w:rPr>
          <w:spacing w:val="-64"/>
        </w:rPr>
      </w:r>
      <w:r>
        <w:rPr>
          <w:spacing w:val="-2"/>
        </w:rPr>
        <w:t>业务的落地与创新能力的提升很好地契合了客户金融科技转型创新发展的需求，公司在行业中的市场地位和品牌优势进一步</w:t>
      </w:r>
      <w:r>
        <w:rPr>
          <w:spacing w:val="-64"/>
        </w:rPr>
        <w:t> </w:t>
      </w:r>
      <w:r>
        <w:rPr>
          <w:spacing w:val="-64"/>
        </w:rPr>
      </w:r>
      <w:r>
        <w:rPr/>
        <w:t>巩固，为公司的业务发展和业绩提升奠定良好的基础。</w:t>
      </w:r>
    </w:p>
    <w:p>
      <w:pPr>
        <w:pStyle w:val="BodyText"/>
        <w:spacing w:line="316" w:lineRule="auto" w:before="19"/>
        <w:ind w:right="1129" w:firstLine="360"/>
        <w:jc w:val="both"/>
      </w:pPr>
      <w:r>
        <w:rPr/>
        <w:t>报告期，公司取得了赢时胜RPA自动化任务管理平台V1.0、赢时胜自动化支付管理软件V4.5、赢时胜云原生微服务容器 </w:t>
      </w:r>
      <w:r>
        <w:rPr>
          <w:spacing w:val="-2"/>
        </w:rPr>
        <w:t>Fregata云平台V3.2.1、赢时胜科创板财务估值软件V5.0、赢时胜QDII资产管理科创板财务估值核算软件V4.0、赢时胜IFRS9</w:t>
      </w:r>
      <w:r>
        <w:rPr>
          <w:spacing w:val="-46"/>
        </w:rPr>
        <w:t> </w:t>
      </w:r>
      <w:r>
        <w:rPr>
          <w:spacing w:val="-46"/>
        </w:rPr>
      </w:r>
      <w:r>
        <w:rPr/>
        <w:t>财务估值软件V5.0等54个软件产品，进一步丰富完善了公司产品线，以契合市场需求。截至报告期末，公司共计取得了337</w:t>
      </w:r>
      <w:r>
        <w:rPr>
          <w:spacing w:val="-85"/>
        </w:rPr>
        <w:t> </w:t>
      </w:r>
      <w:r>
        <w:rPr>
          <w:spacing w:val="-85"/>
        </w:rPr>
      </w:r>
      <w:r>
        <w:rPr/>
        <w:t>项软件产品著作权。</w:t>
      </w:r>
    </w:p>
    <w:p>
      <w:pPr>
        <w:spacing w:line="240" w:lineRule="auto" w:before="11"/>
        <w:rPr>
          <w:rFonts w:ascii="宋体" w:hAnsi="宋体" w:cs="宋体" w:eastAsia="宋体" w:hint="default"/>
          <w:sz w:val="20"/>
          <w:szCs w:val="20"/>
        </w:rPr>
      </w:pPr>
    </w:p>
    <w:p>
      <w:pPr>
        <w:pStyle w:val="Heading2"/>
        <w:spacing w:line="240" w:lineRule="auto"/>
        <w:ind w:right="915"/>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15"/>
        <w:jc w:val="left"/>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8"/>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051"/>
        <w:gridCol w:w="6517"/>
      </w:tblGrid>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026"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58"/>
              <w:jc w:val="left"/>
              <w:rPr>
                <w:rFonts w:ascii="宋体" w:hAnsi="宋体" w:cs="宋体" w:eastAsia="宋体" w:hint="default"/>
                <w:sz w:val="18"/>
                <w:szCs w:val="18"/>
              </w:rPr>
            </w:pPr>
            <w:r>
              <w:rPr>
                <w:rFonts w:ascii="宋体" w:hAnsi="宋体" w:cs="宋体" w:eastAsia="宋体" w:hint="default"/>
                <w:sz w:val="18"/>
                <w:szCs w:val="18"/>
              </w:rPr>
              <w:t>支付深圳市图灵机器人有限公司投资款</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744.77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万元。投资入股达烁高科（北京） 信息技术有限公司，总投资款</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万元，股权占比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。对参股公司北京东方 金信科技有限公司股权比例被动稀释由</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21.6%</w:t>
            </w:r>
            <w:r>
              <w:rPr>
                <w:rFonts w:ascii="宋体" w:hAnsi="宋体" w:cs="宋体" w:eastAsia="宋体" w:hint="default"/>
                <w:sz w:val="18"/>
                <w:szCs w:val="18"/>
              </w:rPr>
              <w:t>降低至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17.02%</w:t>
            </w:r>
            <w:r>
              <w:rPr>
                <w:rFonts w:ascii="宋体" w:hAnsi="宋体" w:cs="宋体" w:eastAsia="宋体" w:hint="default"/>
                <w:sz w:val="18"/>
                <w:szCs w:val="18"/>
              </w:rPr>
              <w:t>。</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在长沙购买的办公楼待装修。</w:t>
            </w:r>
          </w:p>
        </w:tc>
      </w:tr>
    </w:tbl>
    <w:p>
      <w:pPr>
        <w:spacing w:after="0" w:line="240" w:lineRule="auto"/>
        <w:jc w:val="left"/>
        <w:rPr>
          <w:rFonts w:ascii="宋体" w:hAnsi="宋体" w:cs="宋体" w:eastAsia="宋体" w:hint="default"/>
          <w:sz w:val="18"/>
          <w:szCs w:val="18"/>
        </w:rPr>
        <w:sectPr>
          <w:pgSz w:w="11910" w:h="16840"/>
          <w:pgMar w:header="919" w:footer="1016" w:top="1120" w:bottom="1200" w:left="1020" w:right="0"/>
        </w:sectPr>
      </w:pPr>
    </w:p>
    <w:p>
      <w:pPr>
        <w:spacing w:line="240" w:lineRule="auto" w:before="10"/>
        <w:rPr>
          <w:rFonts w:ascii="宋体" w:hAnsi="宋体" w:cs="宋体" w:eastAsia="宋体" w:hint="default"/>
          <w:b/>
          <w:bCs/>
          <w:sz w:val="19"/>
          <w:szCs w:val="19"/>
        </w:rPr>
      </w:pPr>
    </w:p>
    <w:p>
      <w:pPr>
        <w:pStyle w:val="Heading3"/>
        <w:spacing w:line="240" w:lineRule="auto" w:before="34"/>
        <w:ind w:right="915"/>
        <w:jc w:val="left"/>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15"/>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915"/>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29" w:firstLine="360"/>
        <w:jc w:val="both"/>
      </w:pPr>
      <w:r>
        <w:rPr/>
        <w:t>1、公司自成立以来一直紧随金融行业的发展，专注于金融行业信息系统的研究、开发、销售和服务。随着金融行业的 </w:t>
      </w:r>
      <w:r>
        <w:rPr>
          <w:spacing w:val="-2"/>
        </w:rPr>
        <w:t>多元化发展和用户需求的不断变化，公司不断进行产品创新和服务创新，已向全国基金管理公司、证券公司、保险公司、银</w:t>
      </w:r>
      <w:r>
        <w:rPr>
          <w:spacing w:val="-62"/>
        </w:rPr>
        <w:t> </w:t>
      </w:r>
      <w:r>
        <w:rPr>
          <w:spacing w:val="-62"/>
        </w:rPr>
      </w:r>
      <w:r>
        <w:rPr/>
        <w:t>行、信托公司、财务公司、资产管理公司等300多家金融机构提供了专业的信息化系统建设综合解决方案。公司长期服务于</w:t>
      </w:r>
      <w:r>
        <w:rPr>
          <w:spacing w:val="-85"/>
        </w:rPr>
        <w:t> </w:t>
      </w:r>
      <w:r>
        <w:rPr>
          <w:spacing w:val="-85"/>
        </w:rPr>
      </w:r>
      <w:r>
        <w:rPr>
          <w:spacing w:val="-2"/>
        </w:rPr>
        <w:t>国内的金融资产管理和资产托管细分市场，拥有丰富的行业实际应用经验和众多的成功案例，公司在该领域的长期深耕细作</w:t>
      </w:r>
      <w:r>
        <w:rPr>
          <w:spacing w:val="-64"/>
        </w:rPr>
        <w:t> </w:t>
      </w:r>
      <w:r>
        <w:rPr>
          <w:spacing w:val="-64"/>
        </w:rPr>
      </w:r>
      <w:r>
        <w:rPr/>
        <w:t>和积累，树立了在行业内的领先地位和品牌优势。</w:t>
      </w:r>
    </w:p>
    <w:p>
      <w:pPr>
        <w:pStyle w:val="BodyText"/>
        <w:spacing w:line="316" w:lineRule="auto" w:before="19"/>
        <w:ind w:right="1130" w:firstLine="451"/>
        <w:jc w:val="both"/>
      </w:pPr>
      <w:r>
        <w:rPr>
          <w:spacing w:val="-2"/>
        </w:rPr>
        <w:t>2、人才是软件企业的核心资源之一，是软件企业的第一生产力，是软件企业核心竞争力的主要体现。公司在多年的经</w:t>
      </w:r>
      <w:r>
        <w:rPr/>
        <w:t> </w:t>
      </w:r>
      <w:r>
        <w:rPr>
          <w:spacing w:val="-2"/>
        </w:rPr>
        <w:t>营实践中形成了稳定的核心管理团队和优秀的业务、技术研发团队。公司研发骨干员工拥有多年从业经验，是既谙熟金融业</w:t>
      </w:r>
      <w:r>
        <w:rPr>
          <w:spacing w:val="-63"/>
        </w:rPr>
        <w:t> </w:t>
      </w:r>
      <w:r>
        <w:rPr>
          <w:spacing w:val="-63"/>
        </w:rPr>
      </w:r>
      <w:r>
        <w:rPr/>
        <w:t>务又精通软件技术的复合型人才。人才的积累为公司持续发展提供了有力的人才保障。</w:t>
      </w:r>
    </w:p>
    <w:p>
      <w:pPr>
        <w:pStyle w:val="BodyText"/>
        <w:spacing w:line="316" w:lineRule="auto" w:before="19"/>
        <w:ind w:right="915" w:firstLine="360"/>
        <w:jc w:val="left"/>
      </w:pPr>
      <w:r>
        <w:rPr/>
        <w:t>3、公司紧跟金融行业的发展，凭借突出的前瞻性研究和强大的研发能力，针对行业业务的不断发展适时推出一系列的 </w:t>
      </w:r>
      <w:r>
        <w:rPr>
          <w:spacing w:val="-2"/>
        </w:rPr>
        <w:t>软件产品。主要包括资产托管系列软件、资产投资交易管理系列软件、资产投资风险绩效管理系列软件、资产财务核算估值</w:t>
      </w:r>
      <w:r>
        <w:rPr>
          <w:spacing w:val="-64"/>
        </w:rPr>
        <w:t> </w:t>
      </w:r>
      <w:r>
        <w:rPr>
          <w:spacing w:val="-64"/>
        </w:rPr>
      </w:r>
      <w:r>
        <w:rPr>
          <w:spacing w:val="-4"/>
        </w:rPr>
        <w:t>系列软件、金融数据中心系列软件、资金交易管理系列软件等。公司不仅产品系列多样，而且功能丰富。“全资产、全业务、</w:t>
      </w:r>
      <w:r>
        <w:rPr>
          <w:spacing w:val="-41"/>
        </w:rPr>
        <w:t> </w:t>
      </w:r>
      <w:r>
        <w:rPr>
          <w:spacing w:val="-41"/>
        </w:rPr>
      </w:r>
      <w:r>
        <w:rPr/>
        <w:t>全数据、全行业”是公司产品的特性。截止报告期末，公司已取得337项软件产品著作权。</w:t>
      </w:r>
    </w:p>
    <w:p>
      <w:pPr>
        <w:spacing w:after="0" w:line="316" w:lineRule="auto"/>
        <w:jc w:val="left"/>
        <w:sectPr>
          <w:pgSz w:w="11910" w:h="16840"/>
          <w:pgMar w:header="919" w:footer="1016" w:top="112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Heading1"/>
        <w:spacing w:line="240" w:lineRule="auto"/>
        <w:ind w:left="3007" w:right="915"/>
        <w:jc w:val="left"/>
        <w:rPr>
          <w:b w:val="0"/>
          <w:bCs w:val="0"/>
        </w:rPr>
      </w:pPr>
      <w:bookmarkStart w:name="第四节经营情况讨论与分析" w:id="22"/>
      <w:bookmarkEnd w:id="22"/>
      <w:r>
        <w:rPr>
          <w:b w:val="0"/>
          <w:bCs w:val="0"/>
        </w:rPr>
      </w:r>
      <w:bookmarkStart w:name="_bookmark3" w:id="23"/>
      <w:bookmarkEnd w:id="23"/>
      <w:r>
        <w:rPr>
          <w:b w:val="0"/>
          <w:bCs w:val="0"/>
        </w:rPr>
      </w:r>
      <w:r>
        <w:rPr/>
        <w:t>第四节经营情况讨论与分析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915"/>
        <w:jc w:val="left"/>
        <w:rPr>
          <w:b w:val="0"/>
          <w:bCs w:val="0"/>
        </w:rPr>
      </w:pPr>
      <w:bookmarkStart w:name="一、概述" w:id="24"/>
      <w:bookmarkEnd w:id="24"/>
      <w:r>
        <w:rPr>
          <w:b w:val="0"/>
          <w:bCs w:val="0"/>
        </w:rPr>
      </w: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472" w:right="915"/>
        <w:jc w:val="left"/>
      </w:pPr>
      <w:r>
        <w:rPr/>
        <w:t>(一)、宏观经济环境分析 </w:t>
      </w:r>
      <w:r>
        <w:rPr>
          <w:spacing w:val="-2"/>
        </w:rPr>
        <w:t>面对复杂严峻的国际环境，世界经济增长放缓，国内经济也面临多重挑战和困难，目前我国经济下行压力持续加大。为</w:t>
      </w:r>
    </w:p>
    <w:p>
      <w:pPr>
        <w:pStyle w:val="BodyText"/>
        <w:spacing w:line="316" w:lineRule="auto" w:before="19"/>
        <w:ind w:right="1041"/>
        <w:jc w:val="left"/>
      </w:pPr>
      <w:r>
        <w:rPr>
          <w:spacing w:val="-2"/>
        </w:rPr>
        <w:t>了贯彻新发展理念、实施创新驱动发展战略，国家积极推动基于新一代信息技术及其融合、创新的信息基础设施建设，提供</w:t>
      </w:r>
      <w:r>
        <w:rPr>
          <w:spacing w:val="-64"/>
        </w:rPr>
        <w:t> </w:t>
      </w:r>
      <w:r>
        <w:rPr>
          <w:spacing w:val="-64"/>
        </w:rPr>
      </w:r>
      <w:r>
        <w:rPr>
          <w:spacing w:val="-2"/>
        </w:rPr>
        <w:t>数字转型、智能升级、融合创新等服务，着力培育发展新动能，促进产业转型升级，以面向高质量发展需要。未来20-30年，</w:t>
      </w:r>
      <w:r>
        <w:rPr>
          <w:spacing w:val="-62"/>
        </w:rPr>
        <w:t> </w:t>
      </w:r>
      <w:r>
        <w:rPr>
          <w:spacing w:val="-62"/>
        </w:rPr>
      </w:r>
      <w:r>
        <w:rPr/>
        <w:t>人类社会必然走进万物互联的智能社会，各行业数字化、自动化进入快速发展期，将带来巨大的发展潜力和市场空间。</w:t>
      </w:r>
    </w:p>
    <w:p>
      <w:pPr>
        <w:pStyle w:val="BodyText"/>
        <w:spacing w:line="316" w:lineRule="auto" w:before="19"/>
        <w:ind w:left="472" w:right="915"/>
        <w:jc w:val="left"/>
      </w:pPr>
      <w:r>
        <w:rPr>
          <w:spacing w:val="-7"/>
        </w:rPr>
        <w:t>（二）、行业发展变化情况分析</w:t>
      </w:r>
      <w:r>
        <w:rPr>
          <w:spacing w:val="-81"/>
        </w:rPr>
        <w:t> </w:t>
      </w:r>
      <w:r>
        <w:rPr>
          <w:spacing w:val="-81"/>
        </w:rPr>
      </w:r>
      <w:r>
        <w:rPr>
          <w:spacing w:val="-4"/>
        </w:rPr>
        <w:t>2019年金融行业总体发展主要集中在“强化风险管控、谨慎品种创新、推进混业经营、优化市场运行效率”的几个方面。</w:t>
      </w:r>
    </w:p>
    <w:p>
      <w:pPr>
        <w:pStyle w:val="BodyText"/>
        <w:spacing w:line="316" w:lineRule="auto" w:before="19"/>
        <w:ind w:right="1030"/>
        <w:jc w:val="left"/>
      </w:pPr>
      <w:r>
        <w:rPr>
          <w:spacing w:val="-2"/>
        </w:rPr>
        <w:t>科创板的推出、沪伦通的正式通航，标志着金融市场的品种进一步丰富。《商业银行理财子公司管理办法》的正式实施，进</w:t>
      </w:r>
      <w:r>
        <w:rPr>
          <w:spacing w:val="-65"/>
        </w:rPr>
        <w:t> </w:t>
      </w:r>
      <w:r>
        <w:rPr>
          <w:spacing w:val="-65"/>
        </w:rPr>
      </w:r>
      <w:r>
        <w:rPr>
          <w:spacing w:val="-2"/>
        </w:rPr>
        <w:t>一步提升金融机构的混业经营能力，规范了理财产品的资金管理和风险管理能力。《中央监管信息平台机构监管信息系统—</w:t>
      </w:r>
      <w:r>
        <w:rPr>
          <w:spacing w:val="-67"/>
        </w:rPr>
        <w:t> </w:t>
      </w:r>
      <w:r>
        <w:rPr>
          <w:spacing w:val="-67"/>
        </w:rPr>
      </w:r>
      <w:r>
        <w:rPr/>
        <w:t>资产管理业务数据报送接口规范(试行版)</w:t>
      </w:r>
      <w:r>
        <w:rPr>
          <w:spacing w:val="28"/>
        </w:rPr>
        <w:t> </w:t>
      </w:r>
      <w:r>
        <w:rPr>
          <w:spacing w:val="-3"/>
        </w:rPr>
        <w:t>》的实行，标志着科技监管已经步入实际落地阶段。PROP系统资金存管功能优化、</w:t>
      </w:r>
      <w:r>
        <w:rPr>
          <w:spacing w:val="-87"/>
        </w:rPr>
        <w:t> </w:t>
      </w:r>
      <w:r>
        <w:rPr>
          <w:spacing w:val="-87"/>
        </w:rPr>
      </w:r>
      <w:r>
        <w:rPr/>
        <w:t>开放资金划拨与查询接口、ETF交易结算模式调整，进一步优化了市场交易效率和市场的活跃度，提升了金融市场的电子化</w:t>
      </w:r>
      <w:r>
        <w:rPr>
          <w:spacing w:val="-87"/>
        </w:rPr>
        <w:t> </w:t>
      </w:r>
      <w:r>
        <w:rPr>
          <w:spacing w:val="-87"/>
        </w:rPr>
      </w:r>
      <w:r>
        <w:rPr/>
        <w:t>水平。</w:t>
      </w:r>
    </w:p>
    <w:p>
      <w:pPr>
        <w:pStyle w:val="BodyText"/>
        <w:spacing w:line="316" w:lineRule="auto" w:before="19"/>
        <w:ind w:right="1130" w:firstLine="360"/>
        <w:jc w:val="both"/>
      </w:pPr>
      <w:r>
        <w:rPr>
          <w:spacing w:val="-3"/>
        </w:rPr>
        <w:t>2019年8月，中国人民银行印发《金融科技(FinTech)发展规划(2019-2021年)》，明确提出要将“金融科技”打造成金融</w:t>
      </w:r>
      <w:r>
        <w:rPr/>
        <w:t> </w:t>
      </w:r>
      <w:r>
        <w:rPr>
          <w:spacing w:val="-2"/>
        </w:rPr>
        <w:t>高质量发展的“新引擎”，引导打造金融科技发展友好环境，助力金融行业实现降本增效。当前，科技创新已成为引领经济</w:t>
      </w:r>
      <w:r>
        <w:rPr>
          <w:spacing w:val="-67"/>
        </w:rPr>
        <w:t> </w:t>
      </w:r>
      <w:r>
        <w:rPr>
          <w:spacing w:val="-67"/>
        </w:rPr>
      </w:r>
      <w:r>
        <w:rPr>
          <w:spacing w:val="-2"/>
        </w:rPr>
        <w:t>金融变革的主导性力量，金融与科技的深度融合，使得跨界合作、构建金融服务生态圈成为新趋势，推动各金融行业业态转</w:t>
      </w:r>
      <w:r>
        <w:rPr>
          <w:spacing w:val="-64"/>
        </w:rPr>
        <w:t> </w:t>
      </w:r>
      <w:r>
        <w:rPr>
          <w:spacing w:val="-64"/>
        </w:rPr>
      </w:r>
      <w:r>
        <w:rPr>
          <w:spacing w:val="-2"/>
        </w:rPr>
        <w:t>型升级，为促进实体经济发展提供了强大动能。金融与科技的融合成为了金融业发展的主旋律，金融科技已在金融业中占据</w:t>
      </w:r>
      <w:r>
        <w:rPr>
          <w:spacing w:val="-63"/>
        </w:rPr>
        <w:t> </w:t>
      </w:r>
      <w:r>
        <w:rPr>
          <w:spacing w:val="-63"/>
        </w:rPr>
      </w:r>
      <w:r>
        <w:rPr/>
        <w:t>举足轻重的位置。</w:t>
      </w:r>
    </w:p>
    <w:p>
      <w:pPr>
        <w:pStyle w:val="BodyText"/>
        <w:spacing w:line="316" w:lineRule="auto" w:before="19"/>
        <w:ind w:right="1130" w:firstLine="360"/>
        <w:jc w:val="both"/>
      </w:pPr>
      <w:r>
        <w:rPr>
          <w:spacing w:val="-2"/>
        </w:rPr>
        <w:t>在金融监管日趋严谨的背景下，金融机构面临着快速迭代和优化自身业务流程与数据体系，以适应监管的要求，同时为</w:t>
      </w:r>
      <w:r>
        <w:rPr/>
        <w:t> </w:t>
      </w:r>
      <w:r>
        <w:rPr>
          <w:spacing w:val="-2"/>
        </w:rPr>
        <w:t>了提升自身风险管理能力，“科技赋能金融”成为金融行业在2019年的热点话题。随着金融科技在行业内的普遍落地，中台</w:t>
      </w:r>
      <w:r>
        <w:rPr>
          <w:spacing w:val="-63"/>
        </w:rPr>
        <w:t> </w:t>
      </w:r>
      <w:r>
        <w:rPr>
          <w:spacing w:val="-63"/>
        </w:rPr>
      </w:r>
      <w:r>
        <w:rPr>
          <w:spacing w:val="-2"/>
        </w:rPr>
        <w:t>概念的热度在2019年也达到高峰，越来越多的金融机构开始积极布局和推进自身的中台能力体系的建设，以适应市场环境对</w:t>
      </w:r>
      <w:r>
        <w:rPr>
          <w:spacing w:val="-62"/>
        </w:rPr>
        <w:t> </w:t>
      </w:r>
      <w:r>
        <w:rPr>
          <w:spacing w:val="-62"/>
        </w:rPr>
      </w:r>
      <w:r>
        <w:rPr>
          <w:spacing w:val="-5"/>
        </w:rPr>
        <w:t>于机构越来越高的要求。“数字化转型”、“智能化运营”概念已纷纷列入金融机构科技发展的核心战略目标。金融科技促进</w:t>
      </w:r>
      <w:r>
        <w:rPr>
          <w:spacing w:val="-80"/>
        </w:rPr>
        <w:t> </w:t>
      </w:r>
      <w:r>
        <w:rPr>
          <w:spacing w:val="-80"/>
        </w:rPr>
      </w:r>
      <w:r>
        <w:rPr/>
        <w:t>金融行业转型，已成为行业内的热点趋势。</w:t>
      </w:r>
    </w:p>
    <w:p>
      <w:pPr>
        <w:pStyle w:val="BodyText"/>
        <w:spacing w:line="316" w:lineRule="auto" w:before="19"/>
        <w:ind w:left="472" w:right="915"/>
        <w:jc w:val="left"/>
      </w:pPr>
      <w:r>
        <w:rPr/>
        <w:t>（三）公司研发、产品、服务情况 </w:t>
      </w:r>
      <w:r>
        <w:rPr>
          <w:spacing w:val="-2"/>
        </w:rPr>
        <w:t>近年来，公司一直紧盯金融科技行业发展趋势，深刻把握市场需求发展变化，积极规划布局，采取技术创新和产品创新</w:t>
      </w:r>
    </w:p>
    <w:p>
      <w:pPr>
        <w:pStyle w:val="BodyText"/>
        <w:spacing w:line="316" w:lineRule="auto" w:before="19"/>
        <w:ind w:right="915"/>
        <w:jc w:val="left"/>
      </w:pPr>
      <w:r>
        <w:rPr>
          <w:spacing w:val="-2"/>
        </w:rPr>
        <w:t>双轮驱动战略。一方面，加大新技术架构及新一代信息技术应用的研发应用，另一方面加大丰富产品功能、延伸公司产品服</w:t>
      </w:r>
      <w:r>
        <w:rPr>
          <w:spacing w:val="-64"/>
        </w:rPr>
        <w:t> </w:t>
      </w:r>
      <w:r>
        <w:rPr>
          <w:spacing w:val="-64"/>
        </w:rPr>
      </w:r>
      <w:r>
        <w:rPr/>
        <w:t>务范围的新产品研发。</w:t>
      </w:r>
    </w:p>
    <w:p>
      <w:pPr>
        <w:pStyle w:val="BodyText"/>
        <w:spacing w:line="316" w:lineRule="auto" w:before="19"/>
        <w:ind w:right="1034" w:firstLine="360"/>
        <w:jc w:val="left"/>
      </w:pPr>
      <w:r>
        <w:rPr>
          <w:spacing w:val="-2"/>
        </w:rPr>
        <w:t>为了保障公司经营战略的顺利实施，公司对业务经营部门的组织架构进行重新梳理、整合和优化。传统事业部以中台赋</w:t>
      </w:r>
      <w:r>
        <w:rPr/>
        <w:t> </w:t>
      </w:r>
      <w:r>
        <w:rPr>
          <w:spacing w:val="-2"/>
        </w:rPr>
        <w:t>能为核心，新建中台赋能团队，加强核心业务场景中的中台能力的沉淀与积累，加快人员结构调整，通过“优才计划”加强</w:t>
      </w:r>
      <w:r>
        <w:rPr>
          <w:spacing w:val="-63"/>
        </w:rPr>
        <w:t> </w:t>
      </w:r>
      <w:r>
        <w:rPr>
          <w:spacing w:val="-63"/>
        </w:rPr>
      </w:r>
      <w:r>
        <w:rPr>
          <w:spacing w:val="-2"/>
        </w:rPr>
        <w:t>对高素质人才的引进，为赢时胜中台战略的顺利实施保驾护航，强化传统业务线的稳定性及普适性特征。同时，优化了创新</w:t>
      </w:r>
      <w:r>
        <w:rPr>
          <w:spacing w:val="-64"/>
        </w:rPr>
        <w:t> </w:t>
      </w:r>
      <w:r>
        <w:rPr>
          <w:spacing w:val="-64"/>
        </w:rPr>
      </w:r>
      <w:r>
        <w:rPr>
          <w:spacing w:val="-2"/>
        </w:rPr>
        <w:t>服务中心功能和业务范围，针对银行理财子公司业务发展的需要，进一步充实了财富管理事业部。强化研究院继续发挥在公</w:t>
      </w:r>
      <w:r>
        <w:rPr>
          <w:spacing w:val="-63"/>
        </w:rPr>
        <w:t> </w:t>
      </w:r>
      <w:r>
        <w:rPr>
          <w:spacing w:val="-63"/>
        </w:rPr>
      </w:r>
      <w:r>
        <w:rPr>
          <w:spacing w:val="-2"/>
        </w:rPr>
        <w:t>司内部的科技引领作用，加快了科技金融生态圈的探索和建设的步伐。中台赋能战略的规划与落地、数据中台体系的搭建已</w:t>
      </w:r>
      <w:r>
        <w:rPr>
          <w:spacing w:val="-63"/>
        </w:rPr>
        <w:t> </w:t>
      </w:r>
      <w:r>
        <w:rPr>
          <w:spacing w:val="-63"/>
        </w:rPr>
      </w:r>
      <w:r>
        <w:rPr>
          <w:spacing w:val="-2"/>
        </w:rPr>
        <w:t>具备能力输出条件，传统产品线与云原生微服务化转型、第二批次智能化云平台已在行业客户中落地，面向数据分析与应用</w:t>
      </w:r>
      <w:r>
        <w:rPr>
          <w:spacing w:val="-63"/>
        </w:rPr>
        <w:t> </w:t>
      </w:r>
      <w:r>
        <w:rPr>
          <w:spacing w:val="-63"/>
        </w:rPr>
      </w:r>
      <w:r>
        <w:rPr>
          <w:spacing w:val="-4"/>
        </w:rPr>
        <w:t>的报表世界也快速规划落地，基于机器学习的信用风险与舆情分析、图像识别与信息提取，进一步丰富了公司金融科技生态。</w:t>
      </w:r>
      <w:r>
        <w:rPr>
          <w:spacing w:val="-40"/>
        </w:rPr>
        <w:t> </w:t>
      </w:r>
      <w:r>
        <w:rPr>
          <w:spacing w:val="-40"/>
        </w:rPr>
      </w:r>
      <w:r>
        <w:rPr>
          <w:spacing w:val="-2"/>
        </w:rPr>
        <w:t>云服务、数据中台（大数据）、区块链、人工智能等技术的转型，带来各领域的转型，技术治理这个方向越来越重要，其真</w:t>
      </w:r>
      <w:r>
        <w:rPr>
          <w:spacing w:val="-67"/>
        </w:rPr>
        <w:t> </w:t>
      </w:r>
      <w:r>
        <w:rPr>
          <w:spacing w:val="-67"/>
        </w:rPr>
      </w:r>
      <w:r>
        <w:rPr>
          <w:spacing w:val="-2"/>
        </w:rPr>
        <w:t>正带来客户的用户体验，公司在这个方向投入资源，已形成核心技术输出，内部各产品线的技术管理形成统一而敏捷的管理</w:t>
      </w:r>
      <w:r>
        <w:rPr>
          <w:spacing w:val="-63"/>
        </w:rPr>
        <w:t> </w:t>
      </w:r>
      <w:r>
        <w:rPr>
          <w:spacing w:val="-63"/>
        </w:rPr>
      </w:r>
      <w:r>
        <w:rPr>
          <w:spacing w:val="-2"/>
        </w:rPr>
        <w:t>机制。无论是老系统，还是创新项目，我们在业务领域沉淀的技术服务将完成产品的整合及新领域的拓展。数据中台、技术</w:t>
      </w:r>
      <w:r>
        <w:rPr>
          <w:spacing w:val="-64"/>
        </w:rPr>
        <w:t> </w:t>
      </w:r>
      <w:r>
        <w:rPr>
          <w:spacing w:val="-64"/>
        </w:rPr>
      </w:r>
      <w:r>
        <w:rPr>
          <w:spacing w:val="-2"/>
        </w:rPr>
        <w:t>中台、业务中台等概念在各个客户金融机构内部逐步形成并取得落地成效，客户案例包括了银行、保险资管、基金和券商等</w:t>
      </w:r>
      <w:r>
        <w:rPr>
          <w:spacing w:val="-64"/>
        </w:rPr>
        <w:t> </w:t>
      </w:r>
      <w:r>
        <w:rPr>
          <w:spacing w:val="-64"/>
        </w:rPr>
      </w:r>
      <w:r>
        <w:rPr/>
        <w:t>重要机构。从客户案例也可以看出赢时胜之前IT治理理念的战略优势、云原生金融科技的转型和大中台建设是相辅相成的，</w:t>
      </w:r>
    </w:p>
    <w:p>
      <w:pPr>
        <w:spacing w:after="0" w:line="316" w:lineRule="auto"/>
        <w:jc w:val="left"/>
        <w:sectPr>
          <w:pgSz w:w="11910" w:h="16840"/>
          <w:pgMar w:header="919" w:footer="1016" w:top="1120" w:bottom="1200" w:left="1020" w:right="0"/>
        </w:sectPr>
      </w:pPr>
    </w:p>
    <w:p>
      <w:pPr>
        <w:spacing w:line="240" w:lineRule="auto" w:before="12"/>
        <w:rPr>
          <w:rFonts w:ascii="宋体" w:hAnsi="宋体" w:cs="宋体" w:eastAsia="宋体" w:hint="default"/>
          <w:sz w:val="20"/>
          <w:szCs w:val="20"/>
        </w:rPr>
      </w:pPr>
    </w:p>
    <w:p>
      <w:pPr>
        <w:pStyle w:val="BodyText"/>
        <w:spacing w:line="316" w:lineRule="auto" w:before="44"/>
        <w:ind w:right="915"/>
        <w:jc w:val="left"/>
      </w:pPr>
      <w:r>
        <w:rPr>
          <w:spacing w:val="-2"/>
        </w:rPr>
        <w:t>尤其数据中台的建设还需要大数据、数据治理、数据建模等技术和经验，在这方面是需要建设方在行业中已有深厚的积累沉</w:t>
      </w:r>
      <w:r>
        <w:rPr>
          <w:spacing w:val="-63"/>
        </w:rPr>
        <w:t> </w:t>
      </w:r>
      <w:r>
        <w:rPr>
          <w:spacing w:val="-63"/>
        </w:rPr>
      </w:r>
      <w:r>
        <w:rPr/>
        <w:t>淀。通过激发创新活力，有效地保障了公司在2019年一系列创新型应用的快速推出。</w:t>
      </w:r>
    </w:p>
    <w:p>
      <w:pPr>
        <w:pStyle w:val="BodyText"/>
        <w:spacing w:line="316" w:lineRule="auto" w:before="19"/>
        <w:ind w:right="915" w:firstLine="360"/>
        <w:jc w:val="left"/>
      </w:pPr>
      <w:r>
        <w:rPr>
          <w:spacing w:val="-2"/>
        </w:rPr>
        <w:t>数据中台可以制定科学的数据标准、数据模型，做全面的数据中台，提供日终批量、实时数据等不同服务。公司在给案</w:t>
      </w:r>
      <w:r>
        <w:rPr/>
        <w:t> </w:t>
      </w:r>
      <w:r>
        <w:rPr>
          <w:spacing w:val="-2"/>
        </w:rPr>
        <w:t>例客户提供的一个亮点服务就是驾驶舱服务，提供全行、全集团或全公司全面的数据服务，能够让高层决策者随时能够看到</w:t>
      </w:r>
      <w:r>
        <w:rPr>
          <w:spacing w:val="-63"/>
        </w:rPr>
        <w:t> </w:t>
      </w:r>
      <w:r>
        <w:rPr>
          <w:spacing w:val="-63"/>
        </w:rPr>
      </w:r>
      <w:r>
        <w:rPr>
          <w:spacing w:val="-2"/>
        </w:rPr>
        <w:t>集团整体的经营情况：各机构业务完成度、多维度资产负债分布（地域、机构、行业等等）、整体收入费用分布等等，还可</w:t>
      </w:r>
      <w:r>
        <w:rPr>
          <w:spacing w:val="-67"/>
        </w:rPr>
        <w:t> </w:t>
      </w:r>
      <w:r>
        <w:rPr>
          <w:spacing w:val="-67"/>
        </w:rPr>
      </w:r>
      <w:r>
        <w:rPr>
          <w:spacing w:val="-4"/>
        </w:rPr>
        <w:t>以根据不同业务管理重点指标，实现实时监控全集团、全国内不同机构不同维度的汇总和分项分布指标数据，进行实时提醒、</w:t>
      </w:r>
      <w:r>
        <w:rPr>
          <w:spacing w:val="-40"/>
        </w:rPr>
        <w:t> </w:t>
      </w:r>
      <w:r>
        <w:rPr>
          <w:spacing w:val="-40"/>
        </w:rPr>
      </w:r>
      <w:r>
        <w:rPr/>
        <w:t>辅助决策等服务。</w:t>
      </w:r>
    </w:p>
    <w:p>
      <w:pPr>
        <w:pStyle w:val="BodyText"/>
        <w:spacing w:line="316" w:lineRule="auto" w:before="19"/>
        <w:ind w:right="915" w:firstLine="360"/>
        <w:jc w:val="left"/>
      </w:pPr>
      <w:r>
        <w:rPr>
          <w:spacing w:val="-2"/>
        </w:rPr>
        <w:t>技术中台可以参与客户IT架构整体规划，制定服务标准、PAAS转型、Devops规划等，实现客户统一的用户管理、鉴权管</w:t>
      </w:r>
      <w:r>
        <w:rPr/>
        <w:t> 理、流程服务、统一对外交互服务等等。</w:t>
      </w:r>
    </w:p>
    <w:p>
      <w:pPr>
        <w:pStyle w:val="BodyText"/>
        <w:spacing w:line="316" w:lineRule="auto" w:before="19"/>
        <w:ind w:right="915" w:firstLine="360"/>
        <w:jc w:val="left"/>
      </w:pPr>
      <w:r>
        <w:rPr>
          <w:spacing w:val="-2"/>
        </w:rPr>
        <w:t>业务中台可以规划客户业务全生命周期，形成客户中心、产品中心、账户中心，沉淀不同业务能力，估值引擎、交易引</w:t>
      </w:r>
      <w:r>
        <w:rPr/>
        <w:t> 擎、风控引擎等，创新不同AI能力，如OCR、NLP、知识图谱等。</w:t>
      </w:r>
    </w:p>
    <w:p>
      <w:pPr>
        <w:pStyle w:val="BodyText"/>
        <w:spacing w:line="316" w:lineRule="auto" w:before="19"/>
        <w:ind w:right="1130" w:firstLine="360"/>
        <w:jc w:val="both"/>
      </w:pPr>
      <w:r>
        <w:rPr/>
        <w:t>智能化运营平台建设：继续加大智能运营管理平台的建设投入，将平台与人工智能及RPA技术想结合，充分发挥平台开 放融合的特性，注重外部能力的集成和治理，使平台真正具备自动化和智能化属性。落地与ICR结合的业务处理场景，进一</w:t>
      </w:r>
      <w:r>
        <w:rPr>
          <w:spacing w:val="-85"/>
        </w:rPr>
        <w:t> </w:t>
      </w:r>
      <w:r>
        <w:rPr>
          <w:spacing w:val="-85"/>
        </w:rPr>
      </w:r>
      <w:r>
        <w:rPr>
          <w:spacing w:val="-2"/>
        </w:rPr>
        <w:t>步提升用户生产效率。扩展运营管理平台的能力域，将内部运营的保障、监控、管理、分析的能力体系拓展至客户方，使平</w:t>
      </w:r>
      <w:r>
        <w:rPr>
          <w:spacing w:val="-63"/>
        </w:rPr>
        <w:t> </w:t>
      </w:r>
      <w:r>
        <w:rPr>
          <w:spacing w:val="-63"/>
        </w:rPr>
      </w:r>
      <w:r>
        <w:rPr/>
        <w:t>台具备服务输出能力，实现与机构客户的平台化协作，帮助机构用户提升服务水平、提高服务质量。</w:t>
      </w:r>
    </w:p>
    <w:p>
      <w:pPr>
        <w:pStyle w:val="BodyText"/>
        <w:spacing w:line="316" w:lineRule="auto" w:before="19"/>
        <w:ind w:right="1034" w:firstLine="360"/>
        <w:jc w:val="left"/>
      </w:pPr>
      <w:r>
        <w:rPr/>
        <w:t>智能信息提取系统（ICR）落地：借助人工智能在ICR以及NLP方面的优异表现，将人工转录文档信息的工作替代为端到 </w:t>
      </w:r>
      <w:r>
        <w:rPr>
          <w:spacing w:val="-4"/>
        </w:rPr>
        <w:t>端自动化信息提取。以此简化业务流程、降低成本、提升效率，改变现有业务规模增长只能依靠不断增加人力来解决的模式，</w:t>
      </w:r>
      <w:r>
        <w:rPr>
          <w:spacing w:val="-43"/>
        </w:rPr>
        <w:t> </w:t>
      </w:r>
      <w:r>
        <w:rPr>
          <w:spacing w:val="-43"/>
        </w:rPr>
      </w:r>
      <w:r>
        <w:rPr/>
        <w:t>实现交易单据、划款单据、合同信息、文档对比等场景落地，通过智能化和自动化的实现，全力支撑机构业务的高速发展。</w:t>
      </w:r>
    </w:p>
    <w:p>
      <w:pPr>
        <w:pStyle w:val="BodyText"/>
        <w:spacing w:line="316" w:lineRule="auto" w:before="19"/>
        <w:ind w:right="1130" w:firstLine="360"/>
        <w:jc w:val="both"/>
      </w:pPr>
      <w:r>
        <w:rPr>
          <w:spacing w:val="-2"/>
        </w:rPr>
        <w:t>赢时胜报表世界监管报送平台发布：基于云原生微服务架构的设计模式，规划和落地了报表世界监管报送平台，平台通</w:t>
      </w:r>
      <w:r>
        <w:rPr/>
        <w:t> </w:t>
      </w:r>
      <w:r>
        <w:rPr>
          <w:spacing w:val="-2"/>
        </w:rPr>
        <w:t>过数据中心和数据应用的设计思想，在底层数据进行了数据建模和管控，使数据标准化接入平台，同时数据接入层具备快速</w:t>
      </w:r>
      <w:r>
        <w:rPr>
          <w:spacing w:val="-63"/>
        </w:rPr>
        <w:t> </w:t>
      </w:r>
      <w:r>
        <w:rPr>
          <w:spacing w:val="-63"/>
        </w:rPr>
      </w:r>
      <w:r>
        <w:rPr>
          <w:spacing w:val="-2"/>
        </w:rPr>
        <w:t>扩展和适配的能力，使平台具备更高的数据兼容性。统一规划数据计算调度规则，通过批量计算和准实时计算为核心计算要</w:t>
      </w:r>
      <w:r>
        <w:rPr>
          <w:spacing w:val="-63"/>
        </w:rPr>
        <w:t> </w:t>
      </w:r>
      <w:r>
        <w:rPr>
          <w:spacing w:val="-63"/>
        </w:rPr>
      </w:r>
      <w:r>
        <w:rPr>
          <w:spacing w:val="-2"/>
        </w:rPr>
        <w:t>求，满足用户不同场景的数据分析需求。模板化的报表配置，快速支持报表需求的实现和发布。平台自身的BI能力，实现复</w:t>
      </w:r>
      <w:r>
        <w:rPr>
          <w:spacing w:val="-62"/>
        </w:rPr>
        <w:t> </w:t>
      </w:r>
      <w:r>
        <w:rPr>
          <w:spacing w:val="-62"/>
        </w:rPr>
      </w:r>
      <w:r>
        <w:rPr/>
        <w:t>杂分析报表的编辑和在线展示。流程化的报送流程，使报送过程更加安排和风险可控。</w:t>
      </w:r>
    </w:p>
    <w:p>
      <w:pPr>
        <w:pStyle w:val="BodyText"/>
        <w:spacing w:line="316" w:lineRule="auto" w:before="19"/>
        <w:ind w:right="915" w:firstLine="360"/>
        <w:jc w:val="left"/>
      </w:pPr>
      <w:r>
        <w:rPr/>
        <w:t>RPA自动化管理平台发布：实现面向多类型终端的自动化能力替代，通过软件机器人基于一定规则的交互动作来模拟和 </w:t>
      </w:r>
      <w:r>
        <w:rPr>
          <w:spacing w:val="-2"/>
        </w:rPr>
        <w:t>执行既定的业务流程。RPA机器人如同人类一样能够操作各种IT应用程序等等。它基于设定的规则与其他各类系统进行交互，</w:t>
      </w:r>
      <w:r>
        <w:rPr>
          <w:spacing w:val="-59"/>
        </w:rPr>
        <w:t> </w:t>
      </w:r>
      <w:r>
        <w:rPr>
          <w:spacing w:val="-59"/>
        </w:rPr>
      </w:r>
      <w:r>
        <w:rPr>
          <w:spacing w:val="-2"/>
        </w:rPr>
        <w:t>非常擅长执行那些枯燥的、繁琐的重复性任务。以此简化业务流程，改变现有业务规模增长只能依靠不断增加人力来解决的</w:t>
      </w:r>
      <w:r>
        <w:rPr>
          <w:spacing w:val="-63"/>
        </w:rPr>
        <w:t> </w:t>
      </w:r>
      <w:r>
        <w:rPr>
          <w:spacing w:val="-63"/>
        </w:rPr>
      </w:r>
      <w:r>
        <w:rPr>
          <w:spacing w:val="-2"/>
        </w:rPr>
        <w:t>模式，实现数据读取、数据下载、公告爬取、数据处理、估值对账、文档合并等业务场景落地，从而提高生产力，降低操作</w:t>
      </w:r>
      <w:r>
        <w:rPr>
          <w:spacing w:val="-62"/>
        </w:rPr>
        <w:t> </w:t>
      </w:r>
      <w:r>
        <w:rPr>
          <w:spacing w:val="-62"/>
        </w:rPr>
      </w:r>
      <w:r>
        <w:rPr/>
        <w:t>错误率。</w:t>
      </w:r>
    </w:p>
    <w:p>
      <w:pPr>
        <w:pStyle w:val="BodyText"/>
        <w:spacing w:line="316" w:lineRule="auto" w:before="19"/>
        <w:ind w:right="1130" w:firstLine="360"/>
        <w:jc w:val="both"/>
      </w:pPr>
      <w:r>
        <w:rPr>
          <w:spacing w:val="-2"/>
        </w:rPr>
        <w:t>金融产品生命周期管理系统：产品生命周期为资产管理公司提供统一的产品全生命周期管理的平台，以产品为中心，以</w:t>
      </w:r>
      <w:r>
        <w:rPr/>
        <w:t> </w:t>
      </w:r>
      <w:r>
        <w:rPr>
          <w:spacing w:val="-2"/>
        </w:rPr>
        <w:t>流程驱动任务的模式，对产品的产品创设、产品发行、产品存续、产品清盘等各个阶段的业务进行统一管理。通过可视化的</w:t>
      </w:r>
      <w:r>
        <w:rPr>
          <w:spacing w:val="-63"/>
        </w:rPr>
        <w:t> </w:t>
      </w:r>
      <w:r>
        <w:rPr>
          <w:spacing w:val="-63"/>
        </w:rPr>
      </w:r>
      <w:r>
        <w:rPr>
          <w:spacing w:val="-2"/>
        </w:rPr>
        <w:t>流程和表单设计，建立统一、合规、跨部门的业务流程，统一管理产品信息、账户信息、交易单元、公共机构以及产品的电</w:t>
      </w:r>
      <w:r>
        <w:rPr>
          <w:spacing w:val="-62"/>
        </w:rPr>
        <w:t> </w:t>
      </w:r>
      <w:r>
        <w:rPr>
          <w:spacing w:val="-62"/>
        </w:rPr>
      </w:r>
      <w:r>
        <w:rPr>
          <w:spacing w:val="-2"/>
        </w:rPr>
        <w:t>子文档，促进数据在部门间、系统间的传递与共享。对接各业务系统，实现数据共享，减少各系统重复的数据维护，支持多</w:t>
      </w:r>
      <w:r>
        <w:rPr>
          <w:spacing w:val="-64"/>
        </w:rPr>
        <w:t> </w:t>
      </w:r>
      <w:r>
        <w:rPr>
          <w:spacing w:val="-64"/>
        </w:rPr>
      </w:r>
      <w:r>
        <w:rPr>
          <w:spacing w:val="-2"/>
        </w:rPr>
        <w:t>部门、跨地域的办公模式以及移动办公的，使相关人员能够有效地获得整体的信息，提高整体反应速度和决策能力。为用户</w:t>
      </w:r>
      <w:r>
        <w:rPr>
          <w:spacing w:val="-64"/>
        </w:rPr>
        <w:t> </w:t>
      </w:r>
      <w:r>
        <w:rPr>
          <w:spacing w:val="-64"/>
        </w:rPr>
      </w:r>
      <w:r>
        <w:rPr/>
        <w:t>提供流程化、信息化的统一工作平台，为业务规模拓展、业务模式创新、业务系统一体化提供有力支持。</w:t>
      </w:r>
    </w:p>
    <w:p>
      <w:pPr>
        <w:pStyle w:val="BodyText"/>
        <w:spacing w:line="316" w:lineRule="auto" w:before="19"/>
        <w:ind w:right="1034" w:firstLine="360"/>
        <w:jc w:val="left"/>
      </w:pPr>
      <w:r>
        <w:rPr>
          <w:spacing w:val="-2"/>
        </w:rPr>
        <w:t>银行理财综合方案：借助公司在公募基金行业20年的净值化产品经验和一体化系统设计实践，为银行理财业务构建整体</w:t>
      </w:r>
      <w:r>
        <w:rPr/>
        <w:t> </w:t>
      </w:r>
      <w:r>
        <w:rPr>
          <w:spacing w:val="-2"/>
        </w:rPr>
        <w:t>信息化解决方案。从产品设计开始，以业务流、信息流和数据流为导向，覆盖整个业务体系，构建多纬度、多视角、高度自</w:t>
      </w:r>
      <w:r>
        <w:rPr>
          <w:spacing w:val="-62"/>
        </w:rPr>
        <w:t> </w:t>
      </w:r>
      <w:r>
        <w:rPr>
          <w:spacing w:val="-62"/>
        </w:rPr>
      </w:r>
      <w:r>
        <w:rPr/>
        <w:t>动化的业务系统。完整覆盖资产管理前、中、后台业务，直通式的信息和业务处理，提高工作效率的同时，降低业务风险。 </w:t>
      </w:r>
      <w:r>
        <w:rPr>
          <w:spacing w:val="-2"/>
        </w:rPr>
        <w:t>智能化估值核算，成熟的全资产、全产品估值解决方案，满足不同监管体系的合规要求。基于微服务成熟思想的技术解决方</w:t>
      </w:r>
      <w:r>
        <w:rPr>
          <w:spacing w:val="-64"/>
        </w:rPr>
        <w:t> </w:t>
      </w:r>
      <w:r>
        <w:rPr>
          <w:spacing w:val="-64"/>
        </w:rPr>
      </w:r>
      <w:r>
        <w:rPr>
          <w:spacing w:val="-2"/>
        </w:rPr>
        <w:t>案，在满足可靠、稳定、高效运行的基础上，以开放和灵活方式兼容客户原有资源的连通。针对资管新规的优势：为中、小</w:t>
      </w:r>
      <w:r>
        <w:rPr>
          <w:spacing w:val="-62"/>
        </w:rPr>
        <w:t> </w:t>
      </w:r>
      <w:r>
        <w:rPr>
          <w:spacing w:val="-62"/>
        </w:rPr>
      </w:r>
      <w:r>
        <w:rPr>
          <w:spacing w:val="-2"/>
        </w:rPr>
        <w:t>商业银行提供一条建设一体化银行理财业务信息系统的低成本之路。提供针对银行理财前、中、后台业务功能，帮助管理者</w:t>
      </w:r>
      <w:r>
        <w:rPr>
          <w:spacing w:val="-64"/>
        </w:rPr>
        <w:t> </w:t>
      </w:r>
      <w:r>
        <w:rPr>
          <w:spacing w:val="-64"/>
        </w:rPr>
      </w:r>
      <w:r>
        <w:rPr>
          <w:spacing w:val="-2"/>
        </w:rPr>
        <w:t>快速实现信息化管理，提供销售、投研、投资、清算、核算、信披、风险绩效等覆盖理财产品全生命周期整体方案，提供完</w:t>
      </w:r>
      <w:r>
        <w:rPr>
          <w:spacing w:val="-62"/>
        </w:rPr>
        <w:t> </w:t>
      </w:r>
      <w:r>
        <w:rPr>
          <w:spacing w:val="-62"/>
        </w:rPr>
      </w:r>
      <w:r>
        <w:rPr>
          <w:spacing w:val="-2"/>
        </w:rPr>
        <w:t>整的、符合监管要求的货币型产品估值解决方案，包括摊余成本法、市值法估值、影子定价、偏离度计算等。支持各种金融</w:t>
      </w:r>
      <w:r>
        <w:rPr>
          <w:spacing w:val="-63"/>
        </w:rPr>
        <w:t> </w:t>
      </w:r>
      <w:r>
        <w:rPr>
          <w:spacing w:val="-63"/>
        </w:rPr>
      </w:r>
      <w:r>
        <w:rPr>
          <w:spacing w:val="-2"/>
        </w:rPr>
        <w:t>资产的定价和不同净值型产品的估值核算、托管对账、信息披露、监管报告。针对银行从事资产管理业务的特点提供流动性</w:t>
      </w:r>
      <w:r>
        <w:rPr>
          <w:spacing w:val="-64"/>
        </w:rPr>
        <w:t> </w:t>
      </w:r>
      <w:r>
        <w:rPr>
          <w:spacing w:val="-64"/>
        </w:rPr>
      </w:r>
      <w:r>
        <w:rPr>
          <w:spacing w:val="-2"/>
        </w:rPr>
        <w:t>管理，满足管理者对流动性风险的定义、识别、报告与处置。为过渡期产品的运作提供平稳的过渡运行解决方案。支持理财</w:t>
      </w:r>
    </w:p>
    <w:p>
      <w:pPr>
        <w:spacing w:after="0" w:line="316" w:lineRule="auto"/>
        <w:jc w:val="left"/>
        <w:sectPr>
          <w:pgSz w:w="11910" w:h="16840"/>
          <w:pgMar w:header="919" w:footer="1016" w:top="1120" w:bottom="1200" w:left="1020" w:right="0"/>
        </w:sectPr>
      </w:pPr>
    </w:p>
    <w:p>
      <w:pPr>
        <w:spacing w:line="240" w:lineRule="auto" w:before="12"/>
        <w:rPr>
          <w:rFonts w:ascii="宋体" w:hAnsi="宋体" w:cs="宋体" w:eastAsia="宋体" w:hint="default"/>
          <w:sz w:val="20"/>
          <w:szCs w:val="20"/>
        </w:rPr>
      </w:pPr>
    </w:p>
    <w:p>
      <w:pPr>
        <w:pStyle w:val="BodyText"/>
        <w:spacing w:line="316" w:lineRule="auto" w:before="44"/>
        <w:ind w:left="472" w:right="1124" w:hanging="360"/>
        <w:jc w:val="left"/>
      </w:pPr>
      <w:r>
        <w:rPr/>
        <w:t>子公司代客理财和自营投资业务运作。 智能舆情：基于哈工大图灵实验室与赢时胜的NLP和深度学习、端到端训练等技术，从开放的海量互联网信息中过滤无</w:t>
      </w:r>
    </w:p>
    <w:p>
      <w:pPr>
        <w:pStyle w:val="BodyText"/>
        <w:spacing w:line="316" w:lineRule="auto" w:before="19"/>
        <w:ind w:right="1041"/>
        <w:jc w:val="left"/>
      </w:pPr>
      <w:r>
        <w:rPr>
          <w:spacing w:val="-2"/>
        </w:rPr>
        <w:t>关的舆情数据，抽取重要舆情，识别舆情主体，标注舆情类型，进行极性判断，挖掘出与企业风险相关的蛛丝马迹，对可能</w:t>
      </w:r>
      <w:r>
        <w:rPr>
          <w:spacing w:val="-65"/>
        </w:rPr>
        <w:t> </w:t>
      </w:r>
      <w:r>
        <w:rPr>
          <w:spacing w:val="-65"/>
        </w:rPr>
      </w:r>
      <w:r>
        <w:rPr>
          <w:spacing w:val="-2"/>
        </w:rPr>
        <w:t>给企业带来重要风险的负面舆情和信用风险进行及时准确的预警。线上系统仅2019年下半年已经对多个违约的债券主体实现</w:t>
      </w:r>
      <w:r>
        <w:rPr>
          <w:spacing w:val="-62"/>
        </w:rPr>
        <w:t> </w:t>
      </w:r>
      <w:r>
        <w:rPr>
          <w:spacing w:val="-62"/>
        </w:rPr>
      </w:r>
      <w:r>
        <w:rPr/>
        <w:t>了提前1-2个月、甚至更早时间发出重大预警。智能舆情系统涵盖了舆情处理的全过程，包括舆情数据的获取、清洗、预处</w:t>
      </w:r>
      <w:r>
        <w:rPr>
          <w:spacing w:val="-85"/>
        </w:rPr>
        <w:t> </w:t>
      </w:r>
      <w:r>
        <w:rPr>
          <w:spacing w:val="-85"/>
        </w:rPr>
      </w:r>
      <w:r>
        <w:rPr>
          <w:spacing w:val="-2"/>
        </w:rPr>
        <w:t>理、事件发现和风险识别，构建了事件驱动的全自动舆情分析技术，极大减少了人工的成本。系统除了内置的数百种风险事</w:t>
      </w:r>
      <w:r>
        <w:rPr>
          <w:spacing w:val="-64"/>
        </w:rPr>
        <w:t> </w:t>
      </w:r>
      <w:r>
        <w:rPr>
          <w:spacing w:val="-64"/>
        </w:rPr>
      </w:r>
      <w:r>
        <w:rPr>
          <w:spacing w:val="-4"/>
        </w:rPr>
        <w:t>件外，还可根据客户业务特点，自定义分类标准和风险事件。系统专业版本自带的数据标注平台和模型自学习、自训练模块，</w:t>
      </w:r>
      <w:r>
        <w:rPr>
          <w:spacing w:val="-43"/>
        </w:rPr>
        <w:t> </w:t>
      </w:r>
      <w:r>
        <w:rPr>
          <w:spacing w:val="-43"/>
        </w:rPr>
      </w:r>
      <w:r>
        <w:rPr/>
        <w:t>将业务、数据与模型有机衔接，能够随着业务数据的沉淀而逐渐提升性能，实现舆情预警能力的进一步增强。</w:t>
      </w:r>
    </w:p>
    <w:p>
      <w:pPr>
        <w:pStyle w:val="BodyText"/>
        <w:spacing w:line="316" w:lineRule="auto" w:before="19"/>
        <w:ind w:right="1129" w:firstLine="360"/>
        <w:jc w:val="both"/>
      </w:pPr>
      <w:r>
        <w:rPr/>
        <w:t>报告期内，公司取得赢时胜RPA自动化任务管理平台V1.0、赢时胜自动化支付管理软件V4.5、赢时胜云原生微服务容器 </w:t>
      </w:r>
      <w:r>
        <w:rPr>
          <w:spacing w:val="-2"/>
        </w:rPr>
        <w:t>Fregata云平台V3.2.1、赢时胜科创板财务估值软件V5.0、赢时胜QDII资产管理科创板财务估值核算软件V4.0、赢时胜IFRS9</w:t>
      </w:r>
      <w:r>
        <w:rPr>
          <w:spacing w:val="-46"/>
        </w:rPr>
        <w:t> </w:t>
      </w:r>
      <w:r>
        <w:rPr>
          <w:spacing w:val="-46"/>
        </w:rPr>
      </w:r>
      <w:r>
        <w:rPr/>
        <w:t>财务估值软件V5.0等54项软件著作权，截至报告期末，公司共计已取得337项软件产品著作权。</w:t>
      </w:r>
    </w:p>
    <w:p>
      <w:pPr>
        <w:pStyle w:val="BodyText"/>
        <w:spacing w:line="316" w:lineRule="auto" w:before="19"/>
        <w:ind w:left="472" w:right="915"/>
        <w:jc w:val="left"/>
      </w:pPr>
      <w:r>
        <w:rPr>
          <w:spacing w:val="-6"/>
        </w:rPr>
        <w:t>（四）、公司产品服务市场推广效应</w:t>
      </w:r>
      <w:r>
        <w:rPr>
          <w:spacing w:val="-83"/>
        </w:rPr>
        <w:t> </w:t>
      </w:r>
      <w:r>
        <w:rPr>
          <w:spacing w:val="-83"/>
        </w:rPr>
      </w:r>
      <w:r>
        <w:rPr>
          <w:spacing w:val="-4"/>
        </w:rPr>
        <w:t>公司传统资产管理和资产托管业务产品系统已经逐步升级到新一代产品，且逐步实现了自动化，如智能估值、实时估值、</w:t>
      </w:r>
    </w:p>
    <w:p>
      <w:pPr>
        <w:pStyle w:val="BodyText"/>
        <w:spacing w:line="316" w:lineRule="auto" w:before="19"/>
        <w:ind w:right="1034"/>
        <w:jc w:val="left"/>
      </w:pPr>
      <w:r>
        <w:rPr/>
        <w:t>自动化托管、自动化报送等，业务效率提升，风险可控，有效地满足了客户快速适应行业创新和监管变化的核心业务诉求。 </w:t>
      </w:r>
      <w:r>
        <w:rPr>
          <w:spacing w:val="-2"/>
        </w:rPr>
        <w:t>核心业务系统的升级改造第一步已经完成。公司传统产品线的市场份额持续稳定，市场优势地位持续巩固。同时，面对各家</w:t>
      </w:r>
      <w:r>
        <w:rPr>
          <w:spacing w:val="-64"/>
        </w:rPr>
        <w:t> </w:t>
      </w:r>
      <w:r>
        <w:rPr>
          <w:spacing w:val="-64"/>
        </w:rPr>
      </w:r>
      <w:r>
        <w:rPr>
          <w:spacing w:val="-2"/>
        </w:rPr>
        <w:t>金融机构对金融科技转型的诉求发生了本质性变化，敏捷化、云化、数字化、数据驱动、智能化、线上化等要求，赢时胜研</w:t>
      </w:r>
      <w:r>
        <w:rPr>
          <w:spacing w:val="-62"/>
        </w:rPr>
        <w:t> </w:t>
      </w:r>
      <w:r>
        <w:rPr>
          <w:spacing w:val="-62"/>
        </w:rPr>
      </w:r>
      <w:r>
        <w:rPr>
          <w:spacing w:val="-2"/>
        </w:rPr>
        <w:t>究院以及中台能力建设团队、创新服务团队通过云服务能力、数据服务能力，赋能公司内部所有产品线，赋能客户业务和技</w:t>
      </w:r>
      <w:r>
        <w:rPr>
          <w:spacing w:val="-64"/>
        </w:rPr>
        <w:t> </w:t>
      </w:r>
      <w:r>
        <w:rPr>
          <w:spacing w:val="-64"/>
        </w:rPr>
      </w:r>
      <w:r>
        <w:rPr>
          <w:spacing w:val="-2"/>
        </w:rPr>
        <w:t>术部门，为客户从IAAS、PAAS、SAAS层的选型和构建提供了整体解决方案，使得科技驱动的辐射范围和体系生态都发生了巨</w:t>
      </w:r>
      <w:r>
        <w:rPr>
          <w:spacing w:val="-58"/>
        </w:rPr>
        <w:t> </w:t>
      </w:r>
      <w:r>
        <w:rPr>
          <w:spacing w:val="-58"/>
        </w:rPr>
      </w:r>
      <w:r>
        <w:rPr>
          <w:spacing w:val="-2"/>
        </w:rPr>
        <w:t>大的变化，从系统架构和数据架构的转型，逐步构建技术中台、数据中台、业务中台等领域能力，实现投研一体化、智能运</w:t>
      </w:r>
      <w:r>
        <w:rPr>
          <w:spacing w:val="-63"/>
        </w:rPr>
        <w:t> </w:t>
      </w:r>
      <w:r>
        <w:rPr>
          <w:spacing w:val="-63"/>
        </w:rPr>
      </w:r>
      <w:r>
        <w:rPr>
          <w:spacing w:val="-2"/>
        </w:rPr>
        <w:t>营管理、智能投顾、智能服务等全面解决方案，充分支持满足了客户的金融科技转型诉求。例如，某家金融机构在金融科技</w:t>
      </w:r>
      <w:r>
        <w:rPr>
          <w:spacing w:val="-63"/>
        </w:rPr>
        <w:t> </w:t>
      </w:r>
      <w:r>
        <w:rPr>
          <w:spacing w:val="-63"/>
        </w:rPr>
      </w:r>
      <w:r>
        <w:rPr>
          <w:spacing w:val="-2"/>
        </w:rPr>
        <w:t>的建设过程中，我们不仅在第一期项目中重新对于其自身的业务、管理、客户服务、技术、数据等方面进行了全面金融科技</w:t>
      </w:r>
      <w:r>
        <w:rPr>
          <w:spacing w:val="-63"/>
        </w:rPr>
        <w:t> </w:t>
      </w:r>
      <w:r>
        <w:rPr>
          <w:spacing w:val="-63"/>
        </w:rPr>
      </w:r>
      <w:r>
        <w:rPr>
          <w:spacing w:val="-2"/>
        </w:rPr>
        <w:t>的转型，在第二期项目中辐射提升到集团层面，进而又在此后辐射延伸到了集团其他金融机构中，最终目标是集团自上而下</w:t>
      </w:r>
      <w:r>
        <w:rPr>
          <w:spacing w:val="-63"/>
        </w:rPr>
        <w:t> </w:t>
      </w:r>
      <w:r>
        <w:rPr>
          <w:spacing w:val="-63"/>
        </w:rPr>
      </w:r>
      <w:r>
        <w:rPr>
          <w:spacing w:val="-2"/>
        </w:rPr>
        <w:t>的规划管理风控等能力、自下而上的高效稳定生产运营等能力和由内而外的对外服务引流交互等能力，通过科技能力的沉淀</w:t>
      </w:r>
      <w:r>
        <w:rPr>
          <w:spacing w:val="-64"/>
        </w:rPr>
        <w:t> </w:t>
      </w:r>
      <w:r>
        <w:rPr>
          <w:spacing w:val="-64"/>
        </w:rPr>
      </w:r>
      <w:r>
        <w:rPr>
          <w:spacing w:val="-2"/>
        </w:rPr>
        <w:t>再对行业输出，产生了很好的标杆作用和示范效应。公司已经具备了为各家金融机构做整体金融科技转型的咨询服务规划能</w:t>
      </w:r>
      <w:r>
        <w:rPr>
          <w:spacing w:val="-64"/>
        </w:rPr>
        <w:t> </w:t>
      </w:r>
      <w:r>
        <w:rPr>
          <w:spacing w:val="-64"/>
        </w:rPr>
      </w:r>
      <w:r>
        <w:rPr/>
        <w:t>力和研发实施落地的能力。</w:t>
      </w:r>
    </w:p>
    <w:p>
      <w:pPr>
        <w:pStyle w:val="BodyText"/>
        <w:spacing w:line="316" w:lineRule="auto" w:before="19"/>
        <w:ind w:right="1129" w:firstLine="360"/>
        <w:jc w:val="both"/>
      </w:pPr>
      <w:r>
        <w:rPr>
          <w:spacing w:val="-2"/>
        </w:rPr>
        <w:t>综上，我们现在已经布局银行、保险、基金、券商、银行理财子公司等行业，占据龙头机构，各行业逐步延伸，由点成</w:t>
      </w:r>
      <w:r>
        <w:rPr/>
        <w:t> </w:t>
      </w:r>
      <w:r>
        <w:rPr>
          <w:spacing w:val="-2"/>
        </w:rPr>
        <w:t>线，再由资管、托管到大资管混业经营等方向，逐步构建行业云服务模式。公司传统产品线的丰富完善与转型升级，夯实了</w:t>
      </w:r>
      <w:r>
        <w:rPr>
          <w:spacing w:val="-63"/>
        </w:rPr>
        <w:t> </w:t>
      </w:r>
      <w:r>
        <w:rPr>
          <w:spacing w:val="-63"/>
        </w:rPr>
      </w:r>
      <w:r>
        <w:rPr>
          <w:spacing w:val="-2"/>
        </w:rPr>
        <w:t>公司的客户基础，公司创新业务的落地与创新能力的提升很好地契合了客户金融科技转型创新发展的需求，公司在行业中的</w:t>
      </w:r>
      <w:r>
        <w:rPr>
          <w:spacing w:val="-64"/>
        </w:rPr>
        <w:t> </w:t>
      </w:r>
      <w:r>
        <w:rPr>
          <w:spacing w:val="-64"/>
        </w:rPr>
      </w:r>
      <w:r>
        <w:rPr/>
        <w:t>市场地位和品牌优势进一步巩固，为公司的业务发展和业绩提升奠定良好的基础。</w:t>
      </w:r>
    </w:p>
    <w:p>
      <w:pPr>
        <w:pStyle w:val="BodyText"/>
        <w:spacing w:line="316" w:lineRule="auto" w:before="19"/>
        <w:ind w:left="472" w:right="1027"/>
        <w:jc w:val="left"/>
      </w:pPr>
      <w:r>
        <w:rPr/>
        <w:t>（五</w:t>
      </w:r>
      <w:r>
        <w:rPr>
          <w:spacing w:val="-89"/>
        </w:rPr>
        <w:t>）</w:t>
      </w:r>
      <w:r>
        <w:rPr/>
        <w:t>、参股公司渐次落地开花，外延式发展成果逐渐显现。</w:t>
      </w:r>
      <w:r>
        <w:rPr/>
        <w:t> </w:t>
      </w:r>
      <w:r>
        <w:rPr>
          <w:spacing w:val="1"/>
        </w:rPr>
        <w:t>1</w:t>
      </w:r>
      <w:r>
        <w:rPr>
          <w:spacing w:val="-82"/>
        </w:rPr>
        <w:t>、</w:t>
      </w:r>
      <w:r>
        <w:rPr/>
        <w:t>北京东方金信科技有限公司自赢时胜</w:t>
      </w:r>
      <w:r>
        <w:rPr>
          <w:spacing w:val="1"/>
        </w:rPr>
        <w:t>2</w:t>
      </w:r>
      <w:r>
        <w:rPr>
          <w:spacing w:val="-2"/>
        </w:rPr>
        <w:t>0</w:t>
      </w:r>
      <w:r>
        <w:rPr>
          <w:spacing w:val="1"/>
        </w:rPr>
        <w:t>1</w:t>
      </w:r>
      <w:r>
        <w:rPr>
          <w:spacing w:val="-2"/>
        </w:rPr>
        <w:t>6</w:t>
      </w:r>
      <w:r>
        <w:rPr/>
        <w:t>年入股以来已成长为具备大数据底层核心技术能力的国内领先大数据公司，</w:t>
      </w:r>
    </w:p>
    <w:p>
      <w:pPr>
        <w:pStyle w:val="BodyText"/>
        <w:spacing w:line="316" w:lineRule="auto" w:before="19"/>
        <w:ind w:right="1130"/>
        <w:jc w:val="both"/>
      </w:pPr>
      <w:r>
        <w:rPr>
          <w:spacing w:val="-2"/>
        </w:rPr>
        <w:t>核心产品来自Google分布式数据平台，专注于实现企业级高性能分布式大数据解决方案和云解决方案。公司连续四年位列工</w:t>
      </w:r>
      <w:r>
        <w:rPr>
          <w:spacing w:val="-61"/>
        </w:rPr>
        <w:t> </w:t>
      </w:r>
      <w:r>
        <w:rPr>
          <w:spacing w:val="-61"/>
        </w:rPr>
      </w:r>
      <w:r>
        <w:rPr>
          <w:spacing w:val="-2"/>
        </w:rPr>
        <w:t>信部“中国大数据企业50强”</w:t>
      </w:r>
      <w:r>
        <w:rPr>
          <w:spacing w:val="22"/>
        </w:rPr>
        <w:t> </w:t>
      </w:r>
      <w:r>
        <w:rPr>
          <w:spacing w:val="-2"/>
        </w:rPr>
        <w:t>；获得2019年中国大数据产业生态大会政务、金融领域年度最佳解决方案；列入Gartner国际</w:t>
      </w:r>
      <w:r>
        <w:rPr>
          <w:spacing w:val="-82"/>
        </w:rPr>
        <w:t> </w:t>
      </w:r>
      <w:r>
        <w:rPr>
          <w:spacing w:val="-82"/>
        </w:rPr>
      </w:r>
      <w:r>
        <w:rPr/>
        <w:t>主流Hadoop发行版厂商。目前已获多家国内知名产业基金和国有基金融资入股。</w:t>
      </w:r>
    </w:p>
    <w:p>
      <w:pPr>
        <w:pStyle w:val="BodyText"/>
        <w:spacing w:line="316" w:lineRule="auto" w:before="19"/>
        <w:ind w:right="915" w:firstLine="360"/>
        <w:jc w:val="left"/>
      </w:pPr>
      <w:r>
        <w:rPr/>
        <w:t>2、东吴（苏州）金融科技有限公司作为在金融科技领域耕耘多年的服务商，坚持以证券投资交易业务为主攻方向，目 </w:t>
      </w:r>
      <w:r>
        <w:rPr>
          <w:spacing w:val="-2"/>
        </w:rPr>
        <w:t>前已开发了面向机构用户与面向个人用户的两大产品线。面向机构投资交易的软件产品有基于微服务框架的云驰投资交易管</w:t>
      </w:r>
      <w:r>
        <w:rPr>
          <w:spacing w:val="-64"/>
        </w:rPr>
        <w:t> </w:t>
      </w:r>
      <w:r>
        <w:rPr>
          <w:spacing w:val="-64"/>
        </w:rPr>
      </w:r>
      <w:r>
        <w:rPr>
          <w:spacing w:val="-4"/>
        </w:rPr>
        <w:t>理平台、私募机构定制交易系统、银行理财投资交易系统、基于复杂事件处理机制的风险控制计算引擎、高频交易研究系统、</w:t>
      </w:r>
      <w:r>
        <w:rPr>
          <w:spacing w:val="-43"/>
        </w:rPr>
        <w:t> </w:t>
      </w:r>
      <w:r>
        <w:rPr>
          <w:spacing w:val="-43"/>
        </w:rPr>
      </w:r>
      <w:r>
        <w:rPr>
          <w:spacing w:val="-2"/>
        </w:rPr>
        <w:t>银行间市场新一代本币量化平台、金融综合管理平台；面向个人投资交易的软件产品有行情中台解决方案、资讯中台解决方</w:t>
      </w:r>
      <w:r>
        <w:rPr>
          <w:spacing w:val="-63"/>
        </w:rPr>
        <w:t> </w:t>
      </w:r>
      <w:r>
        <w:rPr>
          <w:spacing w:val="-63"/>
        </w:rPr>
      </w:r>
      <w:r>
        <w:rPr/>
        <w:t>案、交易中台解决方案、新一代券商个人应用APP，这些产品均积累了较强的技术实力与典型客户。</w:t>
      </w:r>
    </w:p>
    <w:p>
      <w:pPr>
        <w:pStyle w:val="BodyText"/>
        <w:spacing w:line="316" w:lineRule="auto" w:before="19"/>
        <w:ind w:right="1025" w:firstLine="360"/>
        <w:jc w:val="left"/>
      </w:pPr>
      <w:r>
        <w:rPr>
          <w:spacing w:val="-2"/>
        </w:rPr>
        <w:t>3、链石（苏州）信息科技有限公司积极布局区块链技术的研发和应用，公司开展的业务主要包括：1）区块链相关基础</w:t>
      </w:r>
      <w:r>
        <w:rPr/>
        <w:t> 技术及平台的研发，包括共识算法、加密机制、通用接口、智能合约、开发框架等；2）区块链应用于各领域的整套解决方</w:t>
      </w:r>
      <w:r>
        <w:rPr>
          <w:spacing w:val="-85"/>
        </w:rPr>
        <w:t> </w:t>
      </w:r>
      <w:r>
        <w:rPr>
          <w:spacing w:val="-85"/>
        </w:rPr>
      </w:r>
      <w:r>
        <w:rPr/>
        <w:t>案的设计与实施，包括金融、互联网、物联网、供应链等；3）区块链交易业务平台的运营及对外服务。已完成多项实用性</w:t>
      </w:r>
      <w:r>
        <w:rPr>
          <w:spacing w:val="-82"/>
        </w:rPr>
        <w:t> </w:t>
      </w:r>
      <w:r>
        <w:rPr>
          <w:spacing w:val="-82"/>
        </w:rPr>
      </w:r>
      <w:r>
        <w:rPr>
          <w:spacing w:val="-3"/>
        </w:rPr>
        <w:t>产品、专利、软著等注册，链石的区块链Baas平台已经能源交易和相关生产领域的供应链金融服务以及其它领域的金融交易、</w:t>
      </w:r>
      <w:r>
        <w:rPr/>
        <w:t> 结算登记等。目前已经推出包括ABS资产管理、供应链金融平台、电子存证、数据交易等多个类型产品。</w:t>
      </w:r>
    </w:p>
    <w:p>
      <w:pPr>
        <w:spacing w:after="0" w:line="316" w:lineRule="auto"/>
        <w:jc w:val="left"/>
        <w:sectPr>
          <w:pgSz w:w="11910" w:h="16840"/>
          <w:pgMar w:header="919" w:footer="1016" w:top="1120" w:bottom="1200" w:left="1020" w:right="0"/>
        </w:sectPr>
      </w:pPr>
    </w:p>
    <w:p>
      <w:pPr>
        <w:spacing w:line="240" w:lineRule="auto" w:before="12"/>
        <w:rPr>
          <w:rFonts w:ascii="宋体" w:hAnsi="宋体" w:cs="宋体" w:eastAsia="宋体" w:hint="default"/>
          <w:sz w:val="20"/>
          <w:szCs w:val="20"/>
        </w:rPr>
      </w:pPr>
    </w:p>
    <w:p>
      <w:pPr>
        <w:pStyle w:val="BodyText"/>
        <w:spacing w:line="316" w:lineRule="auto" w:before="44"/>
        <w:ind w:right="1041" w:firstLine="360"/>
        <w:jc w:val="left"/>
      </w:pPr>
      <w:r>
        <w:rPr>
          <w:spacing w:val="-4"/>
        </w:rPr>
        <w:t>4、深圳市图灵机器人有限公司采取产学研合作模式，与哈尔滨工业大学（深圳）智能计算研究中心共建了“哈工大（深</w:t>
      </w:r>
      <w:r>
        <w:rPr/>
        <w:t> </w:t>
      </w:r>
      <w:r>
        <w:rPr>
          <w:spacing w:val="-4"/>
        </w:rPr>
        <w:t>圳）-图灵人工智能联合实验室”，主要研究方向为：自然语言处理、对话系统、自然人机交互、类人智能等，立足金融垂直</w:t>
      </w:r>
      <w:r>
        <w:rPr>
          <w:spacing w:val="-41"/>
        </w:rPr>
        <w:t> </w:t>
      </w:r>
      <w:r>
        <w:rPr>
          <w:spacing w:val="-41"/>
        </w:rPr>
      </w:r>
      <w:r>
        <w:rPr>
          <w:spacing w:val="-7"/>
        </w:rPr>
        <w:t>领域，聚焦企业风险控制、投资决策、复杂规则、非完备信息众人博弈方向，已构建了基于公开债券和上市公司【舆情系统】、</w:t>
      </w:r>
      <w:r>
        <w:rPr>
          <w:spacing w:val="-54"/>
        </w:rPr>
        <w:t> </w:t>
      </w:r>
      <w:r>
        <w:rPr>
          <w:spacing w:val="-54"/>
        </w:rPr>
      </w:r>
      <w:r>
        <w:rPr>
          <w:spacing w:val="-2"/>
        </w:rPr>
        <w:t>端到端技术应用的【信评专家系统】、复杂自有金融文档的【信息要素抽取产品】以及正在构建基于银行业的【智能撰写平</w:t>
      </w:r>
      <w:r>
        <w:rPr>
          <w:spacing w:val="-65"/>
        </w:rPr>
        <w:t> </w:t>
      </w:r>
      <w:r>
        <w:rPr>
          <w:spacing w:val="-65"/>
        </w:rPr>
      </w:r>
      <w:r>
        <w:rPr>
          <w:spacing w:val="-2"/>
        </w:rPr>
        <w:t>台】和【智能替换和搜索平台】、量化投资的【智能多因子体系】等。目前，其相关AI技术能力和产品已在多家大型机构客</w:t>
      </w:r>
      <w:r>
        <w:rPr>
          <w:spacing w:val="-64"/>
        </w:rPr>
        <w:t> </w:t>
      </w:r>
      <w:r>
        <w:rPr>
          <w:spacing w:val="-64"/>
        </w:rPr>
      </w:r>
      <w:r>
        <w:rPr/>
        <w:t>户商业应用落地。</w:t>
      </w:r>
    </w:p>
    <w:p>
      <w:pPr>
        <w:pStyle w:val="BodyText"/>
        <w:spacing w:line="316" w:lineRule="auto" w:before="19"/>
        <w:ind w:right="1130" w:firstLine="360"/>
        <w:jc w:val="both"/>
      </w:pPr>
      <w:r>
        <w:rPr>
          <w:spacing w:val="-2"/>
        </w:rPr>
        <w:t>5、上海怀若智能科技有限公司聚焦金融行业，采用人工智能科技，优化流程、结构和生态，在OCR图像识别自研技术基</w:t>
      </w:r>
      <w:r>
        <w:rPr/>
        <w:t> </w:t>
      </w:r>
      <w:r>
        <w:rPr>
          <w:spacing w:val="-6"/>
        </w:rPr>
        <w:t>础上，构建PFD图像解析，NLP智能提取核心能力。产品包含【OCR识别】【信息提取】【合同验印】【合同对比】【业务分拣】</w:t>
      </w:r>
      <w:r>
        <w:rPr>
          <w:spacing w:val="-88"/>
        </w:rPr>
        <w:t> </w:t>
      </w:r>
      <w:r>
        <w:rPr>
          <w:spacing w:val="-88"/>
        </w:rPr>
      </w:r>
      <w:r>
        <w:rPr/>
        <w:t>等。目前正在多家金融机构客户的实际应用场景对接开发和应用落地。</w:t>
      </w:r>
    </w:p>
    <w:p>
      <w:pPr>
        <w:pStyle w:val="BodyText"/>
        <w:spacing w:line="316" w:lineRule="auto" w:before="19"/>
        <w:ind w:right="1130" w:firstLine="360"/>
        <w:jc w:val="both"/>
      </w:pPr>
      <w:r>
        <w:rPr>
          <w:spacing w:val="-2"/>
        </w:rPr>
        <w:t>6、北京慧闻科技发展有限公司自主研发基于自然语言处理技术（NLP）为核心的人工智能（AI）引擎，AI引擎具备智能</w:t>
      </w:r>
      <w:r>
        <w:rPr/>
        <w:t> </w:t>
      </w:r>
      <w:r>
        <w:rPr>
          <w:spacing w:val="-2"/>
        </w:rPr>
        <w:t>问答、知识图谱表示、情感分析等能力，并融合了人脸识别、语音识别与语音合成技术。以AI引挙为核心，面向在线智能信</w:t>
      </w:r>
      <w:r>
        <w:rPr>
          <w:spacing w:val="-62"/>
        </w:rPr>
        <w:t> </w:t>
      </w:r>
      <w:r>
        <w:rPr>
          <w:spacing w:val="-62"/>
        </w:rPr>
      </w:r>
      <w:r>
        <w:rPr>
          <w:spacing w:val="-2"/>
        </w:rPr>
        <w:t>息化服务需求，研发了线上智能问答机器人、智能机器人电话；面向实体服务机器人的应用需求，研发了服务机器人交互平</w:t>
      </w:r>
      <w:r>
        <w:rPr>
          <w:spacing w:val="-64"/>
        </w:rPr>
        <w:t> </w:t>
      </w:r>
      <w:r>
        <w:rPr>
          <w:spacing w:val="-64"/>
        </w:rPr>
      </w:r>
      <w:r>
        <w:rPr/>
        <w:t>台、服务机器人硬件平台，并具备独立的硬件研发及生产能力。</w:t>
      </w:r>
    </w:p>
    <w:p>
      <w:pPr>
        <w:pStyle w:val="BodyText"/>
        <w:spacing w:line="316" w:lineRule="auto" w:before="19"/>
        <w:ind w:right="1132" w:firstLine="360"/>
        <w:jc w:val="both"/>
      </w:pPr>
      <w:r>
        <w:rPr>
          <w:spacing w:val="-2"/>
        </w:rPr>
        <w:t>参股公司核心技术能力的研发与应用落地，与赢时胜相关产品的协同融合与创新，将有利于提升公司对金融机构客户金</w:t>
      </w:r>
      <w:r>
        <w:rPr/>
        <w:t> 融科技发展的服务能力和金融科技生态圈的建设。</w:t>
      </w:r>
    </w:p>
    <w:p>
      <w:pPr>
        <w:pStyle w:val="BodyText"/>
        <w:spacing w:line="316" w:lineRule="auto" w:before="19"/>
        <w:ind w:right="1051" w:firstLine="360"/>
        <w:jc w:val="both"/>
      </w:pPr>
      <w:r>
        <w:rPr/>
        <w:t>报告期，北京东方金信科技有限公司由于经营发展情况良好，取得了新股东投资，公司对其持股比例被稀释为17.02%， </w:t>
      </w:r>
      <w:r>
        <w:rPr>
          <w:spacing w:val="-2"/>
        </w:rPr>
        <w:t>公司根据会计准则相关规定，对北京东方金信科技有限公司剩余股权的公允价值与账面价值的差额计提计入投资收益。东吴</w:t>
      </w:r>
    </w:p>
    <w:p>
      <w:pPr>
        <w:pStyle w:val="BodyText"/>
        <w:spacing w:line="316" w:lineRule="auto" w:before="19"/>
        <w:ind w:right="1130"/>
        <w:jc w:val="both"/>
      </w:pPr>
      <w:r>
        <w:rPr>
          <w:spacing w:val="-2"/>
        </w:rPr>
        <w:t>（苏州）金融科技服务有限公司近年处在业务转型中，经营业绩未达预期，公司根据其评估价值对东吴（苏州）金融科技服</w:t>
      </w:r>
      <w:r>
        <w:rPr>
          <w:spacing w:val="-64"/>
        </w:rPr>
        <w:t> </w:t>
      </w:r>
      <w:r>
        <w:rPr>
          <w:spacing w:val="-64"/>
        </w:rPr>
      </w:r>
      <w:r>
        <w:rPr>
          <w:spacing w:val="-2"/>
        </w:rPr>
        <w:t>务有限公司的长期股权投资谨慎地计提了长期股权投资减值准备。公司控股子公司上海赢量信息科技有限公司由于宏观经济</w:t>
      </w:r>
      <w:r>
        <w:rPr>
          <w:spacing w:val="-64"/>
        </w:rPr>
        <w:t> </w:t>
      </w:r>
      <w:r>
        <w:rPr>
          <w:spacing w:val="-64"/>
        </w:rPr>
      </w:r>
      <w:r>
        <w:rPr>
          <w:spacing w:val="-2"/>
        </w:rPr>
        <w:t>环境、经营规模收缩等影响，经营业绩出现大幅滑坡，报告期，公司针对其逾期的应收款项计提了相应的减值准备，公司将</w:t>
      </w:r>
      <w:r>
        <w:rPr>
          <w:spacing w:val="-63"/>
        </w:rPr>
        <w:t> </w:t>
      </w:r>
      <w:r>
        <w:rPr>
          <w:spacing w:val="-63"/>
        </w:rPr>
      </w:r>
      <w:r>
        <w:rPr/>
        <w:t>进一步采取收缩战略，以减少其对公司业绩的影响。</w:t>
      </w:r>
    </w:p>
    <w:p>
      <w:pPr>
        <w:pStyle w:val="BodyText"/>
        <w:spacing w:line="316" w:lineRule="auto" w:before="19"/>
        <w:ind w:right="1130" w:firstLine="360"/>
        <w:jc w:val="both"/>
      </w:pPr>
      <w:r>
        <w:rPr>
          <w:spacing w:val="-2"/>
        </w:rPr>
        <w:t>报告期内，公司实现营业收入65,557.99万元，比上年同期增长2.58%，营业收入增速放缓的主要原因：一是公司创新产</w:t>
      </w:r>
      <w:r>
        <w:rPr/>
        <w:t> </w:t>
      </w:r>
      <w:r>
        <w:rPr>
          <w:spacing w:val="-2"/>
        </w:rPr>
        <w:t>品和服务业务尚在研发投入期，客户应用和市场推广潜力尚未充分释放，二是根据公司人才结构优化战略主动控制了人员规</w:t>
      </w:r>
      <w:r>
        <w:rPr>
          <w:spacing w:val="-64"/>
        </w:rPr>
        <w:t> </w:t>
      </w:r>
      <w:r>
        <w:rPr>
          <w:spacing w:val="-64"/>
        </w:rPr>
      </w:r>
      <w:r>
        <w:rPr>
          <w:spacing w:val="-2"/>
        </w:rPr>
        <w:t>模的增长。营业成本17,685.89万元，比上年同期增长37.96%。研发费用28,891.40万元，比上年同期增长25.41%。营业利润</w:t>
      </w:r>
      <w:r>
        <w:rPr>
          <w:spacing w:val="-49"/>
        </w:rPr>
        <w:t> </w:t>
      </w:r>
      <w:r>
        <w:rPr>
          <w:spacing w:val="-49"/>
        </w:rPr>
      </w:r>
      <w:r>
        <w:rPr/>
        <w:t>12,158.18万元，比上年同期下降36.90%。这是由于研发人员、项目相关实施人员、技术支持服务人员增加以及薪酬调整，</w:t>
      </w:r>
      <w:r>
        <w:rPr/>
        <w:t> 公司人工成本费用金额增长较大，影响了本期营业利润的增长。归属于母公司股东的净利润13,643.70万元，比上年同期下 降23.26%。</w:t>
      </w:r>
    </w:p>
    <w:p>
      <w:pPr>
        <w:spacing w:line="240" w:lineRule="auto" w:before="9"/>
        <w:rPr>
          <w:rFonts w:ascii="宋体" w:hAnsi="宋体" w:cs="宋体" w:eastAsia="宋体" w:hint="default"/>
          <w:sz w:val="20"/>
          <w:szCs w:val="20"/>
        </w:rPr>
      </w:pPr>
    </w:p>
    <w:p>
      <w:pPr>
        <w:pStyle w:val="Heading2"/>
        <w:spacing w:line="240" w:lineRule="auto"/>
        <w:ind w:right="0"/>
        <w:jc w:val="both"/>
        <w:rPr>
          <w:b w:val="0"/>
          <w:bCs w:val="0"/>
        </w:rPr>
      </w:pPr>
      <w:bookmarkStart w:name="二、主营业务分析" w:id="25"/>
      <w:bookmarkEnd w:id="25"/>
      <w:r>
        <w:rPr>
          <w:b w:val="0"/>
          <w:bCs w:val="0"/>
        </w:rPr>
      </w:r>
      <w:r>
        <w:rPr/>
        <w:t>二、主营业务分析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bookmarkStart w:name="1、概述" w:id="26"/>
      <w:bookmarkEnd w:id="26"/>
      <w:r>
        <w:rPr>
          <w:b w:val="0"/>
          <w:bCs w:val="0"/>
        </w:rPr>
      </w:r>
      <w:r>
        <w:rPr>
          <w:rFonts w:ascii="Times New Roman" w:hAnsi="Times New Roman" w:cs="Times New Roman" w:eastAsia="Times New Roman" w:hint="default"/>
        </w:rPr>
        <w:t>1</w:t>
      </w:r>
      <w:r>
        <w:rPr/>
        <w:t>、概述</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参见“经营情况讨论与分析”中的“一、概述”相关内容。</w:t>
      </w:r>
    </w:p>
    <w:p>
      <w:pPr>
        <w:spacing w:line="240" w:lineRule="auto" w:before="0"/>
        <w:rPr>
          <w:rFonts w:ascii="宋体" w:hAnsi="宋体" w:cs="宋体" w:eastAsia="宋体" w:hint="default"/>
          <w:sz w:val="18"/>
          <w:szCs w:val="18"/>
        </w:rPr>
      </w:pPr>
    </w:p>
    <w:p>
      <w:pPr>
        <w:pStyle w:val="Heading3"/>
        <w:spacing w:line="240" w:lineRule="auto" w:before="118"/>
        <w:ind w:right="0"/>
        <w:jc w:val="both"/>
        <w:rPr>
          <w:b w:val="0"/>
          <w:bCs w:val="0"/>
        </w:rPr>
      </w:pPr>
      <w:bookmarkStart w:name="2、收入与成本" w:id="27"/>
      <w:bookmarkEnd w:id="27"/>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915"/>
        <w:jc w:val="left"/>
      </w:pPr>
      <w:r>
        <w:rPr/>
        <w:t>营业收入整体情况</w:t>
      </w:r>
    </w:p>
    <w:p>
      <w:pPr>
        <w:pStyle w:val="BodyText"/>
        <w:spacing w:line="240" w:lineRule="auto" w:before="115"/>
        <w:ind w:left="0" w:right="113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1"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0"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3" w:right="0"/>
              <w:jc w:val="left"/>
              <w:rPr>
                <w:rFonts w:ascii="Times New Roman" w:hAnsi="Times New Roman" w:cs="Times New Roman" w:eastAsia="Times New Roman" w:hint="default"/>
                <w:sz w:val="18"/>
                <w:szCs w:val="18"/>
              </w:rPr>
            </w:pPr>
            <w:r>
              <w:rPr>
                <w:rFonts w:ascii="Times New Roman"/>
                <w:sz w:val="18"/>
              </w:rPr>
              <w:t>655,579,978.11</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5" w:right="0"/>
              <w:jc w:val="left"/>
              <w:rPr>
                <w:rFonts w:ascii="Times New Roman" w:hAnsi="Times New Roman" w:cs="Times New Roman" w:eastAsia="Times New Roman" w:hint="default"/>
                <w:sz w:val="18"/>
                <w:szCs w:val="18"/>
              </w:rPr>
            </w:pPr>
            <w:r>
              <w:rPr>
                <w:rFonts w:ascii="Times New Roman"/>
                <w:sz w:val="18"/>
              </w:rPr>
              <w:t>639,100,493.81</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7" w:right="0"/>
              <w:jc w:val="left"/>
              <w:rPr>
                <w:rFonts w:ascii="Times New Roman" w:hAnsi="Times New Roman" w:cs="Times New Roman" w:eastAsia="Times New Roman" w:hint="default"/>
                <w:sz w:val="18"/>
                <w:szCs w:val="18"/>
              </w:rPr>
            </w:pPr>
            <w:r>
              <w:rPr>
                <w:rFonts w:ascii="Times New Roman"/>
                <w:sz w:val="18"/>
              </w:rPr>
              <w:t>2.58%</w:t>
            </w:r>
          </w:p>
        </w:tc>
      </w:tr>
    </w:tbl>
    <w:p>
      <w:pPr>
        <w:spacing w:after="0" w:line="240" w:lineRule="auto"/>
        <w:jc w:val="left"/>
        <w:rPr>
          <w:rFonts w:ascii="Times New Roman" w:hAnsi="Times New Roman" w:cs="Times New Roman" w:eastAsia="Times New Roman" w:hint="default"/>
          <w:sz w:val="18"/>
          <w:szCs w:val="18"/>
        </w:rPr>
        <w:sectPr>
          <w:pgSz w:w="11910" w:h="16840"/>
          <w:pgMar w:header="919" w:footer="1016"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222"/>
              <w:jc w:val="left"/>
              <w:rPr>
                <w:rFonts w:ascii="宋体" w:hAnsi="宋体" w:cs="宋体" w:eastAsia="宋体" w:hint="default"/>
                <w:sz w:val="18"/>
                <w:szCs w:val="18"/>
              </w:rPr>
            </w:pPr>
            <w:r>
              <w:rPr>
                <w:rFonts w:ascii="宋体" w:hAnsi="宋体" w:cs="宋体" w:eastAsia="宋体" w:hint="default"/>
                <w:sz w:val="18"/>
                <w:szCs w:val="18"/>
              </w:rPr>
              <w:t>定制软件开发和 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430,326,645.49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65.64%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399,351,691.98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62.49%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7.76%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服务费收入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185,042,232.46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28.23%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191,635,428.65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29.99%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-3.44%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商品销售收入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2,679,909.87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0.41%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2,043,715.03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0.32%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31.13%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供应链业务收入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13,445,924.83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2.05%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34,063,574.75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5.33%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-60.53%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保理业务收入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24,085,265.46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3.67%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12,006,083.40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1.87%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100.61%</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222"/>
              <w:jc w:val="left"/>
              <w:rPr>
                <w:rFonts w:ascii="宋体" w:hAnsi="宋体" w:cs="宋体" w:eastAsia="宋体" w:hint="default"/>
                <w:sz w:val="18"/>
                <w:szCs w:val="18"/>
              </w:rPr>
            </w:pPr>
            <w:r>
              <w:rPr>
                <w:rFonts w:ascii="宋体" w:hAnsi="宋体" w:cs="宋体" w:eastAsia="宋体" w:hint="default"/>
                <w:sz w:val="18"/>
                <w:szCs w:val="18"/>
              </w:rPr>
              <w:t>定制软件开发和 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430,326,645.49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65.64%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399,351,691.98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62.49%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7.76%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服务费收入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185,042,232.46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28.23%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191,635,428.65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29.99%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-3.44%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商品销售收入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2,679,909.87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0.41%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2,043,715.03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0.32%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31.13%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供应链业务收入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13,445,924.83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2.05%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34,063,574.75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5.33%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-60.53%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保理业务收入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24,085,265.46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3.67%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12,006,083.40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1.87%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100.61%</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华北大区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325,148,525.81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49.60%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293,233,421.99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45.88%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10.88%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华东大区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210,141,863.96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32.05%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231,596,128.03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36.24%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-9.26%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华南大区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120,289,588.34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18.35%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114,270,943.79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17.88%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5.27%</w:t>
            </w:r>
          </w:p>
        </w:tc>
      </w:tr>
    </w:tbl>
    <w:p>
      <w:pPr>
        <w:spacing w:line="240" w:lineRule="auto" w:before="3"/>
        <w:rPr>
          <w:rFonts w:ascii="宋体" w:hAnsi="宋体" w:cs="宋体" w:eastAsia="宋体" w:hint="default"/>
          <w:sz w:val="19"/>
          <w:szCs w:val="19"/>
        </w:rPr>
      </w:pPr>
    </w:p>
    <w:p>
      <w:pPr>
        <w:pStyle w:val="Heading3"/>
        <w:spacing w:line="240" w:lineRule="auto" w:before="34"/>
        <w:ind w:right="915"/>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66"/>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915"/>
        <w:jc w:val="left"/>
      </w:pPr>
      <w:r>
        <w:rPr/>
        <w:t>√ 适用 □ 不适用</w:t>
      </w:r>
    </w:p>
    <w:p>
      <w:pPr>
        <w:pStyle w:val="BodyText"/>
        <w:spacing w:line="240" w:lineRule="auto" w:before="117"/>
        <w:ind w:left="0" w:right="113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6"/>
        <w:gridCol w:w="1366"/>
        <w:gridCol w:w="1367"/>
        <w:gridCol w:w="1367"/>
        <w:gridCol w:w="1367"/>
        <w:gridCol w:w="1371"/>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7" w:right="136" w:hanging="89"/>
              <w:jc w:val="left"/>
              <w:rPr>
                <w:rFonts w:ascii="宋体" w:hAnsi="宋体" w:cs="宋体" w:eastAsia="宋体" w:hint="default"/>
                <w:sz w:val="18"/>
                <w:szCs w:val="18"/>
              </w:rPr>
            </w:pPr>
            <w:r>
              <w:rPr>
                <w:rFonts w:ascii="宋体" w:hAnsi="宋体" w:cs="宋体" w:eastAsia="宋体" w:hint="default"/>
                <w:sz w:val="18"/>
                <w:szCs w:val="18"/>
              </w:rPr>
              <w:t>营业收入比上 年同期增减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8" w:right="137" w:hanging="92"/>
              <w:jc w:val="left"/>
              <w:rPr>
                <w:rFonts w:ascii="宋体" w:hAnsi="宋体" w:cs="宋体" w:eastAsia="宋体" w:hint="default"/>
                <w:sz w:val="18"/>
                <w:szCs w:val="18"/>
              </w:rPr>
            </w:pPr>
            <w:r>
              <w:rPr>
                <w:rFonts w:ascii="宋体" w:hAnsi="宋体" w:cs="宋体" w:eastAsia="宋体" w:hint="default"/>
                <w:sz w:val="18"/>
                <w:szCs w:val="18"/>
              </w:rPr>
              <w:t>营业成本比上 年同期增减</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21" w:right="138" w:hanging="180"/>
              <w:jc w:val="left"/>
              <w:rPr>
                <w:rFonts w:ascii="宋体" w:hAnsi="宋体" w:cs="宋体" w:eastAsia="宋体" w:hint="default"/>
                <w:sz w:val="18"/>
                <w:szCs w:val="18"/>
              </w:rPr>
            </w:pPr>
            <w:r>
              <w:rPr>
                <w:rFonts w:ascii="宋体" w:hAnsi="宋体" w:cs="宋体" w:eastAsia="宋体" w:hint="default"/>
                <w:sz w:val="18"/>
                <w:szCs w:val="18"/>
              </w:rPr>
              <w:t>毛利率比上年 同期增减</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430,326,645.49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87,430,126.52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79.68%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7.76%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63.54%</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-6.93%</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73"/>
              <w:jc w:val="left"/>
              <w:rPr>
                <w:rFonts w:ascii="宋体" w:hAnsi="宋体" w:cs="宋体" w:eastAsia="宋体" w:hint="default"/>
                <w:sz w:val="18"/>
                <w:szCs w:val="18"/>
              </w:rPr>
            </w:pPr>
            <w:r>
              <w:rPr>
                <w:rFonts w:ascii="宋体" w:hAnsi="宋体" w:cs="宋体" w:eastAsia="宋体" w:hint="default"/>
                <w:sz w:val="18"/>
                <w:szCs w:val="18"/>
              </w:rPr>
              <w:t>软件技术服务 费</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180,763,250.27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83,057,236.35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54.05%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26.57%</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-10.28%</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华北大区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center"/>
              <w:rPr>
                <w:rFonts w:ascii="Times New Roman" w:hAnsi="Times New Roman" w:cs="Times New Roman" w:eastAsia="Times New Roman" w:hint="default"/>
                <w:sz w:val="18"/>
                <w:szCs w:val="18"/>
              </w:rPr>
            </w:pPr>
            <w:r>
              <w:rPr>
                <w:rFonts w:ascii="Times New Roman"/>
                <w:sz w:val="18"/>
              </w:rPr>
              <w:t>325,148,525.81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97,806,479.53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69.92%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38.97%</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-6.08%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华东大区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169,930,763.80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32,023,925.82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81.15%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10.96%</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-3.12%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华南大区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1" w:right="0"/>
              <w:jc w:val="center"/>
              <w:rPr>
                <w:rFonts w:ascii="Times New Roman" w:hAnsi="Times New Roman" w:cs="Times New Roman" w:eastAsia="Times New Roman" w:hint="default"/>
                <w:sz w:val="18"/>
                <w:szCs w:val="18"/>
              </w:rPr>
            </w:pPr>
            <w:r>
              <w:rPr>
                <w:rFonts w:ascii="Times New Roman"/>
                <w:sz w:val="18"/>
              </w:rPr>
              <w:t>116,010,606.15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40,656,957.52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64.95%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8.84%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104.96%</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-16.44%</w:t>
            </w:r>
          </w:p>
        </w:tc>
      </w:tr>
    </w:tbl>
    <w:p>
      <w:pPr>
        <w:pStyle w:val="BodyText"/>
        <w:spacing w:line="240" w:lineRule="auto" w:before="51"/>
        <w:ind w:right="915"/>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3"/>
        <w:ind w:right="915"/>
        <w:jc w:val="left"/>
      </w:pPr>
      <w:r>
        <w:rPr/>
        <w:t>□ 适用 √ 不适用</w:t>
      </w:r>
    </w:p>
    <w:p>
      <w:pPr>
        <w:spacing w:after="0" w:line="240" w:lineRule="auto"/>
        <w:jc w:val="left"/>
        <w:sectPr>
          <w:pgSz w:w="11910" w:h="16840"/>
          <w:pgMar w:header="919" w:footer="1016" w:top="1120" w:bottom="1200" w:left="1020" w:right="0"/>
        </w:sectPr>
      </w:pPr>
    </w:p>
    <w:p>
      <w:pPr>
        <w:spacing w:line="240" w:lineRule="auto" w:before="10"/>
        <w:rPr>
          <w:rFonts w:ascii="宋体" w:hAnsi="宋体" w:cs="宋体" w:eastAsia="宋体" w:hint="default"/>
          <w:sz w:val="19"/>
          <w:szCs w:val="19"/>
        </w:rPr>
      </w:pPr>
    </w:p>
    <w:p>
      <w:pPr>
        <w:pStyle w:val="Heading3"/>
        <w:spacing w:line="240" w:lineRule="auto" w:before="34"/>
        <w:ind w:right="915"/>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15"/>
        <w:jc w:val="left"/>
      </w:pPr>
      <w:r>
        <w:rPr/>
        <w:t>□ 是 √ 否</w:t>
      </w:r>
    </w:p>
    <w:p>
      <w:pPr>
        <w:spacing w:line="240" w:lineRule="auto" w:before="0"/>
        <w:rPr>
          <w:rFonts w:ascii="宋体" w:hAnsi="宋体" w:cs="宋体" w:eastAsia="宋体" w:hint="default"/>
          <w:sz w:val="18"/>
          <w:szCs w:val="18"/>
        </w:rPr>
      </w:pPr>
    </w:p>
    <w:p>
      <w:pPr>
        <w:pStyle w:val="Heading3"/>
        <w:spacing w:line="240" w:lineRule="auto" w:before="118"/>
        <w:ind w:right="915"/>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15"/>
        <w:jc w:val="left"/>
      </w:pPr>
      <w:r>
        <w:rPr/>
        <w:t>□ 适用 √ 不适用</w:t>
      </w:r>
    </w:p>
    <w:p>
      <w:pPr>
        <w:spacing w:line="240" w:lineRule="auto" w:before="0"/>
        <w:rPr>
          <w:rFonts w:ascii="宋体" w:hAnsi="宋体" w:cs="宋体" w:eastAsia="宋体" w:hint="default"/>
          <w:sz w:val="18"/>
          <w:szCs w:val="18"/>
        </w:rPr>
      </w:pPr>
    </w:p>
    <w:p>
      <w:pPr>
        <w:pStyle w:val="Heading3"/>
        <w:spacing w:line="240" w:lineRule="auto" w:before="118"/>
        <w:ind w:right="915"/>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19" w:footer="1016" w:top="1120" w:bottom="1200" w:left="1020" w:right="0"/>
        </w:sectPr>
      </w:pPr>
    </w:p>
    <w:p>
      <w:pPr>
        <w:pStyle w:val="BodyText"/>
        <w:spacing w:line="360" w:lineRule="auto" w:before="44"/>
        <w:ind w:right="-20"/>
        <w:jc w:val="left"/>
      </w:pPr>
      <w:r>
        <w:rPr/>
        <w:t>产品分类 产品分类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100" w:bottom="1200" w:left="1020" w:right="0"/>
          <w:cols w:num="2" w:equalWidth="0">
            <w:col w:w="833" w:space="8085"/>
            <w:col w:w="1972"/>
          </w:cols>
        </w:sectPr>
      </w:pP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714"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7" w:right="136" w:hanging="449"/>
              <w:jc w:val="left"/>
              <w:rPr>
                <w:rFonts w:ascii="宋体" w:hAnsi="宋体" w:cs="宋体" w:eastAsia="宋体" w:hint="default"/>
                <w:sz w:val="18"/>
                <w:szCs w:val="18"/>
              </w:rPr>
            </w:pPr>
            <w:r>
              <w:rPr>
                <w:rFonts w:ascii="宋体" w:hAnsi="宋体" w:cs="宋体" w:eastAsia="宋体" w:hint="default"/>
                <w:sz w:val="18"/>
                <w:szCs w:val="18"/>
              </w:rPr>
              <w:t>占营业成本比 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7" w:right="136" w:hanging="449"/>
              <w:jc w:val="left"/>
              <w:rPr>
                <w:rFonts w:ascii="宋体" w:hAnsi="宋体" w:cs="宋体" w:eastAsia="宋体" w:hint="default"/>
                <w:sz w:val="18"/>
                <w:szCs w:val="18"/>
              </w:rPr>
            </w:pPr>
            <w:r>
              <w:rPr>
                <w:rFonts w:ascii="宋体" w:hAnsi="宋体" w:cs="宋体" w:eastAsia="宋体" w:hint="default"/>
                <w:sz w:val="18"/>
                <w:szCs w:val="18"/>
              </w:rPr>
              <w:t>占营业成本比 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75"/>
              <w:jc w:val="left"/>
              <w:rPr>
                <w:rFonts w:ascii="宋体" w:hAnsi="宋体" w:cs="宋体" w:eastAsia="宋体" w:hint="default"/>
                <w:sz w:val="18"/>
                <w:szCs w:val="18"/>
              </w:rPr>
            </w:pPr>
            <w:r>
              <w:rPr>
                <w:rFonts w:ascii="宋体" w:hAnsi="宋体" w:cs="宋体" w:eastAsia="宋体" w:hint="default"/>
                <w:sz w:val="18"/>
                <w:szCs w:val="18"/>
              </w:rPr>
              <w:t>定制软件开发 和销售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87,430,126.52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49.43%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53,459,472.43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41.70%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63.54%</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服务费收入</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85,605,152.73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48.40%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71,667,235.95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55.91%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19.45%</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商品销售收入</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2,363,180.57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z w:val="18"/>
              </w:rPr>
              <w:t>1.34%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2,045,099.29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z w:val="18"/>
              </w:rPr>
              <w:t>1.60%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8"/>
                <w:szCs w:val="18"/>
              </w:rPr>
            </w:pPr>
            <w:r>
              <w:rPr>
                <w:rFonts w:ascii="Times New Roman"/>
                <w:spacing w:val="-1"/>
                <w:sz w:val="18"/>
              </w:rPr>
              <w:t>15.55%</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保理业务收入</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1,460,407.13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1,022,593.51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42.81%</w:t>
            </w:r>
          </w:p>
        </w:tc>
      </w:tr>
    </w:tbl>
    <w:p>
      <w:pPr>
        <w:pStyle w:val="BodyText"/>
        <w:spacing w:line="357" w:lineRule="auto" w:before="50"/>
        <w:ind w:right="10394"/>
        <w:jc w:val="left"/>
      </w:pPr>
      <w:r>
        <w:rPr/>
        <w:t>说明 无。</w:t>
      </w:r>
    </w:p>
    <w:p>
      <w:pPr>
        <w:spacing w:line="240" w:lineRule="auto" w:before="3"/>
        <w:rPr>
          <w:rFonts w:ascii="宋体" w:hAnsi="宋体" w:cs="宋体" w:eastAsia="宋体" w:hint="default"/>
          <w:sz w:val="20"/>
          <w:szCs w:val="20"/>
        </w:rPr>
      </w:pPr>
    </w:p>
    <w:p>
      <w:pPr>
        <w:pStyle w:val="Heading3"/>
        <w:spacing w:line="240" w:lineRule="auto"/>
        <w:ind w:right="915"/>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15"/>
        <w:jc w:val="left"/>
      </w:pPr>
      <w:r>
        <w:rPr/>
        <w:t>√ 是 □ 否</w:t>
      </w:r>
    </w:p>
    <w:p>
      <w:pPr>
        <w:pStyle w:val="BodyText"/>
        <w:spacing w:line="316" w:lineRule="auto" w:before="117"/>
        <w:ind w:right="915" w:firstLine="360"/>
        <w:jc w:val="left"/>
      </w:pPr>
      <w:r>
        <w:rPr>
          <w:spacing w:val="-2"/>
        </w:rPr>
        <w:t>深圳市赢时胜信息技术股份有限公司于2019年11月11日成立全资子公司深圳市赢时胜软件技术服务有限公司，注册资本</w:t>
      </w:r>
      <w:r>
        <w:rPr/>
        <w:t> 2000万元，该公司自成立之日起纳入合并报表范围。</w:t>
      </w:r>
    </w:p>
    <w:p>
      <w:pPr>
        <w:spacing w:line="240" w:lineRule="auto" w:before="6"/>
        <w:rPr>
          <w:rFonts w:ascii="宋体" w:hAnsi="宋体" w:cs="宋体" w:eastAsia="宋体" w:hint="default"/>
          <w:sz w:val="22"/>
          <w:szCs w:val="22"/>
        </w:rPr>
      </w:pPr>
    </w:p>
    <w:p>
      <w:pPr>
        <w:pStyle w:val="Heading3"/>
        <w:spacing w:line="240" w:lineRule="auto"/>
        <w:ind w:right="915"/>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15"/>
        <w:jc w:val="left"/>
      </w:pPr>
      <w:r>
        <w:rPr/>
        <w:t>□ 适用 √ 不适用</w:t>
      </w:r>
    </w:p>
    <w:p>
      <w:pPr>
        <w:spacing w:line="240" w:lineRule="auto" w:before="0"/>
        <w:rPr>
          <w:rFonts w:ascii="宋体" w:hAnsi="宋体" w:cs="宋体" w:eastAsia="宋体" w:hint="default"/>
          <w:sz w:val="18"/>
          <w:szCs w:val="18"/>
        </w:rPr>
      </w:pPr>
    </w:p>
    <w:p>
      <w:pPr>
        <w:pStyle w:val="Heading3"/>
        <w:spacing w:line="240" w:lineRule="auto" w:before="118"/>
        <w:ind w:right="915"/>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15"/>
        <w:jc w:val="left"/>
      </w:pPr>
      <w:r>
        <w:rPr/>
        <w:t>公司主要销售客户情况</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125,249,459.80</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19.10%</w:t>
            </w:r>
          </w:p>
        </w:tc>
      </w:tr>
      <w:tr>
        <w:trPr>
          <w:trHeight w:val="714"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 w:right="1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00" w:left="1020" w:right="0"/>
        </w:sectPr>
      </w:pPr>
    </w:p>
    <w:p>
      <w:pPr>
        <w:spacing w:line="240" w:lineRule="auto" w:before="12"/>
        <w:rPr>
          <w:rFonts w:ascii="宋体" w:hAnsi="宋体" w:cs="宋体" w:eastAsia="宋体" w:hint="default"/>
          <w:sz w:val="20"/>
          <w:szCs w:val="20"/>
        </w:rPr>
      </w:pPr>
    </w:p>
    <w:p>
      <w:pPr>
        <w:pStyle w:val="BodyText"/>
        <w:spacing w:line="240" w:lineRule="auto" w:before="44"/>
        <w:ind w:right="915"/>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802"/>
        <w:gridCol w:w="3301"/>
        <w:gridCol w:w="2322"/>
        <w:gridCol w:w="3143"/>
      </w:tblGrid>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7"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57"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中国农业银行股份有限公司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28,859,842.71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4.40%</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01" w:right="0"/>
              <w:jc w:val="left"/>
              <w:rPr>
                <w:rFonts w:ascii="Times New Roman" w:hAnsi="Times New Roman" w:cs="Times New Roman" w:eastAsia="Times New Roman" w:hint="default"/>
                <w:sz w:val="18"/>
                <w:szCs w:val="18"/>
              </w:rPr>
            </w:pPr>
            <w:r>
              <w:rPr>
                <w:rFonts w:ascii="Times New Roman"/>
                <w:sz w:val="18"/>
              </w:rPr>
              <w:t>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交通银行股份有限公司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26,628,673.28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4.06%</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中国人寿资产管理有限公司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23,811,789.69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3.63%</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01" w:right="0"/>
              <w:jc w:val="left"/>
              <w:rPr>
                <w:rFonts w:ascii="Times New Roman" w:hAnsi="Times New Roman" w:cs="Times New Roman" w:eastAsia="Times New Roman" w:hint="default"/>
                <w:sz w:val="18"/>
                <w:szCs w:val="18"/>
              </w:rPr>
            </w:pPr>
            <w:r>
              <w:rPr>
                <w:rFonts w:ascii="Times New Roman"/>
                <w:sz w:val="18"/>
              </w:rPr>
              <w:t>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平安银行股份有限公司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23,389,546.22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3.57%</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中国民生银行股份有限公司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22,559,607.90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3.44%</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125,249,459.80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19.10%</w:t>
            </w:r>
          </w:p>
        </w:tc>
      </w:tr>
    </w:tbl>
    <w:p>
      <w:pPr>
        <w:pStyle w:val="BodyText"/>
        <w:spacing w:line="240" w:lineRule="auto" w:before="52"/>
        <w:ind w:right="915"/>
        <w:jc w:val="left"/>
      </w:pPr>
      <w:r>
        <w:rPr/>
        <w:t>主要客户其他情况说明</w:t>
      </w:r>
    </w:p>
    <w:p>
      <w:pPr>
        <w:pStyle w:val="BodyText"/>
        <w:spacing w:line="360" w:lineRule="auto" w:before="115"/>
        <w:ind w:right="9134"/>
        <w:jc w:val="left"/>
      </w:pPr>
      <w:r>
        <w:rPr/>
        <w:t>□ 适用 √ 不适用 公司主要供应商情况</w:t>
      </w:r>
    </w:p>
    <w:tbl>
      <w:tblPr>
        <w:tblW w:w="0" w:type="auto"/>
        <w:jc w:val="left"/>
        <w:tblInd w:w="10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14,740,185.00</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47.26%</w:t>
            </w:r>
          </w:p>
        </w:tc>
      </w:tr>
      <w:tr>
        <w:trPr>
          <w:trHeight w:val="714"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 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67"/>
        <w:ind w:right="915"/>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935"/>
        <w:gridCol w:w="3168"/>
        <w:gridCol w:w="2322"/>
        <w:gridCol w:w="3143"/>
      </w:tblGrid>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57"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01" w:right="0"/>
              <w:jc w:val="left"/>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上海浩慨贸易有限公司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6,763,750.00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21.69%</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1" w:right="0"/>
              <w:jc w:val="left"/>
              <w:rPr>
                <w:rFonts w:ascii="Times New Roman" w:hAnsi="Times New Roman" w:cs="Times New Roman" w:eastAsia="Times New Roman" w:hint="default"/>
                <w:sz w:val="18"/>
                <w:szCs w:val="18"/>
              </w:rPr>
            </w:pPr>
            <w:r>
              <w:rPr>
                <w:rFonts w:ascii="Times New Roman"/>
                <w:sz w:val="18"/>
              </w:rPr>
              <w:t>2</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北京长得瑞华电子技术有限公司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2,663,575.00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8.54%</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01" w:right="0"/>
              <w:jc w:val="left"/>
              <w:rPr>
                <w:rFonts w:ascii="Times New Roman" w:hAnsi="Times New Roman" w:cs="Times New Roman" w:eastAsia="Times New Roman" w:hint="default"/>
                <w:sz w:val="18"/>
                <w:szCs w:val="18"/>
              </w:rPr>
            </w:pPr>
            <w:r>
              <w:rPr>
                <w:rFonts w:ascii="Times New Roman"/>
                <w:sz w:val="18"/>
              </w:rPr>
              <w:t>3</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北京讯创智达科技有限公司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2,352,860.00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7.54%</w:t>
            </w:r>
          </w:p>
        </w:tc>
      </w:tr>
      <w:tr>
        <w:trPr>
          <w:trHeight w:val="714"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4</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173"/>
              <w:jc w:val="left"/>
              <w:rPr>
                <w:rFonts w:ascii="宋体" w:hAnsi="宋体" w:cs="宋体" w:eastAsia="宋体" w:hint="default"/>
                <w:sz w:val="18"/>
                <w:szCs w:val="18"/>
              </w:rPr>
            </w:pPr>
            <w:r>
              <w:rPr>
                <w:rFonts w:ascii="宋体" w:hAnsi="宋体" w:cs="宋体" w:eastAsia="宋体" w:hint="default"/>
                <w:sz w:val="18"/>
                <w:szCs w:val="18"/>
              </w:rPr>
              <w:t>东吴在线（上海）金融信息服务有限 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1,800,000.00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5.77%</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01" w:right="0"/>
              <w:jc w:val="left"/>
              <w:rPr>
                <w:rFonts w:ascii="Times New Roman" w:hAnsi="Times New Roman" w:cs="Times New Roman" w:eastAsia="Times New Roman" w:hint="default"/>
                <w:sz w:val="18"/>
                <w:szCs w:val="18"/>
              </w:rPr>
            </w:pPr>
            <w:r>
              <w:rPr>
                <w:rFonts w:ascii="Times New Roman"/>
                <w:sz w:val="18"/>
              </w:rPr>
              <w:t>5</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北京百度网讯科技有限公司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1,160,000.00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3.72%</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14,740,185.00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47.26%</w:t>
            </w:r>
          </w:p>
        </w:tc>
      </w:tr>
    </w:tbl>
    <w:p>
      <w:pPr>
        <w:pStyle w:val="BodyText"/>
        <w:spacing w:line="240" w:lineRule="auto" w:before="51"/>
        <w:ind w:right="915"/>
        <w:jc w:val="left"/>
      </w:pPr>
      <w:r>
        <w:rPr/>
        <w:t>主要供应商其他情况说明</w:t>
      </w:r>
    </w:p>
    <w:p>
      <w:pPr>
        <w:pStyle w:val="BodyText"/>
        <w:spacing w:line="240" w:lineRule="auto" w:before="117"/>
        <w:ind w:right="915"/>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915"/>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5"/>
        <w:gridCol w:w="1637"/>
        <w:gridCol w:w="1637"/>
        <w:gridCol w:w="1461"/>
        <w:gridCol w:w="2918"/>
      </w:tblGrid>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5"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026"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24,790,133.21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88" w:right="0"/>
              <w:jc w:val="left"/>
              <w:rPr>
                <w:rFonts w:ascii="Times New Roman" w:hAnsi="Times New Roman" w:cs="Times New Roman" w:eastAsia="Times New Roman" w:hint="default"/>
                <w:sz w:val="18"/>
                <w:szCs w:val="18"/>
              </w:rPr>
            </w:pPr>
            <w:r>
              <w:rPr>
                <w:rFonts w:ascii="Times New Roman"/>
                <w:sz w:val="18"/>
              </w:rPr>
              <w:t>21,545,758.35</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15.06%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10"/>
              <w:jc w:val="left"/>
              <w:rPr>
                <w:rFonts w:ascii="宋体" w:hAnsi="宋体" w:cs="宋体" w:eastAsia="宋体" w:hint="default"/>
                <w:sz w:val="18"/>
                <w:szCs w:val="18"/>
              </w:rPr>
            </w:pPr>
            <w:r>
              <w:rPr>
                <w:rFonts w:ascii="宋体" w:hAnsi="宋体" w:cs="宋体" w:eastAsia="宋体" w:hint="default"/>
                <w:sz w:val="18"/>
                <w:szCs w:val="18"/>
              </w:rPr>
              <w:t>主要是公司加强市场营销推广力 度，加大开展对客户的维护服务工 </w:t>
            </w:r>
            <w:r>
              <w:rPr>
                <w:rFonts w:ascii="宋体" w:hAnsi="宋体" w:cs="宋体" w:eastAsia="宋体" w:hint="default"/>
                <w:spacing w:val="-6"/>
                <w:sz w:val="18"/>
                <w:szCs w:val="18"/>
              </w:rPr>
              <w:t>作，以及销售团队新激励政策所致。</w:t>
            </w:r>
          </w:p>
        </w:tc>
      </w:tr>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70,902,340.55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8" w:right="0"/>
              <w:jc w:val="left"/>
              <w:rPr>
                <w:rFonts w:ascii="Times New Roman" w:hAnsi="Times New Roman" w:cs="Times New Roman" w:eastAsia="Times New Roman" w:hint="default"/>
                <w:sz w:val="18"/>
                <w:szCs w:val="18"/>
              </w:rPr>
            </w:pPr>
            <w:r>
              <w:rPr>
                <w:rFonts w:ascii="Times New Roman"/>
                <w:sz w:val="18"/>
              </w:rPr>
              <w:t>82,687,709.72</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-14.25%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主要是由于加强了费用管控所致。</w:t>
            </w:r>
          </w:p>
        </w:tc>
      </w:tr>
      <w:tr>
        <w:trPr>
          <w:trHeight w:val="712"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1,288,823.42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19" w:right="0"/>
              <w:jc w:val="left"/>
              <w:rPr>
                <w:rFonts w:ascii="Times New Roman" w:hAnsi="Times New Roman" w:cs="Times New Roman" w:eastAsia="Times New Roman" w:hint="default"/>
                <w:sz w:val="18"/>
                <w:szCs w:val="18"/>
              </w:rPr>
            </w:pPr>
            <w:r>
              <w:rPr>
                <w:rFonts w:ascii="Times New Roman"/>
                <w:sz w:val="18"/>
              </w:rPr>
              <w:t>-5,449,557.83</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123.65%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104"/>
              <w:jc w:val="left"/>
              <w:rPr>
                <w:rFonts w:ascii="宋体" w:hAnsi="宋体" w:cs="宋体" w:eastAsia="宋体" w:hint="default"/>
                <w:sz w:val="18"/>
                <w:szCs w:val="18"/>
              </w:rPr>
            </w:pPr>
            <w:r>
              <w:rPr>
                <w:rFonts w:ascii="宋体" w:hAnsi="宋体" w:cs="宋体" w:eastAsia="宋体" w:hint="default"/>
                <w:sz w:val="18"/>
                <w:szCs w:val="18"/>
              </w:rPr>
              <w:t>主要是由于本期利息支出增加，存 款利息减少所致。</w:t>
            </w:r>
          </w:p>
        </w:tc>
      </w:tr>
    </w:tbl>
    <w:p>
      <w:pPr>
        <w:spacing w:after="0" w:line="316" w:lineRule="auto"/>
        <w:jc w:val="left"/>
        <w:rPr>
          <w:rFonts w:ascii="宋体" w:hAnsi="宋体" w:cs="宋体" w:eastAsia="宋体" w:hint="default"/>
          <w:sz w:val="18"/>
          <w:szCs w:val="18"/>
        </w:rPr>
        <w:sectPr>
          <w:footerReference w:type="default" r:id="rId16"/>
          <w:pgSz w:w="11910" w:h="16840"/>
          <w:pgMar w:footer="1016" w:header="919" w:top="1120" w:bottom="1200" w:left="1020" w:right="0"/>
          <w:pgNumType w:start="2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1915"/>
        <w:gridCol w:w="1637"/>
        <w:gridCol w:w="1637"/>
        <w:gridCol w:w="1461"/>
        <w:gridCol w:w="2918"/>
      </w:tblGrid>
      <w:tr>
        <w:trPr>
          <w:trHeight w:val="356" w:hRule="exact"/>
        </w:trPr>
        <w:tc>
          <w:tcPr>
            <w:tcW w:w="1915"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tcBorders>
              <w:top w:val="single" w:sz="4" w:space="0" w:color="000000"/>
              <w:left w:val="single" w:sz="4" w:space="0" w:color="000000"/>
              <w:bottom w:val="nil" w:sz="6" w:space="0" w:color="auto"/>
              <w:right w:val="single" w:sz="4" w:space="0" w:color="000000"/>
            </w:tcBorders>
          </w:tcPr>
          <w:p>
            <w:pPr/>
          </w:p>
        </w:tc>
        <w:tc>
          <w:tcPr>
            <w:tcW w:w="1637" w:type="dxa"/>
            <w:tcBorders>
              <w:top w:val="single" w:sz="4" w:space="0" w:color="000000"/>
              <w:left w:val="single" w:sz="4" w:space="0" w:color="000000"/>
              <w:bottom w:val="nil" w:sz="6" w:space="0" w:color="auto"/>
              <w:right w:val="single" w:sz="4" w:space="0" w:color="000000"/>
            </w:tcBorders>
          </w:tcPr>
          <w:p>
            <w:pPr/>
          </w:p>
        </w:tc>
        <w:tc>
          <w:tcPr>
            <w:tcW w:w="1461" w:type="dxa"/>
            <w:tcBorders>
              <w:top w:val="single" w:sz="4" w:space="0" w:color="000000"/>
              <w:left w:val="single" w:sz="4" w:space="0" w:color="000000"/>
              <w:bottom w:val="nil" w:sz="6" w:space="0" w:color="auto"/>
              <w:right w:val="single" w:sz="4" w:space="0" w:color="000000"/>
            </w:tcBorders>
          </w:tcPr>
          <w:p>
            <w:pPr/>
          </w:p>
        </w:tc>
        <w:tc>
          <w:tcPr>
            <w:tcW w:w="29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公司持续加大研发投入，着力加强</w:t>
            </w:r>
          </w:p>
        </w:tc>
      </w:tr>
      <w:tr>
        <w:trPr>
          <w:trHeight w:val="317" w:hRule="exact"/>
        </w:trPr>
        <w:tc>
          <w:tcPr>
            <w:tcW w:w="19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399" w:right="0"/>
              <w:jc w:val="left"/>
              <w:rPr>
                <w:rFonts w:ascii="Times New Roman" w:hAnsi="Times New Roman" w:cs="Times New Roman" w:eastAsia="Times New Roman" w:hint="default"/>
                <w:sz w:val="18"/>
                <w:szCs w:val="18"/>
              </w:rPr>
            </w:pPr>
            <w:r>
              <w:rPr>
                <w:rFonts w:ascii="Times New Roman"/>
                <w:sz w:val="18"/>
              </w:rPr>
              <w:t>288,913,967.42</w:t>
            </w:r>
          </w:p>
        </w:tc>
        <w:tc>
          <w:tcPr>
            <w:tcW w:w="16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399" w:right="0"/>
              <w:jc w:val="left"/>
              <w:rPr>
                <w:rFonts w:ascii="Times New Roman" w:hAnsi="Times New Roman" w:cs="Times New Roman" w:eastAsia="Times New Roman" w:hint="default"/>
                <w:sz w:val="18"/>
                <w:szCs w:val="18"/>
              </w:rPr>
            </w:pPr>
            <w:r>
              <w:rPr>
                <w:rFonts w:ascii="Times New Roman"/>
                <w:sz w:val="18"/>
              </w:rPr>
              <w:t>230,379,106.38</w:t>
            </w:r>
          </w:p>
        </w:tc>
        <w:tc>
          <w:tcPr>
            <w:tcW w:w="1461"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793" w:right="0"/>
              <w:jc w:val="left"/>
              <w:rPr>
                <w:rFonts w:ascii="Times New Roman" w:hAnsi="Times New Roman" w:cs="Times New Roman" w:eastAsia="Times New Roman" w:hint="default"/>
                <w:sz w:val="18"/>
                <w:szCs w:val="18"/>
              </w:rPr>
            </w:pPr>
            <w:r>
              <w:rPr>
                <w:rFonts w:ascii="Times New Roman"/>
                <w:sz w:val="18"/>
              </w:rPr>
              <w:t>25.41%</w:t>
            </w: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整体研发能力建设</w:t>
            </w:r>
            <w:r>
              <w:rPr>
                <w:rFonts w:ascii="宋体" w:hAnsi="宋体" w:cs="宋体" w:eastAsia="宋体" w:hint="default"/>
                <w:spacing w:val="-87"/>
                <w:sz w:val="18"/>
                <w:szCs w:val="18"/>
              </w:rPr>
              <w:t>，</w:t>
            </w:r>
            <w:r>
              <w:rPr>
                <w:rFonts w:ascii="宋体" w:hAnsi="宋体" w:cs="宋体" w:eastAsia="宋体" w:hint="default"/>
                <w:sz w:val="18"/>
                <w:szCs w:val="18"/>
              </w:rPr>
              <w:t>提高产品创新、</w:t>
            </w:r>
          </w:p>
        </w:tc>
      </w:tr>
      <w:tr>
        <w:trPr>
          <w:trHeight w:val="353" w:hRule="exact"/>
        </w:trPr>
        <w:tc>
          <w:tcPr>
            <w:tcW w:w="19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tcBorders>
              <w:top w:val="nil" w:sz="6" w:space="0" w:color="auto"/>
              <w:left w:val="single" w:sz="4" w:space="0" w:color="000000"/>
              <w:bottom w:val="single" w:sz="4" w:space="0" w:color="000000"/>
              <w:right w:val="single" w:sz="4" w:space="0" w:color="000000"/>
            </w:tcBorders>
          </w:tcPr>
          <w:p>
            <w:pPr/>
          </w:p>
        </w:tc>
        <w:tc>
          <w:tcPr>
            <w:tcW w:w="1637" w:type="dxa"/>
            <w:tcBorders>
              <w:top w:val="nil" w:sz="6" w:space="0" w:color="auto"/>
              <w:left w:val="single" w:sz="4" w:space="0" w:color="000000"/>
              <w:bottom w:val="single" w:sz="4" w:space="0" w:color="000000"/>
              <w:right w:val="single" w:sz="4" w:space="0" w:color="000000"/>
            </w:tcBorders>
          </w:tcPr>
          <w:p>
            <w:pPr/>
          </w:p>
        </w:tc>
        <w:tc>
          <w:tcPr>
            <w:tcW w:w="1461" w:type="dxa"/>
            <w:tcBorders>
              <w:top w:val="nil" w:sz="6" w:space="0" w:color="auto"/>
              <w:left w:val="single" w:sz="4" w:space="0" w:color="000000"/>
              <w:bottom w:val="single" w:sz="4" w:space="0" w:color="000000"/>
              <w:right w:val="single" w:sz="4" w:space="0" w:color="000000"/>
            </w:tcBorders>
          </w:tcPr>
          <w:p>
            <w:pPr/>
          </w:p>
        </w:tc>
        <w:tc>
          <w:tcPr>
            <w:tcW w:w="29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技术创新和服务创新水平。</w:t>
            </w:r>
          </w:p>
        </w:tc>
      </w:tr>
    </w:tbl>
    <w:p>
      <w:pPr>
        <w:spacing w:line="240" w:lineRule="auto" w:before="4"/>
        <w:rPr>
          <w:rFonts w:ascii="宋体" w:hAnsi="宋体" w:cs="宋体" w:eastAsia="宋体" w:hint="default"/>
          <w:sz w:val="19"/>
          <w:szCs w:val="19"/>
        </w:rPr>
      </w:pPr>
    </w:p>
    <w:p>
      <w:pPr>
        <w:pStyle w:val="Heading3"/>
        <w:spacing w:line="240" w:lineRule="auto" w:before="34"/>
        <w:ind w:right="915"/>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472" w:right="915" w:hanging="360"/>
        <w:jc w:val="left"/>
      </w:pPr>
      <w:r>
        <w:rPr/>
        <w:t>√ 适用 □ 不适用 </w:t>
      </w:r>
      <w:r>
        <w:rPr>
          <w:spacing w:val="-2"/>
        </w:rPr>
        <w:t>公司自成立以来，高度重视对产品研发的投入和自身研发综合能力的提高，公司销售软件产品均为自主研发。2019年公</w:t>
      </w:r>
    </w:p>
    <w:p>
      <w:pPr>
        <w:pStyle w:val="BodyText"/>
        <w:spacing w:line="224" w:lineRule="exact"/>
        <w:ind w:right="915"/>
        <w:jc w:val="left"/>
      </w:pPr>
      <w:r>
        <w:rPr/>
        <w:t>司研发支出28,891.40万元，占营业收入的比例为44.07%，公司研发投入占营业收入比例增长。2019年度取得软件著作权54</w:t>
      </w:r>
    </w:p>
    <w:p>
      <w:pPr>
        <w:pStyle w:val="BodyText"/>
        <w:spacing w:line="316" w:lineRule="auto" w:before="76"/>
        <w:ind w:right="1124"/>
        <w:jc w:val="left"/>
      </w:pPr>
      <w:r>
        <w:rPr/>
        <w:t>项，截止报告期末，公司累计取得软件著作权337项。报告期内，根据一贯性原则和谨慎性原则，公司当期研发费用全部计 入当期管理费用，未予以资本化。</w:t>
      </w:r>
    </w:p>
    <w:p>
      <w:pPr>
        <w:spacing w:line="240" w:lineRule="auto" w:before="0"/>
        <w:rPr>
          <w:rFonts w:ascii="宋体" w:hAnsi="宋体" w:cs="宋体" w:eastAsia="宋体" w:hint="default"/>
          <w:sz w:val="18"/>
          <w:szCs w:val="18"/>
        </w:rPr>
      </w:pPr>
    </w:p>
    <w:p>
      <w:pPr>
        <w:pStyle w:val="BodyText"/>
        <w:spacing w:line="240" w:lineRule="auto" w:before="136"/>
        <w:ind w:right="915"/>
        <w:jc w:val="left"/>
      </w:pPr>
      <w:r>
        <w:rPr/>
        <w:t>近三年公司研发投入金额及占营业收入的比例</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1,529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1,453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1,418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62.13%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67.18%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72.20%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288,913,967.42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230,379,106.38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192,527,309.75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44.07%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36.05%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35.85%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pacing w:val="-6"/>
                <w:sz w:val="18"/>
                <w:szCs w:val="18"/>
              </w:rPr>
              <w:t>研发支出资本化的金额（元）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 w:right="118"/>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18"/>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2"/>
        <w:ind w:right="915"/>
        <w:jc w:val="left"/>
      </w:pPr>
      <w:r>
        <w:rPr/>
        <w:t>研发投入总额占营业收入的比重较上年发生显著变化的原因</w:t>
      </w:r>
    </w:p>
    <w:p>
      <w:pPr>
        <w:pStyle w:val="BodyText"/>
        <w:spacing w:line="360" w:lineRule="auto" w:before="115"/>
        <w:ind w:right="6794"/>
        <w:jc w:val="left"/>
      </w:pPr>
      <w:r>
        <w:rPr/>
        <w:t>□ 适用 √ 不适用 研发投入资本化率大幅变动的原因及其合理性说明</w:t>
      </w:r>
    </w:p>
    <w:p>
      <w:pPr>
        <w:pStyle w:val="BodyText"/>
        <w:spacing w:line="240" w:lineRule="auto" w:before="27"/>
        <w:ind w:right="915"/>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915"/>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820,312,819.02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627,728,042.66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30.68%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695,725,900.70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676,772,931.00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2.80%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18"/>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124,586,918.32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-49,044,888.34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354.03%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883,105,369.49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311,528,666.49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183.47%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737,649,683.27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792,186,096.69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-6.88%</w:t>
            </w:r>
          </w:p>
        </w:tc>
      </w:tr>
      <w:tr>
        <w:trPr>
          <w:trHeight w:val="400"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0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145,455,686.22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-480,657,430.20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130.26%</w:t>
            </w:r>
          </w:p>
        </w:tc>
      </w:tr>
    </w:tbl>
    <w:p>
      <w:pPr>
        <w:spacing w:after="0" w:line="240" w:lineRule="auto"/>
        <w:jc w:val="right"/>
        <w:rPr>
          <w:rFonts w:ascii="Times New Roman" w:hAnsi="Times New Roman" w:cs="Times New Roman" w:eastAsia="Times New Roman" w:hint="default"/>
          <w:sz w:val="18"/>
          <w:szCs w:val="18"/>
        </w:rPr>
        <w:sectPr>
          <w:pgSz w:w="11910" w:h="16840"/>
          <w:pgMar w:header="919" w:footer="1016"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36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330,000,000.00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235,520,000.00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40.12%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499,963,549.07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120,764,765.77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314.00%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18"/>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-169,963,549.07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114,755,234.23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w w:val="95"/>
                <w:sz w:val="18"/>
              </w:rPr>
              <w:t>-248.11%</w:t>
            </w:r>
            <w:r>
              <w:rPr>
                <w:rFonts w:ascii="Times New Roman"/>
                <w:spacing w:val="-1"/>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100,079,055.49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-414,947,084.25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124.12%</w:t>
            </w:r>
          </w:p>
        </w:tc>
      </w:tr>
    </w:tbl>
    <w:p>
      <w:pPr>
        <w:pStyle w:val="BodyText"/>
        <w:spacing w:line="240" w:lineRule="auto" w:before="50"/>
        <w:ind w:right="915"/>
        <w:jc w:val="left"/>
      </w:pPr>
      <w:r>
        <w:rPr/>
        <w:t>相关数据同比发生重大变动的主要影响因素说明</w:t>
      </w:r>
    </w:p>
    <w:p>
      <w:pPr>
        <w:pStyle w:val="BodyText"/>
        <w:spacing w:line="360" w:lineRule="auto" w:before="117"/>
        <w:ind w:right="4274"/>
        <w:jc w:val="left"/>
      </w:pPr>
      <w:r>
        <w:rPr/>
        <w:t>□ 适用 √ 不适用 报告期内公司经营活动产生的现金净流量与本年度净利润存在重大差异的原因说明</w:t>
      </w:r>
    </w:p>
    <w:p>
      <w:pPr>
        <w:pStyle w:val="BodyText"/>
        <w:spacing w:line="240" w:lineRule="auto" w:before="25"/>
        <w:ind w:right="915"/>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915"/>
        <w:jc w:val="left"/>
        <w:rPr>
          <w:b w:val="0"/>
          <w:bCs w:val="0"/>
        </w:rPr>
      </w:pPr>
      <w:bookmarkStart w:name="三、非主营业务情况" w:id="39"/>
      <w:bookmarkEnd w:id="39"/>
      <w:r>
        <w:rPr>
          <w:b w:val="0"/>
          <w:bCs w:val="0"/>
        </w:rPr>
      </w:r>
      <w:r>
        <w:rPr/>
        <w:t>三、非主营业务情况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915"/>
        <w:jc w:val="left"/>
      </w:pPr>
      <w:r>
        <w:rPr/>
        <w:t>√ 适用 □ 不适用</w:t>
      </w:r>
    </w:p>
    <w:p>
      <w:pPr>
        <w:pStyle w:val="BodyText"/>
        <w:spacing w:line="240" w:lineRule="auto" w:before="115"/>
        <w:ind w:left="0" w:right="113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23"/>
        <w:gridCol w:w="1916"/>
        <w:gridCol w:w="1623"/>
        <w:gridCol w:w="2166"/>
        <w:gridCol w:w="2340"/>
      </w:tblGrid>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8"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5"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361" w:hRule="exact"/>
        </w:trPr>
        <w:tc>
          <w:tcPr>
            <w:tcW w:w="152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tcPr>
          <w:p>
            <w:pPr/>
          </w:p>
        </w:tc>
        <w:tc>
          <w:tcPr>
            <w:tcW w:w="1623" w:type="dxa"/>
            <w:tcBorders>
              <w:top w:val="single" w:sz="4" w:space="0" w:color="000000"/>
              <w:left w:val="single" w:sz="4" w:space="0" w:color="000000"/>
              <w:bottom w:val="nil" w:sz="6" w:space="0" w:color="auto"/>
              <w:right w:val="single" w:sz="4" w:space="0" w:color="000000"/>
            </w:tcBorders>
          </w:tcPr>
          <w:p>
            <w:pPr/>
          </w:p>
        </w:tc>
        <w:tc>
          <w:tcPr>
            <w:tcW w:w="21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、对联营公司按权益法</w:t>
            </w:r>
          </w:p>
        </w:tc>
        <w:tc>
          <w:tcPr>
            <w:tcW w:w="234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523" w:type="dxa"/>
            <w:tcBorders>
              <w:top w:val="nil" w:sz="6" w:space="0" w:color="auto"/>
              <w:left w:val="single" w:sz="4" w:space="0" w:color="000000"/>
              <w:bottom w:val="nil" w:sz="6" w:space="0" w:color="auto"/>
              <w:right w:val="single" w:sz="4" w:space="0" w:color="000000"/>
            </w:tcBorders>
            <w:shd w:val="clear" w:color="auto" w:fill="D2D2D2"/>
          </w:tcPr>
          <w:p>
            <w:pPr/>
          </w:p>
        </w:tc>
        <w:tc>
          <w:tcPr>
            <w:tcW w:w="1916" w:type="dxa"/>
            <w:tcBorders>
              <w:top w:val="nil" w:sz="6" w:space="0" w:color="auto"/>
              <w:left w:val="single" w:sz="4" w:space="0" w:color="000000"/>
              <w:bottom w:val="nil" w:sz="6" w:space="0" w:color="auto"/>
              <w:right w:val="single" w:sz="4" w:space="0" w:color="000000"/>
            </w:tcBorders>
          </w:tcPr>
          <w:p>
            <w:pPr/>
          </w:p>
        </w:tc>
        <w:tc>
          <w:tcPr>
            <w:tcW w:w="1623" w:type="dxa"/>
            <w:tcBorders>
              <w:top w:val="nil" w:sz="6" w:space="0" w:color="auto"/>
              <w:left w:val="single" w:sz="4" w:space="0" w:color="000000"/>
              <w:bottom w:val="nil" w:sz="6" w:space="0" w:color="auto"/>
              <w:right w:val="single" w:sz="4" w:space="0" w:color="000000"/>
            </w:tcBorders>
          </w:tcPr>
          <w:p>
            <w:pPr/>
          </w:p>
        </w:tc>
        <w:tc>
          <w:tcPr>
            <w:tcW w:w="21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计提的投资收益；</w:t>
            </w:r>
            <w:r>
              <w:rPr>
                <w:rFonts w:ascii="Times New Roman" w:hAnsi="Times New Roman" w:cs="Times New Roman" w:eastAsia="Times New Roman" w:hint="default"/>
                <w:sz w:val="18"/>
                <w:szCs w:val="18"/>
              </w:rPr>
              <w:t>2</w:t>
            </w:r>
            <w:r>
              <w:rPr>
                <w:rFonts w:ascii="宋体" w:hAnsi="宋体" w:cs="宋体" w:eastAsia="宋体" w:hint="default"/>
                <w:sz w:val="18"/>
                <w:szCs w:val="18"/>
              </w:rPr>
              <w:t>、理</w:t>
            </w:r>
          </w:p>
        </w:tc>
        <w:tc>
          <w:tcPr>
            <w:tcW w:w="234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23" w:type="dxa"/>
            <w:tcBorders>
              <w:top w:val="nil" w:sz="6" w:space="0" w:color="auto"/>
              <w:left w:val="single" w:sz="4" w:space="0" w:color="000000"/>
              <w:bottom w:val="nil" w:sz="6" w:space="0" w:color="auto"/>
              <w:right w:val="single" w:sz="4" w:space="0" w:color="000000"/>
            </w:tcBorders>
            <w:shd w:val="clear" w:color="auto" w:fill="D2D2D2"/>
          </w:tcPr>
          <w:p>
            <w:pPr/>
          </w:p>
        </w:tc>
        <w:tc>
          <w:tcPr>
            <w:tcW w:w="1916" w:type="dxa"/>
            <w:tcBorders>
              <w:top w:val="nil" w:sz="6" w:space="0" w:color="auto"/>
              <w:left w:val="single" w:sz="4" w:space="0" w:color="000000"/>
              <w:bottom w:val="nil" w:sz="6" w:space="0" w:color="auto"/>
              <w:right w:val="single" w:sz="4" w:space="0" w:color="000000"/>
            </w:tcBorders>
          </w:tcPr>
          <w:p>
            <w:pPr/>
          </w:p>
        </w:tc>
        <w:tc>
          <w:tcPr>
            <w:tcW w:w="1623" w:type="dxa"/>
            <w:tcBorders>
              <w:top w:val="nil" w:sz="6" w:space="0" w:color="auto"/>
              <w:left w:val="single" w:sz="4" w:space="0" w:color="000000"/>
              <w:bottom w:val="nil" w:sz="6" w:space="0" w:color="auto"/>
              <w:right w:val="single" w:sz="4" w:space="0" w:color="000000"/>
            </w:tcBorders>
          </w:tcPr>
          <w:p>
            <w:pPr/>
          </w:p>
        </w:tc>
        <w:tc>
          <w:tcPr>
            <w:tcW w:w="21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财产品的收益；</w:t>
            </w:r>
            <w:r>
              <w:rPr>
                <w:rFonts w:ascii="Times New Roman" w:hAnsi="Times New Roman" w:cs="Times New Roman" w:eastAsia="Times New Roman" w:hint="default"/>
                <w:sz w:val="18"/>
                <w:szCs w:val="18"/>
              </w:rPr>
              <w:t>3</w:t>
            </w:r>
            <w:r>
              <w:rPr>
                <w:rFonts w:ascii="宋体" w:hAnsi="宋体" w:cs="宋体" w:eastAsia="宋体" w:hint="default"/>
                <w:sz w:val="18"/>
                <w:szCs w:val="18"/>
              </w:rPr>
              <w:t>、北京</w:t>
            </w:r>
          </w:p>
        </w:tc>
        <w:tc>
          <w:tcPr>
            <w:tcW w:w="2340" w:type="dxa"/>
            <w:tcBorders>
              <w:top w:val="nil" w:sz="6" w:space="0" w:color="auto"/>
              <w:left w:val="single" w:sz="4" w:space="0" w:color="000000"/>
              <w:bottom w:val="nil" w:sz="6" w:space="0" w:color="auto"/>
              <w:right w:val="single" w:sz="4" w:space="0" w:color="000000"/>
            </w:tcBorders>
          </w:tcPr>
          <w:p>
            <w:pPr/>
          </w:p>
        </w:tc>
      </w:tr>
      <w:tr>
        <w:trPr>
          <w:trHeight w:val="931" w:hRule="exact"/>
        </w:trPr>
        <w:tc>
          <w:tcPr>
            <w:tcW w:w="15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128,265,842.55</w:t>
            </w:r>
          </w:p>
        </w:tc>
        <w:tc>
          <w:tcPr>
            <w:tcW w:w="162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99"/>
              <w:jc w:val="right"/>
              <w:rPr>
                <w:rFonts w:ascii="Times New Roman" w:hAnsi="Times New Roman" w:cs="Times New Roman" w:eastAsia="Times New Roman" w:hint="default"/>
                <w:sz w:val="18"/>
                <w:szCs w:val="18"/>
              </w:rPr>
            </w:pPr>
            <w:r>
              <w:rPr>
                <w:rFonts w:ascii="Times New Roman"/>
                <w:spacing w:val="-1"/>
                <w:sz w:val="18"/>
              </w:rPr>
              <w:t>105.49%</w:t>
            </w:r>
          </w:p>
        </w:tc>
        <w:tc>
          <w:tcPr>
            <w:tcW w:w="2166"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103" w:right="101"/>
              <w:jc w:val="left"/>
              <w:rPr>
                <w:rFonts w:ascii="宋体" w:hAnsi="宋体" w:cs="宋体" w:eastAsia="宋体" w:hint="default"/>
                <w:sz w:val="18"/>
                <w:szCs w:val="18"/>
              </w:rPr>
            </w:pPr>
            <w:r>
              <w:rPr>
                <w:rFonts w:ascii="宋体" w:hAnsi="宋体" w:cs="宋体" w:eastAsia="宋体" w:hint="default"/>
                <w:sz w:val="18"/>
                <w:szCs w:val="18"/>
              </w:rPr>
              <w:t>东方金信科技有限公司 股权被动稀释且公司对 </w:t>
            </w:r>
            <w:r>
              <w:rPr>
                <w:rFonts w:ascii="宋体" w:hAnsi="宋体" w:cs="宋体" w:eastAsia="宋体" w:hint="default"/>
                <w:spacing w:val="-3"/>
                <w:sz w:val="18"/>
                <w:szCs w:val="18"/>
              </w:rPr>
              <w:t>其失去重大影响，公司对</w:t>
            </w:r>
          </w:p>
        </w:tc>
        <w:tc>
          <w:tcPr>
            <w:tcW w:w="2340" w:type="dxa"/>
            <w:tcBorders>
              <w:top w:val="nil" w:sz="6" w:space="0" w:color="auto"/>
              <w:left w:val="single" w:sz="4" w:space="0" w:color="000000"/>
              <w:bottom w:val="nil" w:sz="6" w:space="0" w:color="auto"/>
              <w:right w:val="single" w:sz="4" w:space="0" w:color="000000"/>
            </w:tcBorders>
          </w:tcPr>
          <w:p>
            <w:pPr>
              <w:pStyle w:val="TableParagraph"/>
              <w:spacing w:line="316" w:lineRule="auto" w:before="161"/>
              <w:ind w:left="102" w:right="245"/>
              <w:jc w:val="left"/>
              <w:rPr>
                <w:rFonts w:ascii="宋体" w:hAnsi="宋体" w:cs="宋体" w:eastAsia="宋体" w:hint="default"/>
                <w:sz w:val="18"/>
                <w:szCs w:val="18"/>
              </w:rPr>
            </w:pPr>
            <w:r>
              <w:rPr>
                <w:rFonts w:ascii="宋体" w:hAnsi="宋体" w:cs="宋体" w:eastAsia="宋体" w:hint="default"/>
                <w:sz w:val="18"/>
                <w:szCs w:val="18"/>
              </w:rPr>
              <w:t>按权益法计提的投资收益 具有一定的可持续</w:t>
            </w:r>
          </w:p>
        </w:tc>
      </w:tr>
      <w:tr>
        <w:trPr>
          <w:trHeight w:val="312" w:hRule="exact"/>
        </w:trPr>
        <w:tc>
          <w:tcPr>
            <w:tcW w:w="1523" w:type="dxa"/>
            <w:tcBorders>
              <w:top w:val="nil" w:sz="6" w:space="0" w:color="auto"/>
              <w:left w:val="single" w:sz="4" w:space="0" w:color="000000"/>
              <w:bottom w:val="nil" w:sz="6" w:space="0" w:color="auto"/>
              <w:right w:val="single" w:sz="4" w:space="0" w:color="000000"/>
            </w:tcBorders>
            <w:shd w:val="clear" w:color="auto" w:fill="D2D2D2"/>
          </w:tcPr>
          <w:p>
            <w:pPr/>
          </w:p>
        </w:tc>
        <w:tc>
          <w:tcPr>
            <w:tcW w:w="1916" w:type="dxa"/>
            <w:tcBorders>
              <w:top w:val="nil" w:sz="6" w:space="0" w:color="auto"/>
              <w:left w:val="single" w:sz="4" w:space="0" w:color="000000"/>
              <w:bottom w:val="nil" w:sz="6" w:space="0" w:color="auto"/>
              <w:right w:val="single" w:sz="4" w:space="0" w:color="000000"/>
            </w:tcBorders>
          </w:tcPr>
          <w:p>
            <w:pPr/>
          </w:p>
        </w:tc>
        <w:tc>
          <w:tcPr>
            <w:tcW w:w="1623" w:type="dxa"/>
            <w:tcBorders>
              <w:top w:val="nil" w:sz="6" w:space="0" w:color="auto"/>
              <w:left w:val="single" w:sz="4" w:space="0" w:color="000000"/>
              <w:bottom w:val="nil" w:sz="6" w:space="0" w:color="auto"/>
              <w:right w:val="single" w:sz="4" w:space="0" w:color="000000"/>
            </w:tcBorders>
          </w:tcPr>
          <w:p>
            <w:pPr/>
          </w:p>
        </w:tc>
        <w:tc>
          <w:tcPr>
            <w:tcW w:w="21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其在丧失重大影响之日</w:t>
            </w:r>
          </w:p>
        </w:tc>
        <w:tc>
          <w:tcPr>
            <w:tcW w:w="234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23" w:type="dxa"/>
            <w:tcBorders>
              <w:top w:val="nil" w:sz="6" w:space="0" w:color="auto"/>
              <w:left w:val="single" w:sz="4" w:space="0" w:color="000000"/>
              <w:bottom w:val="nil" w:sz="6" w:space="0" w:color="auto"/>
              <w:right w:val="single" w:sz="4" w:space="0" w:color="000000"/>
            </w:tcBorders>
            <w:shd w:val="clear" w:color="auto" w:fill="D2D2D2"/>
          </w:tcPr>
          <w:p>
            <w:pPr/>
          </w:p>
        </w:tc>
        <w:tc>
          <w:tcPr>
            <w:tcW w:w="1916" w:type="dxa"/>
            <w:tcBorders>
              <w:top w:val="nil" w:sz="6" w:space="0" w:color="auto"/>
              <w:left w:val="single" w:sz="4" w:space="0" w:color="000000"/>
              <w:bottom w:val="nil" w:sz="6" w:space="0" w:color="auto"/>
              <w:right w:val="single" w:sz="4" w:space="0" w:color="000000"/>
            </w:tcBorders>
          </w:tcPr>
          <w:p>
            <w:pPr/>
          </w:p>
        </w:tc>
        <w:tc>
          <w:tcPr>
            <w:tcW w:w="1623" w:type="dxa"/>
            <w:tcBorders>
              <w:top w:val="nil" w:sz="6" w:space="0" w:color="auto"/>
              <w:left w:val="single" w:sz="4" w:space="0" w:color="000000"/>
              <w:bottom w:val="nil" w:sz="6" w:space="0" w:color="auto"/>
              <w:right w:val="single" w:sz="4" w:space="0" w:color="000000"/>
            </w:tcBorders>
          </w:tcPr>
          <w:p>
            <w:pPr/>
          </w:p>
        </w:tc>
        <w:tc>
          <w:tcPr>
            <w:tcW w:w="21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的公允价值与账面价值</w:t>
            </w:r>
          </w:p>
        </w:tc>
        <w:tc>
          <w:tcPr>
            <w:tcW w:w="2340"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52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tcPr>
          <w:p>
            <w:pPr/>
          </w:p>
        </w:tc>
        <w:tc>
          <w:tcPr>
            <w:tcW w:w="1623" w:type="dxa"/>
            <w:tcBorders>
              <w:top w:val="nil" w:sz="6" w:space="0" w:color="auto"/>
              <w:left w:val="single" w:sz="4" w:space="0" w:color="000000"/>
              <w:bottom w:val="single" w:sz="4" w:space="0" w:color="000000"/>
              <w:right w:val="single" w:sz="4" w:space="0" w:color="000000"/>
            </w:tcBorders>
          </w:tcPr>
          <w:p>
            <w:pPr/>
          </w:p>
        </w:tc>
        <w:tc>
          <w:tcPr>
            <w:tcW w:w="21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的差额计入投资收益</w:t>
            </w:r>
          </w:p>
        </w:tc>
        <w:tc>
          <w:tcPr>
            <w:tcW w:w="2340"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52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tcPr>
          <w:p>
            <w:pPr/>
          </w:p>
        </w:tc>
        <w:tc>
          <w:tcPr>
            <w:tcW w:w="1623" w:type="dxa"/>
            <w:tcBorders>
              <w:top w:val="single" w:sz="4" w:space="0" w:color="000000"/>
              <w:left w:val="single" w:sz="4" w:space="0" w:color="000000"/>
              <w:bottom w:val="nil" w:sz="6" w:space="0" w:color="auto"/>
              <w:right w:val="single" w:sz="4" w:space="0" w:color="000000"/>
            </w:tcBorders>
          </w:tcPr>
          <w:p>
            <w:pPr/>
          </w:p>
        </w:tc>
        <w:tc>
          <w:tcPr>
            <w:tcW w:w="21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结构性存款产生的公允</w:t>
            </w:r>
          </w:p>
        </w:tc>
        <w:tc>
          <w:tcPr>
            <w:tcW w:w="234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523" w:type="dxa"/>
            <w:tcBorders>
              <w:top w:val="nil" w:sz="6" w:space="0" w:color="auto"/>
              <w:left w:val="single" w:sz="4" w:space="0" w:color="000000"/>
              <w:bottom w:val="nil" w:sz="6" w:space="0" w:color="auto"/>
              <w:right w:val="single" w:sz="4" w:space="0" w:color="000000"/>
            </w:tcBorders>
            <w:shd w:val="clear" w:color="auto" w:fill="D2D2D2"/>
          </w:tcPr>
          <w:p>
            <w:pPr/>
          </w:p>
        </w:tc>
        <w:tc>
          <w:tcPr>
            <w:tcW w:w="1916" w:type="dxa"/>
            <w:tcBorders>
              <w:top w:val="nil" w:sz="6" w:space="0" w:color="auto"/>
              <w:left w:val="single" w:sz="4" w:space="0" w:color="000000"/>
              <w:bottom w:val="nil" w:sz="6" w:space="0" w:color="auto"/>
              <w:right w:val="single" w:sz="4" w:space="0" w:color="000000"/>
            </w:tcBorders>
          </w:tcPr>
          <w:p>
            <w:pPr/>
          </w:p>
        </w:tc>
        <w:tc>
          <w:tcPr>
            <w:tcW w:w="1623" w:type="dxa"/>
            <w:tcBorders>
              <w:top w:val="nil" w:sz="6" w:space="0" w:color="auto"/>
              <w:left w:val="single" w:sz="4" w:space="0" w:color="000000"/>
              <w:bottom w:val="nil" w:sz="6" w:space="0" w:color="auto"/>
              <w:right w:val="single" w:sz="4" w:space="0" w:color="000000"/>
            </w:tcBorders>
          </w:tcPr>
          <w:p>
            <w:pPr/>
          </w:p>
        </w:tc>
        <w:tc>
          <w:tcPr>
            <w:tcW w:w="21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价值变动收益及其他非</w:t>
            </w:r>
          </w:p>
        </w:tc>
        <w:tc>
          <w:tcPr>
            <w:tcW w:w="2340"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5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101" w:right="149"/>
              <w:jc w:val="left"/>
              <w:rPr>
                <w:rFonts w:ascii="宋体" w:hAnsi="宋体" w:cs="宋体" w:eastAsia="宋体" w:hint="default"/>
                <w:sz w:val="18"/>
                <w:szCs w:val="18"/>
              </w:rPr>
            </w:pPr>
            <w:r>
              <w:rPr>
                <w:rFonts w:ascii="宋体" w:hAnsi="宋体" w:cs="宋体" w:eastAsia="宋体" w:hint="default"/>
                <w:sz w:val="18"/>
                <w:szCs w:val="18"/>
              </w:rPr>
              <w:t>公允价值变动损 益</w:t>
            </w:r>
          </w:p>
        </w:tc>
        <w:tc>
          <w:tcPr>
            <w:tcW w:w="19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-6,339,725.32</w:t>
            </w:r>
          </w:p>
        </w:tc>
        <w:tc>
          <w:tcPr>
            <w:tcW w:w="16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-5.21%</w:t>
            </w:r>
          </w:p>
        </w:tc>
        <w:tc>
          <w:tcPr>
            <w:tcW w:w="216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pacing w:val="-3"/>
                <w:sz w:val="18"/>
                <w:szCs w:val="18"/>
              </w:rPr>
              <w:t>流动金融资产（对河南永</w:t>
            </w:r>
            <w:r>
              <w:rPr>
                <w:rFonts w:ascii="宋体" w:hAnsi="宋体" w:cs="宋体" w:eastAsia="宋体" w:hint="default"/>
                <w:sz w:val="18"/>
                <w:szCs w:val="18"/>
              </w:rPr>
              <w:t> 达美基食品股份有限公</w:t>
            </w:r>
          </w:p>
        </w:tc>
        <w:tc>
          <w:tcPr>
            <w:tcW w:w="234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不确定</w:t>
            </w:r>
          </w:p>
        </w:tc>
      </w:tr>
      <w:tr>
        <w:trPr>
          <w:trHeight w:val="312" w:hRule="exact"/>
        </w:trPr>
        <w:tc>
          <w:tcPr>
            <w:tcW w:w="1523" w:type="dxa"/>
            <w:tcBorders>
              <w:top w:val="nil" w:sz="6" w:space="0" w:color="auto"/>
              <w:left w:val="single" w:sz="4" w:space="0" w:color="000000"/>
              <w:bottom w:val="nil" w:sz="6" w:space="0" w:color="auto"/>
              <w:right w:val="single" w:sz="4" w:space="0" w:color="000000"/>
            </w:tcBorders>
            <w:shd w:val="clear" w:color="auto" w:fill="D2D2D2"/>
          </w:tcPr>
          <w:p>
            <w:pPr/>
          </w:p>
        </w:tc>
        <w:tc>
          <w:tcPr>
            <w:tcW w:w="1916" w:type="dxa"/>
            <w:tcBorders>
              <w:top w:val="nil" w:sz="6" w:space="0" w:color="auto"/>
              <w:left w:val="single" w:sz="4" w:space="0" w:color="000000"/>
              <w:bottom w:val="nil" w:sz="6" w:space="0" w:color="auto"/>
              <w:right w:val="single" w:sz="4" w:space="0" w:color="000000"/>
            </w:tcBorders>
          </w:tcPr>
          <w:p>
            <w:pPr/>
          </w:p>
        </w:tc>
        <w:tc>
          <w:tcPr>
            <w:tcW w:w="1623" w:type="dxa"/>
            <w:tcBorders>
              <w:top w:val="nil" w:sz="6" w:space="0" w:color="auto"/>
              <w:left w:val="single" w:sz="4" w:space="0" w:color="000000"/>
              <w:bottom w:val="nil" w:sz="6" w:space="0" w:color="auto"/>
              <w:right w:val="single" w:sz="4" w:space="0" w:color="000000"/>
            </w:tcBorders>
          </w:tcPr>
          <w:p>
            <w:pPr/>
          </w:p>
        </w:tc>
        <w:tc>
          <w:tcPr>
            <w:tcW w:w="21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3"/>
                <w:sz w:val="18"/>
                <w:szCs w:val="18"/>
              </w:rPr>
              <w:t>司投资）产生的公允价值</w:t>
            </w:r>
          </w:p>
        </w:tc>
        <w:tc>
          <w:tcPr>
            <w:tcW w:w="2340"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52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tcPr>
          <w:p>
            <w:pPr/>
          </w:p>
        </w:tc>
        <w:tc>
          <w:tcPr>
            <w:tcW w:w="1623" w:type="dxa"/>
            <w:tcBorders>
              <w:top w:val="nil" w:sz="6" w:space="0" w:color="auto"/>
              <w:left w:val="single" w:sz="4" w:space="0" w:color="000000"/>
              <w:bottom w:val="single" w:sz="4" w:space="0" w:color="000000"/>
              <w:right w:val="single" w:sz="4" w:space="0" w:color="000000"/>
            </w:tcBorders>
          </w:tcPr>
          <w:p>
            <w:pPr/>
          </w:p>
        </w:tc>
        <w:tc>
          <w:tcPr>
            <w:tcW w:w="21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变动收益</w:t>
            </w:r>
          </w:p>
        </w:tc>
        <w:tc>
          <w:tcPr>
            <w:tcW w:w="2340"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-12,114,668.43</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-9.96%</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计提的减值准备</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不确定</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109,301.93</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0.09%</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没收租户违约金等</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101,258.19</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0.08%</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滞纳金等</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
        <w:rPr>
          <w:rFonts w:ascii="宋体" w:hAnsi="宋体" w:cs="宋体" w:eastAsia="宋体" w:hint="default"/>
          <w:sz w:val="18"/>
          <w:szCs w:val="18"/>
        </w:rPr>
      </w:pPr>
    </w:p>
    <w:p>
      <w:pPr>
        <w:pStyle w:val="Heading2"/>
        <w:spacing w:line="240" w:lineRule="auto" w:before="26"/>
        <w:ind w:right="915"/>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15"/>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15"/>
        <w:jc w:val="left"/>
      </w:pPr>
      <w:r>
        <w:rPr/>
        <w:t>公司</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年起首次执行新金融工具准则、新收入准则或新租赁准则且调整执行当年年初财务报表相关项目</w:t>
      </w:r>
    </w:p>
    <w:p>
      <w:pPr>
        <w:pStyle w:val="BodyText"/>
        <w:spacing w:line="240" w:lineRule="auto" w:before="103"/>
        <w:ind w:right="915"/>
        <w:jc w:val="left"/>
      </w:pPr>
      <w:r>
        <w:rPr/>
        <w:t>√ 适用 □ 不适用</w:t>
      </w:r>
    </w:p>
    <w:p>
      <w:pPr>
        <w:spacing w:after="0" w:line="240" w:lineRule="auto"/>
        <w:jc w:val="left"/>
        <w:sectPr>
          <w:pgSz w:w="11910" w:h="16840"/>
          <w:pgMar w:header="919" w:footer="1016" w:top="1120" w:bottom="1200" w:left="1020" w:right="0"/>
        </w:sectPr>
      </w:pPr>
    </w:p>
    <w:p>
      <w:pPr>
        <w:spacing w:line="240" w:lineRule="auto" w:before="12"/>
        <w:rPr>
          <w:rFonts w:ascii="宋体" w:hAnsi="宋体" w:cs="宋体" w:eastAsia="宋体" w:hint="default"/>
          <w:sz w:val="20"/>
          <w:szCs w:val="20"/>
        </w:rPr>
      </w:pPr>
    </w:p>
    <w:p>
      <w:pPr>
        <w:pStyle w:val="BodyText"/>
        <w:spacing w:line="240" w:lineRule="auto" w:before="44"/>
        <w:ind w:left="0" w:right="1132"/>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164"/>
        <w:gridCol w:w="1063"/>
        <w:gridCol w:w="1195"/>
        <w:gridCol w:w="1063"/>
        <w:gridCol w:w="798"/>
        <w:gridCol w:w="291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4" w:right="122" w:hanging="180"/>
              <w:jc w:val="left"/>
              <w:rPr>
                <w:rFonts w:ascii="宋体" w:hAnsi="宋体" w:cs="宋体" w:eastAsia="宋体" w:hint="default"/>
                <w:sz w:val="18"/>
                <w:szCs w:val="18"/>
              </w:rPr>
            </w:pPr>
            <w:r>
              <w:rPr>
                <w:rFonts w:ascii="宋体" w:hAnsi="宋体" w:cs="宋体" w:eastAsia="宋体" w:hint="default"/>
                <w:sz w:val="18"/>
                <w:szCs w:val="18"/>
              </w:rPr>
              <w:t>比重增 减</w:t>
            </w:r>
          </w:p>
        </w:tc>
        <w:tc>
          <w:tcPr>
            <w:tcW w:w="29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15"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6" w:right="164"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7" w:right="164"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2"/>
                <w:sz w:val="18"/>
              </w:rPr>
              <w:t>492,111,995.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15.45%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372,220,940.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35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11.59%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3.86%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731,177,305.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22.95%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538,306,992.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16.76%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6.19%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7" w:right="0"/>
              <w:jc w:val="center"/>
              <w:rPr>
                <w:rFonts w:ascii="Times New Roman" w:hAnsi="Times New Roman" w:cs="Times New Roman" w:eastAsia="Times New Roman" w:hint="default"/>
                <w:sz w:val="18"/>
                <w:szCs w:val="18"/>
              </w:rPr>
            </w:pPr>
            <w:r>
              <w:rPr>
                <w:rFonts w:ascii="Times New Roman"/>
                <w:sz w:val="18"/>
              </w:rPr>
              <w:t>152,182.64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center"/>
              <w:rPr>
                <w:rFonts w:ascii="Times New Roman" w:hAnsi="Times New Roman" w:cs="Times New Roman" w:eastAsia="Times New Roman" w:hint="default"/>
                <w:sz w:val="18"/>
                <w:szCs w:val="18"/>
              </w:rPr>
            </w:pPr>
            <w:r>
              <w:rPr>
                <w:rFonts w:ascii="Times New Roman"/>
                <w:sz w:val="18"/>
              </w:rPr>
              <w:t>1,668,540.09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0.05%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z w:val="18"/>
              </w:rPr>
              <w:t>-0.05%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84,888,077.5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2.66%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87,297,329.9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2.72%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-0.06%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589,669,593.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18.51%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618,739,687.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19.27%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-0.76%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795,068,521.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24.96%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815,844,646.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25.41%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-0.45%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4,710,850.17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0.15%</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0.15%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150,207,833.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4.72%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235,000,000.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7.32%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-2.60%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4,248,919.98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0.13%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center"/>
              <w:rPr>
                <w:rFonts w:ascii="Times New Roman" w:hAnsi="Times New Roman" w:cs="Times New Roman" w:eastAsia="Times New Roman" w:hint="default"/>
                <w:sz w:val="18"/>
                <w:szCs w:val="18"/>
              </w:rPr>
            </w:pPr>
            <w:r>
              <w:rPr>
                <w:rFonts w:ascii="Times New Roman"/>
                <w:sz w:val="18"/>
              </w:rPr>
              <w:t>4,243,144.59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0.13%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bl>
    <w:p>
      <w:pPr>
        <w:spacing w:line="240" w:lineRule="auto" w:before="5"/>
        <w:rPr>
          <w:rFonts w:ascii="宋体" w:hAnsi="宋体" w:cs="宋体" w:eastAsia="宋体" w:hint="default"/>
          <w:sz w:val="19"/>
          <w:szCs w:val="19"/>
        </w:rPr>
      </w:pPr>
    </w:p>
    <w:p>
      <w:pPr>
        <w:pStyle w:val="Heading3"/>
        <w:spacing w:line="240" w:lineRule="auto" w:before="34"/>
        <w:ind w:right="915"/>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915"/>
        <w:jc w:val="left"/>
      </w:pPr>
      <w:r>
        <w:rPr/>
        <w:t>√ 适用 □ 不适用</w:t>
      </w:r>
    </w:p>
    <w:p>
      <w:pPr>
        <w:pStyle w:val="BodyText"/>
        <w:spacing w:line="240" w:lineRule="auto" w:before="117"/>
        <w:ind w:left="0" w:right="113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981"/>
        <w:gridCol w:w="1015"/>
        <w:gridCol w:w="1063"/>
        <w:gridCol w:w="1194"/>
        <w:gridCol w:w="930"/>
        <w:gridCol w:w="1196"/>
        <w:gridCol w:w="1063"/>
        <w:gridCol w:w="915"/>
        <w:gridCol w:w="1212"/>
      </w:tblGrid>
      <w:tr>
        <w:trPr>
          <w:trHeight w:val="1026" w:hRule="exact"/>
        </w:trPr>
        <w:tc>
          <w:tcPr>
            <w:tcW w:w="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0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65" w:right="166"/>
              <w:jc w:val="center"/>
              <w:rPr>
                <w:rFonts w:ascii="宋体" w:hAnsi="宋体" w:cs="宋体" w:eastAsia="宋体" w:hint="default"/>
                <w:sz w:val="18"/>
                <w:szCs w:val="18"/>
              </w:rPr>
            </w:pPr>
            <w:r>
              <w:rPr>
                <w:rFonts w:ascii="宋体" w:hAnsi="宋体" w:cs="宋体" w:eastAsia="宋体" w:hint="default"/>
                <w:sz w:val="18"/>
                <w:szCs w:val="18"/>
              </w:rPr>
              <w:t>本期公允 价值变动 损益</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41" w:right="141"/>
              <w:jc w:val="center"/>
              <w:rPr>
                <w:rFonts w:ascii="宋体" w:hAnsi="宋体" w:cs="宋体" w:eastAsia="宋体" w:hint="default"/>
                <w:sz w:val="18"/>
                <w:szCs w:val="18"/>
              </w:rPr>
            </w:pPr>
            <w:r>
              <w:rPr>
                <w:rFonts w:ascii="宋体" w:hAnsi="宋体" w:cs="宋体" w:eastAsia="宋体" w:hint="default"/>
                <w:sz w:val="18"/>
                <w:szCs w:val="18"/>
              </w:rPr>
              <w:t>计入权益的 累计公允价 值变动</w:t>
            </w:r>
          </w:p>
        </w:tc>
        <w:tc>
          <w:tcPr>
            <w:tcW w:w="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90" w:right="187"/>
              <w:jc w:val="center"/>
              <w:rPr>
                <w:rFonts w:ascii="宋体" w:hAnsi="宋体" w:cs="宋体" w:eastAsia="宋体" w:hint="default"/>
                <w:sz w:val="18"/>
                <w:szCs w:val="18"/>
              </w:rPr>
            </w:pPr>
            <w:r>
              <w:rPr>
                <w:rFonts w:ascii="宋体" w:hAnsi="宋体" w:cs="宋体" w:eastAsia="宋体" w:hint="default"/>
                <w:sz w:val="18"/>
                <w:szCs w:val="18"/>
              </w:rPr>
              <w:t>本期计 提的减 值</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503" w:right="140" w:hanging="360"/>
              <w:jc w:val="left"/>
              <w:rPr>
                <w:rFonts w:ascii="宋体" w:hAnsi="宋体" w:cs="宋体" w:eastAsia="宋体" w:hint="default"/>
                <w:sz w:val="18"/>
                <w:szCs w:val="18"/>
              </w:rPr>
            </w:pPr>
            <w:r>
              <w:rPr>
                <w:rFonts w:ascii="宋体" w:hAnsi="宋体" w:cs="宋体" w:eastAsia="宋体" w:hint="default"/>
                <w:sz w:val="18"/>
                <w:szCs w:val="18"/>
              </w:rPr>
              <w:t>本期购买金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47" w:right="164" w:hanging="180"/>
              <w:jc w:val="left"/>
              <w:rPr>
                <w:rFonts w:ascii="宋体" w:hAnsi="宋体" w:cs="宋体" w:eastAsia="宋体" w:hint="default"/>
                <w:sz w:val="18"/>
                <w:szCs w:val="18"/>
              </w:rPr>
            </w:pPr>
            <w:r>
              <w:rPr>
                <w:rFonts w:ascii="宋体" w:hAnsi="宋体" w:cs="宋体" w:eastAsia="宋体" w:hint="default"/>
                <w:sz w:val="18"/>
                <w:szCs w:val="18"/>
              </w:rPr>
              <w:t>本期出售 金额</w:t>
            </w:r>
          </w:p>
        </w:tc>
        <w:tc>
          <w:tcPr>
            <w:tcW w:w="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61" w:right="181" w:hanging="180"/>
              <w:jc w:val="left"/>
              <w:rPr>
                <w:rFonts w:ascii="宋体" w:hAnsi="宋体" w:cs="宋体" w:eastAsia="宋体" w:hint="default"/>
                <w:sz w:val="18"/>
                <w:szCs w:val="18"/>
              </w:rPr>
            </w:pPr>
            <w:r>
              <w:rPr>
                <w:rFonts w:ascii="宋体" w:hAnsi="宋体" w:cs="宋体" w:eastAsia="宋体" w:hint="default"/>
                <w:sz w:val="18"/>
                <w:szCs w:val="18"/>
              </w:rPr>
              <w:t>其他变 动</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1650" w:hRule="exact"/>
        </w:trPr>
        <w:tc>
          <w:tcPr>
            <w:tcW w:w="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1" w:right="147"/>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交易性 金融资产</w:t>
            </w:r>
          </w:p>
          <w:p>
            <w:pPr>
              <w:pStyle w:val="TableParagraph"/>
              <w:spacing w:line="316" w:lineRule="auto" w:before="31"/>
              <w:ind w:left="101" w:right="147"/>
              <w:jc w:val="both"/>
              <w:rPr>
                <w:rFonts w:ascii="宋体" w:hAnsi="宋体" w:cs="宋体" w:eastAsia="宋体" w:hint="default"/>
                <w:sz w:val="18"/>
                <w:szCs w:val="18"/>
              </w:rPr>
            </w:pPr>
            <w:r>
              <w:rPr>
                <w:rFonts w:ascii="宋体" w:hAnsi="宋体" w:cs="宋体" w:eastAsia="宋体" w:hint="default"/>
                <w:sz w:val="18"/>
                <w:szCs w:val="18"/>
              </w:rPr>
              <w:t>（不含衍 生金融资 产）</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81" w:right="0"/>
              <w:jc w:val="left"/>
              <w:rPr>
                <w:rFonts w:ascii="Times New Roman" w:hAnsi="Times New Roman" w:cs="Times New Roman" w:eastAsia="Times New Roman" w:hint="default"/>
                <w:sz w:val="18"/>
                <w:szCs w:val="18"/>
              </w:rPr>
            </w:pPr>
            <w:r>
              <w:rPr>
                <w:rFonts w:ascii="Times New Roman"/>
                <w:sz w:val="18"/>
              </w:rPr>
              <w:t>347,321,6</w:t>
            </w:r>
          </w:p>
          <w:p>
            <w:pPr>
              <w:pStyle w:val="TableParagraph"/>
              <w:spacing w:line="240" w:lineRule="auto" w:before="105"/>
              <w:ind w:left="496" w:right="0"/>
              <w:jc w:val="left"/>
              <w:rPr>
                <w:rFonts w:ascii="Times New Roman" w:hAnsi="Times New Roman" w:cs="Times New Roman" w:eastAsia="Times New Roman" w:hint="default"/>
                <w:sz w:val="18"/>
                <w:szCs w:val="18"/>
              </w:rPr>
            </w:pPr>
            <w:r>
              <w:rPr>
                <w:rFonts w:ascii="Times New Roman"/>
                <w:sz w:val="18"/>
              </w:rPr>
              <w:t>35.20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-6,339,725.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32</w:t>
            </w:r>
          </w:p>
        </w:tc>
        <w:tc>
          <w:tcPr>
            <w:tcW w:w="1194"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405,000,000.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40" w:right="0"/>
              <w:jc w:val="left"/>
              <w:rPr>
                <w:rFonts w:ascii="Times New Roman" w:hAnsi="Times New Roman" w:cs="Times New Roman" w:eastAsia="Times New Roman" w:hint="default"/>
                <w:sz w:val="18"/>
                <w:szCs w:val="18"/>
              </w:rPr>
            </w:pPr>
            <w:r>
              <w:rPr>
                <w:rFonts w:ascii="Times New Roman"/>
                <w:sz w:val="18"/>
              </w:rPr>
              <w:t>597,424,58</w:t>
            </w:r>
          </w:p>
          <w:p>
            <w:pPr>
              <w:pStyle w:val="TableParagraph"/>
              <w:spacing w:line="240" w:lineRule="auto" w:before="105"/>
              <w:ind w:left="635" w:right="0"/>
              <w:jc w:val="left"/>
              <w:rPr>
                <w:rFonts w:ascii="Times New Roman" w:hAnsi="Times New Roman" w:cs="Times New Roman" w:eastAsia="Times New Roman" w:hint="default"/>
                <w:sz w:val="18"/>
                <w:szCs w:val="18"/>
              </w:rPr>
            </w:pPr>
            <w:r>
              <w:rPr>
                <w:rFonts w:ascii="Times New Roman"/>
                <w:sz w:val="18"/>
              </w:rPr>
              <w:t>0.00</w:t>
            </w:r>
          </w:p>
        </w:tc>
        <w:tc>
          <w:tcPr>
            <w:tcW w:w="9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148,557,329.</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88</w:t>
            </w:r>
          </w:p>
        </w:tc>
      </w:tr>
      <w:tr>
        <w:trPr>
          <w:trHeight w:val="714" w:hRule="exact"/>
        </w:trPr>
        <w:tc>
          <w:tcPr>
            <w:tcW w:w="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9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 融资产</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1" w:right="19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其他债 权投资</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r>
      <w:tr>
        <w:trPr>
          <w:trHeight w:val="672" w:hRule="exact"/>
        </w:trPr>
        <w:tc>
          <w:tcPr>
            <w:tcW w:w="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4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其他权 益工具投</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9" w:footer="1016"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981"/>
        <w:gridCol w:w="1015"/>
        <w:gridCol w:w="1063"/>
        <w:gridCol w:w="1194"/>
        <w:gridCol w:w="930"/>
        <w:gridCol w:w="1196"/>
        <w:gridCol w:w="1063"/>
        <w:gridCol w:w="915"/>
        <w:gridCol w:w="1212"/>
      </w:tblGrid>
      <w:tr>
        <w:trPr>
          <w:trHeight w:val="362" w:hRule="exact"/>
        </w:trPr>
        <w:tc>
          <w:tcPr>
            <w:tcW w:w="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资</w:t>
            </w:r>
          </w:p>
        </w:tc>
        <w:tc>
          <w:tcPr>
            <w:tcW w:w="101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47"/>
              <w:jc w:val="left"/>
              <w:rPr>
                <w:rFonts w:ascii="宋体" w:hAnsi="宋体" w:cs="宋体" w:eastAsia="宋体" w:hint="default"/>
                <w:sz w:val="18"/>
                <w:szCs w:val="18"/>
              </w:rPr>
            </w:pPr>
            <w:r>
              <w:rPr>
                <w:rFonts w:ascii="宋体" w:hAnsi="宋体" w:cs="宋体" w:eastAsia="宋体" w:hint="default"/>
                <w:sz w:val="18"/>
                <w:szCs w:val="18"/>
              </w:rPr>
              <w:t>金融资产 小计</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1" w:right="0"/>
              <w:jc w:val="left"/>
              <w:rPr>
                <w:rFonts w:ascii="Times New Roman" w:hAnsi="Times New Roman" w:cs="Times New Roman" w:eastAsia="Times New Roman" w:hint="default"/>
                <w:sz w:val="18"/>
                <w:szCs w:val="18"/>
              </w:rPr>
            </w:pPr>
            <w:r>
              <w:rPr>
                <w:rFonts w:ascii="Times New Roman"/>
                <w:sz w:val="18"/>
              </w:rPr>
              <w:t>347,321,6</w:t>
            </w:r>
          </w:p>
          <w:p>
            <w:pPr>
              <w:pStyle w:val="TableParagraph"/>
              <w:spacing w:line="240" w:lineRule="auto" w:before="105"/>
              <w:ind w:left="496" w:right="0"/>
              <w:jc w:val="left"/>
              <w:rPr>
                <w:rFonts w:ascii="Times New Roman" w:hAnsi="Times New Roman" w:cs="Times New Roman" w:eastAsia="Times New Roman" w:hint="default"/>
                <w:sz w:val="18"/>
                <w:szCs w:val="18"/>
              </w:rPr>
            </w:pPr>
            <w:r>
              <w:rPr>
                <w:rFonts w:ascii="Times New Roman"/>
                <w:sz w:val="18"/>
              </w:rPr>
              <w:t>35.20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-6,339,725.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32</w:t>
            </w:r>
          </w:p>
        </w:tc>
        <w:tc>
          <w:tcPr>
            <w:tcW w:w="1194"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405,000,000.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0" w:right="0"/>
              <w:jc w:val="left"/>
              <w:rPr>
                <w:rFonts w:ascii="Times New Roman" w:hAnsi="Times New Roman" w:cs="Times New Roman" w:eastAsia="Times New Roman" w:hint="default"/>
                <w:sz w:val="18"/>
                <w:szCs w:val="18"/>
              </w:rPr>
            </w:pPr>
            <w:r>
              <w:rPr>
                <w:rFonts w:ascii="Times New Roman"/>
                <w:sz w:val="18"/>
              </w:rPr>
              <w:t>597,424,58</w:t>
            </w:r>
          </w:p>
          <w:p>
            <w:pPr>
              <w:pStyle w:val="TableParagraph"/>
              <w:spacing w:line="240" w:lineRule="auto" w:before="105"/>
              <w:ind w:left="635" w:right="0"/>
              <w:jc w:val="left"/>
              <w:rPr>
                <w:rFonts w:ascii="Times New Roman" w:hAnsi="Times New Roman" w:cs="Times New Roman" w:eastAsia="Times New Roman" w:hint="default"/>
                <w:sz w:val="18"/>
                <w:szCs w:val="18"/>
              </w:rPr>
            </w:pPr>
            <w:r>
              <w:rPr>
                <w:rFonts w:ascii="Times New Roman"/>
                <w:sz w:val="18"/>
              </w:rPr>
              <w:t>0.00</w:t>
            </w:r>
          </w:p>
        </w:tc>
        <w:tc>
          <w:tcPr>
            <w:tcW w:w="9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148,557,329.</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88</w:t>
            </w:r>
          </w:p>
        </w:tc>
      </w:tr>
      <w:tr>
        <w:trPr>
          <w:trHeight w:val="714" w:hRule="exact"/>
        </w:trPr>
        <w:tc>
          <w:tcPr>
            <w:tcW w:w="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47"/>
              <w:jc w:val="left"/>
              <w:rPr>
                <w:rFonts w:ascii="宋体" w:hAnsi="宋体" w:cs="宋体" w:eastAsia="宋体" w:hint="default"/>
                <w:sz w:val="18"/>
                <w:szCs w:val="18"/>
              </w:rPr>
            </w:pPr>
            <w:r>
              <w:rPr>
                <w:rFonts w:ascii="宋体" w:hAnsi="宋体" w:cs="宋体" w:eastAsia="宋体" w:hint="default"/>
                <w:sz w:val="18"/>
                <w:szCs w:val="18"/>
              </w:rPr>
              <w:t>投资性房 地产</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47"/>
              <w:jc w:val="left"/>
              <w:rPr>
                <w:rFonts w:ascii="宋体" w:hAnsi="宋体" w:cs="宋体" w:eastAsia="宋体" w:hint="default"/>
                <w:sz w:val="18"/>
                <w:szCs w:val="18"/>
              </w:rPr>
            </w:pPr>
            <w:r>
              <w:rPr>
                <w:rFonts w:ascii="宋体" w:hAnsi="宋体" w:cs="宋体" w:eastAsia="宋体" w:hint="default"/>
                <w:sz w:val="18"/>
                <w:szCs w:val="18"/>
              </w:rPr>
              <w:t>生产性生 物资产</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1" w:right="0"/>
              <w:jc w:val="left"/>
              <w:rPr>
                <w:rFonts w:ascii="Times New Roman" w:hAnsi="Times New Roman" w:cs="Times New Roman" w:eastAsia="Times New Roman" w:hint="default"/>
                <w:sz w:val="18"/>
                <w:szCs w:val="18"/>
              </w:rPr>
            </w:pPr>
            <w:r>
              <w:rPr>
                <w:rFonts w:ascii="Times New Roman"/>
                <w:sz w:val="18"/>
              </w:rPr>
              <w:t>347,321,6</w:t>
            </w:r>
          </w:p>
          <w:p>
            <w:pPr>
              <w:pStyle w:val="TableParagraph"/>
              <w:spacing w:line="240" w:lineRule="auto" w:before="105"/>
              <w:ind w:left="496" w:right="0"/>
              <w:jc w:val="left"/>
              <w:rPr>
                <w:rFonts w:ascii="Times New Roman" w:hAnsi="Times New Roman" w:cs="Times New Roman" w:eastAsia="Times New Roman" w:hint="default"/>
                <w:sz w:val="18"/>
                <w:szCs w:val="18"/>
              </w:rPr>
            </w:pPr>
            <w:r>
              <w:rPr>
                <w:rFonts w:ascii="Times New Roman"/>
                <w:sz w:val="18"/>
              </w:rPr>
              <w:t>35.20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-6,339,725.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32</w:t>
            </w:r>
          </w:p>
        </w:tc>
        <w:tc>
          <w:tcPr>
            <w:tcW w:w="1194"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405,000,000.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0" w:right="0"/>
              <w:jc w:val="left"/>
              <w:rPr>
                <w:rFonts w:ascii="Times New Roman" w:hAnsi="Times New Roman" w:cs="Times New Roman" w:eastAsia="Times New Roman" w:hint="default"/>
                <w:sz w:val="18"/>
                <w:szCs w:val="18"/>
              </w:rPr>
            </w:pPr>
            <w:r>
              <w:rPr>
                <w:rFonts w:ascii="Times New Roman"/>
                <w:sz w:val="18"/>
              </w:rPr>
              <w:t>597,424,58</w:t>
            </w:r>
          </w:p>
          <w:p>
            <w:pPr>
              <w:pStyle w:val="TableParagraph"/>
              <w:spacing w:line="240" w:lineRule="auto" w:before="105"/>
              <w:ind w:left="635" w:right="0"/>
              <w:jc w:val="left"/>
              <w:rPr>
                <w:rFonts w:ascii="Times New Roman" w:hAnsi="Times New Roman" w:cs="Times New Roman" w:eastAsia="Times New Roman" w:hint="default"/>
                <w:sz w:val="18"/>
                <w:szCs w:val="18"/>
              </w:rPr>
            </w:pPr>
            <w:r>
              <w:rPr>
                <w:rFonts w:ascii="Times New Roman"/>
                <w:sz w:val="18"/>
              </w:rPr>
              <w:t>0.00</w:t>
            </w:r>
          </w:p>
        </w:tc>
        <w:tc>
          <w:tcPr>
            <w:tcW w:w="9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148,557,329.</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88</w:t>
            </w:r>
          </w:p>
        </w:tc>
      </w:tr>
      <w:tr>
        <w:trPr>
          <w:trHeight w:val="402" w:hRule="exact"/>
        </w:trPr>
        <w:tc>
          <w:tcPr>
            <w:tcW w:w="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5" w:right="0"/>
              <w:jc w:val="left"/>
              <w:rPr>
                <w:rFonts w:ascii="Times New Roman" w:hAnsi="Times New Roman" w:cs="Times New Roman" w:eastAsia="Times New Roman" w:hint="default"/>
                <w:sz w:val="18"/>
                <w:szCs w:val="18"/>
              </w:rPr>
            </w:pPr>
            <w:r>
              <w:rPr>
                <w:rFonts w:ascii="Times New Roman"/>
                <w:sz w:val="18"/>
              </w:rPr>
              <w:t>0.00</w:t>
            </w:r>
          </w:p>
        </w:tc>
        <w:tc>
          <w:tcPr>
            <w:tcW w:w="1194"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7" w:right="0"/>
              <w:jc w:val="lef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5" w:right="0"/>
              <w:jc w:val="left"/>
              <w:rPr>
                <w:rFonts w:ascii="Times New Roman" w:hAnsi="Times New Roman" w:cs="Times New Roman" w:eastAsia="Times New Roman" w:hint="default"/>
                <w:sz w:val="18"/>
                <w:szCs w:val="18"/>
              </w:rPr>
            </w:pPr>
            <w:r>
              <w:rPr>
                <w:rFonts w:ascii="Times New Roman"/>
                <w:sz w:val="18"/>
              </w:rPr>
              <w:t>0.00</w:t>
            </w:r>
          </w:p>
        </w:tc>
        <w:tc>
          <w:tcPr>
            <w:tcW w:w="9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3" w:right="0"/>
              <w:jc w:val="left"/>
              <w:rPr>
                <w:rFonts w:ascii="Times New Roman" w:hAnsi="Times New Roman" w:cs="Times New Roman" w:eastAsia="Times New Roman" w:hint="default"/>
                <w:sz w:val="18"/>
                <w:szCs w:val="18"/>
              </w:rPr>
            </w:pPr>
            <w:r>
              <w:rPr>
                <w:rFonts w:ascii="Times New Roman"/>
                <w:sz w:val="18"/>
              </w:rPr>
              <w:t>0.00</w:t>
            </w:r>
          </w:p>
        </w:tc>
      </w:tr>
    </w:tbl>
    <w:p>
      <w:pPr>
        <w:pStyle w:val="BodyText"/>
        <w:spacing w:line="360" w:lineRule="auto" w:before="50"/>
        <w:ind w:right="9494"/>
        <w:jc w:val="left"/>
      </w:pPr>
      <w:r>
        <w:rPr/>
        <w:t>其他变动的内容 无</w:t>
      </w:r>
    </w:p>
    <w:p>
      <w:pPr>
        <w:pStyle w:val="BodyText"/>
        <w:spacing w:line="240" w:lineRule="auto" w:before="27"/>
        <w:ind w:right="915"/>
        <w:jc w:val="left"/>
      </w:pPr>
      <w:r>
        <w:rPr/>
        <w:t>报告期内公司主要资产计量属性是否发生重大变化</w:t>
      </w:r>
    </w:p>
    <w:p>
      <w:pPr>
        <w:pStyle w:val="BodyText"/>
        <w:spacing w:line="240" w:lineRule="auto" w:before="115"/>
        <w:ind w:right="915"/>
        <w:jc w:val="left"/>
      </w:pPr>
      <w:r>
        <w:rPr/>
        <w:t>□ 是 √ 否</w:t>
      </w:r>
    </w:p>
    <w:p>
      <w:pPr>
        <w:spacing w:line="240" w:lineRule="auto" w:before="0"/>
        <w:rPr>
          <w:rFonts w:ascii="宋体" w:hAnsi="宋体" w:cs="宋体" w:eastAsia="宋体" w:hint="default"/>
          <w:sz w:val="18"/>
          <w:szCs w:val="18"/>
        </w:rPr>
      </w:pPr>
    </w:p>
    <w:p>
      <w:pPr>
        <w:pStyle w:val="Heading3"/>
        <w:spacing w:line="240" w:lineRule="auto" w:before="118"/>
        <w:ind w:right="915"/>
        <w:jc w:val="left"/>
        <w:rPr>
          <w:b w:val="0"/>
          <w:bCs w:val="0"/>
        </w:rPr>
      </w:pPr>
      <w:bookmarkStart w:name="3、截至报告期末的资产权利受限情况" w:id="43"/>
      <w:bookmarkEnd w:id="43"/>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11"/>
        <w:rPr>
          <w:rFonts w:ascii="宋体" w:hAnsi="宋体" w:cs="宋体" w:eastAsia="宋体" w:hint="default"/>
          <w:b/>
          <w:bCs/>
          <w:sz w:val="23"/>
          <w:szCs w:val="23"/>
        </w:rPr>
      </w:pPr>
    </w:p>
    <w:tbl>
      <w:tblPr>
        <w:tblW w:w="0" w:type="auto"/>
        <w:jc w:val="left"/>
        <w:tblInd w:w="103" w:type="dxa"/>
        <w:tblLayout w:type="fixed"/>
        <w:tblCellMar>
          <w:top w:w="0" w:type="dxa"/>
          <w:left w:w="0" w:type="dxa"/>
          <w:bottom w:w="0" w:type="dxa"/>
          <w:right w:w="0" w:type="dxa"/>
        </w:tblCellMar>
        <w:tblLook w:val="01E0"/>
      </w:tblPr>
      <w:tblGrid>
        <w:gridCol w:w="3739"/>
        <w:gridCol w:w="3437"/>
        <w:gridCol w:w="2480"/>
      </w:tblGrid>
      <w:tr>
        <w:trPr>
          <w:trHeight w:val="363" w:hRule="exact"/>
        </w:trPr>
        <w:tc>
          <w:tcPr>
            <w:tcW w:w="3739" w:type="dxa"/>
            <w:tcBorders>
              <w:top w:val="nil" w:sz="6" w:space="0" w:color="auto"/>
              <w:left w:val="nil" w:sz="6" w:space="0" w:color="auto"/>
              <w:bottom w:val="single" w:sz="6" w:space="0" w:color="000000"/>
              <w:right w:val="nil" w:sz="6" w:space="0" w:color="auto"/>
            </w:tcBorders>
          </w:tcPr>
          <w:p>
            <w:pPr>
              <w:pStyle w:val="TableParagraph"/>
              <w:spacing w:line="240" w:lineRule="auto" w:before="44"/>
              <w:ind w:left="58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437" w:type="dxa"/>
            <w:tcBorders>
              <w:top w:val="nil" w:sz="6" w:space="0" w:color="auto"/>
              <w:left w:val="nil" w:sz="6" w:space="0" w:color="auto"/>
              <w:bottom w:val="single" w:sz="6" w:space="0" w:color="000000"/>
              <w:right w:val="nil" w:sz="6" w:space="0" w:color="auto"/>
            </w:tcBorders>
          </w:tcPr>
          <w:p>
            <w:pPr>
              <w:pStyle w:val="TableParagraph"/>
              <w:spacing w:line="240" w:lineRule="auto" w:before="44"/>
              <w:ind w:left="1209" w:right="0"/>
              <w:jc w:val="left"/>
              <w:rPr>
                <w:rFonts w:ascii="宋体" w:hAnsi="宋体" w:cs="宋体" w:eastAsia="宋体" w:hint="default"/>
                <w:sz w:val="18"/>
                <w:szCs w:val="18"/>
              </w:rPr>
            </w:pPr>
            <w:r>
              <w:rPr>
                <w:rFonts w:ascii="宋体" w:hAnsi="宋体" w:cs="宋体" w:eastAsia="宋体" w:hint="default"/>
                <w:b/>
                <w:bCs/>
                <w:sz w:val="18"/>
                <w:szCs w:val="18"/>
              </w:rPr>
              <w:t>期末账面价值</w:t>
            </w:r>
            <w:r>
              <w:rPr>
                <w:rFonts w:ascii="宋体" w:hAnsi="宋体" w:cs="宋体" w:eastAsia="宋体" w:hint="default"/>
                <w:sz w:val="18"/>
                <w:szCs w:val="18"/>
              </w:rPr>
            </w:r>
          </w:p>
        </w:tc>
        <w:tc>
          <w:tcPr>
            <w:tcW w:w="2480" w:type="dxa"/>
            <w:tcBorders>
              <w:top w:val="nil" w:sz="6" w:space="0" w:color="auto"/>
              <w:left w:val="nil" w:sz="6" w:space="0" w:color="auto"/>
              <w:bottom w:val="single" w:sz="6" w:space="0" w:color="000000"/>
              <w:right w:val="nil" w:sz="6" w:space="0" w:color="auto"/>
            </w:tcBorders>
          </w:tcPr>
          <w:p>
            <w:pPr>
              <w:pStyle w:val="TableParagraph"/>
              <w:spacing w:line="240" w:lineRule="auto" w:before="44"/>
              <w:ind w:right="513"/>
              <w:jc w:val="center"/>
              <w:rPr>
                <w:rFonts w:ascii="宋体" w:hAnsi="宋体" w:cs="宋体" w:eastAsia="宋体" w:hint="default"/>
                <w:sz w:val="18"/>
                <w:szCs w:val="18"/>
              </w:rPr>
            </w:pPr>
            <w:r>
              <w:rPr>
                <w:rFonts w:ascii="宋体" w:hAnsi="宋体" w:cs="宋体" w:eastAsia="宋体" w:hint="default"/>
                <w:b/>
                <w:bCs/>
                <w:sz w:val="18"/>
                <w:szCs w:val="18"/>
              </w:rPr>
              <w:t>受限原因</w:t>
            </w:r>
            <w:r>
              <w:rPr>
                <w:rFonts w:ascii="宋体" w:hAnsi="宋体" w:cs="宋体" w:eastAsia="宋体" w:hint="default"/>
                <w:sz w:val="18"/>
                <w:szCs w:val="18"/>
              </w:rPr>
            </w:r>
          </w:p>
        </w:tc>
      </w:tr>
      <w:tr>
        <w:trPr>
          <w:trHeight w:val="347" w:hRule="exact"/>
        </w:trPr>
        <w:tc>
          <w:tcPr>
            <w:tcW w:w="3739"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8"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437"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527"/>
              <w:jc w:val="right"/>
              <w:rPr>
                <w:rFonts w:ascii="宋体" w:hAnsi="宋体" w:cs="宋体" w:eastAsia="宋体" w:hint="default"/>
                <w:sz w:val="18"/>
                <w:szCs w:val="18"/>
              </w:rPr>
            </w:pPr>
            <w:r>
              <w:rPr>
                <w:rFonts w:ascii="宋体"/>
                <w:spacing w:val="-1"/>
                <w:sz w:val="18"/>
              </w:rPr>
              <w:t>30,000.00</w:t>
            </w:r>
          </w:p>
        </w:tc>
        <w:tc>
          <w:tcPr>
            <w:tcW w:w="2480"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518"/>
              <w:jc w:val="center"/>
              <w:rPr>
                <w:rFonts w:ascii="宋体" w:hAnsi="宋体" w:cs="宋体" w:eastAsia="宋体" w:hint="default"/>
                <w:sz w:val="18"/>
                <w:szCs w:val="18"/>
              </w:rPr>
            </w:pPr>
            <w:r>
              <w:rPr>
                <w:rFonts w:ascii="宋体" w:hAnsi="宋体" w:cs="宋体" w:eastAsia="宋体" w:hint="default"/>
                <w:sz w:val="18"/>
                <w:szCs w:val="18"/>
              </w:rPr>
              <w:t>履约保证金</w:t>
            </w:r>
          </w:p>
        </w:tc>
      </w:tr>
      <w:tr>
        <w:trPr>
          <w:trHeight w:val="347" w:hRule="exact"/>
        </w:trPr>
        <w:tc>
          <w:tcPr>
            <w:tcW w:w="3739"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8" w:right="0"/>
              <w:jc w:val="left"/>
              <w:rPr>
                <w:rFonts w:ascii="宋体" w:hAnsi="宋体" w:cs="宋体" w:eastAsia="宋体" w:hint="default"/>
                <w:sz w:val="18"/>
                <w:szCs w:val="18"/>
              </w:rPr>
            </w:pPr>
            <w:r>
              <w:rPr>
                <w:rFonts w:ascii="宋体" w:hAnsi="宋体" w:cs="宋体" w:eastAsia="宋体" w:hint="default"/>
                <w:sz w:val="18"/>
                <w:szCs w:val="18"/>
              </w:rPr>
              <w:t>大额存单</w:t>
            </w:r>
          </w:p>
        </w:tc>
        <w:tc>
          <w:tcPr>
            <w:tcW w:w="3437"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527"/>
              <w:jc w:val="right"/>
              <w:rPr>
                <w:rFonts w:ascii="宋体" w:hAnsi="宋体" w:cs="宋体" w:eastAsia="宋体" w:hint="default"/>
                <w:sz w:val="18"/>
                <w:szCs w:val="18"/>
              </w:rPr>
            </w:pPr>
            <w:r>
              <w:rPr>
                <w:rFonts w:ascii="宋体"/>
                <w:spacing w:val="-1"/>
                <w:sz w:val="18"/>
              </w:rPr>
              <w:t>20,000,000.00</w:t>
            </w:r>
          </w:p>
        </w:tc>
        <w:tc>
          <w:tcPr>
            <w:tcW w:w="2480"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519"/>
              <w:jc w:val="center"/>
              <w:rPr>
                <w:rFonts w:ascii="宋体" w:hAnsi="宋体" w:cs="宋体" w:eastAsia="宋体" w:hint="default"/>
                <w:sz w:val="18"/>
                <w:szCs w:val="18"/>
              </w:rPr>
            </w:pPr>
            <w:r>
              <w:rPr>
                <w:rFonts w:ascii="宋体" w:hAnsi="宋体" w:cs="宋体" w:eastAsia="宋体" w:hint="default"/>
                <w:sz w:val="18"/>
                <w:szCs w:val="18"/>
              </w:rPr>
              <w:t>注1</w:t>
            </w:r>
          </w:p>
        </w:tc>
      </w:tr>
      <w:tr>
        <w:trPr>
          <w:trHeight w:val="347" w:hRule="exact"/>
        </w:trPr>
        <w:tc>
          <w:tcPr>
            <w:tcW w:w="3739"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left="8" w:right="0"/>
              <w:jc w:val="left"/>
              <w:rPr>
                <w:rFonts w:ascii="宋体" w:hAnsi="宋体" w:cs="宋体" w:eastAsia="宋体" w:hint="default"/>
                <w:sz w:val="18"/>
                <w:szCs w:val="18"/>
              </w:rPr>
            </w:pPr>
            <w:r>
              <w:rPr>
                <w:rFonts w:ascii="宋体" w:hAnsi="宋体" w:cs="宋体" w:eastAsia="宋体" w:hint="default"/>
                <w:sz w:val="18"/>
                <w:szCs w:val="18"/>
              </w:rPr>
              <w:t>投资性房地产-智慧广场B栋1101</w:t>
            </w:r>
          </w:p>
        </w:tc>
        <w:tc>
          <w:tcPr>
            <w:tcW w:w="3437"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right="527"/>
              <w:jc w:val="right"/>
              <w:rPr>
                <w:rFonts w:ascii="宋体" w:hAnsi="宋体" w:cs="宋体" w:eastAsia="宋体" w:hint="default"/>
                <w:sz w:val="18"/>
                <w:szCs w:val="18"/>
              </w:rPr>
            </w:pPr>
            <w:r>
              <w:rPr>
                <w:rFonts w:ascii="宋体"/>
                <w:spacing w:val="-1"/>
                <w:sz w:val="18"/>
              </w:rPr>
              <w:t>41,255,295.99</w:t>
            </w:r>
          </w:p>
        </w:tc>
        <w:tc>
          <w:tcPr>
            <w:tcW w:w="2480"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right="519"/>
              <w:jc w:val="center"/>
              <w:rPr>
                <w:rFonts w:ascii="宋体" w:hAnsi="宋体" w:cs="宋体" w:eastAsia="宋体" w:hint="default"/>
                <w:sz w:val="18"/>
                <w:szCs w:val="18"/>
              </w:rPr>
            </w:pPr>
            <w:r>
              <w:rPr>
                <w:rFonts w:ascii="宋体" w:hAnsi="宋体" w:cs="宋体" w:eastAsia="宋体" w:hint="default"/>
                <w:sz w:val="18"/>
                <w:szCs w:val="18"/>
              </w:rPr>
              <w:t>注2</w:t>
            </w:r>
          </w:p>
        </w:tc>
      </w:tr>
      <w:tr>
        <w:trPr>
          <w:trHeight w:val="347" w:hRule="exact"/>
        </w:trPr>
        <w:tc>
          <w:tcPr>
            <w:tcW w:w="3739"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8"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合计</w:t>
            </w:r>
            <w:r>
              <w:rPr>
                <w:rFonts w:ascii="宋体" w:hAnsi="宋体" w:cs="宋体" w:eastAsia="宋体" w:hint="default"/>
                <w:sz w:val="18"/>
                <w:szCs w:val="18"/>
              </w:rPr>
            </w:r>
          </w:p>
        </w:tc>
        <w:tc>
          <w:tcPr>
            <w:tcW w:w="3437"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527"/>
              <w:jc w:val="right"/>
              <w:rPr>
                <w:rFonts w:ascii="宋体" w:hAnsi="宋体" w:cs="宋体" w:eastAsia="宋体" w:hint="default"/>
                <w:sz w:val="18"/>
                <w:szCs w:val="18"/>
              </w:rPr>
            </w:pPr>
            <w:r>
              <w:rPr>
                <w:rFonts w:ascii="宋体"/>
                <w:sz w:val="18"/>
              </w:rPr>
            </w:r>
            <w:r>
              <w:rPr>
                <w:rFonts w:ascii="宋体"/>
                <w:spacing w:val="-1"/>
                <w:sz w:val="18"/>
                <w:u w:val="single" w:color="000000"/>
              </w:rPr>
              <w:t>61,285,295.99</w:t>
            </w:r>
            <w:r>
              <w:rPr>
                <w:rFonts w:ascii="宋体"/>
                <w:spacing w:val="-1"/>
                <w:sz w:val="18"/>
              </w:rPr>
            </w:r>
          </w:p>
        </w:tc>
        <w:tc>
          <w:tcPr>
            <w:tcW w:w="2480" w:type="dxa"/>
            <w:tcBorders>
              <w:top w:val="single" w:sz="6" w:space="0" w:color="000000"/>
              <w:left w:val="nil" w:sz="6" w:space="0" w:color="auto"/>
              <w:bottom w:val="single" w:sz="6" w:space="0" w:color="000000"/>
              <w:right w:val="nil" w:sz="6" w:space="0" w:color="auto"/>
            </w:tcBorders>
          </w:tcPr>
          <w:p>
            <w:pPr/>
          </w:p>
        </w:tc>
      </w:tr>
    </w:tbl>
    <w:p>
      <w:pPr>
        <w:pStyle w:val="BodyText"/>
        <w:spacing w:line="240" w:lineRule="auto" w:before="5"/>
        <w:ind w:left="472" w:right="915"/>
        <w:jc w:val="left"/>
      </w:pPr>
      <w:r>
        <w:rPr/>
        <w:t>注1：2019年9月27日公司使用自有闲置资金 20,000,000.00元购买3年期大额存单，至</w:t>
      </w:r>
      <w:r>
        <w:rPr>
          <w:spacing w:val="-14"/>
        </w:rPr>
        <w:t> </w:t>
      </w:r>
      <w:r>
        <w:rPr/>
        <w:t>2022年9月27日到期。</w:t>
      </w:r>
    </w:p>
    <w:p>
      <w:pPr>
        <w:spacing w:line="240" w:lineRule="auto" w:before="10"/>
        <w:rPr>
          <w:rFonts w:ascii="宋体" w:hAnsi="宋体" w:cs="宋体" w:eastAsia="宋体" w:hint="default"/>
          <w:sz w:val="17"/>
          <w:szCs w:val="17"/>
        </w:rPr>
      </w:pPr>
    </w:p>
    <w:p>
      <w:pPr>
        <w:pStyle w:val="BodyText"/>
        <w:spacing w:line="316" w:lineRule="auto"/>
        <w:ind w:right="1130" w:firstLine="360"/>
        <w:jc w:val="both"/>
      </w:pPr>
      <w:r>
        <w:rPr>
          <w:spacing w:val="-2"/>
        </w:rPr>
        <w:t>注2：本公司以智慧广场B栋1101作为抵押物，同时，唐球、鄢建红提供连带责任保证，向交通银行股份有限公司深圳车</w:t>
      </w:r>
      <w:r>
        <w:rPr/>
        <w:t> </w:t>
      </w:r>
      <w:r>
        <w:rPr>
          <w:spacing w:val="-2"/>
        </w:rPr>
        <w:t>公庙支行借款人民币18,000,000.00元，借款期10年，约定的借款到期日为2021年2月25日。截止2019年12月31日，借款余额</w:t>
      </w:r>
      <w:r>
        <w:rPr>
          <w:spacing w:val="-48"/>
        </w:rPr>
        <w:t> </w:t>
      </w:r>
      <w:r>
        <w:rPr>
          <w:spacing w:val="-48"/>
        </w:rPr>
      </w:r>
      <w:r>
        <w:rPr/>
        <w:t>4,243,144.59元。</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6"/>
          <w:szCs w:val="26"/>
        </w:rPr>
      </w:pPr>
    </w:p>
    <w:p>
      <w:pPr>
        <w:pStyle w:val="Heading2"/>
        <w:spacing w:line="240" w:lineRule="auto"/>
        <w:ind w:right="915"/>
        <w:jc w:val="left"/>
        <w:rPr>
          <w:b w:val="0"/>
          <w:bCs w:val="0"/>
        </w:rPr>
      </w:pPr>
      <w:bookmarkStart w:name="五、投资状况分析" w:id="44"/>
      <w:bookmarkEnd w:id="44"/>
      <w:r>
        <w:rPr>
          <w:b w:val="0"/>
          <w:bCs w:val="0"/>
        </w:rPr>
      </w:r>
      <w:r>
        <w:rPr/>
        <w:t>五、投资状况分析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15"/>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15"/>
        <w:jc w:val="left"/>
      </w:pPr>
      <w:r>
        <w:rPr/>
        <w:t>√ 适用 □ 不适用</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8"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50" w:right="0"/>
              <w:jc w:val="left"/>
              <w:rPr>
                <w:rFonts w:ascii="Times New Roman" w:hAnsi="Times New Roman" w:cs="Times New Roman" w:eastAsia="Times New Roman" w:hint="default"/>
                <w:sz w:val="18"/>
                <w:szCs w:val="18"/>
              </w:rPr>
            </w:pPr>
            <w:r>
              <w:rPr>
                <w:rFonts w:ascii="Times New Roman"/>
                <w:sz w:val="18"/>
              </w:rPr>
              <w:t>737,649,683.27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53" w:right="0"/>
              <w:jc w:val="left"/>
              <w:rPr>
                <w:rFonts w:ascii="Times New Roman" w:hAnsi="Times New Roman" w:cs="Times New Roman" w:eastAsia="Times New Roman" w:hint="default"/>
                <w:sz w:val="18"/>
                <w:szCs w:val="18"/>
              </w:rPr>
            </w:pPr>
            <w:r>
              <w:rPr>
                <w:rFonts w:ascii="Times New Roman"/>
                <w:sz w:val="18"/>
              </w:rPr>
              <w:t>792,186,096.69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-6.88%</w:t>
            </w:r>
          </w:p>
        </w:tc>
      </w:tr>
    </w:tbl>
    <w:p>
      <w:pPr>
        <w:spacing w:line="240" w:lineRule="auto" w:before="3"/>
        <w:rPr>
          <w:rFonts w:ascii="宋体" w:hAnsi="宋体" w:cs="宋体" w:eastAsia="宋体" w:hint="default"/>
          <w:sz w:val="19"/>
          <w:szCs w:val="19"/>
        </w:rPr>
      </w:pPr>
    </w:p>
    <w:p>
      <w:pPr>
        <w:pStyle w:val="Heading3"/>
        <w:spacing w:line="240" w:lineRule="auto" w:before="34"/>
        <w:ind w:right="915"/>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15"/>
        <w:jc w:val="left"/>
      </w:pPr>
      <w:r>
        <w:rPr/>
        <w:t>□ 适用 √ 不适用</w:t>
      </w:r>
    </w:p>
    <w:p>
      <w:pPr>
        <w:spacing w:after="0" w:line="240" w:lineRule="auto"/>
        <w:jc w:val="left"/>
        <w:sectPr>
          <w:pgSz w:w="11910" w:h="16840"/>
          <w:pgMar w:header="919" w:footer="1016" w:top="1120" w:bottom="1200" w:left="1020" w:right="0"/>
        </w:sectPr>
      </w:pPr>
    </w:p>
    <w:p>
      <w:pPr>
        <w:spacing w:line="240" w:lineRule="auto" w:before="10"/>
        <w:rPr>
          <w:rFonts w:ascii="宋体" w:hAnsi="宋体" w:cs="宋体" w:eastAsia="宋体" w:hint="default"/>
          <w:sz w:val="19"/>
          <w:szCs w:val="19"/>
        </w:rPr>
      </w:pPr>
    </w:p>
    <w:p>
      <w:pPr>
        <w:pStyle w:val="Heading3"/>
        <w:spacing w:line="240" w:lineRule="auto" w:before="34"/>
        <w:ind w:right="915"/>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15"/>
        <w:jc w:val="left"/>
      </w:pPr>
      <w:r>
        <w:rPr/>
        <w:t>□ 适用 √ 不适用</w:t>
      </w:r>
    </w:p>
    <w:p>
      <w:pPr>
        <w:spacing w:line="240" w:lineRule="auto" w:before="0"/>
        <w:rPr>
          <w:rFonts w:ascii="宋体" w:hAnsi="宋体" w:cs="宋体" w:eastAsia="宋体" w:hint="default"/>
          <w:sz w:val="18"/>
          <w:szCs w:val="18"/>
        </w:rPr>
      </w:pPr>
    </w:p>
    <w:p>
      <w:pPr>
        <w:pStyle w:val="Heading3"/>
        <w:spacing w:line="240" w:lineRule="auto" w:before="118"/>
        <w:ind w:right="915"/>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915"/>
        <w:jc w:val="left"/>
      </w:pPr>
      <w:r>
        <w:rPr/>
        <w:t>√ 适用 □ 不适用</w:t>
      </w:r>
    </w:p>
    <w:p>
      <w:pPr>
        <w:pStyle w:val="BodyText"/>
        <w:spacing w:line="240" w:lineRule="auto" w:before="117"/>
        <w:ind w:left="0" w:right="113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87"/>
        <w:gridCol w:w="895"/>
        <w:gridCol w:w="1089"/>
        <w:gridCol w:w="1179"/>
        <w:gridCol w:w="1194"/>
        <w:gridCol w:w="956"/>
        <w:gridCol w:w="956"/>
        <w:gridCol w:w="956"/>
        <w:gridCol w:w="956"/>
      </w:tblGrid>
      <w:tr>
        <w:trPr>
          <w:trHeight w:val="1026" w:hRule="exact"/>
        </w:trPr>
        <w:tc>
          <w:tcPr>
            <w:tcW w:w="1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27"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71" w:right="171"/>
              <w:jc w:val="left"/>
              <w:rPr>
                <w:rFonts w:ascii="宋体" w:hAnsi="宋体" w:cs="宋体" w:eastAsia="宋体" w:hint="default"/>
                <w:sz w:val="18"/>
                <w:szCs w:val="18"/>
              </w:rPr>
            </w:pPr>
            <w:r>
              <w:rPr>
                <w:rFonts w:ascii="宋体" w:hAnsi="宋体" w:cs="宋体" w:eastAsia="宋体" w:hint="default"/>
                <w:sz w:val="18"/>
                <w:szCs w:val="18"/>
              </w:rPr>
              <w:t>初始投 资成本</w:t>
            </w:r>
          </w:p>
        </w:tc>
        <w:tc>
          <w:tcPr>
            <w:tcW w:w="1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79" w:right="178"/>
              <w:jc w:val="center"/>
              <w:rPr>
                <w:rFonts w:ascii="宋体" w:hAnsi="宋体" w:cs="宋体" w:eastAsia="宋体" w:hint="default"/>
                <w:sz w:val="18"/>
                <w:szCs w:val="18"/>
              </w:rPr>
            </w:pPr>
            <w:r>
              <w:rPr>
                <w:rFonts w:ascii="宋体" w:hAnsi="宋体" w:cs="宋体" w:eastAsia="宋体" w:hint="default"/>
                <w:sz w:val="18"/>
                <w:szCs w:val="18"/>
              </w:rPr>
              <w:t>本期公允 价值变动 损益</w:t>
            </w:r>
          </w:p>
        </w:tc>
        <w:tc>
          <w:tcPr>
            <w:tcW w:w="1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34" w:right="133"/>
              <w:jc w:val="center"/>
              <w:rPr>
                <w:rFonts w:ascii="宋体" w:hAnsi="宋体" w:cs="宋体" w:eastAsia="宋体" w:hint="default"/>
                <w:sz w:val="18"/>
                <w:szCs w:val="18"/>
              </w:rPr>
            </w:pPr>
            <w:r>
              <w:rPr>
                <w:rFonts w:ascii="宋体" w:hAnsi="宋体" w:cs="宋体" w:eastAsia="宋体" w:hint="default"/>
                <w:sz w:val="18"/>
                <w:szCs w:val="18"/>
              </w:rPr>
              <w:t>计入权益的 累计公允价 值变动</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23" w:right="139" w:hanging="180"/>
              <w:jc w:val="left"/>
              <w:rPr>
                <w:rFonts w:ascii="宋体" w:hAnsi="宋体" w:cs="宋体" w:eastAsia="宋体" w:hint="default"/>
                <w:sz w:val="18"/>
                <w:szCs w:val="18"/>
              </w:rPr>
            </w:pPr>
            <w:r>
              <w:rPr>
                <w:rFonts w:ascii="宋体" w:hAnsi="宋体" w:cs="宋体" w:eastAsia="宋体" w:hint="default"/>
                <w:sz w:val="18"/>
                <w:szCs w:val="18"/>
              </w:rPr>
              <w:t>报告期内购 入金额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13" w:right="111"/>
              <w:jc w:val="left"/>
              <w:rPr>
                <w:rFonts w:ascii="宋体" w:hAnsi="宋体" w:cs="宋体" w:eastAsia="宋体" w:hint="default"/>
                <w:sz w:val="18"/>
                <w:szCs w:val="18"/>
              </w:rPr>
            </w:pPr>
            <w:r>
              <w:rPr>
                <w:rFonts w:ascii="宋体" w:hAnsi="宋体" w:cs="宋体" w:eastAsia="宋体" w:hint="default"/>
                <w:sz w:val="18"/>
                <w:szCs w:val="18"/>
              </w:rPr>
              <w:t>报告期内 售出金额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92" w:right="112" w:hanging="180"/>
              <w:jc w:val="left"/>
              <w:rPr>
                <w:rFonts w:ascii="宋体" w:hAnsi="宋体" w:cs="宋体" w:eastAsia="宋体" w:hint="default"/>
                <w:sz w:val="18"/>
                <w:szCs w:val="18"/>
              </w:rPr>
            </w:pPr>
            <w:r>
              <w:rPr>
                <w:rFonts w:ascii="宋体" w:hAnsi="宋体" w:cs="宋体" w:eastAsia="宋体" w:hint="default"/>
                <w:sz w:val="18"/>
                <w:szCs w:val="18"/>
              </w:rPr>
              <w:t>累计投资 收益</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13"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资金来源</w:t>
            </w:r>
          </w:p>
        </w:tc>
      </w:tr>
      <w:tr>
        <w:trPr>
          <w:trHeight w:val="714"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347,321,</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635.20</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-6,339,725.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32</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405,000,000.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2" w:right="0"/>
              <w:jc w:val="left"/>
              <w:rPr>
                <w:rFonts w:ascii="Times New Roman" w:hAnsi="Times New Roman" w:cs="Times New Roman" w:eastAsia="Times New Roman" w:hint="default"/>
                <w:sz w:val="18"/>
                <w:szCs w:val="18"/>
              </w:rPr>
            </w:pPr>
            <w:r>
              <w:rPr>
                <w:rFonts w:ascii="Times New Roman"/>
                <w:sz w:val="18"/>
              </w:rPr>
              <w:t>597,424,5</w:t>
            </w:r>
          </w:p>
          <w:p>
            <w:pPr>
              <w:pStyle w:val="TableParagraph"/>
              <w:spacing w:line="240" w:lineRule="auto" w:before="105"/>
              <w:ind w:left="437" w:right="0"/>
              <w:jc w:val="left"/>
              <w:rPr>
                <w:rFonts w:ascii="Times New Roman" w:hAnsi="Times New Roman" w:cs="Times New Roman" w:eastAsia="Times New Roman" w:hint="default"/>
                <w:sz w:val="18"/>
                <w:szCs w:val="18"/>
              </w:rPr>
            </w:pPr>
            <w:r>
              <w:rPr>
                <w:rFonts w:ascii="Times New Roman"/>
                <w:sz w:val="18"/>
              </w:rPr>
              <w:t>80.00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2" w:right="0"/>
              <w:jc w:val="left"/>
              <w:rPr>
                <w:rFonts w:ascii="Times New Roman" w:hAnsi="Times New Roman" w:cs="Times New Roman" w:eastAsia="Times New Roman" w:hint="default"/>
                <w:sz w:val="18"/>
                <w:szCs w:val="18"/>
              </w:rPr>
            </w:pPr>
            <w:r>
              <w:rPr>
                <w:rFonts w:ascii="Times New Roman"/>
                <w:sz w:val="18"/>
              </w:rPr>
              <w:t>6,864,304</w:t>
            </w:r>
          </w:p>
          <w:p>
            <w:pPr>
              <w:pStyle w:val="TableParagraph"/>
              <w:spacing w:line="240" w:lineRule="auto" w:before="105"/>
              <w:ind w:left="618" w:right="0"/>
              <w:jc w:val="left"/>
              <w:rPr>
                <w:rFonts w:ascii="Times New Roman" w:hAnsi="Times New Roman" w:cs="Times New Roman" w:eastAsia="Times New Roman" w:hint="default"/>
                <w:sz w:val="18"/>
                <w:szCs w:val="18"/>
              </w:rPr>
            </w:pPr>
            <w:r>
              <w:rPr>
                <w:rFonts w:ascii="Times New Roman"/>
                <w:sz w:val="18"/>
              </w:rPr>
              <w:t>.46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3" w:right="0"/>
              <w:jc w:val="left"/>
              <w:rPr>
                <w:rFonts w:ascii="Times New Roman" w:hAnsi="Times New Roman" w:cs="Times New Roman" w:eastAsia="Times New Roman" w:hint="default"/>
                <w:sz w:val="18"/>
                <w:szCs w:val="18"/>
              </w:rPr>
            </w:pPr>
            <w:r>
              <w:rPr>
                <w:rFonts w:ascii="Times New Roman"/>
                <w:sz w:val="18"/>
              </w:rPr>
              <w:t>148,557,3</w:t>
            </w:r>
          </w:p>
          <w:p>
            <w:pPr>
              <w:pStyle w:val="TableParagraph"/>
              <w:spacing w:line="240" w:lineRule="auto" w:before="105"/>
              <w:ind w:left="437" w:right="0"/>
              <w:jc w:val="left"/>
              <w:rPr>
                <w:rFonts w:ascii="Times New Roman" w:hAnsi="Times New Roman" w:cs="Times New Roman" w:eastAsia="Times New Roman" w:hint="default"/>
                <w:sz w:val="18"/>
                <w:szCs w:val="18"/>
              </w:rPr>
            </w:pPr>
            <w:r>
              <w:rPr>
                <w:rFonts w:ascii="Times New Roman"/>
                <w:sz w:val="18"/>
              </w:rPr>
              <w:t>29.88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20"/>
              <w:jc w:val="left"/>
              <w:rPr>
                <w:rFonts w:ascii="宋体" w:hAnsi="宋体" w:cs="宋体" w:eastAsia="宋体" w:hint="default"/>
                <w:sz w:val="18"/>
                <w:szCs w:val="18"/>
              </w:rPr>
            </w:pPr>
            <w:r>
              <w:rPr>
                <w:rFonts w:ascii="宋体" w:hAnsi="宋体" w:cs="宋体" w:eastAsia="宋体" w:hint="default"/>
                <w:sz w:val="18"/>
                <w:szCs w:val="18"/>
              </w:rPr>
              <w:t>公司自有 资金</w:t>
            </w:r>
          </w:p>
        </w:tc>
      </w:tr>
      <w:tr>
        <w:trPr>
          <w:trHeight w:val="714" w:hRule="exact"/>
        </w:trPr>
        <w:tc>
          <w:tcPr>
            <w:tcW w:w="1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50" w:right="0"/>
              <w:jc w:val="center"/>
              <w:rPr>
                <w:rFonts w:ascii="Times New Roman" w:hAnsi="Times New Roman" w:cs="Times New Roman" w:eastAsia="Times New Roman" w:hint="default"/>
                <w:sz w:val="18"/>
                <w:szCs w:val="18"/>
              </w:rPr>
            </w:pPr>
            <w:r>
              <w:rPr>
                <w:rFonts w:ascii="Times New Roman"/>
                <w:sz w:val="18"/>
              </w:rPr>
              <w:t>347,321,</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635.20</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-6,339,725.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32</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405,000,000.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22" w:right="0"/>
              <w:jc w:val="left"/>
              <w:rPr>
                <w:rFonts w:ascii="Times New Roman" w:hAnsi="Times New Roman" w:cs="Times New Roman" w:eastAsia="Times New Roman" w:hint="default"/>
                <w:sz w:val="18"/>
                <w:szCs w:val="18"/>
              </w:rPr>
            </w:pPr>
            <w:r>
              <w:rPr>
                <w:rFonts w:ascii="Times New Roman"/>
                <w:sz w:val="18"/>
              </w:rPr>
              <w:t>597,424,5</w:t>
            </w:r>
          </w:p>
          <w:p>
            <w:pPr>
              <w:pStyle w:val="TableParagraph"/>
              <w:spacing w:line="240" w:lineRule="auto" w:before="105"/>
              <w:ind w:left="437" w:right="0"/>
              <w:jc w:val="left"/>
              <w:rPr>
                <w:rFonts w:ascii="Times New Roman" w:hAnsi="Times New Roman" w:cs="Times New Roman" w:eastAsia="Times New Roman" w:hint="default"/>
                <w:sz w:val="18"/>
                <w:szCs w:val="18"/>
              </w:rPr>
            </w:pPr>
            <w:r>
              <w:rPr>
                <w:rFonts w:ascii="Times New Roman"/>
                <w:sz w:val="18"/>
              </w:rPr>
              <w:t>80.00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22" w:right="0"/>
              <w:jc w:val="left"/>
              <w:rPr>
                <w:rFonts w:ascii="Times New Roman" w:hAnsi="Times New Roman" w:cs="Times New Roman" w:eastAsia="Times New Roman" w:hint="default"/>
                <w:sz w:val="18"/>
                <w:szCs w:val="18"/>
              </w:rPr>
            </w:pPr>
            <w:r>
              <w:rPr>
                <w:rFonts w:ascii="Times New Roman"/>
                <w:sz w:val="18"/>
              </w:rPr>
              <w:t>6,864,304</w:t>
            </w:r>
          </w:p>
          <w:p>
            <w:pPr>
              <w:pStyle w:val="TableParagraph"/>
              <w:spacing w:line="240" w:lineRule="auto" w:before="105"/>
              <w:ind w:left="618" w:right="0"/>
              <w:jc w:val="left"/>
              <w:rPr>
                <w:rFonts w:ascii="Times New Roman" w:hAnsi="Times New Roman" w:cs="Times New Roman" w:eastAsia="Times New Roman" w:hint="default"/>
                <w:sz w:val="18"/>
                <w:szCs w:val="18"/>
              </w:rPr>
            </w:pPr>
            <w:r>
              <w:rPr>
                <w:rFonts w:ascii="Times New Roman"/>
                <w:sz w:val="18"/>
              </w:rPr>
              <w:t>.46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23" w:right="0"/>
              <w:jc w:val="left"/>
              <w:rPr>
                <w:rFonts w:ascii="Times New Roman" w:hAnsi="Times New Roman" w:cs="Times New Roman" w:eastAsia="Times New Roman" w:hint="default"/>
                <w:sz w:val="18"/>
                <w:szCs w:val="18"/>
              </w:rPr>
            </w:pPr>
            <w:r>
              <w:rPr>
                <w:rFonts w:ascii="Times New Roman"/>
                <w:sz w:val="18"/>
              </w:rPr>
              <w:t>148,557,3</w:t>
            </w:r>
          </w:p>
          <w:p>
            <w:pPr>
              <w:pStyle w:val="TableParagraph"/>
              <w:spacing w:line="240" w:lineRule="auto" w:before="105"/>
              <w:ind w:left="437" w:right="0"/>
              <w:jc w:val="left"/>
              <w:rPr>
                <w:rFonts w:ascii="Times New Roman" w:hAnsi="Times New Roman" w:cs="Times New Roman" w:eastAsia="Times New Roman" w:hint="default"/>
                <w:sz w:val="18"/>
                <w:szCs w:val="18"/>
              </w:rPr>
            </w:pPr>
            <w:r>
              <w:rPr>
                <w:rFonts w:ascii="Times New Roman"/>
                <w:sz w:val="18"/>
              </w:rPr>
              <w:t>29.88</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4"/>
        <w:ind w:right="915"/>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8054"/>
        <w:jc w:val="left"/>
      </w:pPr>
      <w:r>
        <w:rPr/>
        <w:t>□ 适用 √ 不适用 公司报告期无募集资金使用情况。</w:t>
      </w:r>
    </w:p>
    <w:p>
      <w:pPr>
        <w:spacing w:line="240" w:lineRule="auto" w:before="2"/>
        <w:rPr>
          <w:rFonts w:ascii="宋体" w:hAnsi="宋体" w:cs="宋体" w:eastAsia="宋体" w:hint="default"/>
          <w:sz w:val="18"/>
          <w:szCs w:val="18"/>
        </w:rPr>
      </w:pPr>
    </w:p>
    <w:p>
      <w:pPr>
        <w:pStyle w:val="Heading2"/>
        <w:spacing w:line="240" w:lineRule="auto"/>
        <w:ind w:right="915"/>
        <w:jc w:val="left"/>
        <w:rPr>
          <w:b w:val="0"/>
          <w:bCs w:val="0"/>
        </w:rPr>
      </w:pPr>
      <w:bookmarkStart w:name="六、重大资产和股权出售" w:id="50"/>
      <w:bookmarkEnd w:id="50"/>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15"/>
        <w:jc w:val="left"/>
        <w:rPr>
          <w:b w:val="0"/>
          <w:bCs w:val="0"/>
        </w:rPr>
      </w:pPr>
      <w:bookmarkStart w:name="1、出售重大资产情况" w:id="51"/>
      <w:bookmarkEnd w:id="51"/>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right="8414"/>
        <w:jc w:val="left"/>
      </w:pPr>
      <w:r>
        <w:rPr/>
        <w:t>□ 适用 √ 不适用 公司报告期未出售重大资产。</w:t>
      </w:r>
    </w:p>
    <w:p>
      <w:pPr>
        <w:spacing w:line="240" w:lineRule="auto" w:before="3"/>
        <w:rPr>
          <w:rFonts w:ascii="宋体" w:hAnsi="宋体" w:cs="宋体" w:eastAsia="宋体" w:hint="default"/>
          <w:sz w:val="20"/>
          <w:szCs w:val="20"/>
        </w:rPr>
      </w:pPr>
    </w:p>
    <w:p>
      <w:pPr>
        <w:pStyle w:val="Heading3"/>
        <w:spacing w:line="240" w:lineRule="auto"/>
        <w:ind w:right="915"/>
        <w:jc w:val="left"/>
        <w:rPr>
          <w:b w:val="0"/>
          <w:bCs w:val="0"/>
        </w:rPr>
      </w:pPr>
      <w:bookmarkStart w:name="2、出售重大股权情况" w:id="52"/>
      <w:bookmarkEnd w:id="52"/>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15"/>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915"/>
        <w:jc w:val="left"/>
        <w:rPr>
          <w:b w:val="0"/>
          <w:bCs w:val="0"/>
        </w:rPr>
      </w:pPr>
      <w:bookmarkStart w:name="七、主要控股参股公司分析" w:id="53"/>
      <w:bookmarkEnd w:id="53"/>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19" w:footer="1016" w:top="1120" w:bottom="1200" w:left="1020" w:right="0"/>
        </w:sectPr>
      </w:pPr>
    </w:p>
    <w:p>
      <w:pPr>
        <w:pStyle w:val="BodyText"/>
        <w:spacing w:line="240" w:lineRule="auto" w:before="44"/>
        <w:ind w:right="-17"/>
        <w:jc w:val="left"/>
      </w:pPr>
      <w:r>
        <w:rPr/>
        <w:t>√ 适用 □ 不适用</w:t>
      </w:r>
    </w:p>
    <w:p>
      <w:pPr>
        <w:pStyle w:val="BodyText"/>
        <w:spacing w:line="240" w:lineRule="auto" w:before="115"/>
        <w:ind w:right="-17"/>
        <w:jc w:val="left"/>
      </w:pPr>
      <w:r>
        <w:rPr/>
        <w:t>主要子公司及对公司净利润影响达</w:t>
      </w:r>
      <w:r>
        <w:rPr>
          <w:spacing w:val="-48"/>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100" w:bottom="1200" w:left="1020" w:right="0"/>
          <w:cols w:num="2" w:equalWidth="0">
            <w:col w:w="4808" w:space="4111"/>
            <w:col w:w="1971"/>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54"/>
        <w:gridCol w:w="1196"/>
        <w:gridCol w:w="1045"/>
        <w:gridCol w:w="1045"/>
        <w:gridCol w:w="1046"/>
        <w:gridCol w:w="1045"/>
        <w:gridCol w:w="1045"/>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6"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220"/>
              <w:jc w:val="both"/>
              <w:rPr>
                <w:rFonts w:ascii="宋体" w:hAnsi="宋体" w:cs="宋体" w:eastAsia="宋体" w:hint="default"/>
                <w:sz w:val="18"/>
                <w:szCs w:val="18"/>
              </w:rPr>
            </w:pPr>
            <w:r>
              <w:rPr>
                <w:rFonts w:ascii="宋体" w:hAnsi="宋体" w:cs="宋体" w:eastAsia="宋体" w:hint="default"/>
                <w:sz w:val="18"/>
                <w:szCs w:val="18"/>
              </w:rPr>
              <w:t>上海赢量 信息科技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210"/>
              <w:jc w:val="left"/>
              <w:rPr>
                <w:rFonts w:ascii="宋体" w:hAnsi="宋体" w:cs="宋体" w:eastAsia="宋体" w:hint="default"/>
                <w:sz w:val="18"/>
                <w:szCs w:val="18"/>
              </w:rPr>
            </w:pPr>
            <w:r>
              <w:rPr>
                <w:rFonts w:ascii="宋体" w:hAnsi="宋体" w:cs="宋体" w:eastAsia="宋体" w:hint="default"/>
                <w:sz w:val="18"/>
                <w:szCs w:val="18"/>
              </w:rPr>
              <w:t>金融信息 服务</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center"/>
              <w:rPr>
                <w:rFonts w:ascii="Times New Roman" w:hAnsi="Times New Roman" w:cs="Times New Roman" w:eastAsia="Times New Roman" w:hint="default"/>
                <w:sz w:val="18"/>
                <w:szCs w:val="18"/>
              </w:rPr>
            </w:pPr>
            <w:r>
              <w:rPr>
                <w:rFonts w:ascii="Times New Roman"/>
                <w:sz w:val="18"/>
              </w:rPr>
              <w:t>200000000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255,795,57</w:t>
            </w:r>
          </w:p>
          <w:p>
            <w:pPr>
              <w:pStyle w:val="TableParagraph"/>
              <w:spacing w:line="240" w:lineRule="auto" w:before="105"/>
              <w:ind w:left="617" w:right="0"/>
              <w:jc w:val="left"/>
              <w:rPr>
                <w:rFonts w:ascii="Times New Roman" w:hAnsi="Times New Roman" w:cs="Times New Roman" w:eastAsia="Times New Roman" w:hint="default"/>
                <w:sz w:val="18"/>
                <w:szCs w:val="18"/>
              </w:rPr>
            </w:pPr>
            <w:r>
              <w:rPr>
                <w:rFonts w:ascii="Times New Roman"/>
                <w:sz w:val="18"/>
              </w:rPr>
              <w:t>9.24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147,410,36</w:t>
            </w:r>
          </w:p>
          <w:p>
            <w:pPr>
              <w:pStyle w:val="TableParagraph"/>
              <w:spacing w:line="240" w:lineRule="auto" w:before="105"/>
              <w:ind w:left="617" w:right="0"/>
              <w:jc w:val="left"/>
              <w:rPr>
                <w:rFonts w:ascii="Times New Roman" w:hAnsi="Times New Roman" w:cs="Times New Roman" w:eastAsia="Times New Roman" w:hint="default"/>
                <w:sz w:val="18"/>
                <w:szCs w:val="18"/>
              </w:rPr>
            </w:pPr>
            <w:r>
              <w:rPr>
                <w:rFonts w:ascii="Times New Roman"/>
                <w:sz w:val="18"/>
              </w:rPr>
              <w:t>1.59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31,446,306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.40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2" w:right="0"/>
              <w:jc w:val="left"/>
              <w:rPr>
                <w:rFonts w:ascii="Times New Roman" w:hAnsi="Times New Roman" w:cs="Times New Roman" w:eastAsia="Times New Roman" w:hint="default"/>
                <w:sz w:val="18"/>
                <w:szCs w:val="18"/>
              </w:rPr>
            </w:pPr>
            <w:r>
              <w:rPr>
                <w:rFonts w:ascii="Times New Roman"/>
                <w:sz w:val="18"/>
              </w:rPr>
              <w:t>-87,750,01</w:t>
            </w:r>
          </w:p>
          <w:p>
            <w:pPr>
              <w:pStyle w:val="TableParagraph"/>
              <w:spacing w:line="240" w:lineRule="auto" w:before="105"/>
              <w:ind w:left="617" w:right="0"/>
              <w:jc w:val="left"/>
              <w:rPr>
                <w:rFonts w:ascii="Times New Roman" w:hAnsi="Times New Roman" w:cs="Times New Roman" w:eastAsia="Times New Roman" w:hint="default"/>
                <w:sz w:val="18"/>
                <w:szCs w:val="18"/>
              </w:rPr>
            </w:pPr>
            <w:r>
              <w:rPr>
                <w:rFonts w:ascii="Times New Roman"/>
                <w:sz w:val="18"/>
              </w:rPr>
              <w:t>5.76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-89,778,82</w:t>
            </w:r>
          </w:p>
          <w:p>
            <w:pPr>
              <w:pStyle w:val="TableParagraph"/>
              <w:spacing w:line="240" w:lineRule="auto" w:before="105"/>
              <w:ind w:left="617" w:right="0"/>
              <w:jc w:val="left"/>
              <w:rPr>
                <w:rFonts w:ascii="Times New Roman" w:hAnsi="Times New Roman" w:cs="Times New Roman" w:eastAsia="Times New Roman" w:hint="default"/>
                <w:sz w:val="18"/>
                <w:szCs w:val="18"/>
              </w:rPr>
            </w:pPr>
            <w:r>
              <w:rPr>
                <w:rFonts w:ascii="Times New Roman"/>
                <w:sz w:val="18"/>
              </w:rPr>
              <w:t>2.45</w:t>
            </w:r>
          </w:p>
        </w:tc>
      </w:tr>
    </w:tbl>
    <w:p>
      <w:pPr>
        <w:pStyle w:val="BodyText"/>
        <w:spacing w:line="240" w:lineRule="auto" w:before="52"/>
        <w:ind w:right="915"/>
        <w:jc w:val="left"/>
      </w:pPr>
      <w:r>
        <w:rPr/>
        <w:t>报告期内取得和处置子公司的情况</w:t>
      </w:r>
    </w:p>
    <w:p>
      <w:pPr>
        <w:spacing w:after="0" w:line="240" w:lineRule="auto"/>
        <w:jc w:val="left"/>
        <w:sectPr>
          <w:type w:val="continuous"/>
          <w:pgSz w:w="11910" w:h="16840"/>
          <w:pgMar w:top="1100" w:bottom="1200" w:left="1020" w:right="0"/>
        </w:sectPr>
      </w:pPr>
    </w:p>
    <w:p>
      <w:pPr>
        <w:spacing w:line="240" w:lineRule="auto" w:before="12"/>
        <w:rPr>
          <w:rFonts w:ascii="宋体" w:hAnsi="宋体" w:cs="宋体" w:eastAsia="宋体" w:hint="default"/>
          <w:sz w:val="20"/>
          <w:szCs w:val="20"/>
        </w:rPr>
      </w:pPr>
    </w:p>
    <w:p>
      <w:pPr>
        <w:pStyle w:val="BodyText"/>
        <w:spacing w:line="240" w:lineRule="auto" w:before="44"/>
        <w:ind w:right="915"/>
        <w:jc w:val="left"/>
      </w:pPr>
      <w:r>
        <w:rPr/>
        <w:t>√ 适用 □ 不适用</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9"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2"/>
              <w:jc w:val="center"/>
              <w:rPr>
                <w:rFonts w:ascii="宋体" w:hAnsi="宋体" w:cs="宋体" w:eastAsia="宋体" w:hint="default"/>
                <w:sz w:val="18"/>
                <w:szCs w:val="18"/>
              </w:rPr>
            </w:pPr>
            <w:r>
              <w:rPr>
                <w:rFonts w:ascii="宋体" w:hAnsi="宋体" w:cs="宋体" w:eastAsia="宋体" w:hint="default"/>
                <w:sz w:val="18"/>
                <w:szCs w:val="18"/>
              </w:rPr>
              <w:t>深圳市赢时胜软件技术服务有限公司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暂不确定</w:t>
            </w:r>
          </w:p>
        </w:tc>
      </w:tr>
    </w:tbl>
    <w:p>
      <w:pPr>
        <w:pStyle w:val="BodyText"/>
        <w:spacing w:line="360" w:lineRule="auto" w:before="50"/>
        <w:ind w:right="8594"/>
        <w:jc w:val="left"/>
      </w:pPr>
      <w:r>
        <w:rPr/>
        <w:t>主要控股参股公司情况说明 无</w:t>
      </w:r>
    </w:p>
    <w:p>
      <w:pPr>
        <w:spacing w:line="240" w:lineRule="auto" w:before="2"/>
        <w:rPr>
          <w:rFonts w:ascii="宋体" w:hAnsi="宋体" w:cs="宋体" w:eastAsia="宋体" w:hint="default"/>
          <w:sz w:val="18"/>
          <w:szCs w:val="18"/>
        </w:rPr>
      </w:pPr>
    </w:p>
    <w:p>
      <w:pPr>
        <w:pStyle w:val="Heading2"/>
        <w:spacing w:line="240" w:lineRule="auto"/>
        <w:ind w:right="915"/>
        <w:jc w:val="left"/>
        <w:rPr>
          <w:b w:val="0"/>
          <w:bCs w:val="0"/>
        </w:rPr>
      </w:pPr>
      <w:bookmarkStart w:name="八、公司控制的结构化主体情况" w:id="54"/>
      <w:bookmarkEnd w:id="54"/>
      <w:r>
        <w:rPr>
          <w:b w:val="0"/>
          <w:bCs w:val="0"/>
        </w:rPr>
      </w:r>
      <w:r>
        <w:rPr/>
        <w:t>八、公司控制的结构化主体情况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15"/>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915"/>
        <w:jc w:val="left"/>
        <w:rPr>
          <w:b w:val="0"/>
          <w:bCs w:val="0"/>
        </w:rPr>
      </w:pPr>
      <w:bookmarkStart w:name="九、公司未来发展的展望" w:id="55"/>
      <w:bookmarkEnd w:id="55"/>
      <w:r>
        <w:rPr>
          <w:b w:val="0"/>
          <w:bCs w:val="0"/>
        </w:rPr>
      </w:r>
      <w:r>
        <w:rPr/>
        <w:t>九、公司未来发展的展望</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472" w:right="915"/>
        <w:jc w:val="left"/>
      </w:pPr>
      <w:r>
        <w:rPr/>
        <w:t>（一）行业发展趋势</w:t>
      </w:r>
    </w:p>
    <w:p>
      <w:pPr>
        <w:pStyle w:val="BodyText"/>
        <w:spacing w:line="316" w:lineRule="auto" w:before="76"/>
        <w:ind w:right="1034" w:firstLine="360"/>
        <w:jc w:val="left"/>
      </w:pPr>
      <w:r>
        <w:rPr>
          <w:spacing w:val="-3"/>
        </w:rPr>
        <w:t>1、2019年8月，中国人民银行发布《金融科技发展规划(2019-2021年)》，明确提出要将“金融科技”打造成金融高质量</w:t>
      </w:r>
      <w:r>
        <w:rPr/>
        <w:t> </w:t>
      </w:r>
      <w:r>
        <w:rPr>
          <w:spacing w:val="-2"/>
        </w:rPr>
        <w:t>发展的“新引擎”，金融与科技的融合成为了金融业发展的主旋律，金融行业信息化向数字化、智能化转型升级是未来的必</w:t>
      </w:r>
      <w:r>
        <w:rPr>
          <w:spacing w:val="-67"/>
        </w:rPr>
        <w:t> </w:t>
      </w:r>
      <w:r>
        <w:rPr>
          <w:spacing w:val="-67"/>
        </w:rPr>
      </w:r>
      <w:r>
        <w:rPr>
          <w:spacing w:val="-2"/>
        </w:rPr>
        <w:t>然趋势，新一代金融信息化基础设施将面临更新换代，金融科技的发展推进金融业服务实体经济能力和创新能力的提升，同</w:t>
      </w:r>
      <w:r>
        <w:rPr>
          <w:spacing w:val="-63"/>
        </w:rPr>
        <w:t> </w:t>
      </w:r>
      <w:r>
        <w:rPr>
          <w:spacing w:val="-63"/>
        </w:rPr>
      </w:r>
      <w:r>
        <w:rPr/>
        <w:t>时也将带来传统金融机构的运营服务模式和盈利模式的深刻变革，促使各类金融机构对金融IT基础设施投入持续快速增加，</w:t>
      </w:r>
      <w:r>
        <w:rPr/>
        <w:t> 金融信息化市场空间巨大。</w:t>
      </w:r>
    </w:p>
    <w:p>
      <w:pPr>
        <w:pStyle w:val="BodyText"/>
        <w:spacing w:line="316" w:lineRule="auto" w:before="19"/>
        <w:ind w:right="1124" w:firstLine="360"/>
        <w:jc w:val="left"/>
      </w:pPr>
      <w:r>
        <w:rPr/>
        <w:t>2、资产管理行业规模快速增长，资管新规等法律法规的发布实施将深刻改变资产管理行业的发展格局，中国资产管理 行业已进入资产管理新时代。</w:t>
      </w:r>
    </w:p>
    <w:p>
      <w:pPr>
        <w:pStyle w:val="BodyText"/>
        <w:spacing w:line="240" w:lineRule="auto" w:before="19"/>
        <w:ind w:left="472" w:right="915"/>
        <w:jc w:val="left"/>
      </w:pPr>
      <w:r>
        <w:rPr>
          <w:spacing w:val="1"/>
        </w:rPr>
        <w:t>3</w:t>
      </w:r>
      <w:r>
        <w:rPr>
          <w:spacing w:val="-92"/>
        </w:rPr>
        <w:t>、</w:t>
      </w:r>
      <w:r>
        <w:rPr/>
        <w:t>“数据就是资产”已经成为业界的共识，在政府的积极推动下，国内大数据市场将迎来新一轮的井喷式发展。</w:t>
      </w:r>
    </w:p>
    <w:p>
      <w:pPr>
        <w:pStyle w:val="BodyText"/>
        <w:spacing w:line="316" w:lineRule="auto" w:before="76"/>
        <w:ind w:right="1124" w:firstLine="360"/>
        <w:jc w:val="left"/>
      </w:pPr>
      <w:r>
        <w:rPr/>
        <w:t>4、随着《新一代人工智能发展规划》的发布，我国已将人工智能上升为国家战略，要求2030年达到世界领先水平，人 工智能应用场景研发及产业化发展前景广阔。</w:t>
      </w:r>
    </w:p>
    <w:p>
      <w:pPr>
        <w:pStyle w:val="BodyText"/>
        <w:spacing w:line="316" w:lineRule="auto" w:before="19"/>
        <w:ind w:left="472" w:right="1124" w:hanging="60"/>
        <w:jc w:val="left"/>
      </w:pPr>
      <w:r>
        <w:rPr/>
        <w:t>（二）公司发展战略 公司自成立以来一直紧随金融行业的发展，专注于金融行业信息系统的研究、开发、销售和服务，已向全国300多家金</w:t>
      </w:r>
    </w:p>
    <w:p>
      <w:pPr>
        <w:pStyle w:val="BodyText"/>
        <w:spacing w:line="316" w:lineRule="auto" w:before="19"/>
        <w:ind w:right="1130"/>
        <w:jc w:val="both"/>
      </w:pPr>
      <w:r>
        <w:rPr>
          <w:spacing w:val="-2"/>
        </w:rPr>
        <w:t>融机构提供专业的信息化系统建设综合解决方案。同时，作为一家国家规划布局内重点软件企业和国家级高新技术企业，公</w:t>
      </w:r>
      <w:r>
        <w:rPr>
          <w:spacing w:val="-63"/>
        </w:rPr>
        <w:t> </w:t>
      </w:r>
      <w:r>
        <w:rPr>
          <w:spacing w:val="-63"/>
        </w:rPr>
      </w:r>
      <w:r>
        <w:rPr>
          <w:spacing w:val="-2"/>
        </w:rPr>
        <w:t>司坚持对金融行业深耕细作，努力做好金融科技。公司正在逐步落实相关规划，积极推动云计算、大数据、人工智能、区块</w:t>
      </w:r>
      <w:r>
        <w:rPr>
          <w:spacing w:val="-63"/>
        </w:rPr>
        <w:t> </w:t>
      </w:r>
      <w:r>
        <w:rPr>
          <w:spacing w:val="-63"/>
        </w:rPr>
      </w:r>
      <w:r>
        <w:rPr>
          <w:spacing w:val="-2"/>
        </w:rPr>
        <w:t>链与金融的深度融合，加快金融业的信息化、数字化、智能化的建设周期。为提高金融服务实体经济能力和创新能力，以新</w:t>
      </w:r>
      <w:r>
        <w:rPr>
          <w:spacing w:val="-64"/>
        </w:rPr>
        <w:t> </w:t>
      </w:r>
      <w:r>
        <w:rPr>
          <w:spacing w:val="-64"/>
        </w:rPr>
      </w:r>
      <w:r>
        <w:rPr/>
        <w:t>一代信息技术应用为主要特征的金融科技飞速发展做出贡献。</w:t>
      </w:r>
    </w:p>
    <w:p>
      <w:pPr>
        <w:pStyle w:val="BodyText"/>
        <w:spacing w:line="316" w:lineRule="auto" w:before="19"/>
        <w:ind w:right="1132" w:firstLine="360"/>
        <w:jc w:val="both"/>
      </w:pPr>
      <w:r>
        <w:rPr/>
        <w:t>公司深刻把握金融行业业务发展和技术应用的发展趋势,紧贴市场的需求变化,持续加大研发投入,积极推进大数据、区 块链、人工智能、微服务等新一代信息技术的研发应用,持续推动技术创新、产品创新和服务创新,不断延伸公司产品线,拓</w:t>
      </w:r>
      <w:r>
        <w:rPr>
          <w:spacing w:val="-85"/>
        </w:rPr>
        <w:t> </w:t>
      </w:r>
      <w:r>
        <w:rPr>
          <w:spacing w:val="-85"/>
        </w:rPr>
      </w:r>
      <w:r>
        <w:rPr/>
        <w:t>宽公司产品服务范围,丰富产品功能,改进产品服务质量,提升用户体验和客户满意度,有效提升了其公司产品的品牌优势和</w:t>
      </w:r>
      <w:r>
        <w:rPr>
          <w:spacing w:val="-9"/>
        </w:rPr>
        <w:t> </w:t>
      </w:r>
      <w:r>
        <w:rPr>
          <w:spacing w:val="-9"/>
        </w:rPr>
      </w:r>
      <w:r>
        <w:rPr/>
        <w:t>行业影响力。公司发展战略主要体现以下几个方面：</w:t>
      </w:r>
    </w:p>
    <w:p>
      <w:pPr>
        <w:pStyle w:val="BodyText"/>
        <w:spacing w:line="316" w:lineRule="auto" w:before="19"/>
        <w:ind w:left="472" w:right="1124"/>
        <w:jc w:val="left"/>
      </w:pPr>
      <w:r>
        <w:rPr/>
        <w:t>1、聚焦资产托管和资产管理业务 以资产托管和资产管理两条产品线为主线,进行产品整合和创新,持续加大研发投入,推出全新的资产托管和资产管理信</w:t>
      </w:r>
    </w:p>
    <w:p>
      <w:pPr>
        <w:pStyle w:val="BodyText"/>
        <w:spacing w:line="316" w:lineRule="auto" w:before="19"/>
        <w:ind w:right="915"/>
        <w:jc w:val="left"/>
      </w:pPr>
      <w:r>
        <w:rPr>
          <w:spacing w:val="-2"/>
        </w:rPr>
        <w:t>息系统解决方案,加强前中台建设，并加强其市场化应用和产业化发展,以满足不同金融企业跨界经营和混业经营及创新业务</w:t>
      </w:r>
      <w:r>
        <w:rPr>
          <w:spacing w:val="-63"/>
        </w:rPr>
        <w:t> </w:t>
      </w:r>
      <w:r>
        <w:rPr>
          <w:spacing w:val="-63"/>
        </w:rPr>
      </w:r>
      <w:r>
        <w:rPr/>
        <w:t>开展的需要,持续保持在行业中的领先地位和竞争优势,巩固在行业中的品牌地位。</w:t>
      </w:r>
    </w:p>
    <w:p>
      <w:pPr>
        <w:pStyle w:val="BodyText"/>
        <w:spacing w:line="316" w:lineRule="auto" w:before="19"/>
        <w:ind w:left="472" w:right="1124"/>
        <w:jc w:val="left"/>
      </w:pPr>
      <w:r>
        <w:rPr/>
        <w:t>2、持续ABCD赋能 加强对新一代信息技术等前瞻性技术研究,持续加大对微服务技术架构的研发和大数据、云计算、人工智能、区块链等</w:t>
      </w:r>
    </w:p>
    <w:p>
      <w:pPr>
        <w:pStyle w:val="BodyText"/>
        <w:spacing w:line="316" w:lineRule="auto" w:before="19"/>
        <w:ind w:left="472" w:right="915" w:hanging="360"/>
        <w:jc w:val="left"/>
      </w:pPr>
      <w:r>
        <w:rPr/>
        <w:t>新技术的应用研发,结合现有优势领域，赋能行业形成新的行业生态，为公司金融科技的发展提供技术支撑。 3、探索公有云+行业云+私有云服务模式 适应金融服务外包市场需求的变化,积极探索基于SaaS模式的新型资产管理及托管服务模式。 4、科技数据驱动跨领域突破 </w:t>
      </w:r>
      <w:r>
        <w:rPr>
          <w:spacing w:val="-2"/>
        </w:rPr>
        <w:t>面对金融科技的发展机遇,依托赢时胜公司长久以来积累的人力基础、金融行业服务经验和客户基础,加强微服务，云计</w:t>
      </w:r>
    </w:p>
    <w:p>
      <w:pPr>
        <w:spacing w:after="0" w:line="316" w:lineRule="auto"/>
        <w:jc w:val="left"/>
        <w:sectPr>
          <w:footerReference w:type="default" r:id="rId17"/>
          <w:pgSz w:w="11910" w:h="16840"/>
          <w:pgMar w:footer="1016" w:header="919" w:top="1120" w:bottom="1200" w:left="1020" w:right="0"/>
          <w:pgNumType w:start="26"/>
        </w:sectPr>
      </w:pPr>
    </w:p>
    <w:p>
      <w:pPr>
        <w:spacing w:line="240" w:lineRule="auto" w:before="12"/>
        <w:rPr>
          <w:rFonts w:ascii="宋体" w:hAnsi="宋体" w:cs="宋体" w:eastAsia="宋体" w:hint="default"/>
          <w:sz w:val="20"/>
          <w:szCs w:val="20"/>
        </w:rPr>
      </w:pPr>
    </w:p>
    <w:p>
      <w:pPr>
        <w:pStyle w:val="BodyText"/>
        <w:spacing w:line="316" w:lineRule="auto" w:before="44"/>
        <w:ind w:right="1124"/>
        <w:jc w:val="left"/>
      </w:pPr>
      <w:r>
        <w:rPr/>
        <w:t>算，大数据，人工智能，区块链等新技术的产学研合作,积极布局金融科技生态圈，突破传统领域，进军银行核心，保险核</w:t>
      </w:r>
      <w:r>
        <w:rPr>
          <w:spacing w:val="-85"/>
        </w:rPr>
        <w:t> </w:t>
      </w:r>
      <w:r>
        <w:rPr>
          <w:spacing w:val="-85"/>
        </w:rPr>
      </w:r>
      <w:r>
        <w:rPr/>
        <w:t>心以及其他行业，推动公司科技战略转型。</w:t>
      </w:r>
    </w:p>
    <w:p>
      <w:pPr>
        <w:pStyle w:val="BodyText"/>
        <w:spacing w:line="316" w:lineRule="auto" w:before="19"/>
        <w:ind w:left="472" w:right="1124"/>
        <w:jc w:val="left"/>
      </w:pPr>
      <w:r>
        <w:rPr/>
        <w:t>5、组织文化建设创新机制驱动 公司秉承成长与分享的理念,逐步构建创业平台机制,优化公司的绩效考核、薪酬制度等激励体系,打造职业化的管理团</w:t>
      </w:r>
    </w:p>
    <w:p>
      <w:pPr>
        <w:pStyle w:val="BodyText"/>
        <w:spacing w:line="240" w:lineRule="auto" w:before="19"/>
        <w:ind w:right="915"/>
        <w:jc w:val="left"/>
      </w:pPr>
      <w:r>
        <w:rPr/>
        <w:t>队和专业化的运营团队,建立自主发展和自主创新的动力机制。</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pStyle w:val="Heading2"/>
        <w:spacing w:line="240" w:lineRule="auto"/>
        <w:ind w:right="915"/>
        <w:jc w:val="left"/>
        <w:rPr>
          <w:b w:val="0"/>
          <w:bCs w:val="0"/>
        </w:rPr>
      </w:pPr>
      <w:bookmarkStart w:name="十、接待调研、沟通、采访等活动登记表" w:id="56"/>
      <w:bookmarkEnd w:id="56"/>
      <w:r>
        <w:rPr>
          <w:b w:val="0"/>
          <w:bCs w:val="0"/>
        </w:rPr>
      </w:r>
      <w:r>
        <w:rPr/>
        <w:t>十、接待调研、沟通、采访等活动登记表</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15"/>
        <w:jc w:val="left"/>
        <w:rPr>
          <w:b w:val="0"/>
          <w:bCs w:val="0"/>
        </w:rPr>
      </w:pPr>
      <w:bookmarkStart w:name="1、报告期内接待调研、沟通、采访等活动登记表" w:id="57"/>
      <w:bookmarkEnd w:id="57"/>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15"/>
        <w:jc w:val="left"/>
      </w:pPr>
      <w:r>
        <w:rPr/>
        <w:t>√ 适用 □ 不适用</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178"/>
        <w:gridCol w:w="2177"/>
        <w:gridCol w:w="2177"/>
        <w:gridCol w:w="3037"/>
      </w:tblGrid>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22"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42"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02"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年度业绩说明会</w:t>
            </w:r>
          </w:p>
        </w:tc>
      </w:tr>
    </w:tbl>
    <w:p>
      <w:pPr>
        <w:spacing w:after="0" w:line="240" w:lineRule="auto"/>
        <w:jc w:val="left"/>
        <w:rPr>
          <w:rFonts w:ascii="宋体" w:hAnsi="宋体" w:cs="宋体" w:eastAsia="宋体" w:hint="default"/>
          <w:sz w:val="18"/>
          <w:szCs w:val="18"/>
        </w:rPr>
        <w:sectPr>
          <w:pgSz w:w="11910" w:h="16840"/>
          <w:pgMar w:header="919" w:footer="1016" w:top="112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1"/>
        <w:spacing w:line="240" w:lineRule="auto"/>
        <w:ind w:right="3037"/>
        <w:jc w:val="center"/>
        <w:rPr>
          <w:b w:val="0"/>
          <w:bCs w:val="0"/>
        </w:rPr>
      </w:pPr>
      <w:bookmarkStart w:name="第五节重要事项" w:id="58"/>
      <w:bookmarkEnd w:id="58"/>
      <w:r>
        <w:rPr>
          <w:b w:val="0"/>
          <w:bCs w:val="0"/>
        </w:rPr>
      </w:r>
      <w:bookmarkStart w:name="_bookmark4" w:id="59"/>
      <w:bookmarkEnd w:id="59"/>
      <w:r>
        <w:rPr>
          <w:b w:val="0"/>
          <w:bCs w:val="0"/>
        </w:rPr>
      </w:r>
      <w:r>
        <w:rPr/>
        <w:t>第五节重要事项</w:t>
      </w:r>
      <w:r>
        <w:rPr>
          <w:b w:val="0"/>
          <w:bCs w:val="0"/>
        </w:rPr>
      </w:r>
    </w:p>
    <w:p>
      <w:pPr>
        <w:spacing w:line="240" w:lineRule="auto" w:before="10"/>
        <w:rPr>
          <w:rFonts w:ascii="宋体" w:hAnsi="宋体" w:cs="宋体" w:eastAsia="宋体" w:hint="default"/>
          <w:b/>
          <w:bCs/>
          <w:sz w:val="38"/>
          <w:szCs w:val="38"/>
        </w:rPr>
      </w:pPr>
    </w:p>
    <w:p>
      <w:pPr>
        <w:pStyle w:val="Heading2"/>
        <w:spacing w:line="240" w:lineRule="auto"/>
        <w:ind w:right="915"/>
        <w:jc w:val="left"/>
        <w:rPr>
          <w:b w:val="0"/>
          <w:bCs w:val="0"/>
        </w:rPr>
      </w:pPr>
      <w:bookmarkStart w:name="一、公司普通股利润分配及资本公积金转增股本情况" w:id="60"/>
      <w:bookmarkEnd w:id="60"/>
      <w:r>
        <w:rPr>
          <w:b w:val="0"/>
          <w:bCs w:val="0"/>
        </w:rPr>
      </w:r>
      <w:r>
        <w:rPr/>
        <w:t>一、公司普通股利润分配及资本公积金转增股本情况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15"/>
        <w:jc w:val="left"/>
      </w:pPr>
      <w:r>
        <w:rPr/>
        <w:t>报告期内普通股利润分配政策，特别是现金分红政策的制定、执行或调整情况</w:t>
      </w:r>
    </w:p>
    <w:p>
      <w:pPr>
        <w:pStyle w:val="BodyText"/>
        <w:spacing w:line="360" w:lineRule="auto" w:before="117"/>
        <w:ind w:left="472" w:right="1124" w:hanging="360"/>
        <w:jc w:val="left"/>
      </w:pPr>
      <w:r>
        <w:rPr/>
        <w:t>√ 适用 □ 不适用 1、2019年5月17日，经2018年度股东大会审议通过，公司2018年度利润分配预案为：以当时总股本742,214,580股为基</w:t>
      </w:r>
    </w:p>
    <w:p>
      <w:pPr>
        <w:pStyle w:val="BodyText"/>
        <w:spacing w:line="222" w:lineRule="exact"/>
        <w:ind w:right="915"/>
        <w:jc w:val="left"/>
      </w:pPr>
      <w:r>
        <w:rPr/>
        <w:t>数，向全体股东每</w:t>
      </w:r>
      <w:r>
        <w:rPr>
          <w:spacing w:val="1"/>
        </w:rPr>
        <w:t>1</w:t>
      </w:r>
      <w:r>
        <w:rPr>
          <w:spacing w:val="-2"/>
        </w:rPr>
        <w:t>0</w:t>
      </w:r>
      <w:r>
        <w:rPr/>
        <w:t>股派发现金红利</w:t>
      </w:r>
      <w:r>
        <w:rPr>
          <w:spacing w:val="1"/>
        </w:rPr>
        <w:t>1</w:t>
      </w:r>
      <w:r>
        <w:rPr>
          <w:spacing w:val="-2"/>
        </w:rPr>
        <w:t>.</w:t>
      </w:r>
      <w:r>
        <w:rPr>
          <w:spacing w:val="1"/>
        </w:rPr>
        <w:t>0</w:t>
      </w:r>
      <w:r>
        <w:rPr>
          <w:spacing w:val="-2"/>
        </w:rPr>
        <w:t>0</w:t>
      </w:r>
      <w:r>
        <w:rPr/>
        <w:t>元人民币（含税</w:t>
      </w:r>
      <w:r>
        <w:rPr>
          <w:spacing w:val="-89"/>
        </w:rPr>
        <w:t>）</w:t>
      </w:r>
      <w:r>
        <w:rPr/>
        <w:t>，不送红股，不进行资本公积金转增股本。该利润分配方案已于</w:t>
      </w:r>
    </w:p>
    <w:p>
      <w:pPr>
        <w:pStyle w:val="BodyText"/>
        <w:spacing w:line="240" w:lineRule="auto" w:before="76"/>
        <w:ind w:right="915"/>
        <w:jc w:val="left"/>
      </w:pPr>
      <w:r>
        <w:rPr/>
        <w:t>2019年6月4日实施完毕。</w:t>
      </w:r>
    </w:p>
    <w:p>
      <w:pPr>
        <w:pStyle w:val="BodyText"/>
        <w:spacing w:line="316" w:lineRule="auto" w:before="76"/>
        <w:ind w:right="1041" w:firstLine="360"/>
        <w:jc w:val="left"/>
      </w:pPr>
      <w:r>
        <w:rPr>
          <w:spacing w:val="1"/>
        </w:rPr>
        <w:t>2</w:t>
      </w:r>
      <w:r>
        <w:rPr>
          <w:spacing w:val="-22"/>
        </w:rPr>
        <w:t>、</w:t>
      </w:r>
      <w:r>
        <w:rPr>
          <w:spacing w:val="1"/>
        </w:rPr>
        <w:t>2</w:t>
      </w:r>
      <w:r>
        <w:rPr>
          <w:spacing w:val="-2"/>
        </w:rPr>
        <w:t>0</w:t>
      </w:r>
      <w:r>
        <w:rPr>
          <w:spacing w:val="1"/>
        </w:rPr>
        <w:t>1</w:t>
      </w:r>
      <w:r>
        <w:rPr>
          <w:spacing w:val="-2"/>
        </w:rPr>
        <w:t>9</w:t>
      </w:r>
      <w:r>
        <w:rPr/>
        <w:t>年</w:t>
      </w:r>
      <w:r>
        <w:rPr>
          <w:spacing w:val="1"/>
        </w:rPr>
        <w:t>1</w:t>
      </w:r>
      <w:r>
        <w:rPr>
          <w:spacing w:val="-2"/>
        </w:rPr>
        <w:t>0</w:t>
      </w:r>
      <w:r>
        <w:rPr/>
        <w:t>月</w:t>
      </w:r>
      <w:r>
        <w:rPr>
          <w:spacing w:val="1"/>
        </w:rPr>
        <w:t>8</w:t>
      </w:r>
      <w:r>
        <w:rPr/>
        <w:t>日</w:t>
      </w:r>
      <w:r>
        <w:rPr>
          <w:spacing w:val="-22"/>
        </w:rPr>
        <w:t>，</w:t>
      </w:r>
      <w:r>
        <w:rPr/>
        <w:t>经</w:t>
      </w:r>
      <w:r>
        <w:rPr>
          <w:spacing w:val="1"/>
        </w:rPr>
        <w:t>2</w:t>
      </w:r>
      <w:r>
        <w:rPr>
          <w:spacing w:val="-2"/>
        </w:rPr>
        <w:t>0</w:t>
      </w:r>
      <w:r>
        <w:rPr>
          <w:spacing w:val="1"/>
        </w:rPr>
        <w:t>1</w:t>
      </w:r>
      <w:r>
        <w:rPr>
          <w:spacing w:val="-2"/>
        </w:rPr>
        <w:t>9</w:t>
      </w:r>
      <w:r>
        <w:rPr/>
        <w:t>年第二次临时股东大会审议通过公司董事会编制</w:t>
      </w:r>
      <w:r>
        <w:rPr>
          <w:spacing w:val="-20"/>
        </w:rPr>
        <w:t>的</w:t>
      </w:r>
      <w:r>
        <w:rPr/>
        <w:t>《未来三年股东回报规</w:t>
      </w:r>
      <w:r>
        <w:rPr>
          <w:spacing w:val="-22"/>
        </w:rPr>
        <w:t>划</w:t>
      </w:r>
      <w:r>
        <w:rPr/>
        <w:t>（</w:t>
      </w:r>
      <w:r>
        <w:rPr>
          <w:spacing w:val="1"/>
        </w:rPr>
        <w:t>2</w:t>
      </w:r>
      <w:r>
        <w:rPr>
          <w:spacing w:val="-2"/>
        </w:rPr>
        <w:t>0</w:t>
      </w:r>
      <w:r>
        <w:rPr>
          <w:spacing w:val="1"/>
        </w:rPr>
        <w:t>1</w:t>
      </w:r>
      <w:r>
        <w:rPr>
          <w:spacing w:val="-2"/>
        </w:rPr>
        <w:t>9</w:t>
      </w:r>
      <w:r>
        <w:rPr>
          <w:spacing w:val="1"/>
        </w:rPr>
        <w:t>-</w:t>
      </w:r>
      <w:r>
        <w:rPr>
          <w:spacing w:val="-2"/>
        </w:rPr>
        <w:t>2</w:t>
      </w:r>
      <w:r>
        <w:rPr>
          <w:spacing w:val="1"/>
        </w:rPr>
        <w:t>0</w:t>
      </w:r>
      <w:r>
        <w:rPr>
          <w:spacing w:val="-2"/>
        </w:rPr>
        <w:t>2</w:t>
      </w:r>
      <w:r>
        <w:rPr>
          <w:spacing w:val="1"/>
        </w:rPr>
        <w:t>1</w:t>
      </w:r>
      <w:r>
        <w:rPr>
          <w:spacing w:val="-92"/>
        </w:rPr>
        <w:t>）</w:t>
      </w:r>
      <w:r>
        <w:rPr>
          <w:spacing w:val="-89"/>
        </w:rPr>
        <w:t>》</w:t>
      </w:r>
      <w:r>
        <w:rPr/>
        <w:t>，</w:t>
      </w:r>
      <w:r>
        <w:rPr/>
        <w:t> 详见公司于</w:t>
      </w:r>
      <w:r>
        <w:rPr>
          <w:spacing w:val="1"/>
        </w:rPr>
        <w:t>2</w:t>
      </w:r>
      <w:r>
        <w:rPr>
          <w:spacing w:val="-2"/>
        </w:rPr>
        <w:t>0</w:t>
      </w:r>
      <w:r>
        <w:rPr>
          <w:spacing w:val="1"/>
        </w:rPr>
        <w:t>1</w:t>
      </w:r>
      <w:r>
        <w:rPr>
          <w:spacing w:val="-2"/>
        </w:rPr>
        <w:t>9</w:t>
      </w:r>
      <w:r>
        <w:rPr/>
        <w:t>年</w:t>
      </w:r>
      <w:r>
        <w:rPr>
          <w:spacing w:val="1"/>
        </w:rPr>
        <w:t>9</w:t>
      </w:r>
      <w:r>
        <w:rPr/>
        <w:t>月</w:t>
      </w:r>
      <w:r>
        <w:rPr>
          <w:spacing w:val="1"/>
        </w:rPr>
        <w:t>1</w:t>
      </w:r>
      <w:r>
        <w:rPr>
          <w:spacing w:val="-2"/>
        </w:rPr>
        <w:t>2</w:t>
      </w:r>
      <w:r>
        <w:rPr/>
        <w:t>日在巨潮资讯网上披露的《未来三年股东回报规划（</w:t>
      </w:r>
      <w:r>
        <w:rPr>
          <w:spacing w:val="1"/>
        </w:rPr>
        <w:t>2</w:t>
      </w:r>
      <w:r>
        <w:rPr>
          <w:spacing w:val="-2"/>
        </w:rPr>
        <w:t>0</w:t>
      </w:r>
      <w:r>
        <w:rPr>
          <w:spacing w:val="1"/>
        </w:rPr>
        <w:t>1</w:t>
      </w:r>
      <w:r>
        <w:rPr>
          <w:spacing w:val="-2"/>
        </w:rPr>
        <w:t>9</w:t>
      </w:r>
      <w:r>
        <w:rPr>
          <w:spacing w:val="1"/>
        </w:rPr>
        <w:t>-</w:t>
      </w:r>
      <w:r>
        <w:rPr>
          <w:spacing w:val="-2"/>
        </w:rPr>
        <w:t>2</w:t>
      </w:r>
      <w:r>
        <w:rPr>
          <w:spacing w:val="1"/>
        </w:rPr>
        <w:t>0</w:t>
      </w:r>
      <w:r>
        <w:rPr>
          <w:spacing w:val="-2"/>
        </w:rPr>
        <w:t>21</w:t>
      </w:r>
      <w:r>
        <w:rPr>
          <w:spacing w:val="-89"/>
        </w:rPr>
        <w:t>）</w:t>
      </w:r>
      <w:r>
        <w:rPr>
          <w:spacing w:val="-92"/>
        </w:rPr>
        <w:t>》</w:t>
      </w:r>
      <w:r>
        <w:rPr/>
        <w:t>。</w:t>
      </w:r>
    </w:p>
    <w:p>
      <w:pPr>
        <w:spacing w:line="240" w:lineRule="auto" w:before="7"/>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 w:right="17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 是否得到了充分保护：</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7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 透明：</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49"/>
        <w:ind w:right="915"/>
        <w:jc w:val="left"/>
      </w:pPr>
      <w:r>
        <w:rPr/>
        <w:t>公司报告期利润分配预案及资本公积金转增股本预案与公司章程和分红管理办法等的相关规定一致</w:t>
      </w:r>
    </w:p>
    <w:p>
      <w:pPr>
        <w:pStyle w:val="BodyText"/>
        <w:spacing w:line="357" w:lineRule="auto" w:before="117"/>
        <w:ind w:right="4274"/>
        <w:jc w:val="left"/>
      </w:pPr>
      <w:r>
        <w:rPr/>
        <w:t>√ 是 □ 否 □</w:t>
      </w:r>
      <w:r>
        <w:rPr>
          <w:spacing w:val="-1"/>
        </w:rPr>
        <w:t> </w:t>
      </w:r>
      <w:r>
        <w:rPr/>
        <w:t>不适用</w:t>
      </w:r>
      <w:r>
        <w:rPr/>
        <w:t> 公司报告期利润分配预案及资本公积金转增股本预案符合公司章程等的相关规定。 本年度利润分配及资本公积金转增股本情况</w:t>
      </w:r>
    </w:p>
    <w:tbl>
      <w:tblPr>
        <w:tblW w:w="0" w:type="auto"/>
        <w:jc w:val="left"/>
        <w:tblInd w:w="109" w:type="dxa"/>
        <w:tblLayout w:type="fixed"/>
        <w:tblCellMar>
          <w:top w:w="0" w:type="dxa"/>
          <w:left w:w="0" w:type="dxa"/>
          <w:bottom w:w="0" w:type="dxa"/>
          <w:right w:w="0" w:type="dxa"/>
        </w:tblCellMar>
        <w:tblLook w:val="01E0"/>
      </w:tblPr>
      <w:tblGrid>
        <w:gridCol w:w="3717"/>
        <w:gridCol w:w="5851"/>
      </w:tblGrid>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742,092,080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89"/>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1.00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pacing w:val="-9"/>
                <w:sz w:val="18"/>
                <w:szCs w:val="18"/>
              </w:rPr>
              <w:t>以其他方式（如回购股份）现金分红金额（元）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89"/>
                <w:sz w:val="18"/>
                <w:szCs w:val="18"/>
              </w:rPr>
              <w:t>）</w:t>
            </w:r>
            <w:r>
              <w:rPr>
                <w:rFonts w:ascii="宋体" w:hAnsi="宋体" w:cs="宋体" w:eastAsia="宋体" w:hint="default"/>
                <w:sz w:val="18"/>
                <w:szCs w:val="18"/>
              </w:rPr>
              <w:t>（元）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74,209,208</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436,611,754.47</w:t>
            </w:r>
          </w:p>
        </w:tc>
      </w:tr>
      <w:tr>
        <w:trPr>
          <w:trHeight w:val="714"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83"/>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 额的比例</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0"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bl>
    <w:p>
      <w:pPr>
        <w:spacing w:after="0" w:line="240" w:lineRule="auto"/>
        <w:jc w:val="center"/>
        <w:rPr>
          <w:rFonts w:ascii="宋体" w:hAnsi="宋体" w:cs="宋体" w:eastAsia="宋体" w:hint="default"/>
          <w:sz w:val="18"/>
          <w:szCs w:val="18"/>
        </w:rPr>
        <w:sectPr>
          <w:pgSz w:w="11910" w:h="16840"/>
          <w:pgMar w:header="919" w:footer="1016"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9568"/>
      </w:tblGrid>
      <w:tr>
        <w:trPr>
          <w:trHeight w:val="714" w:hRule="exact"/>
        </w:trPr>
        <w:tc>
          <w:tcPr>
            <w:tcW w:w="9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公司发展阶段不易区分但有重大资金支出安排的，进行利润分配时，现金分红在本次利润分配中所占比例最低应达到</w:t>
            </w:r>
          </w:p>
          <w:p>
            <w:pPr>
              <w:pStyle w:val="TableParagraph"/>
              <w:spacing w:line="240" w:lineRule="auto" w:before="76"/>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2" w:hRule="exact"/>
        </w:trPr>
        <w:tc>
          <w:tcPr>
            <w:tcW w:w="9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650" w:hRule="exact"/>
        </w:trPr>
        <w:tc>
          <w:tcPr>
            <w:tcW w:w="9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日公司召开的第四届董事会第六次会议审议通过了《关于</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年度利润分配预案的议</w:t>
            </w:r>
            <w:r>
              <w:rPr>
                <w:rFonts w:ascii="宋体" w:hAnsi="宋体" w:cs="宋体" w:eastAsia="宋体" w:hint="default"/>
                <w:spacing w:val="-1"/>
                <w:sz w:val="18"/>
                <w:szCs w:val="18"/>
              </w:rPr>
              <w:t>案</w:t>
            </w:r>
            <w:r>
              <w:rPr>
                <w:rFonts w:ascii="宋体" w:hAnsi="宋体" w:cs="宋体" w:eastAsia="宋体" w:hint="default"/>
                <w:spacing w:val="-89"/>
                <w:sz w:val="18"/>
                <w:szCs w:val="18"/>
              </w:rPr>
              <w:t>》</w:t>
            </w:r>
            <w:r>
              <w:rPr>
                <w:rFonts w:ascii="宋体" w:hAnsi="宋体" w:cs="宋体" w:eastAsia="宋体" w:hint="default"/>
                <w:sz w:val="18"/>
                <w:szCs w:val="18"/>
              </w:rPr>
              <w:t>，公司以截止</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日总股本</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股为基数</w:t>
            </w:r>
            <w:r>
              <w:rPr>
                <w:rFonts w:ascii="宋体" w:hAnsi="宋体" w:cs="宋体" w:eastAsia="宋体" w:hint="default"/>
                <w:spacing w:val="-5"/>
                <w:sz w:val="18"/>
                <w:szCs w:val="18"/>
              </w:rPr>
              <w:t>，</w:t>
            </w:r>
            <w:r>
              <w:rPr>
                <w:rFonts w:ascii="宋体" w:hAnsi="宋体" w:cs="宋体" w:eastAsia="宋体" w:hint="default"/>
                <w:sz w:val="18"/>
                <w:szCs w:val="18"/>
              </w:rPr>
              <w:t>向全体股东每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股派发现金红利</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元（</w:t>
            </w:r>
            <w:r>
              <w:rPr>
                <w:rFonts w:ascii="宋体" w:hAnsi="宋体" w:cs="宋体" w:eastAsia="宋体" w:hint="default"/>
                <w:sz w:val="18"/>
                <w:szCs w:val="18"/>
              </w:rPr>
              <w:t>含税</w:t>
            </w:r>
            <w:r>
              <w:rPr>
                <w:rFonts w:ascii="宋体" w:hAnsi="宋体" w:cs="宋体" w:eastAsia="宋体" w:hint="default"/>
                <w:spacing w:val="-89"/>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合计派发现金股利</w:t>
            </w:r>
          </w:p>
          <w:p>
            <w:pPr>
              <w:pStyle w:val="TableParagraph"/>
              <w:spacing w:line="300" w:lineRule="auto" w:before="63"/>
              <w:ind w:left="101" w:right="94"/>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74,209,208.00</w:t>
            </w:r>
            <w:r>
              <w:rPr>
                <w:rFonts w:ascii="Times New Roman" w:hAnsi="Times New Roman" w:cs="Times New Roman" w:eastAsia="Times New Roman" w:hint="default"/>
                <w:sz w:val="18"/>
                <w:szCs w:val="18"/>
              </w:rPr>
              <w:t> </w:t>
            </w:r>
            <w:r>
              <w:rPr>
                <w:rFonts w:ascii="宋体" w:hAnsi="宋体" w:cs="宋体" w:eastAsia="宋体" w:hint="default"/>
                <w:spacing w:val="-2"/>
                <w:sz w:val="18"/>
                <w:szCs w:val="18"/>
              </w:rPr>
              <w:t>元（含税）。除上诉现金分红外，本次利润分配公司不送红股，不实施资本公积金转增股本。本预案尚需</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提交公司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年度股东大会审议。</w:t>
            </w:r>
            <w:r>
              <w:rPr>
                <w:rFonts w:ascii="宋体" w:hAnsi="宋体" w:cs="宋体" w:eastAsia="宋体" w:hint="default"/>
                <w:spacing w:val="-48"/>
                <w:sz w:val="18"/>
                <w:szCs w:val="18"/>
              </w:rPr>
              <w:t> </w:t>
            </w:r>
            <w:r>
              <w:rPr>
                <w:rFonts w:ascii="宋体" w:hAnsi="宋体" w:cs="宋体" w:eastAsia="宋体" w:hint="default"/>
                <w:sz w:val="18"/>
                <w:szCs w:val="18"/>
              </w:rPr>
              <w:t>分配方案公布后至实施利润分配方案的股权登记日期间，公司总股本发生变动的，</w:t>
            </w:r>
            <w:r>
              <w:rPr>
                <w:rFonts w:ascii="宋体" w:hAnsi="宋体" w:cs="宋体" w:eastAsia="宋体" w:hint="default"/>
                <w:sz w:val="18"/>
                <w:szCs w:val="18"/>
              </w:rPr>
              <w:t> 将按照分配总额不变的原则对分配比例进行调整。</w:t>
            </w:r>
          </w:p>
        </w:tc>
      </w:tr>
    </w:tbl>
    <w:p>
      <w:pPr>
        <w:pStyle w:val="BodyText"/>
        <w:spacing w:line="328" w:lineRule="auto" w:before="51"/>
        <w:ind w:left="472" w:right="915" w:hanging="360"/>
        <w:jc w:val="left"/>
      </w:pPr>
      <w:r>
        <w:rPr/>
        <w:t>公司近</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3"/>
        </w:rPr>
        <w:t>年（包括本报告期）的普通股股利分配方案（预案）、资本公积金转增股本方案（预案）情况</w:t>
      </w:r>
      <w:r>
        <w:rPr>
          <w:spacing w:val="-58"/>
        </w:rPr>
        <w:t> </w:t>
      </w:r>
      <w:r>
        <w:rPr>
          <w:spacing w:val="-58"/>
        </w:rPr>
      </w:r>
      <w:r>
        <w:rPr/>
        <w:t>1、公司2017年度利润分配方案情况</w:t>
      </w:r>
      <w:r>
        <w:rPr/>
        <w:t> </w:t>
      </w:r>
      <w:r>
        <w:rPr>
          <w:spacing w:val="-2"/>
        </w:rPr>
        <w:t>公司以截止2017年12月31日总股本742,383,330股为基数，向全体股东每10股派发现金红利1.5元（含税），合计派发现</w:t>
      </w:r>
    </w:p>
    <w:p>
      <w:pPr>
        <w:pStyle w:val="BodyText"/>
        <w:spacing w:line="316" w:lineRule="auto" w:before="10"/>
        <w:ind w:right="915"/>
        <w:jc w:val="left"/>
      </w:pPr>
      <w:r>
        <w:rPr>
          <w:spacing w:val="-2"/>
        </w:rPr>
        <w:t>金股利111,357,499.50元（含税），除上述现金分红外，本次利润分配公司不送红股，不实施资本公积金转增股本。该权益</w:t>
      </w:r>
      <w:r>
        <w:rPr>
          <w:spacing w:val="-64"/>
        </w:rPr>
        <w:t> </w:t>
      </w:r>
      <w:r>
        <w:rPr>
          <w:spacing w:val="-64"/>
        </w:rPr>
      </w:r>
      <w:r>
        <w:rPr/>
        <w:t>分派方案已于2018年6月21日实施完毕。</w:t>
      </w:r>
    </w:p>
    <w:p>
      <w:pPr>
        <w:pStyle w:val="BodyText"/>
        <w:spacing w:line="316" w:lineRule="auto" w:before="19"/>
        <w:ind w:left="472" w:right="915"/>
        <w:jc w:val="left"/>
      </w:pPr>
      <w:r>
        <w:rPr/>
        <w:t>2、公司2018年度利润分配方案情况 </w:t>
      </w:r>
      <w:r>
        <w:rPr>
          <w:spacing w:val="-3"/>
        </w:rPr>
        <w:t>公司以截止2018年12月31日总股本742,214,580股为基数，向全体股东每10股派发现金红利1.00元（含税），合计派发现</w:t>
      </w:r>
    </w:p>
    <w:p>
      <w:pPr>
        <w:pStyle w:val="BodyText"/>
        <w:spacing w:line="316" w:lineRule="auto" w:before="19"/>
        <w:ind w:right="1127"/>
        <w:jc w:val="left"/>
      </w:pPr>
      <w:r>
        <w:rPr>
          <w:spacing w:val="-3"/>
        </w:rPr>
        <w:t>金股利元74,221,458.00（含税），除上述现金分红外，本次利润分配公司不送红股，不实施资本公积金转增股本。该权益分</w:t>
      </w:r>
      <w:r>
        <w:rPr>
          <w:spacing w:val="-87"/>
        </w:rPr>
        <w:t> </w:t>
      </w:r>
      <w:r>
        <w:rPr>
          <w:spacing w:val="-87"/>
        </w:rPr>
      </w:r>
      <w:r>
        <w:rPr/>
        <w:t>派方案已于2019年6月4日实施完毕。</w:t>
      </w:r>
    </w:p>
    <w:p>
      <w:pPr>
        <w:pStyle w:val="BodyText"/>
        <w:spacing w:line="316" w:lineRule="auto" w:before="19"/>
        <w:ind w:left="472" w:right="915"/>
        <w:jc w:val="left"/>
      </w:pPr>
      <w:r>
        <w:rPr/>
        <w:t>3、公司2019年度利润分配方案情况 </w:t>
      </w:r>
      <w:r>
        <w:rPr>
          <w:spacing w:val="-3"/>
        </w:rPr>
        <w:t>公司以截止2019年12月31日总股本742,092,080股为基数，向全体股东每10股派发现金红利1.00元（含税），合计派发现</w:t>
      </w:r>
    </w:p>
    <w:p>
      <w:pPr>
        <w:pStyle w:val="BodyText"/>
        <w:spacing w:line="316" w:lineRule="auto" w:before="19"/>
        <w:ind w:right="1127"/>
        <w:jc w:val="left"/>
      </w:pPr>
      <w:r>
        <w:rPr>
          <w:spacing w:val="-3"/>
        </w:rPr>
        <w:t>金股利元74,209,208.00（含税），除上述现金分红外，本次利润分配公司不送红股，不实施资本公积金转增股本。该权益分</w:t>
      </w:r>
      <w:r>
        <w:rPr>
          <w:spacing w:val="-87"/>
        </w:rPr>
        <w:t> </w:t>
      </w:r>
      <w:r>
        <w:rPr>
          <w:spacing w:val="-87"/>
        </w:rPr>
      </w:r>
      <w:r>
        <w:rPr/>
        <w:t>派方案尚需经公司2019年度股东大会审议通过后方可实施。</w:t>
      </w:r>
    </w:p>
    <w:p>
      <w:pPr>
        <w:spacing w:line="240" w:lineRule="auto" w:before="11"/>
        <w:rPr>
          <w:rFonts w:ascii="宋体" w:hAnsi="宋体" w:cs="宋体" w:eastAsia="宋体" w:hint="default"/>
          <w:sz w:val="24"/>
          <w:szCs w:val="24"/>
        </w:rPr>
      </w:pPr>
    </w:p>
    <w:p>
      <w:pPr>
        <w:pStyle w:val="BodyText"/>
        <w:spacing w:line="240" w:lineRule="auto" w:before="44"/>
        <w:ind w:right="915"/>
        <w:jc w:val="left"/>
      </w:pPr>
      <w:r>
        <w:rPr/>
        <w:t>公司近三年（包括本报告期）普通股现金分红情况表</w:t>
      </w:r>
    </w:p>
    <w:p>
      <w:pPr>
        <w:pStyle w:val="BodyText"/>
        <w:spacing w:line="240" w:lineRule="auto" w:before="117"/>
        <w:ind w:left="0" w:right="113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97"/>
        <w:gridCol w:w="1195"/>
        <w:gridCol w:w="1196"/>
        <w:gridCol w:w="1196"/>
        <w:gridCol w:w="1196"/>
        <w:gridCol w:w="1196"/>
        <w:gridCol w:w="1196"/>
        <w:gridCol w:w="1196"/>
      </w:tblGrid>
      <w:tr>
        <w:trPr>
          <w:trHeight w:val="2586"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316" w:lineRule="auto"/>
              <w:ind w:left="141" w:right="142"/>
              <w:jc w:val="left"/>
              <w:rPr>
                <w:rFonts w:ascii="宋体" w:hAnsi="宋体" w:cs="宋体" w:eastAsia="宋体" w:hint="default"/>
                <w:sz w:val="18"/>
                <w:szCs w:val="18"/>
              </w:rPr>
            </w:pPr>
            <w:r>
              <w:rPr>
                <w:rFonts w:ascii="宋体" w:hAnsi="宋体" w:cs="宋体" w:eastAsia="宋体" w:hint="default"/>
                <w:sz w:val="18"/>
                <w:szCs w:val="18"/>
              </w:rPr>
              <w:t>现金分红金 额（含税）</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143" w:right="140"/>
              <w:jc w:val="both"/>
              <w:rPr>
                <w:rFonts w:ascii="宋体" w:hAnsi="宋体" w:cs="宋体" w:eastAsia="宋体" w:hint="default"/>
                <w:sz w:val="18"/>
                <w:szCs w:val="18"/>
              </w:rPr>
            </w:pPr>
            <w:r>
              <w:rPr>
                <w:rFonts w:ascii="宋体" w:hAnsi="宋体" w:cs="宋体" w:eastAsia="宋体" w:hint="default"/>
                <w:sz w:val="18"/>
                <w:szCs w:val="18"/>
              </w:rPr>
              <w:t>分红年度合 并报表中归 属于上市公 司普通股股 东的净利润</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42" w:right="141"/>
              <w:jc w:val="center"/>
              <w:rPr>
                <w:rFonts w:ascii="宋体" w:hAnsi="宋体" w:cs="宋体" w:eastAsia="宋体" w:hint="default"/>
                <w:sz w:val="18"/>
                <w:szCs w:val="18"/>
              </w:rPr>
            </w:pPr>
            <w:r>
              <w:rPr>
                <w:rFonts w:ascii="宋体" w:hAnsi="宋体" w:cs="宋体" w:eastAsia="宋体" w:hint="default"/>
                <w:sz w:val="18"/>
                <w:szCs w:val="18"/>
              </w:rPr>
              <w:t>现金分红金 额占合并报 表中归属于 上市公司普 通股股东的 净利润的比 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42" w:right="0"/>
              <w:jc w:val="both"/>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6"/>
              <w:ind w:left="142" w:right="142"/>
              <w:jc w:val="both"/>
              <w:rPr>
                <w:rFonts w:ascii="宋体" w:hAnsi="宋体" w:cs="宋体" w:eastAsia="宋体" w:hint="default"/>
                <w:sz w:val="18"/>
                <w:szCs w:val="18"/>
              </w:rPr>
            </w:pPr>
            <w:r>
              <w:rPr>
                <w:rFonts w:ascii="宋体" w:hAnsi="宋体" w:cs="宋体" w:eastAsia="宋体" w:hint="default"/>
                <w:sz w:val="18"/>
                <w:szCs w:val="18"/>
              </w:rPr>
              <w:t>（如回购股 份）现金分 红的金额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43" w:right="140"/>
              <w:jc w:val="center"/>
              <w:rPr>
                <w:rFonts w:ascii="宋体" w:hAnsi="宋体" w:cs="宋体" w:eastAsia="宋体" w:hint="default"/>
                <w:sz w:val="18"/>
                <w:szCs w:val="18"/>
              </w:rPr>
            </w:pPr>
            <w:r>
              <w:rPr>
                <w:rFonts w:ascii="宋体" w:hAnsi="宋体" w:cs="宋体" w:eastAsia="宋体" w:hint="default"/>
                <w:sz w:val="18"/>
                <w:szCs w:val="18"/>
              </w:rPr>
              <w:t>以其他方式 现金分红金 额占合并报 表中归属于 上市公司普 通股股东的 净利润的比 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142" w:right="141"/>
              <w:jc w:val="center"/>
              <w:rPr>
                <w:rFonts w:ascii="宋体" w:hAnsi="宋体" w:cs="宋体" w:eastAsia="宋体" w:hint="default"/>
                <w:sz w:val="18"/>
                <w:szCs w:val="18"/>
              </w:rPr>
            </w:pPr>
            <w:r>
              <w:rPr>
                <w:rFonts w:ascii="宋体" w:hAnsi="宋体" w:cs="宋体" w:eastAsia="宋体" w:hint="default"/>
                <w:sz w:val="18"/>
                <w:szCs w:val="18"/>
              </w:rPr>
              <w:t>现金分红总 额（含其他 方式）</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41" w:right="142"/>
              <w:jc w:val="center"/>
              <w:rPr>
                <w:rFonts w:ascii="宋体" w:hAnsi="宋体" w:cs="宋体" w:eastAsia="宋体" w:hint="default"/>
                <w:sz w:val="18"/>
                <w:szCs w:val="18"/>
              </w:rPr>
            </w:pPr>
            <w:r>
              <w:rPr>
                <w:rFonts w:ascii="宋体" w:hAnsi="宋体" w:cs="宋体" w:eastAsia="宋体" w:hint="default"/>
                <w:sz w:val="18"/>
                <w:szCs w:val="18"/>
              </w:rPr>
              <w:t>现金分红总 额（含其他 方式）占合 并报表中归 属于上市公 司普通股股 东的净利润 的比率</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74,209,208.0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136,436,981.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54.39%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74,209,208.0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54.39%</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74,221,458.0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177,780,372.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41.75%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74,221,458.0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41.75%</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2"/>
                <w:sz w:val="18"/>
              </w:rPr>
              <w:t>111,357,499.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208,463,060.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53.42%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2"/>
                <w:sz w:val="18"/>
              </w:rPr>
              <w:t>111,357,499.</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50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53.42%</w:t>
            </w:r>
          </w:p>
        </w:tc>
      </w:tr>
    </w:tbl>
    <w:p>
      <w:pPr>
        <w:spacing w:line="240" w:lineRule="auto" w:before="5"/>
        <w:rPr>
          <w:rFonts w:ascii="宋体" w:hAnsi="宋体" w:cs="宋体" w:eastAsia="宋体" w:hint="default"/>
          <w:sz w:val="27"/>
          <w:szCs w:val="27"/>
        </w:rPr>
      </w:pPr>
    </w:p>
    <w:p>
      <w:pPr>
        <w:pStyle w:val="BodyText"/>
        <w:spacing w:line="240" w:lineRule="auto" w:before="44"/>
        <w:ind w:right="915"/>
        <w:jc w:val="left"/>
      </w:pPr>
      <w:r>
        <w:rPr/>
        <w:t>公司报告期内盈利且母公司可供普通股股东分配利润为正但未提出普通股现金红利分配预案</w:t>
      </w:r>
    </w:p>
    <w:p>
      <w:pPr>
        <w:pStyle w:val="BodyText"/>
        <w:spacing w:line="240" w:lineRule="auto" w:before="117"/>
        <w:ind w:right="915"/>
        <w:jc w:val="left"/>
      </w:pPr>
      <w:r>
        <w:rPr/>
        <w:t>□ 适用 √ 不适用</w:t>
      </w:r>
    </w:p>
    <w:p>
      <w:pPr>
        <w:spacing w:after="0" w:line="240" w:lineRule="auto"/>
        <w:jc w:val="left"/>
        <w:sectPr>
          <w:pgSz w:w="11910" w:h="16840"/>
          <w:pgMar w:header="919" w:footer="1016" w:top="1120" w:bottom="1200" w:left="1020" w:right="0"/>
        </w:sectPr>
      </w:pPr>
    </w:p>
    <w:p>
      <w:pPr>
        <w:spacing w:line="240" w:lineRule="auto" w:before="8"/>
        <w:rPr>
          <w:rFonts w:ascii="宋体" w:hAnsi="宋体" w:cs="宋体" w:eastAsia="宋体" w:hint="default"/>
          <w:sz w:val="18"/>
          <w:szCs w:val="18"/>
        </w:rPr>
      </w:pPr>
    </w:p>
    <w:p>
      <w:pPr>
        <w:pStyle w:val="Heading2"/>
        <w:spacing w:line="240" w:lineRule="auto" w:before="26"/>
        <w:ind w:right="915"/>
        <w:jc w:val="left"/>
        <w:rPr>
          <w:b w:val="0"/>
          <w:bCs w:val="0"/>
        </w:rPr>
      </w:pPr>
      <w:bookmarkStart w:name="二、承诺事项履行情况" w:id="61"/>
      <w:bookmarkEnd w:id="61"/>
      <w:r>
        <w:rPr>
          <w:b w:val="0"/>
          <w:bCs w:val="0"/>
        </w:rPr>
      </w:r>
      <w:r>
        <w:rPr/>
        <w:t>二、承诺事项履行情况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56" w:lineRule="auto"/>
        <w:ind w:right="915"/>
        <w:jc w:val="left"/>
        <w:rPr>
          <w:b w:val="0"/>
          <w:bCs w:val="0"/>
        </w:rPr>
      </w:pPr>
      <w:bookmarkStart w:name="1、公司实际控制人、股东、关联方、收购人以及公司等承诺相关方在报告期内履行完毕及" w:id="62"/>
      <w:bookmarkEnd w:id="62"/>
      <w:r>
        <w:rPr>
          <w:b w:val="0"/>
          <w:bCs w:val="0"/>
        </w:rPr>
      </w:r>
      <w:r>
        <w:rPr>
          <w:rFonts w:ascii="Times New Roman" w:hAnsi="Times New Roman" w:cs="Times New Roman" w:eastAsia="Times New Roman" w:hint="default"/>
          <w:spacing w:val="3"/>
          <w:w w:val="95"/>
        </w:rPr>
        <w:t>1</w:t>
      </w:r>
      <w:r>
        <w:rPr>
          <w:spacing w:val="3"/>
          <w:w w:val="95"/>
        </w:rPr>
        <w:t>、公司实际控制人、股东、关联方、收购人以及公司等承诺相关方在报告期内履行完毕及截至报告期末</w:t>
      </w:r>
      <w:r>
        <w:rPr>
          <w:spacing w:val="95"/>
          <w:w w:val="95"/>
        </w:rPr>
        <w:t> </w:t>
      </w:r>
      <w:r>
        <w:rPr>
          <w:spacing w:val="95"/>
          <w:w w:val="95"/>
        </w:rPr>
      </w:r>
      <w:r>
        <w:rPr/>
        <w:t>尚未履行完毕的承诺事项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15"/>
        <w:jc w:val="left"/>
      </w:pPr>
      <w:r>
        <w:rPr/>
        <w:t>√ 适用 □ 不适用</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52"/>
              <w:jc w:val="right"/>
              <w:rPr>
                <w:rFonts w:ascii="宋体" w:hAnsi="宋体" w:cs="宋体" w:eastAsia="宋体" w:hint="default"/>
                <w:sz w:val="18"/>
                <w:szCs w:val="18"/>
              </w:rPr>
            </w:pPr>
            <w:r>
              <w:rPr>
                <w:rFonts w:ascii="宋体" w:hAnsi="宋体" w:cs="宋体" w:eastAsia="宋体" w:hint="default"/>
                <w:sz w:val="18"/>
                <w:szCs w:val="18"/>
              </w:rPr>
              <w:t>承诺来源</w:t>
            </w:r>
          </w:p>
        </w:tc>
        <w:tc>
          <w:tcPr>
            <w:tcW w:w="11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8"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8"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202"/>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 所作承诺</w:t>
            </w:r>
          </w:p>
        </w:tc>
        <w:tc>
          <w:tcPr>
            <w:tcW w:w="112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02"/>
              <w:jc w:val="righ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r>
      <w:tr>
        <w:trPr>
          <w:trHeight w:val="1034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6"/>
              <w:ind w:left="101" w:right="202"/>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 诺</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56"/>
              <w:ind w:left="102" w:right="240"/>
              <w:jc w:val="left"/>
              <w:rPr>
                <w:rFonts w:ascii="宋体" w:hAnsi="宋体" w:cs="宋体" w:eastAsia="宋体" w:hint="default"/>
                <w:sz w:val="18"/>
                <w:szCs w:val="18"/>
              </w:rPr>
            </w:pPr>
            <w:r>
              <w:rPr>
                <w:rFonts w:ascii="宋体" w:hAnsi="宋体" w:cs="宋体" w:eastAsia="宋体" w:hint="default"/>
                <w:sz w:val="18"/>
                <w:szCs w:val="18"/>
              </w:rPr>
              <w:t>唐球</w:t>
            </w:r>
            <w:r>
              <w:rPr>
                <w:rFonts w:ascii="Times New Roman" w:hAnsi="Times New Roman" w:cs="Times New Roman" w:eastAsia="Times New Roman" w:hint="default"/>
                <w:sz w:val="18"/>
                <w:szCs w:val="18"/>
              </w:rPr>
              <w:t>;</w:t>
            </w:r>
            <w:r>
              <w:rPr>
                <w:rFonts w:ascii="宋体" w:hAnsi="宋体" w:cs="宋体" w:eastAsia="宋体" w:hint="default"/>
                <w:sz w:val="18"/>
                <w:szCs w:val="18"/>
              </w:rPr>
              <w:t>鄢建 红</w:t>
            </w:r>
            <w:r>
              <w:rPr>
                <w:rFonts w:ascii="Times New Roman" w:hAnsi="Times New Roman" w:cs="Times New Roman" w:eastAsia="Times New Roman" w:hint="default"/>
                <w:sz w:val="18"/>
                <w:szCs w:val="18"/>
              </w:rPr>
              <w:t>;</w:t>
            </w:r>
            <w:r>
              <w:rPr>
                <w:rFonts w:ascii="宋体" w:hAnsi="宋体" w:cs="宋体" w:eastAsia="宋体" w:hint="default"/>
                <w:sz w:val="18"/>
                <w:szCs w:val="18"/>
              </w:rPr>
              <w:t>周云杉</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6"/>
              <w:ind w:left="103" w:right="202" w:firstLine="88"/>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111"/>
              <w:jc w:val="left"/>
              <w:rPr>
                <w:rFonts w:ascii="宋体" w:hAnsi="宋体" w:cs="宋体" w:eastAsia="宋体" w:hint="default"/>
                <w:sz w:val="18"/>
                <w:szCs w:val="18"/>
              </w:rPr>
            </w:pPr>
            <w:r>
              <w:rPr>
                <w:rFonts w:ascii="宋体" w:hAnsi="宋体" w:cs="宋体" w:eastAsia="宋体" w:hint="default"/>
                <w:sz w:val="18"/>
                <w:szCs w:val="18"/>
              </w:rPr>
              <w:t>法定或自愿 锁定期满 后，在任职 期内每年转 让的股份不 超过其直接 或间接持有 的公司股份 总数的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；自公 司股票上市 之日起六个 月内申报离 职时，申报 离职之日起 十八个月内 不得转让其 直接或间接 持有的本公 司股份；自 公司股票上 市之日起第 七个月至第 十二个月之 间申报离职 时，申报离 职之日起十 二个月内不 得转让其直 接或间接持 有的本公司 股份。在公 司首次公开</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316" w:lineRule="auto"/>
              <w:ind w:left="102" w:right="93"/>
              <w:jc w:val="left"/>
              <w:rPr>
                <w:rFonts w:ascii="宋体" w:hAnsi="宋体" w:cs="宋体" w:eastAsia="宋体" w:hint="default"/>
                <w:sz w:val="18"/>
                <w:szCs w:val="18"/>
              </w:rPr>
            </w:pPr>
            <w:r>
              <w:rPr>
                <w:rFonts w:ascii="宋体" w:hAnsi="宋体" w:cs="宋体" w:eastAsia="宋体" w:hint="default"/>
                <w:sz w:val="18"/>
                <w:szCs w:val="18"/>
              </w:rPr>
              <w:t>报告期内， 承诺各方 无违反该 承诺的情 况，该承诺 事项正在 履行中。</w:t>
            </w:r>
          </w:p>
        </w:tc>
      </w:tr>
    </w:tbl>
    <w:p>
      <w:pPr>
        <w:spacing w:after="0" w:line="316" w:lineRule="auto"/>
        <w:jc w:val="left"/>
        <w:rPr>
          <w:rFonts w:ascii="宋体" w:hAnsi="宋体" w:cs="宋体" w:eastAsia="宋体" w:hint="default"/>
          <w:sz w:val="18"/>
          <w:szCs w:val="18"/>
        </w:rPr>
        <w:sectPr>
          <w:footerReference w:type="default" r:id="rId18"/>
          <w:pgSz w:w="11910" w:h="16840"/>
          <w:pgMar w:footer="1016" w:header="919" w:top="1120" w:bottom="1200" w:left="1020" w:right="0"/>
          <w:pgNumType w:start="3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发行股票并</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在创业板成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功上市后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个月内，如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公司股票连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易日的收盘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价均低于发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行价，或者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上市后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月期末的收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盘价低于发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行价的，本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人所持有的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股票的锁定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期限将自动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延长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5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月。</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公司股东承</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诺将严格履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行股东义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务，不直接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或间接借</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499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300" w:lineRule="auto" w:before="147"/>
              <w:ind w:left="102" w:right="190"/>
              <w:jc w:val="both"/>
              <w:rPr>
                <w:rFonts w:ascii="Times New Roman" w:hAnsi="Times New Roman" w:cs="Times New Roman" w:eastAsia="Times New Roman" w:hint="default"/>
                <w:sz w:val="18"/>
                <w:szCs w:val="18"/>
              </w:rPr>
            </w:pPr>
            <w:r>
              <w:rPr>
                <w:rFonts w:ascii="宋体" w:hAnsi="宋体" w:cs="宋体" w:eastAsia="宋体" w:hint="default"/>
                <w:sz w:val="18"/>
                <w:szCs w:val="18"/>
              </w:rPr>
              <w:t>陈伟严</w:t>
            </w:r>
            <w:r>
              <w:rPr>
                <w:rFonts w:ascii="Times New Roman" w:hAnsi="Times New Roman" w:cs="Times New Roman" w:eastAsia="Times New Roman" w:hint="default"/>
                <w:sz w:val="18"/>
                <w:szCs w:val="18"/>
              </w:rPr>
              <w:t>;</w:t>
            </w:r>
            <w:r>
              <w:rPr>
                <w:rFonts w:ascii="宋体" w:hAnsi="宋体" w:cs="宋体" w:eastAsia="宋体" w:hint="default"/>
                <w:sz w:val="18"/>
                <w:szCs w:val="18"/>
              </w:rPr>
              <w:t>何 丹</w:t>
            </w:r>
            <w:r>
              <w:rPr>
                <w:rFonts w:ascii="Times New Roman" w:hAnsi="Times New Roman" w:cs="Times New Roman" w:eastAsia="Times New Roman" w:hint="default"/>
                <w:sz w:val="18"/>
                <w:szCs w:val="18"/>
              </w:rPr>
              <w:t>;</w:t>
            </w:r>
            <w:r>
              <w:rPr>
                <w:rFonts w:ascii="宋体" w:hAnsi="宋体" w:cs="宋体" w:eastAsia="宋体" w:hint="default"/>
                <w:sz w:val="18"/>
                <w:szCs w:val="18"/>
              </w:rPr>
              <w:t>何美军</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蒋振兴</w:t>
            </w:r>
            <w:r>
              <w:rPr>
                <w:rFonts w:ascii="Times New Roman" w:hAnsi="Times New Roman" w:cs="Times New Roman" w:eastAsia="Times New Roman" w:hint="default"/>
                <w:sz w:val="18"/>
                <w:szCs w:val="18"/>
              </w:rPr>
              <w:t>;</w:t>
            </w:r>
            <w:r>
              <w:rPr>
                <w:rFonts w:ascii="宋体" w:hAnsi="宋体" w:cs="宋体" w:eastAsia="宋体" w:hint="default"/>
                <w:sz w:val="18"/>
                <w:szCs w:val="18"/>
              </w:rPr>
              <w:t>李 媛媛</w:t>
            </w:r>
            <w:r>
              <w:rPr>
                <w:rFonts w:ascii="Times New Roman" w:hAnsi="Times New Roman" w:cs="Times New Roman" w:eastAsia="Times New Roman" w:hint="default"/>
                <w:sz w:val="18"/>
                <w:szCs w:val="18"/>
              </w:rPr>
              <w:t>;</w:t>
            </w:r>
            <w:r>
              <w:rPr>
                <w:rFonts w:ascii="宋体" w:hAnsi="宋体" w:cs="宋体" w:eastAsia="宋体" w:hint="default"/>
                <w:sz w:val="18"/>
                <w:szCs w:val="18"/>
              </w:rPr>
              <w:t>廖睿</w:t>
            </w:r>
            <w:r>
              <w:rPr>
                <w:rFonts w:ascii="Times New Roman" w:hAnsi="Times New Roman" w:cs="Times New Roman" w:eastAsia="Times New Roman" w:hint="default"/>
                <w:sz w:val="18"/>
                <w:szCs w:val="18"/>
              </w:rPr>
              <w:t>;</w:t>
            </w:r>
          </w:p>
          <w:p>
            <w:pPr>
              <w:pStyle w:val="TableParagraph"/>
              <w:spacing w:line="300" w:lineRule="auto" w:before="13"/>
              <w:ind w:left="102" w:right="189"/>
              <w:jc w:val="both"/>
              <w:rPr>
                <w:rFonts w:ascii="宋体" w:hAnsi="宋体" w:cs="宋体" w:eastAsia="宋体" w:hint="default"/>
                <w:sz w:val="18"/>
                <w:szCs w:val="18"/>
              </w:rPr>
            </w:pPr>
            <w:r>
              <w:rPr>
                <w:rFonts w:ascii="宋体" w:hAnsi="宋体" w:cs="宋体" w:eastAsia="宋体" w:hint="default"/>
                <w:sz w:val="18"/>
                <w:szCs w:val="18"/>
              </w:rPr>
              <w:t>彭彪</w:t>
            </w:r>
            <w:r>
              <w:rPr>
                <w:rFonts w:ascii="Times New Roman" w:hAnsi="Times New Roman" w:cs="Times New Roman" w:eastAsia="Times New Roman" w:hint="default"/>
                <w:sz w:val="18"/>
                <w:szCs w:val="18"/>
              </w:rPr>
              <w:t>;</w:t>
            </w:r>
            <w:r>
              <w:rPr>
                <w:rFonts w:ascii="宋体" w:hAnsi="宋体" w:cs="宋体" w:eastAsia="宋体" w:hint="default"/>
                <w:sz w:val="18"/>
                <w:szCs w:val="18"/>
              </w:rPr>
              <w:t>申志</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孙海涛</w:t>
            </w:r>
            <w:r>
              <w:rPr>
                <w:rFonts w:ascii="Times New Roman" w:hAnsi="Times New Roman" w:cs="Times New Roman" w:eastAsia="Times New Roman" w:hint="default"/>
                <w:sz w:val="18"/>
                <w:szCs w:val="18"/>
              </w:rPr>
              <w:t>;</w:t>
            </w:r>
            <w:r>
              <w:rPr>
                <w:rFonts w:ascii="宋体" w:hAnsi="宋体" w:cs="宋体" w:eastAsia="宋体" w:hint="default"/>
                <w:sz w:val="18"/>
                <w:szCs w:val="18"/>
              </w:rPr>
              <w:t>唐 球</w:t>
            </w:r>
            <w:r>
              <w:rPr>
                <w:rFonts w:ascii="Times New Roman" w:hAnsi="Times New Roman" w:cs="Times New Roman" w:eastAsia="Times New Roman" w:hint="default"/>
                <w:sz w:val="18"/>
                <w:szCs w:val="18"/>
              </w:rPr>
              <w:t>;</w:t>
            </w:r>
            <w:r>
              <w:rPr>
                <w:rFonts w:ascii="宋体" w:hAnsi="宋体" w:cs="宋体" w:eastAsia="宋体" w:hint="default"/>
                <w:sz w:val="18"/>
                <w:szCs w:val="18"/>
              </w:rPr>
              <w:t>王飞</w:t>
            </w:r>
            <w:r>
              <w:rPr>
                <w:rFonts w:ascii="Times New Roman" w:hAnsi="Times New Roman" w:cs="Times New Roman" w:eastAsia="Times New Roman" w:hint="default"/>
                <w:sz w:val="18"/>
                <w:szCs w:val="18"/>
              </w:rPr>
              <w:t>;</w:t>
            </w:r>
            <w:r>
              <w:rPr>
                <w:rFonts w:ascii="宋体" w:hAnsi="宋体" w:cs="宋体" w:eastAsia="宋体" w:hint="default"/>
                <w:sz w:val="18"/>
                <w:szCs w:val="18"/>
              </w:rPr>
              <w:t>鄢 建红</w:t>
            </w:r>
            <w:r>
              <w:rPr>
                <w:rFonts w:ascii="Times New Roman" w:hAnsi="Times New Roman" w:cs="Times New Roman" w:eastAsia="Times New Roman" w:hint="default"/>
                <w:sz w:val="18"/>
                <w:szCs w:val="18"/>
              </w:rPr>
              <w:t>;</w:t>
            </w:r>
            <w:r>
              <w:rPr>
                <w:rFonts w:ascii="宋体" w:hAnsi="宋体" w:cs="宋体" w:eastAsia="宋体" w:hint="default"/>
                <w:sz w:val="18"/>
                <w:szCs w:val="18"/>
              </w:rPr>
              <w:t>余锦 祥</w:t>
            </w:r>
            <w:r>
              <w:rPr>
                <w:rFonts w:ascii="Times New Roman" w:hAnsi="Times New Roman" w:cs="Times New Roman" w:eastAsia="Times New Roman" w:hint="default"/>
                <w:sz w:val="18"/>
                <w:szCs w:val="18"/>
              </w:rPr>
              <w:t>;</w:t>
            </w:r>
            <w:r>
              <w:rPr>
                <w:rFonts w:ascii="宋体" w:hAnsi="宋体" w:cs="宋体" w:eastAsia="宋体" w:hint="default"/>
                <w:sz w:val="18"/>
                <w:szCs w:val="18"/>
              </w:rPr>
              <w:t>周云杉</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胡坤</w:t>
            </w:r>
            <w:r>
              <w:rPr>
                <w:rFonts w:ascii="Times New Roman" w:hAnsi="Times New Roman" w:cs="Times New Roman" w:eastAsia="Times New Roman" w:hint="default"/>
                <w:sz w:val="18"/>
                <w:szCs w:val="18"/>
              </w:rPr>
              <w:t>;</w:t>
            </w:r>
            <w:r>
              <w:rPr>
                <w:rFonts w:ascii="宋体" w:hAnsi="宋体" w:cs="宋体" w:eastAsia="宋体" w:hint="default"/>
                <w:sz w:val="18"/>
                <w:szCs w:val="18"/>
              </w:rPr>
              <w:t>吕宪 锐</w:t>
            </w:r>
            <w:r>
              <w:rPr>
                <w:rFonts w:ascii="Times New Roman" w:hAnsi="Times New Roman" w:cs="Times New Roman" w:eastAsia="Times New Roman" w:hint="default"/>
                <w:sz w:val="18"/>
                <w:szCs w:val="18"/>
              </w:rPr>
              <w:t>;</w:t>
            </w:r>
            <w:r>
              <w:rPr>
                <w:rFonts w:ascii="宋体" w:hAnsi="宋体" w:cs="宋体" w:eastAsia="宋体" w:hint="default"/>
                <w:sz w:val="18"/>
                <w:szCs w:val="18"/>
              </w:rPr>
              <w:t>欧阳华</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彭军红</w:t>
            </w:r>
            <w:r>
              <w:rPr>
                <w:rFonts w:ascii="Times New Roman" w:hAnsi="Times New Roman" w:cs="Times New Roman" w:eastAsia="Times New Roman" w:hint="default"/>
                <w:sz w:val="18"/>
                <w:szCs w:val="18"/>
              </w:rPr>
              <w:t>;</w:t>
            </w:r>
            <w:r>
              <w:rPr>
                <w:rFonts w:ascii="宋体" w:hAnsi="宋体" w:cs="宋体" w:eastAsia="宋体" w:hint="default"/>
                <w:sz w:val="18"/>
                <w:szCs w:val="18"/>
              </w:rPr>
              <w:t>阙 耀庭</w:t>
            </w:r>
            <w:r>
              <w:rPr>
                <w:rFonts w:ascii="Times New Roman" w:hAnsi="Times New Roman" w:cs="Times New Roman" w:eastAsia="Times New Roman" w:hint="default"/>
                <w:sz w:val="18"/>
                <w:szCs w:val="18"/>
              </w:rPr>
              <w:t>;</w:t>
            </w:r>
            <w:r>
              <w:rPr>
                <w:rFonts w:ascii="宋体" w:hAnsi="宋体" w:cs="宋体" w:eastAsia="宋体" w:hint="default"/>
                <w:sz w:val="18"/>
                <w:szCs w:val="18"/>
              </w:rPr>
              <w:t>王能 国</w:t>
            </w:r>
            <w:r>
              <w:rPr>
                <w:rFonts w:ascii="Times New Roman" w:hAnsi="Times New Roman" w:cs="Times New Roman" w:eastAsia="Times New Roman" w:hint="default"/>
                <w:sz w:val="18"/>
                <w:szCs w:val="18"/>
              </w:rPr>
              <w:t>;</w:t>
            </w:r>
            <w:r>
              <w:rPr>
                <w:rFonts w:ascii="宋体" w:hAnsi="宋体" w:cs="宋体" w:eastAsia="宋体" w:hint="default"/>
                <w:sz w:val="18"/>
                <w:szCs w:val="18"/>
              </w:rPr>
              <w:t>邹雪峰</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左炉喜</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316" w:lineRule="auto"/>
              <w:ind w:left="103" w:right="111"/>
              <w:jc w:val="both"/>
              <w:rPr>
                <w:rFonts w:ascii="宋体" w:hAnsi="宋体" w:cs="宋体" w:eastAsia="宋体" w:hint="default"/>
                <w:sz w:val="18"/>
                <w:szCs w:val="18"/>
              </w:rPr>
            </w:pPr>
            <w:r>
              <w:rPr>
                <w:rFonts w:ascii="宋体" w:hAnsi="宋体" w:cs="宋体" w:eastAsia="宋体" w:hint="default"/>
                <w:sz w:val="18"/>
                <w:szCs w:val="18"/>
              </w:rPr>
              <w:t>关于同业竞 争、关联交 易、资金占 用方面的承 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111"/>
              <w:jc w:val="left"/>
              <w:rPr>
                <w:rFonts w:ascii="宋体" w:hAnsi="宋体" w:cs="宋体" w:eastAsia="宋体" w:hint="default"/>
                <w:sz w:val="18"/>
                <w:szCs w:val="18"/>
              </w:rPr>
            </w:pPr>
            <w:r>
              <w:rPr>
                <w:rFonts w:ascii="宋体" w:hAnsi="宋体" w:cs="宋体" w:eastAsia="宋体" w:hint="default"/>
                <w:sz w:val="18"/>
                <w:szCs w:val="18"/>
              </w:rPr>
              <w:t>用、占用公 司的资金款 项；不会利 用关联交易 转移、输送 公司的资 金，不通过 公司的经营 决策权损害 股份公司及 其他股东的 合法权益。 公司股东将 尽量避免与 公司之间产 生关联交易</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3"/>
              <w:ind w:left="102" w:right="93"/>
              <w:jc w:val="left"/>
              <w:rPr>
                <w:rFonts w:ascii="宋体" w:hAnsi="宋体" w:cs="宋体" w:eastAsia="宋体" w:hint="default"/>
                <w:sz w:val="18"/>
                <w:szCs w:val="18"/>
              </w:rPr>
            </w:pPr>
            <w:r>
              <w:rPr>
                <w:rFonts w:ascii="宋体" w:hAnsi="宋体" w:cs="宋体" w:eastAsia="宋体" w:hint="default"/>
                <w:sz w:val="18"/>
                <w:szCs w:val="18"/>
              </w:rPr>
              <w:t>报告期内， 承诺各方 无违反该 承诺的情 况，该承诺 事项正在 履行中。</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事项，对于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不可避免发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生的关联业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务往来或交</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易，将在平</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919" w:footer="1016"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等、自愿的</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基础上，按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照公平、公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允和等价有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偿的原则进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行，交易价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格将按照市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场公认的合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理价格确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定。公司及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公司股东将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严格遵守公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司章程等规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范性文件中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关于关联交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易事项的回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避规定，所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涉及的关联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交易均将按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照规定的决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策程序进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行，并将履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行合法程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序，及时对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关联交易事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项进行信息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披露，公司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及公司股东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承诺不会利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用关联交易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转移、输送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利润，不会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通过公司的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经营决策权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损害股份公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司及其他股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东的合法权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5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益。</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r>
        <w:trPr>
          <w:trHeight w:val="1920"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6"/>
              <w:ind w:left="102" w:right="110"/>
              <w:jc w:val="both"/>
              <w:rPr>
                <w:rFonts w:ascii="宋体" w:hAnsi="宋体" w:cs="宋体" w:eastAsia="宋体" w:hint="default"/>
                <w:sz w:val="18"/>
                <w:szCs w:val="18"/>
              </w:rPr>
            </w:pPr>
            <w:r>
              <w:rPr>
                <w:rFonts w:ascii="宋体" w:hAnsi="宋体" w:cs="宋体" w:eastAsia="宋体" w:hint="default"/>
                <w:sz w:val="18"/>
                <w:szCs w:val="18"/>
              </w:rPr>
              <w:t>深圳市赢时 胜信息技术 股份有限公 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6" w:lineRule="auto"/>
              <w:ind w:left="103" w:right="111"/>
              <w:jc w:val="both"/>
              <w:rPr>
                <w:rFonts w:ascii="宋体" w:hAnsi="宋体" w:cs="宋体" w:eastAsia="宋体" w:hint="default"/>
                <w:sz w:val="18"/>
                <w:szCs w:val="18"/>
              </w:rPr>
            </w:pPr>
            <w:r>
              <w:rPr>
                <w:rFonts w:ascii="宋体" w:hAnsi="宋体" w:cs="宋体" w:eastAsia="宋体" w:hint="default"/>
                <w:sz w:val="18"/>
                <w:szCs w:val="18"/>
              </w:rPr>
              <w:t>关于同业竞 争、关联交 易、资金占 用方面的承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111"/>
              <w:jc w:val="both"/>
              <w:rPr>
                <w:rFonts w:ascii="宋体" w:hAnsi="宋体" w:cs="宋体" w:eastAsia="宋体" w:hint="default"/>
                <w:sz w:val="18"/>
                <w:szCs w:val="18"/>
              </w:rPr>
            </w:pPr>
            <w:r>
              <w:rPr>
                <w:rFonts w:ascii="宋体" w:hAnsi="宋体" w:cs="宋体" w:eastAsia="宋体" w:hint="default"/>
                <w:sz w:val="18"/>
                <w:szCs w:val="18"/>
              </w:rPr>
              <w:t>将尽量避免 与公司之间 产生关联交 易事项，对 于不可避免 发生的关联</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93"/>
              <w:jc w:val="left"/>
              <w:rPr>
                <w:rFonts w:ascii="宋体" w:hAnsi="宋体" w:cs="宋体" w:eastAsia="宋体" w:hint="default"/>
                <w:sz w:val="18"/>
                <w:szCs w:val="18"/>
              </w:rPr>
            </w:pPr>
            <w:r>
              <w:rPr>
                <w:rFonts w:ascii="宋体" w:hAnsi="宋体" w:cs="宋体" w:eastAsia="宋体" w:hint="default"/>
                <w:sz w:val="18"/>
                <w:szCs w:val="18"/>
              </w:rPr>
              <w:t>报告期内， 承诺各方 无违反该 承诺的情 况，该承诺 事项正在</w:t>
            </w:r>
          </w:p>
        </w:tc>
      </w:tr>
    </w:tbl>
    <w:p>
      <w:pPr>
        <w:spacing w:after="0" w:line="316" w:lineRule="auto"/>
        <w:jc w:val="left"/>
        <w:rPr>
          <w:rFonts w:ascii="宋体" w:hAnsi="宋体" w:cs="宋体" w:eastAsia="宋体" w:hint="default"/>
          <w:sz w:val="18"/>
          <w:szCs w:val="18"/>
        </w:rPr>
        <w:sectPr>
          <w:pgSz w:w="11910" w:h="16840"/>
          <w:pgMar w:header="919" w:footer="1016"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业务往来或</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履行中。</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交易，将在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平等、自愿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的基础上，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按照公平、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公允和等价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有偿的原则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进行，交易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价格将按照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市场公认的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合理价格确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定。公司及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公司股东将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严格遵守公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司章程等规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范性文件中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关于关联交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易事项的回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避规定，所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涉及的关联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交易均将按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照规定的决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策程序进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行，并将履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行合法程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序，及时对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关联交易事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项进行信息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披露，公司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及公司股东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承诺不会利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用关联交易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转移、输送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利润，不会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通过公司的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经营决策权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损害股份公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司及其他股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东的合法权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益。</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r>
        <w:trPr>
          <w:trHeight w:val="368" w:hRule="exact"/>
        </w:trPr>
        <w:tc>
          <w:tcPr>
            <w:tcW w:w="2836" w:type="dxa"/>
            <w:vMerge/>
            <w:tcBorders>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程霞</w:t>
            </w:r>
            <w:r>
              <w:rPr>
                <w:rFonts w:ascii="Times New Roman" w:hAnsi="Times New Roman" w:cs="Times New Roman" w:eastAsia="Times New Roman" w:hint="default"/>
                <w:sz w:val="18"/>
                <w:szCs w:val="18"/>
              </w:rPr>
              <w:t>;</w:t>
            </w:r>
            <w:r>
              <w:rPr>
                <w:rFonts w:ascii="宋体" w:hAnsi="宋体" w:cs="宋体" w:eastAsia="宋体" w:hint="default"/>
                <w:sz w:val="18"/>
                <w:szCs w:val="18"/>
              </w:rPr>
              <w:t>唐球</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2"/>
              <w:ind w:left="103" w:right="0"/>
              <w:jc w:val="left"/>
              <w:rPr>
                <w:rFonts w:ascii="宋体" w:hAnsi="宋体" w:cs="宋体" w:eastAsia="宋体" w:hint="default"/>
                <w:sz w:val="18"/>
                <w:szCs w:val="18"/>
              </w:rPr>
            </w:pPr>
            <w:r>
              <w:rPr>
                <w:rFonts w:ascii="宋体" w:hAnsi="宋体" w:cs="宋体" w:eastAsia="宋体" w:hint="default"/>
                <w:sz w:val="18"/>
                <w:szCs w:val="18"/>
              </w:rPr>
              <w:t>关于同业竞</w:t>
            </w: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2"/>
              <w:ind w:left="102" w:right="0"/>
              <w:jc w:val="left"/>
              <w:rPr>
                <w:rFonts w:ascii="宋体" w:hAnsi="宋体" w:cs="宋体" w:eastAsia="宋体" w:hint="default"/>
                <w:sz w:val="18"/>
                <w:szCs w:val="18"/>
              </w:rPr>
            </w:pPr>
            <w:r>
              <w:rPr>
                <w:rFonts w:ascii="宋体" w:hAnsi="宋体" w:cs="宋体" w:eastAsia="宋体" w:hint="default"/>
                <w:sz w:val="18"/>
                <w:szCs w:val="18"/>
              </w:rPr>
              <w:t>为规范与公</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2"/>
              <w:ind w:left="102" w:right="0"/>
              <w:jc w:val="left"/>
              <w:rPr>
                <w:rFonts w:ascii="宋体" w:hAnsi="宋体" w:cs="宋体" w:eastAsia="宋体" w:hint="default"/>
                <w:sz w:val="18"/>
                <w:szCs w:val="18"/>
              </w:rPr>
            </w:pPr>
            <w:r>
              <w:rPr>
                <w:rFonts w:ascii="宋体" w:hAnsi="宋体" w:cs="宋体" w:eastAsia="宋体" w:hint="default"/>
                <w:sz w:val="18"/>
                <w:szCs w:val="18"/>
              </w:rPr>
              <w:t>报告期内，</w:t>
            </w:r>
          </w:p>
        </w:tc>
      </w:tr>
      <w:tr>
        <w:trPr>
          <w:trHeight w:val="624"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300" w:lineRule="auto"/>
              <w:ind w:left="102" w:right="240"/>
              <w:jc w:val="left"/>
              <w:rPr>
                <w:rFonts w:ascii="宋体" w:hAnsi="宋体" w:cs="宋体" w:eastAsia="宋体" w:hint="default"/>
                <w:sz w:val="18"/>
                <w:szCs w:val="18"/>
              </w:rPr>
            </w:pPr>
            <w:r>
              <w:rPr>
                <w:rFonts w:ascii="宋体" w:hAnsi="宋体" w:cs="宋体" w:eastAsia="宋体" w:hint="default"/>
                <w:sz w:val="18"/>
                <w:szCs w:val="18"/>
              </w:rPr>
              <w:t>伍国安</w:t>
            </w:r>
            <w:r>
              <w:rPr>
                <w:rFonts w:ascii="Times New Roman" w:hAnsi="Times New Roman" w:cs="Times New Roman" w:eastAsia="Times New Roman" w:hint="default"/>
                <w:sz w:val="18"/>
                <w:szCs w:val="18"/>
              </w:rPr>
              <w:t>;</w:t>
            </w:r>
            <w:r>
              <w:rPr>
                <w:rFonts w:ascii="宋体" w:hAnsi="宋体" w:cs="宋体" w:eastAsia="宋体" w:hint="default"/>
                <w:sz w:val="18"/>
                <w:szCs w:val="18"/>
              </w:rPr>
              <w:t>鄢 建红</w:t>
            </w:r>
            <w:r>
              <w:rPr>
                <w:rFonts w:ascii="Times New Roman" w:hAnsi="Times New Roman" w:cs="Times New Roman" w:eastAsia="Times New Roman" w:hint="default"/>
                <w:sz w:val="18"/>
                <w:szCs w:val="18"/>
              </w:rPr>
              <w:t>;</w:t>
            </w:r>
            <w:r>
              <w:rPr>
                <w:rFonts w:ascii="宋体" w:hAnsi="宋体" w:cs="宋体" w:eastAsia="宋体" w:hint="default"/>
                <w:sz w:val="18"/>
                <w:szCs w:val="18"/>
              </w:rPr>
              <w:t>周云</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21"/>
              <w:ind w:left="103" w:right="111"/>
              <w:jc w:val="left"/>
              <w:rPr>
                <w:rFonts w:ascii="宋体" w:hAnsi="宋体" w:cs="宋体" w:eastAsia="宋体" w:hint="default"/>
                <w:sz w:val="18"/>
                <w:szCs w:val="18"/>
              </w:rPr>
            </w:pPr>
            <w:r>
              <w:rPr>
                <w:rFonts w:ascii="宋体" w:hAnsi="宋体" w:cs="宋体" w:eastAsia="宋体" w:hint="default"/>
                <w:sz w:val="18"/>
                <w:szCs w:val="18"/>
              </w:rPr>
              <w:t>争、关联交 易、资金占</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21"/>
              <w:ind w:left="102" w:right="111"/>
              <w:jc w:val="left"/>
              <w:rPr>
                <w:rFonts w:ascii="宋体" w:hAnsi="宋体" w:cs="宋体" w:eastAsia="宋体" w:hint="default"/>
                <w:sz w:val="18"/>
                <w:szCs w:val="18"/>
              </w:rPr>
            </w:pPr>
            <w:r>
              <w:rPr>
                <w:rFonts w:ascii="宋体" w:hAnsi="宋体" w:cs="宋体" w:eastAsia="宋体" w:hint="default"/>
                <w:sz w:val="18"/>
                <w:szCs w:val="18"/>
              </w:rPr>
              <w:t>司发生关联 交易情形承</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55"/>
              <w:ind w:left="10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316" w:lineRule="auto" w:before="21"/>
              <w:ind w:left="102" w:right="273"/>
              <w:jc w:val="left"/>
              <w:rPr>
                <w:rFonts w:ascii="宋体" w:hAnsi="宋体" w:cs="宋体" w:eastAsia="宋体" w:hint="default"/>
                <w:sz w:val="18"/>
                <w:szCs w:val="18"/>
              </w:rPr>
            </w:pPr>
            <w:r>
              <w:rPr>
                <w:rFonts w:ascii="宋体" w:hAnsi="宋体" w:cs="宋体" w:eastAsia="宋体" w:hint="default"/>
                <w:sz w:val="18"/>
                <w:szCs w:val="18"/>
              </w:rPr>
              <w:t>承诺各方 无违反该</w:t>
            </w:r>
          </w:p>
        </w:tc>
      </w:tr>
      <w:tr>
        <w:trPr>
          <w:trHeight w:val="34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杉</w:t>
            </w: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用方面的承</w:t>
            </w: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1"/>
              <w:ind w:left="102" w:right="0"/>
              <w:jc w:val="left"/>
              <w:rPr>
                <w:rFonts w:ascii="宋体" w:hAnsi="宋体" w:cs="宋体" w:eastAsia="宋体" w:hint="default"/>
                <w:sz w:val="18"/>
                <w:szCs w:val="18"/>
              </w:rPr>
            </w:pPr>
            <w:r>
              <w:rPr>
                <w:rFonts w:ascii="宋体" w:hAnsi="宋体" w:cs="宋体" w:eastAsia="宋体" w:hint="default"/>
                <w:sz w:val="18"/>
                <w:szCs w:val="18"/>
              </w:rPr>
              <w:t>诺：本人及</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1"/>
              <w:ind w:left="102" w:right="0"/>
              <w:jc w:val="left"/>
              <w:rPr>
                <w:rFonts w:ascii="宋体" w:hAnsi="宋体" w:cs="宋体" w:eastAsia="宋体" w:hint="default"/>
                <w:sz w:val="18"/>
                <w:szCs w:val="18"/>
              </w:rPr>
            </w:pPr>
            <w:r>
              <w:rPr>
                <w:rFonts w:ascii="宋体" w:hAnsi="宋体" w:cs="宋体" w:eastAsia="宋体" w:hint="default"/>
                <w:sz w:val="18"/>
                <w:szCs w:val="18"/>
              </w:rPr>
              <w:t>承诺的情</w:t>
            </w:r>
          </w:p>
        </w:tc>
      </w:tr>
    </w:tbl>
    <w:p>
      <w:pPr>
        <w:spacing w:after="0" w:line="240" w:lineRule="auto"/>
        <w:jc w:val="left"/>
        <w:rPr>
          <w:rFonts w:ascii="宋体" w:hAnsi="宋体" w:cs="宋体" w:eastAsia="宋体" w:hint="default"/>
          <w:sz w:val="18"/>
          <w:szCs w:val="18"/>
        </w:rPr>
        <w:sectPr>
          <w:pgSz w:w="11910" w:h="16840"/>
          <w:pgMar w:header="919" w:footer="1016"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诺</w:t>
            </w: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本人所控制</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况，该承诺</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的其他企业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事项正在</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将尽量避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履行中。</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免、减少与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赢时胜发生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关联交易。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如关联交易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无法避免，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本人及本人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所控制的其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他企业将严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格遵守中国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证监会和公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司章程的规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定，按照通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常的商业准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则确定交易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价格及其他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交易条件，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公允进行。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在本人及本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人控制的其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他公司与公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司存在关联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关系期间，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本承诺函为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有效之承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诺。如上述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承诺被证明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是不真实或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未被遵守，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本人将向公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司赔偿一切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直接和间接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损失，并承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担相应的法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律责任。为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避免与赢时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胜发生同业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竞争的情形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的承诺：自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承诺函签署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之日起，本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人目前没有</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919" w:footer="1016"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在中国境内</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任何地方或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中国境外，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直接或间接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发展、经营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或协助经营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或参与与公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司业务存在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竞争的任何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活动，亦没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有在任何与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公司业务有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直接或间接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竞争关系的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公司或企业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拥有任何直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接或间接权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益。本人将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不直接或间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接经营任何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与公司经营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的业务构成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竞争或可能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构成竞争的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业务，也不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参与投资任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何与公司生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产的产品或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经营的业务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构成竞争或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可能构成竞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争的其他企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业。本人将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不会利用公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司股东的身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份进行损害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公司及其它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股东利益的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经营活动。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在本人及本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人控制的其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他公司与赢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时胜存在关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联关系期</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919" w:footer="1016"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间，本承诺</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函为有效之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承诺。如上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述承诺被证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明是不真实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或未被遵</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守，本人将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向赢时胜赔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偿一切直接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和间接损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失，并承担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相应的法律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5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责任。</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承诺除公司</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外，本人并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未与任何其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报告期内，</w:t>
            </w:r>
          </w:p>
        </w:tc>
      </w:tr>
      <w:tr>
        <w:trPr>
          <w:trHeight w:val="1560"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00" w:lineRule="auto"/>
              <w:ind w:left="102" w:right="190"/>
              <w:jc w:val="both"/>
              <w:rPr>
                <w:rFonts w:ascii="宋体" w:hAnsi="宋体" w:cs="宋体" w:eastAsia="宋体" w:hint="default"/>
                <w:sz w:val="18"/>
                <w:szCs w:val="18"/>
              </w:rPr>
            </w:pPr>
            <w:r>
              <w:rPr>
                <w:rFonts w:ascii="宋体" w:hAnsi="宋体" w:cs="宋体" w:eastAsia="宋体" w:hint="default"/>
                <w:sz w:val="18"/>
                <w:szCs w:val="18"/>
              </w:rPr>
              <w:t>程霞</w:t>
            </w:r>
            <w:r>
              <w:rPr>
                <w:rFonts w:ascii="Times New Roman" w:hAnsi="Times New Roman" w:cs="Times New Roman" w:eastAsia="Times New Roman" w:hint="default"/>
                <w:sz w:val="18"/>
                <w:szCs w:val="18"/>
              </w:rPr>
              <w:t>;</w:t>
            </w:r>
            <w:r>
              <w:rPr>
                <w:rFonts w:ascii="宋体" w:hAnsi="宋体" w:cs="宋体" w:eastAsia="宋体" w:hint="default"/>
                <w:sz w:val="18"/>
                <w:szCs w:val="18"/>
              </w:rPr>
              <w:t>唐球</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伍国安</w:t>
            </w:r>
            <w:r>
              <w:rPr>
                <w:rFonts w:ascii="Times New Roman" w:hAnsi="Times New Roman" w:cs="Times New Roman" w:eastAsia="Times New Roman" w:hint="default"/>
                <w:sz w:val="18"/>
                <w:szCs w:val="18"/>
              </w:rPr>
              <w:t>;</w:t>
            </w:r>
            <w:r>
              <w:rPr>
                <w:rFonts w:ascii="宋体" w:hAnsi="宋体" w:cs="宋体" w:eastAsia="宋体" w:hint="default"/>
                <w:sz w:val="18"/>
                <w:szCs w:val="18"/>
              </w:rPr>
              <w:t>鄢 建红</w:t>
            </w:r>
            <w:r>
              <w:rPr>
                <w:rFonts w:ascii="Times New Roman" w:hAnsi="Times New Roman" w:cs="Times New Roman" w:eastAsia="Times New Roman" w:hint="default"/>
                <w:sz w:val="18"/>
                <w:szCs w:val="18"/>
              </w:rPr>
              <w:t>;</w:t>
            </w:r>
            <w:r>
              <w:rPr>
                <w:rFonts w:ascii="宋体" w:hAnsi="宋体" w:cs="宋体" w:eastAsia="宋体" w:hint="default"/>
                <w:sz w:val="18"/>
                <w:szCs w:val="18"/>
              </w:rPr>
              <w:t>周云 杉</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111"/>
              <w:jc w:val="both"/>
              <w:rPr>
                <w:rFonts w:ascii="宋体" w:hAnsi="宋体" w:cs="宋体" w:eastAsia="宋体" w:hint="default"/>
                <w:sz w:val="18"/>
                <w:szCs w:val="18"/>
              </w:rPr>
            </w:pPr>
            <w:r>
              <w:rPr>
                <w:rFonts w:ascii="宋体" w:hAnsi="宋体" w:cs="宋体" w:eastAsia="宋体" w:hint="default"/>
                <w:sz w:val="18"/>
                <w:szCs w:val="18"/>
              </w:rPr>
              <w:t>他企业或单 位签署任何 形式的竞业 禁止协议， 也未签署任</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100"/>
              <w:jc w:val="left"/>
              <w:rPr>
                <w:rFonts w:ascii="宋体" w:hAnsi="宋体" w:cs="宋体" w:eastAsia="宋体" w:hint="default"/>
                <w:sz w:val="18"/>
                <w:szCs w:val="18"/>
              </w:rPr>
            </w:pPr>
            <w:r>
              <w:rPr>
                <w:rFonts w:ascii="宋体" w:hAnsi="宋体" w:cs="宋体" w:eastAsia="宋体" w:hint="default"/>
                <w:sz w:val="18"/>
                <w:szCs w:val="18"/>
              </w:rPr>
              <w:t>承诺各方 无违反该 承诺的情 况，该承诺 事项正在</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何包含竞业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履行中。</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禁止内容的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法律文件。</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2836" w:type="dxa"/>
            <w:vMerge/>
            <w:tcBorders>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承诺如有任</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何股东因任</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2496"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18"/>
              <w:ind w:left="102" w:right="240"/>
              <w:jc w:val="left"/>
              <w:rPr>
                <w:rFonts w:ascii="宋体" w:hAnsi="宋体" w:cs="宋体" w:eastAsia="宋体" w:hint="default"/>
                <w:sz w:val="18"/>
                <w:szCs w:val="18"/>
              </w:rPr>
            </w:pPr>
            <w:r>
              <w:rPr>
                <w:rFonts w:ascii="宋体" w:hAnsi="宋体" w:cs="宋体" w:eastAsia="宋体" w:hint="default"/>
                <w:sz w:val="18"/>
                <w:szCs w:val="18"/>
              </w:rPr>
              <w:t>唐球</w:t>
            </w:r>
            <w:r>
              <w:rPr>
                <w:rFonts w:ascii="Times New Roman" w:hAnsi="Times New Roman" w:cs="Times New Roman" w:eastAsia="Times New Roman" w:hint="default"/>
                <w:sz w:val="18"/>
                <w:szCs w:val="18"/>
              </w:rPr>
              <w:t>;</w:t>
            </w:r>
            <w:r>
              <w:rPr>
                <w:rFonts w:ascii="宋体" w:hAnsi="宋体" w:cs="宋体" w:eastAsia="宋体" w:hint="default"/>
                <w:sz w:val="18"/>
                <w:szCs w:val="18"/>
              </w:rPr>
              <w:t>鄢建 红</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111"/>
              <w:jc w:val="both"/>
              <w:rPr>
                <w:rFonts w:ascii="宋体" w:hAnsi="宋体" w:cs="宋体" w:eastAsia="宋体" w:hint="default"/>
                <w:sz w:val="18"/>
                <w:szCs w:val="18"/>
              </w:rPr>
            </w:pPr>
            <w:r>
              <w:rPr>
                <w:rFonts w:ascii="宋体" w:hAnsi="宋体" w:cs="宋体" w:eastAsia="宋体" w:hint="default"/>
                <w:sz w:val="18"/>
                <w:szCs w:val="18"/>
              </w:rPr>
              <w:t>何原因导致 其没有及时 缴纳或支付 公司因整体 变更应承担 的个人所得 税及相关费 用和损失，</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102" w:right="93"/>
              <w:jc w:val="left"/>
              <w:rPr>
                <w:rFonts w:ascii="宋体" w:hAnsi="宋体" w:cs="宋体" w:eastAsia="宋体" w:hint="default"/>
                <w:sz w:val="18"/>
                <w:szCs w:val="18"/>
              </w:rPr>
            </w:pPr>
            <w:r>
              <w:rPr>
                <w:rFonts w:ascii="宋体" w:hAnsi="宋体" w:cs="宋体" w:eastAsia="宋体" w:hint="default"/>
                <w:sz w:val="18"/>
                <w:szCs w:val="18"/>
              </w:rPr>
              <w:t>报告期内， 承诺各方 无违反该 承诺的情 况，该承诺 事项正在 履行中。</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本人承担连</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带责任。</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r>
        <w:trPr>
          <w:trHeight w:val="371" w:hRule="exact"/>
        </w:trPr>
        <w:tc>
          <w:tcPr>
            <w:tcW w:w="2836" w:type="dxa"/>
            <w:vMerge/>
            <w:tcBorders>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2"/>
              <w:ind w:left="102" w:right="0"/>
              <w:jc w:val="left"/>
              <w:rPr>
                <w:rFonts w:ascii="宋体" w:hAnsi="宋体" w:cs="宋体" w:eastAsia="宋体" w:hint="default"/>
                <w:sz w:val="18"/>
                <w:szCs w:val="18"/>
              </w:rPr>
            </w:pPr>
            <w:r>
              <w:rPr>
                <w:rFonts w:ascii="宋体" w:hAnsi="宋体" w:cs="宋体" w:eastAsia="宋体" w:hint="default"/>
                <w:sz w:val="18"/>
                <w:szCs w:val="18"/>
              </w:rPr>
              <w:t>陈伟严</w:t>
            </w:r>
            <w:r>
              <w:rPr>
                <w:rFonts w:ascii="Times New Roman" w:hAnsi="Times New Roman" w:cs="Times New Roman" w:eastAsia="Times New Roman" w:hint="default"/>
                <w:sz w:val="18"/>
                <w:szCs w:val="18"/>
              </w:rPr>
              <w:t>;</w:t>
            </w:r>
            <w:r>
              <w:rPr>
                <w:rFonts w:ascii="宋体" w:hAnsi="宋体" w:cs="宋体" w:eastAsia="宋体" w:hint="default"/>
                <w:sz w:val="18"/>
                <w:szCs w:val="18"/>
              </w:rPr>
              <w:t>何</w:t>
            </w: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2"/>
              <w:ind w:left="102" w:right="0"/>
              <w:jc w:val="left"/>
              <w:rPr>
                <w:rFonts w:ascii="宋体" w:hAnsi="宋体" w:cs="宋体" w:eastAsia="宋体" w:hint="default"/>
                <w:sz w:val="18"/>
                <w:szCs w:val="18"/>
              </w:rPr>
            </w:pPr>
            <w:r>
              <w:rPr>
                <w:rFonts w:ascii="宋体" w:hAnsi="宋体" w:cs="宋体" w:eastAsia="宋体" w:hint="default"/>
                <w:sz w:val="18"/>
                <w:szCs w:val="18"/>
              </w:rPr>
              <w:t>承诺如因有</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报告期内，</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丹</w:t>
            </w:r>
            <w:r>
              <w:rPr>
                <w:rFonts w:ascii="Times New Roman" w:hAnsi="Times New Roman" w:cs="Times New Roman" w:eastAsia="Times New Roman" w:hint="default"/>
                <w:sz w:val="18"/>
                <w:szCs w:val="18"/>
              </w:rPr>
              <w:t>;</w:t>
            </w:r>
            <w:r>
              <w:rPr>
                <w:rFonts w:ascii="宋体" w:hAnsi="宋体" w:cs="宋体" w:eastAsia="宋体" w:hint="default"/>
                <w:sz w:val="18"/>
                <w:szCs w:val="18"/>
              </w:rPr>
              <w:t>何美军</w:t>
            </w:r>
            <w:r>
              <w:rPr>
                <w:rFonts w:ascii="Times New Roman" w:hAnsi="Times New Roman" w:cs="Times New Roman" w:eastAsia="Times New Roman" w:hint="default"/>
                <w:sz w:val="18"/>
                <w:szCs w:val="18"/>
              </w:rPr>
              <w:t>;</w:t>
            </w: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left="102" w:right="0"/>
              <w:jc w:val="left"/>
              <w:rPr>
                <w:rFonts w:ascii="宋体" w:hAnsi="宋体" w:cs="宋体" w:eastAsia="宋体" w:hint="default"/>
                <w:sz w:val="18"/>
                <w:szCs w:val="18"/>
              </w:rPr>
            </w:pPr>
            <w:r>
              <w:rPr>
                <w:rFonts w:ascii="宋体" w:hAnsi="宋体" w:cs="宋体" w:eastAsia="宋体" w:hint="default"/>
                <w:sz w:val="18"/>
                <w:szCs w:val="18"/>
              </w:rPr>
              <w:t>关税务部门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102" w:right="0"/>
              <w:jc w:val="left"/>
              <w:rPr>
                <w:rFonts w:ascii="宋体" w:hAnsi="宋体" w:cs="宋体" w:eastAsia="宋体" w:hint="default"/>
                <w:sz w:val="18"/>
                <w:szCs w:val="18"/>
              </w:rPr>
            </w:pPr>
            <w:r>
              <w:rPr>
                <w:rFonts w:ascii="宋体" w:hAnsi="宋体" w:cs="宋体" w:eastAsia="宋体" w:hint="default"/>
                <w:sz w:val="18"/>
                <w:szCs w:val="18"/>
              </w:rPr>
              <w:t>承诺各方</w:t>
            </w:r>
          </w:p>
        </w:tc>
      </w:tr>
      <w:tr>
        <w:trPr>
          <w:trHeight w:val="936"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300" w:lineRule="auto" w:before="17"/>
              <w:ind w:left="102" w:right="189"/>
              <w:jc w:val="left"/>
              <w:rPr>
                <w:rFonts w:ascii="宋体" w:hAnsi="宋体" w:cs="宋体" w:eastAsia="宋体" w:hint="default"/>
                <w:sz w:val="18"/>
                <w:szCs w:val="18"/>
              </w:rPr>
            </w:pPr>
            <w:r>
              <w:rPr>
                <w:rFonts w:ascii="宋体" w:hAnsi="宋体" w:cs="宋体" w:eastAsia="宋体" w:hint="default"/>
                <w:sz w:val="18"/>
                <w:szCs w:val="18"/>
              </w:rPr>
              <w:t>蒋振兴</w:t>
            </w:r>
            <w:r>
              <w:rPr>
                <w:rFonts w:ascii="Times New Roman" w:hAnsi="Times New Roman" w:cs="Times New Roman" w:eastAsia="Times New Roman" w:hint="default"/>
                <w:sz w:val="18"/>
                <w:szCs w:val="18"/>
              </w:rPr>
              <w:t>;</w:t>
            </w:r>
            <w:r>
              <w:rPr>
                <w:rFonts w:ascii="宋体" w:hAnsi="宋体" w:cs="宋体" w:eastAsia="宋体" w:hint="default"/>
                <w:sz w:val="18"/>
                <w:szCs w:val="18"/>
              </w:rPr>
              <w:t>廖 睿</w:t>
            </w:r>
            <w:r>
              <w:rPr>
                <w:rFonts w:ascii="Times New Roman" w:hAnsi="Times New Roman" w:cs="Times New Roman" w:eastAsia="Times New Roman" w:hint="default"/>
                <w:sz w:val="18"/>
                <w:szCs w:val="18"/>
              </w:rPr>
              <w:t>;</w:t>
            </w:r>
            <w:r>
              <w:rPr>
                <w:rFonts w:ascii="宋体" w:hAnsi="宋体" w:cs="宋体" w:eastAsia="宋体" w:hint="default"/>
                <w:sz w:val="18"/>
                <w:szCs w:val="18"/>
              </w:rPr>
              <w:t>彭彪</w:t>
            </w:r>
            <w:r>
              <w:rPr>
                <w:rFonts w:ascii="Times New Roman" w:hAnsi="Times New Roman" w:cs="Times New Roman" w:eastAsia="Times New Roman" w:hint="default"/>
                <w:sz w:val="18"/>
                <w:szCs w:val="18"/>
              </w:rPr>
              <w:t>;</w:t>
            </w:r>
            <w:r>
              <w:rPr>
                <w:rFonts w:ascii="宋体" w:hAnsi="宋体" w:cs="宋体" w:eastAsia="宋体" w:hint="default"/>
                <w:sz w:val="18"/>
                <w:szCs w:val="18"/>
              </w:rPr>
              <w:t>申</w:t>
            </w:r>
          </w:p>
          <w:p>
            <w:pPr>
              <w:pStyle w:val="TableParagraph"/>
              <w:spacing w:line="240" w:lineRule="auto" w:before="13"/>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志</w:t>
            </w:r>
            <w:r>
              <w:rPr>
                <w:rFonts w:ascii="Times New Roman" w:hAnsi="Times New Roman" w:cs="Times New Roman" w:eastAsia="Times New Roman" w:hint="default"/>
                <w:sz w:val="18"/>
                <w:szCs w:val="18"/>
              </w:rPr>
              <w:t>;</w:t>
            </w:r>
            <w:r>
              <w:rPr>
                <w:rFonts w:ascii="宋体" w:hAnsi="宋体" w:cs="宋体" w:eastAsia="宋体" w:hint="default"/>
                <w:sz w:val="18"/>
                <w:szCs w:val="18"/>
              </w:rPr>
              <w:t>孙海涛</w:t>
            </w:r>
            <w:r>
              <w:rPr>
                <w:rFonts w:ascii="Times New Roman" w:hAnsi="Times New Roman" w:cs="Times New Roman" w:eastAsia="Times New Roman" w:hint="default"/>
                <w:sz w:val="18"/>
                <w:szCs w:val="18"/>
              </w:rPr>
              <w:t>;</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7"/>
              <w:ind w:left="102" w:right="111"/>
              <w:jc w:val="left"/>
              <w:rPr>
                <w:rFonts w:ascii="宋体" w:hAnsi="宋体" w:cs="宋体" w:eastAsia="宋体" w:hint="default"/>
                <w:sz w:val="18"/>
                <w:szCs w:val="18"/>
              </w:rPr>
            </w:pPr>
            <w:r>
              <w:rPr>
                <w:rFonts w:ascii="宋体" w:hAnsi="宋体" w:cs="宋体" w:eastAsia="宋体" w:hint="default"/>
                <w:sz w:val="18"/>
                <w:szCs w:val="18"/>
              </w:rPr>
              <w:t>要求或决 定，公司需 要补缴或被</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316" w:lineRule="auto"/>
              <w:ind w:left="102" w:right="100"/>
              <w:jc w:val="left"/>
              <w:rPr>
                <w:rFonts w:ascii="宋体" w:hAnsi="宋体" w:cs="宋体" w:eastAsia="宋体" w:hint="default"/>
                <w:sz w:val="18"/>
                <w:szCs w:val="18"/>
              </w:rPr>
            </w:pPr>
            <w:r>
              <w:rPr>
                <w:rFonts w:ascii="宋体" w:hAnsi="宋体" w:cs="宋体" w:eastAsia="宋体" w:hint="default"/>
                <w:sz w:val="18"/>
                <w:szCs w:val="18"/>
              </w:rPr>
              <w:t>无违反该 承诺的情 况，该承诺</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唐球</w:t>
            </w:r>
            <w:r>
              <w:rPr>
                <w:rFonts w:ascii="Times New Roman" w:hAnsi="Times New Roman" w:cs="Times New Roman" w:eastAsia="Times New Roman" w:hint="default"/>
                <w:sz w:val="18"/>
                <w:szCs w:val="18"/>
              </w:rPr>
              <w:t>;</w:t>
            </w:r>
            <w:r>
              <w:rPr>
                <w:rFonts w:ascii="宋体" w:hAnsi="宋体" w:cs="宋体" w:eastAsia="宋体" w:hint="default"/>
                <w:sz w:val="18"/>
                <w:szCs w:val="18"/>
              </w:rPr>
              <w:t>王飞</w:t>
            </w:r>
            <w:r>
              <w:rPr>
                <w:rFonts w:ascii="Times New Roman" w:hAnsi="Times New Roman" w:cs="Times New Roman" w:eastAsia="Times New Roman" w:hint="default"/>
                <w:sz w:val="18"/>
                <w:szCs w:val="18"/>
              </w:rPr>
              <w:t>;</w:t>
            </w: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left="102" w:right="0"/>
              <w:jc w:val="left"/>
              <w:rPr>
                <w:rFonts w:ascii="宋体" w:hAnsi="宋体" w:cs="宋体" w:eastAsia="宋体" w:hint="default"/>
                <w:sz w:val="18"/>
                <w:szCs w:val="18"/>
              </w:rPr>
            </w:pPr>
            <w:r>
              <w:rPr>
                <w:rFonts w:ascii="宋体" w:hAnsi="宋体" w:cs="宋体" w:eastAsia="宋体" w:hint="default"/>
                <w:sz w:val="18"/>
                <w:szCs w:val="18"/>
              </w:rPr>
              <w:t>追缴整体变</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102" w:right="0"/>
              <w:jc w:val="left"/>
              <w:rPr>
                <w:rFonts w:ascii="宋体" w:hAnsi="宋体" w:cs="宋体" w:eastAsia="宋体" w:hint="default"/>
                <w:sz w:val="18"/>
                <w:szCs w:val="18"/>
              </w:rPr>
            </w:pPr>
            <w:r>
              <w:rPr>
                <w:rFonts w:ascii="宋体" w:hAnsi="宋体" w:cs="宋体" w:eastAsia="宋体" w:hint="default"/>
                <w:sz w:val="18"/>
                <w:szCs w:val="18"/>
              </w:rPr>
              <w:t>事项正在</w:t>
            </w:r>
          </w:p>
        </w:tc>
      </w:tr>
      <w:tr>
        <w:trPr>
          <w:trHeight w:val="341"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7"/>
              <w:ind w:left="102" w:right="0"/>
              <w:jc w:val="left"/>
              <w:rPr>
                <w:rFonts w:ascii="宋体" w:hAnsi="宋体" w:cs="宋体" w:eastAsia="宋体" w:hint="default"/>
                <w:sz w:val="18"/>
                <w:szCs w:val="18"/>
              </w:rPr>
            </w:pPr>
            <w:r>
              <w:rPr>
                <w:rFonts w:ascii="宋体" w:hAnsi="宋体" w:cs="宋体" w:eastAsia="宋体" w:hint="default"/>
                <w:sz w:val="18"/>
                <w:szCs w:val="18"/>
              </w:rPr>
              <w:t>鄢建红</w:t>
            </w:r>
            <w:r>
              <w:rPr>
                <w:rFonts w:ascii="Times New Roman" w:hAnsi="Times New Roman" w:cs="Times New Roman" w:eastAsia="Times New Roman" w:hint="default"/>
                <w:sz w:val="18"/>
                <w:szCs w:val="18"/>
              </w:rPr>
              <w:t>;</w:t>
            </w:r>
            <w:r>
              <w:rPr>
                <w:rFonts w:ascii="宋体" w:hAnsi="宋体" w:cs="宋体" w:eastAsia="宋体" w:hint="default"/>
                <w:sz w:val="18"/>
                <w:szCs w:val="18"/>
              </w:rPr>
              <w:t>余</w:t>
            </w: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7"/>
              <w:ind w:left="102" w:right="0"/>
              <w:jc w:val="left"/>
              <w:rPr>
                <w:rFonts w:ascii="宋体" w:hAnsi="宋体" w:cs="宋体" w:eastAsia="宋体" w:hint="default"/>
                <w:sz w:val="18"/>
                <w:szCs w:val="18"/>
              </w:rPr>
            </w:pPr>
            <w:r>
              <w:rPr>
                <w:rFonts w:ascii="宋体" w:hAnsi="宋体" w:cs="宋体" w:eastAsia="宋体" w:hint="default"/>
                <w:sz w:val="18"/>
                <w:szCs w:val="18"/>
              </w:rPr>
              <w:t>更时全体自</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Style w:val="TableParagraph"/>
              <w:spacing w:line="231" w:lineRule="exact"/>
              <w:ind w:left="102" w:right="0"/>
              <w:jc w:val="left"/>
              <w:rPr>
                <w:rFonts w:ascii="宋体" w:hAnsi="宋体" w:cs="宋体" w:eastAsia="宋体" w:hint="default"/>
                <w:sz w:val="18"/>
                <w:szCs w:val="18"/>
              </w:rPr>
            </w:pPr>
            <w:r>
              <w:rPr>
                <w:rFonts w:ascii="宋体" w:hAnsi="宋体" w:cs="宋体" w:eastAsia="宋体" w:hint="default"/>
                <w:sz w:val="18"/>
                <w:szCs w:val="18"/>
              </w:rPr>
              <w:t>履行中。</w:t>
            </w:r>
          </w:p>
        </w:tc>
      </w:tr>
    </w:tbl>
    <w:p>
      <w:pPr>
        <w:spacing w:after="0" w:line="231" w:lineRule="exact"/>
        <w:jc w:val="left"/>
        <w:rPr>
          <w:rFonts w:ascii="宋体" w:hAnsi="宋体" w:cs="宋体" w:eastAsia="宋体" w:hint="default"/>
          <w:sz w:val="18"/>
          <w:szCs w:val="18"/>
        </w:rPr>
        <w:sectPr>
          <w:pgSz w:w="11910" w:h="16840"/>
          <w:pgMar w:header="919" w:footer="1016"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锦祥</w:t>
            </w:r>
            <w:r>
              <w:rPr>
                <w:rFonts w:ascii="Times New Roman" w:hAnsi="Times New Roman" w:cs="Times New Roman" w:eastAsia="Times New Roman" w:hint="default"/>
                <w:sz w:val="18"/>
                <w:szCs w:val="18"/>
              </w:rPr>
              <w:t>;</w:t>
            </w:r>
            <w:r>
              <w:rPr>
                <w:rFonts w:ascii="宋体" w:hAnsi="宋体" w:cs="宋体" w:eastAsia="宋体" w:hint="default"/>
                <w:sz w:val="18"/>
                <w:szCs w:val="18"/>
              </w:rPr>
              <w:t>周云</w:t>
            </w: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然人股东以</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杉</w:t>
            </w:r>
            <w:r>
              <w:rPr>
                <w:rFonts w:ascii="Times New Roman" w:hAnsi="Times New Roman" w:cs="Times New Roman" w:eastAsia="Times New Roman" w:hint="default"/>
                <w:sz w:val="18"/>
                <w:szCs w:val="18"/>
              </w:rPr>
              <w:t>;</w:t>
            </w:r>
            <w:r>
              <w:rPr>
                <w:rFonts w:ascii="宋体" w:hAnsi="宋体" w:cs="宋体" w:eastAsia="宋体" w:hint="default"/>
                <w:sz w:val="18"/>
                <w:szCs w:val="18"/>
              </w:rPr>
              <w:t>胡坤</w:t>
            </w:r>
            <w:r>
              <w:rPr>
                <w:rFonts w:ascii="Times New Roman" w:hAnsi="Times New Roman" w:cs="Times New Roman" w:eastAsia="Times New Roman" w:hint="default"/>
                <w:sz w:val="18"/>
                <w:szCs w:val="18"/>
              </w:rPr>
              <w:t>;</w:t>
            </w:r>
            <w:r>
              <w:rPr>
                <w:rFonts w:ascii="宋体" w:hAnsi="宋体" w:cs="宋体" w:eastAsia="宋体" w:hint="default"/>
                <w:sz w:val="18"/>
                <w:szCs w:val="18"/>
              </w:rPr>
              <w:t>吕</w:t>
            </w: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净资产折股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宪锐</w:t>
            </w:r>
            <w:r>
              <w:rPr>
                <w:rFonts w:ascii="Times New Roman" w:hAnsi="Times New Roman" w:cs="Times New Roman" w:eastAsia="Times New Roman" w:hint="default"/>
                <w:sz w:val="18"/>
                <w:szCs w:val="18"/>
              </w:rPr>
              <w:t>;</w:t>
            </w:r>
            <w:r>
              <w:rPr>
                <w:rFonts w:ascii="宋体" w:hAnsi="宋体" w:cs="宋体" w:eastAsia="宋体" w:hint="default"/>
                <w:sz w:val="18"/>
                <w:szCs w:val="18"/>
              </w:rPr>
              <w:t>欧阳</w:t>
            </w: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所涉及的个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华</w:t>
            </w:r>
            <w:r>
              <w:rPr>
                <w:rFonts w:ascii="Times New Roman" w:hAnsi="Times New Roman" w:cs="Times New Roman" w:eastAsia="Times New Roman" w:hint="default"/>
                <w:sz w:val="18"/>
                <w:szCs w:val="18"/>
              </w:rPr>
              <w:t>;</w:t>
            </w:r>
            <w:r>
              <w:rPr>
                <w:rFonts w:ascii="宋体" w:hAnsi="宋体" w:cs="宋体" w:eastAsia="宋体" w:hint="default"/>
                <w:sz w:val="18"/>
                <w:szCs w:val="18"/>
              </w:rPr>
              <w:t>彭军红</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人所得税，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阙耀庭</w:t>
            </w:r>
            <w:r>
              <w:rPr>
                <w:rFonts w:ascii="Times New Roman" w:hAnsi="Times New Roman" w:cs="Times New Roman" w:eastAsia="Times New Roman" w:hint="default"/>
                <w:sz w:val="18"/>
                <w:szCs w:val="18"/>
              </w:rPr>
              <w:t>;</w:t>
            </w:r>
            <w:r>
              <w:rPr>
                <w:rFonts w:ascii="宋体" w:hAnsi="宋体" w:cs="宋体" w:eastAsia="宋体" w:hint="default"/>
                <w:sz w:val="18"/>
                <w:szCs w:val="18"/>
              </w:rPr>
              <w:t>王</w:t>
            </w: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或因公司当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能国</w:t>
            </w:r>
            <w:r>
              <w:rPr>
                <w:rFonts w:ascii="Times New Roman" w:hAnsi="Times New Roman" w:cs="Times New Roman" w:eastAsia="Times New Roman" w:hint="default"/>
                <w:sz w:val="18"/>
                <w:szCs w:val="18"/>
              </w:rPr>
              <w:t>;</w:t>
            </w:r>
            <w:r>
              <w:rPr>
                <w:rFonts w:ascii="宋体" w:hAnsi="宋体" w:cs="宋体" w:eastAsia="宋体" w:hint="default"/>
                <w:sz w:val="18"/>
                <w:szCs w:val="18"/>
              </w:rPr>
              <w:t>邹雪</w:t>
            </w: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时为履行代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峰</w:t>
            </w:r>
            <w:r>
              <w:rPr>
                <w:rFonts w:ascii="Times New Roman" w:hAnsi="Times New Roman" w:cs="Times New Roman" w:eastAsia="Times New Roman" w:hint="default"/>
                <w:sz w:val="18"/>
                <w:szCs w:val="18"/>
              </w:rPr>
              <w:t>;</w:t>
            </w:r>
            <w:r>
              <w:rPr>
                <w:rFonts w:ascii="宋体" w:hAnsi="宋体" w:cs="宋体" w:eastAsia="宋体" w:hint="default"/>
                <w:sz w:val="18"/>
                <w:szCs w:val="18"/>
              </w:rPr>
              <w:t>左炉喜</w:t>
            </w: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扣代缴义务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而承担罚款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或损失，我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们将按照整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体变更时持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有的股权比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例承担公司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补缴（被追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缴）的上述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税款及其相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关费用和损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56"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失。</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唐球拟于限</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售期满后第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一年内出售</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公司的股份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为不超过</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102" w:right="0"/>
              <w:jc w:val="left"/>
              <w:rPr>
                <w:rFonts w:ascii="Times New Roman" w:hAnsi="Times New Roman" w:cs="Times New Roman" w:eastAsia="Times New Roman" w:hint="default"/>
                <w:sz w:val="18"/>
                <w:szCs w:val="18"/>
              </w:rPr>
            </w:pPr>
            <w:r>
              <w:rPr>
                <w:rFonts w:ascii="Times New Roman"/>
                <w:sz w:val="18"/>
              </w:rPr>
              <w:t>1,200,000</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股，限售期</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满后第二年</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内出售公司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2194"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300" w:lineRule="auto" w:before="157"/>
              <w:ind w:left="102" w:right="190"/>
              <w:jc w:val="both"/>
              <w:rPr>
                <w:rFonts w:ascii="宋体" w:hAnsi="宋体" w:cs="宋体" w:eastAsia="宋体" w:hint="default"/>
                <w:sz w:val="18"/>
                <w:szCs w:val="18"/>
              </w:rPr>
            </w:pPr>
            <w:r>
              <w:rPr>
                <w:rFonts w:ascii="宋体" w:hAnsi="宋体" w:cs="宋体" w:eastAsia="宋体" w:hint="default"/>
                <w:sz w:val="18"/>
                <w:szCs w:val="18"/>
              </w:rPr>
              <w:t>唐球</w:t>
            </w:r>
            <w:r>
              <w:rPr>
                <w:rFonts w:ascii="Times New Roman" w:hAnsi="Times New Roman" w:cs="Times New Roman" w:eastAsia="Times New Roman" w:hint="default"/>
                <w:sz w:val="18"/>
                <w:szCs w:val="18"/>
              </w:rPr>
              <w:t>;</w:t>
            </w:r>
            <w:r>
              <w:rPr>
                <w:rFonts w:ascii="宋体" w:hAnsi="宋体" w:cs="宋体" w:eastAsia="宋体" w:hint="default"/>
                <w:sz w:val="18"/>
                <w:szCs w:val="18"/>
              </w:rPr>
              <w:t>鄢建 兵</w:t>
            </w:r>
            <w:r>
              <w:rPr>
                <w:rFonts w:ascii="Times New Roman" w:hAnsi="Times New Roman" w:cs="Times New Roman" w:eastAsia="Times New Roman" w:hint="default"/>
                <w:sz w:val="18"/>
                <w:szCs w:val="18"/>
              </w:rPr>
              <w:t>;</w:t>
            </w:r>
            <w:r>
              <w:rPr>
                <w:rFonts w:ascii="宋体" w:hAnsi="宋体" w:cs="宋体" w:eastAsia="宋体" w:hint="default"/>
                <w:sz w:val="18"/>
                <w:szCs w:val="18"/>
              </w:rPr>
              <w:t>鄢建红</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张列</w:t>
            </w:r>
            <w:r>
              <w:rPr>
                <w:rFonts w:ascii="Times New Roman" w:hAnsi="Times New Roman" w:cs="Times New Roman" w:eastAsia="Times New Roman" w:hint="default"/>
                <w:sz w:val="18"/>
                <w:szCs w:val="18"/>
              </w:rPr>
              <w:t>;</w:t>
            </w:r>
            <w:r>
              <w:rPr>
                <w:rFonts w:ascii="宋体" w:hAnsi="宋体" w:cs="宋体" w:eastAsia="宋体" w:hint="default"/>
                <w:sz w:val="18"/>
                <w:szCs w:val="18"/>
              </w:rPr>
              <w:t>周云 杉</w:t>
            </w:r>
            <w:r>
              <w:rPr>
                <w:rFonts w:ascii="Times New Roman" w:hAnsi="Times New Roman" w:cs="Times New Roman" w:eastAsia="Times New Roman" w:hint="default"/>
                <w:sz w:val="18"/>
                <w:szCs w:val="18"/>
              </w:rPr>
              <w:t>;</w:t>
            </w:r>
            <w:r>
              <w:rPr>
                <w:rFonts w:ascii="宋体" w:hAnsi="宋体" w:cs="宋体" w:eastAsia="宋体" w:hint="default"/>
                <w:sz w:val="18"/>
                <w:szCs w:val="18"/>
              </w:rPr>
              <w:t>李媛媛</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贺向荣</w:t>
            </w:r>
            <w:r>
              <w:rPr>
                <w:rFonts w:ascii="Times New Roman" w:hAnsi="Times New Roman" w:cs="Times New Roman" w:eastAsia="Times New Roman" w:hint="default"/>
                <w:sz w:val="18"/>
                <w:szCs w:val="18"/>
              </w:rPr>
              <w:t>;</w:t>
            </w:r>
            <w:r>
              <w:rPr>
                <w:rFonts w:ascii="宋体" w:hAnsi="宋体" w:cs="宋体" w:eastAsia="宋体" w:hint="default"/>
                <w:sz w:val="18"/>
                <w:szCs w:val="18"/>
              </w:rPr>
              <w:t>庞 军</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103" w:right="111"/>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38" w:lineRule="auto" w:before="20"/>
              <w:ind w:left="102" w:right="111"/>
              <w:jc w:val="left"/>
              <w:rPr>
                <w:rFonts w:ascii="Times New Roman" w:hAnsi="Times New Roman" w:cs="Times New Roman" w:eastAsia="Times New Roman" w:hint="default"/>
                <w:sz w:val="18"/>
                <w:szCs w:val="18"/>
              </w:rPr>
            </w:pPr>
            <w:r>
              <w:rPr>
                <w:rFonts w:ascii="宋体" w:hAnsi="宋体" w:cs="宋体" w:eastAsia="宋体" w:hint="default"/>
                <w:sz w:val="18"/>
                <w:szCs w:val="18"/>
              </w:rPr>
              <w:t>的不超过股 份为 </w:t>
            </w:r>
            <w:r>
              <w:rPr>
                <w:rFonts w:ascii="Times New Roman" w:hAnsi="Times New Roman" w:cs="Times New Roman" w:eastAsia="Times New Roman" w:hint="default"/>
                <w:sz w:val="18"/>
                <w:szCs w:val="18"/>
              </w:rPr>
              <w:t>1,600,000</w:t>
            </w:r>
          </w:p>
          <w:p>
            <w:pPr>
              <w:pStyle w:val="TableParagraph"/>
              <w:spacing w:line="217" w:lineRule="exact"/>
              <w:ind w:left="102" w:right="0"/>
              <w:jc w:val="left"/>
              <w:rPr>
                <w:rFonts w:ascii="宋体" w:hAnsi="宋体" w:cs="宋体" w:eastAsia="宋体" w:hint="default"/>
                <w:sz w:val="18"/>
                <w:szCs w:val="18"/>
              </w:rPr>
            </w:pPr>
            <w:r>
              <w:rPr>
                <w:rFonts w:ascii="宋体" w:hAnsi="宋体" w:cs="宋体" w:eastAsia="宋体" w:hint="default"/>
                <w:sz w:val="18"/>
                <w:szCs w:val="18"/>
              </w:rPr>
              <w:t>股，两年合</w:t>
            </w:r>
          </w:p>
          <w:p>
            <w:pPr>
              <w:pStyle w:val="TableParagraph"/>
              <w:spacing w:line="240" w:lineRule="auto" w:before="76"/>
              <w:ind w:left="102" w:right="0"/>
              <w:jc w:val="left"/>
              <w:rPr>
                <w:rFonts w:ascii="宋体" w:hAnsi="宋体" w:cs="宋体" w:eastAsia="宋体" w:hint="default"/>
                <w:sz w:val="18"/>
                <w:szCs w:val="18"/>
              </w:rPr>
            </w:pPr>
            <w:r>
              <w:rPr>
                <w:rFonts w:ascii="宋体" w:hAnsi="宋体" w:cs="宋体" w:eastAsia="宋体" w:hint="default"/>
                <w:sz w:val="18"/>
                <w:szCs w:val="18"/>
              </w:rPr>
              <w:t>计不超过</w:t>
            </w:r>
          </w:p>
          <w:p>
            <w:pPr>
              <w:pStyle w:val="TableParagraph"/>
              <w:spacing w:line="240" w:lineRule="auto" w:before="118"/>
              <w:ind w:left="102" w:right="0"/>
              <w:jc w:val="left"/>
              <w:rPr>
                <w:rFonts w:ascii="Times New Roman" w:hAnsi="Times New Roman" w:cs="Times New Roman" w:eastAsia="Times New Roman" w:hint="default"/>
                <w:sz w:val="18"/>
                <w:szCs w:val="18"/>
              </w:rPr>
            </w:pPr>
            <w:r>
              <w:rPr>
                <w:rFonts w:ascii="Times New Roman"/>
                <w:sz w:val="18"/>
              </w:rPr>
              <w:t>2,800,000</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股。且出售</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102" w:right="93"/>
              <w:jc w:val="left"/>
              <w:rPr>
                <w:rFonts w:ascii="宋体" w:hAnsi="宋体" w:cs="宋体" w:eastAsia="宋体" w:hint="default"/>
                <w:sz w:val="18"/>
                <w:szCs w:val="18"/>
              </w:rPr>
            </w:pPr>
            <w:r>
              <w:rPr>
                <w:rFonts w:ascii="宋体" w:hAnsi="宋体" w:cs="宋体" w:eastAsia="宋体" w:hint="default"/>
                <w:sz w:val="18"/>
                <w:szCs w:val="18"/>
              </w:rPr>
              <w:t>报告期内， 承诺各方 无违反该 承诺的情 况，该承诺 事项已履 行完毕。</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价格均不低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于公司首次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公开发行股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票的发行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价。鄢建红</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拟于限售期</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满后第一年</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内出售公司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的股份为不</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919" w:footer="1016"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超过</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102" w:right="0"/>
              <w:jc w:val="left"/>
              <w:rPr>
                <w:rFonts w:ascii="Times New Roman" w:hAnsi="Times New Roman" w:cs="Times New Roman" w:eastAsia="Times New Roman" w:hint="default"/>
                <w:sz w:val="18"/>
                <w:szCs w:val="18"/>
              </w:rPr>
            </w:pPr>
            <w:r>
              <w:rPr>
                <w:rFonts w:ascii="Times New Roman"/>
                <w:sz w:val="18"/>
              </w:rPr>
              <w:t>1,000,000</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股，限售期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满后第二年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内出售公司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的不超过股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份为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且出售价格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均不低于公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司首次公开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发行股票的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发行价。鄢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建兵拟于限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售期满后第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一年内出售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公司的股份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为不超过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102" w:right="0"/>
              <w:jc w:val="left"/>
              <w:rPr>
                <w:rFonts w:ascii="Times New Roman" w:hAnsi="Times New Roman" w:cs="Times New Roman" w:eastAsia="Times New Roman" w:hint="default"/>
                <w:sz w:val="18"/>
                <w:szCs w:val="18"/>
              </w:rPr>
            </w:pPr>
            <w:r>
              <w:rPr>
                <w:rFonts w:ascii="Times New Roman"/>
                <w:sz w:val="18"/>
              </w:rPr>
              <w:t>1,200,000</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股，限售期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满后第二年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内出售公司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的不超过股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份为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102" w:right="0"/>
              <w:jc w:val="left"/>
              <w:rPr>
                <w:rFonts w:ascii="Times New Roman" w:hAnsi="Times New Roman" w:cs="Times New Roman" w:eastAsia="Times New Roman" w:hint="default"/>
                <w:sz w:val="18"/>
                <w:szCs w:val="18"/>
              </w:rPr>
            </w:pPr>
            <w:r>
              <w:rPr>
                <w:rFonts w:ascii="Times New Roman"/>
                <w:sz w:val="18"/>
              </w:rPr>
              <w:t>1,000,000</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股，两年合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计不超过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102" w:right="0"/>
              <w:jc w:val="left"/>
              <w:rPr>
                <w:rFonts w:ascii="Times New Roman" w:hAnsi="Times New Roman" w:cs="Times New Roman" w:eastAsia="Times New Roman" w:hint="default"/>
                <w:sz w:val="18"/>
                <w:szCs w:val="18"/>
              </w:rPr>
            </w:pPr>
            <w:r>
              <w:rPr>
                <w:rFonts w:ascii="Times New Roman"/>
                <w:sz w:val="18"/>
              </w:rPr>
              <w:t>2,200,000</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股。且出售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价格均不低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于公司首次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公开发行股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票的发行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价。张列拟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于限售期满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后第一年内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出售公司的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股份为不超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102" w:right="0"/>
              <w:jc w:val="left"/>
              <w:rPr>
                <w:rFonts w:ascii="Times New Roman" w:hAnsi="Times New Roman" w:cs="Times New Roman" w:eastAsia="Times New Roman" w:hint="default"/>
                <w:sz w:val="18"/>
                <w:szCs w:val="18"/>
              </w:rPr>
            </w:pPr>
            <w:r>
              <w:rPr>
                <w:rFonts w:ascii="Times New Roman"/>
                <w:sz w:val="18"/>
              </w:rPr>
              <w:t>1,500,000</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股，限售期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满后第二年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内出售公司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的不超过股</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919" w:footer="1016"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份为</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102" w:right="0"/>
              <w:jc w:val="left"/>
              <w:rPr>
                <w:rFonts w:ascii="Times New Roman" w:hAnsi="Times New Roman" w:cs="Times New Roman" w:eastAsia="Times New Roman" w:hint="default"/>
                <w:sz w:val="18"/>
                <w:szCs w:val="18"/>
              </w:rPr>
            </w:pPr>
            <w:r>
              <w:rPr>
                <w:rFonts w:ascii="Times New Roman"/>
                <w:sz w:val="18"/>
              </w:rPr>
              <w:t>1,100,000</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股，两年合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计不超过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102" w:right="0"/>
              <w:jc w:val="left"/>
              <w:rPr>
                <w:rFonts w:ascii="Times New Roman" w:hAnsi="Times New Roman" w:cs="Times New Roman" w:eastAsia="Times New Roman" w:hint="default"/>
                <w:sz w:val="18"/>
                <w:szCs w:val="18"/>
              </w:rPr>
            </w:pPr>
            <w:r>
              <w:rPr>
                <w:rFonts w:ascii="Times New Roman"/>
                <w:sz w:val="18"/>
              </w:rPr>
              <w:t>2,600,000</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股。且出售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价格均不低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于公司首次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公开发行股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票的发行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价。周云杉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拟于限售期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满后第一年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内出售公司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的股份为不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超过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限售期满后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第二年内出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售公司的不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超过股份为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两年合计不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超过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且出售价格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均不低于公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司首次公开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发行股票的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发行价。华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软合伙拟于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限售期满后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两年内将其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持有的公司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的股份合计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102" w:right="0"/>
              <w:jc w:val="left"/>
              <w:rPr>
                <w:rFonts w:ascii="Times New Roman" w:hAnsi="Times New Roman" w:cs="Times New Roman" w:eastAsia="Times New Roman" w:hint="default"/>
                <w:sz w:val="18"/>
                <w:szCs w:val="18"/>
              </w:rPr>
            </w:pPr>
            <w:r>
              <w:rPr>
                <w:rFonts w:ascii="Times New Roman"/>
                <w:sz w:val="18"/>
              </w:rPr>
              <w:t>2,691,855</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股全部出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售。且出售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价格均不低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于公司首次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公开发行股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票的发行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价。公司董</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919" w:footer="1016"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事、监事、</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高级管理人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员庞军、李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媛媛、贺向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荣承诺在公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司首次公开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发行股票并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在创业板成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功上市后，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本人所持股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票在锁定期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满后两年内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减持的，减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持价格不低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5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于发行价。</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为维护广大</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股东利益，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增强投资者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信心，维护</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公司股价稳</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定，特此作</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出关于稳定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公司股价的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承诺：如公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司不满足相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关证券法律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2" w:right="0"/>
              <w:jc w:val="left"/>
              <w:rPr>
                <w:rFonts w:ascii="宋体" w:hAnsi="宋体" w:cs="宋体" w:eastAsia="宋体" w:hint="default"/>
                <w:sz w:val="18"/>
                <w:szCs w:val="18"/>
              </w:rPr>
            </w:pPr>
            <w:r>
              <w:rPr>
                <w:rFonts w:ascii="宋体" w:hAnsi="宋体" w:cs="宋体" w:eastAsia="宋体" w:hint="default"/>
                <w:sz w:val="18"/>
                <w:szCs w:val="18"/>
              </w:rPr>
              <w:t>法规规定的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2" w:right="0"/>
              <w:jc w:val="left"/>
              <w:rPr>
                <w:rFonts w:ascii="宋体" w:hAnsi="宋体" w:cs="宋体" w:eastAsia="宋体" w:hint="default"/>
                <w:sz w:val="18"/>
                <w:szCs w:val="18"/>
              </w:rPr>
            </w:pPr>
            <w:r>
              <w:rPr>
                <w:rFonts w:ascii="宋体" w:hAnsi="宋体" w:cs="宋体" w:eastAsia="宋体" w:hint="default"/>
                <w:sz w:val="18"/>
                <w:szCs w:val="18"/>
              </w:rPr>
              <w:t>报告期内，</w:t>
            </w:r>
          </w:p>
        </w:tc>
      </w:tr>
      <w:tr>
        <w:trPr>
          <w:trHeight w:val="1560"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300" w:lineRule="auto" w:before="157"/>
              <w:ind w:left="102" w:right="190"/>
              <w:jc w:val="both"/>
              <w:rPr>
                <w:rFonts w:ascii="宋体" w:hAnsi="宋体" w:cs="宋体" w:eastAsia="宋体" w:hint="default"/>
                <w:sz w:val="18"/>
                <w:szCs w:val="18"/>
              </w:rPr>
            </w:pPr>
            <w:r>
              <w:rPr>
                <w:rFonts w:ascii="宋体" w:hAnsi="宋体" w:cs="宋体" w:eastAsia="宋体" w:hint="default"/>
                <w:sz w:val="18"/>
                <w:szCs w:val="18"/>
              </w:rPr>
              <w:t>程霞</w:t>
            </w:r>
            <w:r>
              <w:rPr>
                <w:rFonts w:ascii="Times New Roman" w:hAnsi="Times New Roman" w:cs="Times New Roman" w:eastAsia="Times New Roman" w:hint="default"/>
                <w:sz w:val="18"/>
                <w:szCs w:val="18"/>
              </w:rPr>
              <w:t>;</w:t>
            </w:r>
            <w:r>
              <w:rPr>
                <w:rFonts w:ascii="宋体" w:hAnsi="宋体" w:cs="宋体" w:eastAsia="宋体" w:hint="default"/>
                <w:sz w:val="18"/>
                <w:szCs w:val="18"/>
              </w:rPr>
              <w:t>唐球</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伍国安</w:t>
            </w:r>
            <w:r>
              <w:rPr>
                <w:rFonts w:ascii="Times New Roman" w:hAnsi="Times New Roman" w:cs="Times New Roman" w:eastAsia="Times New Roman" w:hint="default"/>
                <w:sz w:val="18"/>
                <w:szCs w:val="18"/>
              </w:rPr>
              <w:t>;</w:t>
            </w:r>
            <w:r>
              <w:rPr>
                <w:rFonts w:ascii="宋体" w:hAnsi="宋体" w:cs="宋体" w:eastAsia="宋体" w:hint="default"/>
                <w:sz w:val="18"/>
                <w:szCs w:val="18"/>
              </w:rPr>
              <w:t>鄢 建红</w:t>
            </w:r>
            <w:r>
              <w:rPr>
                <w:rFonts w:ascii="Times New Roman" w:hAnsi="Times New Roman" w:cs="Times New Roman" w:eastAsia="Times New Roman" w:hint="default"/>
                <w:sz w:val="18"/>
                <w:szCs w:val="18"/>
              </w:rPr>
              <w:t>;</w:t>
            </w:r>
            <w:r>
              <w:rPr>
                <w:rFonts w:ascii="宋体" w:hAnsi="宋体" w:cs="宋体" w:eastAsia="宋体" w:hint="default"/>
                <w:sz w:val="18"/>
                <w:szCs w:val="18"/>
              </w:rPr>
              <w:t>周云 杉</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00" w:lineRule="auto"/>
              <w:ind w:left="103" w:right="137"/>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稳定股 价承诺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102" w:right="111"/>
              <w:jc w:val="both"/>
              <w:rPr>
                <w:rFonts w:ascii="宋体" w:hAnsi="宋体" w:cs="宋体" w:eastAsia="宋体" w:hint="default"/>
                <w:sz w:val="18"/>
                <w:szCs w:val="18"/>
              </w:rPr>
            </w:pPr>
            <w:r>
              <w:rPr>
                <w:rFonts w:ascii="宋体" w:hAnsi="宋体" w:cs="宋体" w:eastAsia="宋体" w:hint="default"/>
                <w:sz w:val="18"/>
                <w:szCs w:val="18"/>
              </w:rPr>
              <w:t>回购主体资 格条件时或 公司股东大 会未能审议 通过相关回</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102" w:right="100"/>
              <w:jc w:val="left"/>
              <w:rPr>
                <w:rFonts w:ascii="宋体" w:hAnsi="宋体" w:cs="宋体" w:eastAsia="宋体" w:hint="default"/>
                <w:sz w:val="18"/>
                <w:szCs w:val="18"/>
              </w:rPr>
            </w:pPr>
            <w:r>
              <w:rPr>
                <w:rFonts w:ascii="宋体" w:hAnsi="宋体" w:cs="宋体" w:eastAsia="宋体" w:hint="default"/>
                <w:sz w:val="18"/>
                <w:szCs w:val="18"/>
              </w:rPr>
              <w:t>承诺各方 无违反该 承诺的情 况，该承诺 事项正在</w:t>
            </w:r>
          </w:p>
        </w:tc>
      </w:tr>
      <w:tr>
        <w:trPr>
          <w:trHeight w:val="32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2" w:right="0"/>
              <w:jc w:val="left"/>
              <w:rPr>
                <w:rFonts w:ascii="宋体" w:hAnsi="宋体" w:cs="宋体" w:eastAsia="宋体" w:hint="default"/>
                <w:sz w:val="18"/>
                <w:szCs w:val="18"/>
              </w:rPr>
            </w:pPr>
            <w:r>
              <w:rPr>
                <w:rFonts w:ascii="宋体" w:hAnsi="宋体" w:cs="宋体" w:eastAsia="宋体" w:hint="default"/>
                <w:sz w:val="18"/>
                <w:szCs w:val="18"/>
              </w:rPr>
              <w:t>购方案时，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2" w:right="0"/>
              <w:jc w:val="left"/>
              <w:rPr>
                <w:rFonts w:ascii="宋体" w:hAnsi="宋体" w:cs="宋体" w:eastAsia="宋体" w:hint="default"/>
                <w:sz w:val="18"/>
                <w:szCs w:val="18"/>
              </w:rPr>
            </w:pPr>
            <w:r>
              <w:rPr>
                <w:rFonts w:ascii="宋体" w:hAnsi="宋体" w:cs="宋体" w:eastAsia="宋体" w:hint="default"/>
                <w:sz w:val="18"/>
                <w:szCs w:val="18"/>
              </w:rPr>
              <w:t>履行中。</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公司控股股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东、实际控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制人唐球、</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鄢建红将自</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公司股票首</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次触及连续</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日的收盘价</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均低于公司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每股净资产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值情形时，</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bl>
    <w:p>
      <w:pPr>
        <w:spacing w:after="0"/>
        <w:sectPr>
          <w:footerReference w:type="default" r:id="rId19"/>
          <w:pgSz w:w="11910" w:h="16840"/>
          <w:pgMar w:footer="1016" w:header="919" w:top="1120" w:bottom="1200" w:left="1020" w:right="0"/>
          <w:pgNumType w:start="4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以不低于该</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收购行为启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动前连续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日的收盘价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的算术平均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值的价格收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购不低于公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司总股本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的股份，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该收购将于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收购行为启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动后的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月内完成。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为维护广大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股东利益，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增强投资者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信心，维护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公司股价稳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定，特此作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出关于稳定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公司股价的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承诺：如公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司不满足相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关证券法律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法规规定的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回购主体资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格条件时或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公司股东大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会未能审议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通过相关回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购方案且公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司控股股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东、实际控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制人唐球、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鄢建红亦未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能履行其收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购承诺时，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鄢建兵、张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列</w:t>
            </w:r>
            <w:r>
              <w:rPr>
                <w:rFonts w:ascii="宋体" w:hAnsi="宋体" w:cs="宋体" w:eastAsia="宋体" w:hint="default"/>
                <w:spacing w:val="-80"/>
                <w:sz w:val="18"/>
                <w:szCs w:val="18"/>
              </w:rPr>
              <w:t>、</w:t>
            </w:r>
            <w:r>
              <w:rPr>
                <w:rFonts w:ascii="宋体" w:hAnsi="宋体" w:cs="宋体" w:eastAsia="宋体" w:hint="default"/>
                <w:sz w:val="18"/>
                <w:szCs w:val="18"/>
              </w:rPr>
              <w:t>周云杉、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唐敏、李晓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明</w:t>
            </w:r>
            <w:r>
              <w:rPr>
                <w:rFonts w:ascii="宋体" w:hAnsi="宋体" w:cs="宋体" w:eastAsia="宋体" w:hint="default"/>
                <w:spacing w:val="-80"/>
                <w:sz w:val="18"/>
                <w:szCs w:val="18"/>
              </w:rPr>
              <w:t>、</w:t>
            </w:r>
            <w:r>
              <w:rPr>
                <w:rFonts w:ascii="宋体" w:hAnsi="宋体" w:cs="宋体" w:eastAsia="宋体" w:hint="default"/>
                <w:sz w:val="18"/>
                <w:szCs w:val="18"/>
              </w:rPr>
              <w:t>霍佳震、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黄速建、李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媛媛、贺向</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919" w:footer="1016"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荣、宾鸽、</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庞军</w:t>
            </w:r>
            <w:r>
              <w:rPr>
                <w:rFonts w:ascii="宋体" w:hAnsi="宋体" w:cs="宋体" w:eastAsia="宋体" w:hint="default"/>
                <w:spacing w:val="-80"/>
                <w:sz w:val="18"/>
                <w:szCs w:val="18"/>
              </w:rPr>
              <w:t>、</w:t>
            </w:r>
            <w:r>
              <w:rPr>
                <w:rFonts w:ascii="宋体" w:hAnsi="宋体" w:cs="宋体" w:eastAsia="宋体" w:hint="default"/>
                <w:sz w:val="18"/>
                <w:szCs w:val="18"/>
              </w:rPr>
              <w:t>程霞、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伍国安将自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公司股票首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次触及连续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日的收盘价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均低于公司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每股净资产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值情形时，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以不低于该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收购行为启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动前连续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日的收盘价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的算术平均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值的价格收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购不低于公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司总股本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的股份，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该收购将于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收购行为启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动后的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月内完成。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每人的收购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股份数将协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商决定，且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合计不低于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公司总股本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5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为保障赢时</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胜及其股东</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的利益，确</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2496"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307" w:lineRule="auto" w:before="147"/>
              <w:ind w:left="102" w:right="110"/>
              <w:jc w:val="left"/>
              <w:rPr>
                <w:rFonts w:ascii="宋体" w:hAnsi="宋体" w:cs="宋体" w:eastAsia="宋体" w:hint="default"/>
                <w:sz w:val="18"/>
                <w:szCs w:val="18"/>
              </w:rPr>
            </w:pPr>
            <w:r>
              <w:rPr>
                <w:rFonts w:ascii="宋体" w:hAnsi="宋体" w:cs="宋体" w:eastAsia="宋体" w:hint="default"/>
                <w:sz w:val="18"/>
                <w:szCs w:val="18"/>
              </w:rPr>
              <w:t>程霞</w:t>
            </w:r>
            <w:r>
              <w:rPr>
                <w:rFonts w:ascii="Times New Roman" w:hAnsi="Times New Roman" w:cs="Times New Roman" w:eastAsia="Times New Roman" w:hint="default"/>
                <w:sz w:val="18"/>
                <w:szCs w:val="18"/>
              </w:rPr>
              <w:t>;</w:t>
            </w:r>
            <w:r>
              <w:rPr>
                <w:rFonts w:ascii="宋体" w:hAnsi="宋体" w:cs="宋体" w:eastAsia="宋体" w:hint="default"/>
                <w:sz w:val="18"/>
                <w:szCs w:val="18"/>
              </w:rPr>
              <w:t>深圳 市赢时胜信 息技术股份 有限公司</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唐球</w:t>
            </w:r>
            <w:r>
              <w:rPr>
                <w:rFonts w:ascii="Times New Roman" w:hAnsi="Times New Roman" w:cs="Times New Roman" w:eastAsia="Times New Roman" w:hint="default"/>
                <w:sz w:val="18"/>
                <w:szCs w:val="18"/>
              </w:rPr>
              <w:t>;</w:t>
            </w:r>
            <w:r>
              <w:rPr>
                <w:rFonts w:ascii="宋体" w:hAnsi="宋体" w:cs="宋体" w:eastAsia="宋体" w:hint="default"/>
                <w:sz w:val="18"/>
                <w:szCs w:val="18"/>
              </w:rPr>
              <w:t>伍国 安</w:t>
            </w:r>
            <w:r>
              <w:rPr>
                <w:rFonts w:ascii="Times New Roman" w:hAnsi="Times New Roman" w:cs="Times New Roman" w:eastAsia="Times New Roman" w:hint="default"/>
                <w:sz w:val="18"/>
                <w:szCs w:val="18"/>
              </w:rPr>
              <w:t>;</w:t>
            </w:r>
            <w:r>
              <w:rPr>
                <w:rFonts w:ascii="宋体" w:hAnsi="宋体" w:cs="宋体" w:eastAsia="宋体" w:hint="default"/>
                <w:sz w:val="18"/>
                <w:szCs w:val="18"/>
              </w:rPr>
              <w:t>鄢建红</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周云杉</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111"/>
              <w:jc w:val="left"/>
              <w:rPr>
                <w:rFonts w:ascii="宋体" w:hAnsi="宋体" w:cs="宋体" w:eastAsia="宋体" w:hint="default"/>
                <w:sz w:val="18"/>
                <w:szCs w:val="18"/>
              </w:rPr>
            </w:pPr>
            <w:r>
              <w:rPr>
                <w:rFonts w:ascii="宋体" w:hAnsi="宋体" w:cs="宋体" w:eastAsia="宋体" w:hint="default"/>
                <w:sz w:val="18"/>
                <w:szCs w:val="18"/>
              </w:rPr>
              <w:t>保赢时胜业 务持续发 展，避免公 司在首次公 开发行股票 并在创业板 挂牌成功 后，公司股</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316" w:lineRule="auto" w:before="147"/>
              <w:ind w:left="102" w:right="93"/>
              <w:jc w:val="left"/>
              <w:rPr>
                <w:rFonts w:ascii="宋体" w:hAnsi="宋体" w:cs="宋体" w:eastAsia="宋体" w:hint="default"/>
                <w:sz w:val="18"/>
                <w:szCs w:val="18"/>
              </w:rPr>
            </w:pPr>
            <w:r>
              <w:rPr>
                <w:rFonts w:ascii="宋体" w:hAnsi="宋体" w:cs="宋体" w:eastAsia="宋体" w:hint="default"/>
                <w:sz w:val="18"/>
                <w:szCs w:val="18"/>
              </w:rPr>
              <w:t>报告期内， 承诺各方 无违反该 承诺的情 况，该承诺 事项正在 履行中。</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权的市场价</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格低于发行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价格而损害</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919" w:footer="1016"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公司及其股</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东利益，公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司承诺如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下：公司招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股说明书有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虚假记载、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误导性陈述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或者重大遗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漏，对判断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发行人是否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符合法律规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定的发行条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件构成重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大、实质影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响的，公司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将依法以二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级市场价格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回购首次公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开发行的全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部新股。公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司招股说明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书有虚假记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载、误导性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陈述或者重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大遗漏，致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使投资者在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证券交易中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遭受损失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将依法赔偿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投资者损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失。上述承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诺为不可撤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销之承诺，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公司严格履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行上述承诺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内容，如有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违反，公司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将承担由此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产生的一切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法律责任。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承诺公司招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股说明书有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虚假记载、</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919" w:footer="1016"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误导性陈述</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或者重大遗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漏，对判断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公司是否符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合法律规定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的发行条件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构成重大、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实质影响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的，将以二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级市场价格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回购回已转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让的原限售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股份。公司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招股说明书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有虚假记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载、误导性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陈述或者重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大遗漏，致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使投资者在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证券交易中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遭受损失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的，将依法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赔偿投资者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损失。如本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人或其他董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事、监事、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高级管理人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员未履行相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关承诺事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项，致使投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资者遭受损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失的，本人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将依法赔偿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投资者损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失。如本人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或其他董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事、监事、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高级管理人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员未履行相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关承诺事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项，致使投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资者遭受损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失的，本人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将暂不领取</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919" w:footer="1016"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该未履行承</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诺事项起当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年及以后年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度的现金分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红，直至其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继续履行相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关承诺及投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资者遭受的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损失得到合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理的赔偿为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止。上述承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诺为不可撤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销之承诺，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本人严格履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行上述承诺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内容，如有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违反，本人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将承担由此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产生的一切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法律责任。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本人因公司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上市所做之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所有承诺不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会因为本人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职务变更或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离职而改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变。承诺公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司招股说明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书有虚假记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载、误导性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陈述或者重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大遗漏，致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使投资者在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证券交易中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遭受损失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的，将依法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赔偿投资者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损失。如本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人或其他董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事、监事、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高级管理人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员未履行相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关承诺事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项，致使投</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919" w:footer="1016"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资者遭受损</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失的，本人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将依法赔偿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投资者损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失。如本人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或其他董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事、监事、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高级管理人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员未履行相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关承诺事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项，致使投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资者遭受损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失的，本人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将暂不领取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该未履行承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诺事项起当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年及以后年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度的现金分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红，直至其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继续履行相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关承诺及投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资者遭受的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损失得到合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理的赔偿为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止。上述承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诺为不可撤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销之承诺，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本人严格履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行上述承诺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内容，如有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违反，本人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将承担由此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产生的一切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法律责任。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本人因公司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上市所做之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所有承诺不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会因为本人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职务变更或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离职而改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5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变。</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r>
        <w:trPr>
          <w:trHeight w:val="98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102" w:right="0"/>
              <w:jc w:val="left"/>
              <w:rPr>
                <w:rFonts w:ascii="宋体" w:hAnsi="宋体" w:cs="宋体" w:eastAsia="宋体" w:hint="default"/>
                <w:sz w:val="18"/>
                <w:szCs w:val="18"/>
              </w:rPr>
            </w:pPr>
            <w:r>
              <w:rPr>
                <w:rFonts w:ascii="宋体" w:hAnsi="宋体" w:cs="宋体" w:eastAsia="宋体" w:hint="default"/>
                <w:sz w:val="18"/>
                <w:szCs w:val="18"/>
              </w:rPr>
              <w:t>唐球</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6" w:lineRule="auto"/>
              <w:ind w:left="103" w:right="11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111"/>
              <w:jc w:val="both"/>
              <w:rPr>
                <w:rFonts w:ascii="宋体" w:hAnsi="宋体" w:cs="宋体" w:eastAsia="宋体" w:hint="default"/>
                <w:sz w:val="18"/>
                <w:szCs w:val="18"/>
              </w:rPr>
            </w:pPr>
            <w:r>
              <w:rPr>
                <w:rFonts w:ascii="宋体" w:hAnsi="宋体" w:cs="宋体" w:eastAsia="宋体" w:hint="default"/>
                <w:sz w:val="18"/>
                <w:szCs w:val="18"/>
              </w:rPr>
              <w:t>本人唐球承 诺：自赢时 胜非公开发</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93"/>
              <w:jc w:val="left"/>
              <w:rPr>
                <w:rFonts w:ascii="宋体" w:hAnsi="宋体" w:cs="宋体" w:eastAsia="宋体" w:hint="default"/>
                <w:sz w:val="18"/>
                <w:szCs w:val="18"/>
              </w:rPr>
            </w:pPr>
            <w:r>
              <w:rPr>
                <w:rFonts w:ascii="宋体" w:hAnsi="宋体" w:cs="宋体" w:eastAsia="宋体" w:hint="default"/>
                <w:sz w:val="18"/>
                <w:szCs w:val="18"/>
              </w:rPr>
              <w:t>报告期内， 承诺各方 无违反该</w:t>
            </w:r>
          </w:p>
        </w:tc>
      </w:tr>
    </w:tbl>
    <w:p>
      <w:pPr>
        <w:spacing w:after="0" w:line="316" w:lineRule="auto"/>
        <w:jc w:val="left"/>
        <w:rPr>
          <w:rFonts w:ascii="宋体" w:hAnsi="宋体" w:cs="宋体" w:eastAsia="宋体" w:hint="default"/>
          <w:sz w:val="18"/>
          <w:szCs w:val="18"/>
        </w:rPr>
        <w:sectPr>
          <w:pgSz w:w="11910" w:h="16840"/>
          <w:pgMar w:header="919" w:footer="1016"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行股票发行</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承诺的情</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结束之日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况，该承诺</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（即新增股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事项已履</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份上市首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行完毕。</w:t>
            </w: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36</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个月内，不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转让或者委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托他人管理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我方本次认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购的赢时胜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股票，也不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由赢时胜回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购该部分股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份。</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不越权干预</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公司经营管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理活动，不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侵占公司利</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益；切实履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行公司制定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2496"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102" w:right="110"/>
              <w:jc w:val="left"/>
              <w:rPr>
                <w:rFonts w:ascii="宋体" w:hAnsi="宋体" w:cs="宋体" w:eastAsia="宋体" w:hint="default"/>
                <w:sz w:val="18"/>
                <w:szCs w:val="18"/>
              </w:rPr>
            </w:pPr>
            <w:r>
              <w:rPr>
                <w:rFonts w:ascii="宋体" w:hAnsi="宋体" w:cs="宋体" w:eastAsia="宋体" w:hint="default"/>
                <w:sz w:val="18"/>
                <w:szCs w:val="18"/>
              </w:rPr>
              <w:t>唐球；鄢建 红</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111"/>
              <w:jc w:val="both"/>
              <w:rPr>
                <w:rFonts w:ascii="宋体" w:hAnsi="宋体" w:cs="宋体" w:eastAsia="宋体" w:hint="default"/>
                <w:sz w:val="18"/>
                <w:szCs w:val="18"/>
              </w:rPr>
            </w:pPr>
            <w:r>
              <w:rPr>
                <w:rFonts w:ascii="宋体" w:hAnsi="宋体" w:cs="宋体" w:eastAsia="宋体" w:hint="default"/>
                <w:sz w:val="18"/>
                <w:szCs w:val="18"/>
              </w:rPr>
              <w:t>的有关填补 回报措施以 及对此作出 的任何有关 填补回报措 施的承诺， 若违反该等 承诺并给公</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102" w:right="93"/>
              <w:jc w:val="left"/>
              <w:rPr>
                <w:rFonts w:ascii="宋体" w:hAnsi="宋体" w:cs="宋体" w:eastAsia="宋体" w:hint="default"/>
                <w:sz w:val="18"/>
                <w:szCs w:val="18"/>
              </w:rPr>
            </w:pPr>
            <w:r>
              <w:rPr>
                <w:rFonts w:ascii="宋体" w:hAnsi="宋体" w:cs="宋体" w:eastAsia="宋体" w:hint="default"/>
                <w:sz w:val="18"/>
                <w:szCs w:val="18"/>
              </w:rPr>
              <w:t>报告期内， 承诺各方 无违反该 承诺的情 况，该承诺 事项正在 履行中。</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司或者投资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者造成损失</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的，愿意依</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法承担相应</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的法律责</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任。</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r>
        <w:trPr>
          <w:trHeight w:val="347" w:hRule="exact"/>
        </w:trPr>
        <w:tc>
          <w:tcPr>
            <w:tcW w:w="2836" w:type="dxa"/>
            <w:vMerge/>
            <w:tcBorders>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本人承诺不</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250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316" w:lineRule="auto"/>
              <w:ind w:left="102" w:right="12"/>
              <w:jc w:val="left"/>
              <w:rPr>
                <w:rFonts w:ascii="宋体" w:hAnsi="宋体" w:cs="宋体" w:eastAsia="宋体" w:hint="default"/>
                <w:sz w:val="18"/>
                <w:szCs w:val="18"/>
              </w:rPr>
            </w:pPr>
            <w:r>
              <w:rPr>
                <w:rFonts w:ascii="宋体" w:hAnsi="宋体" w:cs="宋体" w:eastAsia="宋体" w:hint="default"/>
                <w:sz w:val="18"/>
                <w:szCs w:val="18"/>
              </w:rPr>
              <w:t>唐球；鄢建 </w:t>
            </w:r>
            <w:r>
              <w:rPr>
                <w:rFonts w:ascii="宋体" w:hAnsi="宋体" w:cs="宋体" w:eastAsia="宋体" w:hint="default"/>
                <w:spacing w:val="-14"/>
                <w:sz w:val="18"/>
                <w:szCs w:val="18"/>
              </w:rPr>
              <w:t>红；周云杉；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伍国安；李 </w:t>
            </w:r>
            <w:r>
              <w:rPr>
                <w:rFonts w:ascii="宋体" w:hAnsi="宋体" w:cs="宋体" w:eastAsia="宋体" w:hint="default"/>
                <w:spacing w:val="-14"/>
                <w:sz w:val="18"/>
                <w:szCs w:val="18"/>
              </w:rPr>
              <w:t>跃峰；赵欣；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李松林；程 </w:t>
            </w:r>
            <w:r>
              <w:rPr>
                <w:rFonts w:ascii="宋体" w:hAnsi="宋体" w:cs="宋体" w:eastAsia="宋体" w:hint="default"/>
                <w:spacing w:val="-14"/>
                <w:sz w:val="18"/>
                <w:szCs w:val="18"/>
              </w:rPr>
              <w:t>霞；陈朝琳；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兰邦胜；李 荣林</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21"/>
              <w:ind w:left="102" w:right="111"/>
              <w:jc w:val="both"/>
              <w:rPr>
                <w:rFonts w:ascii="宋体" w:hAnsi="宋体" w:cs="宋体" w:eastAsia="宋体" w:hint="default"/>
                <w:sz w:val="18"/>
                <w:szCs w:val="18"/>
              </w:rPr>
            </w:pPr>
            <w:r>
              <w:rPr>
                <w:rFonts w:ascii="宋体" w:hAnsi="宋体" w:cs="宋体" w:eastAsia="宋体" w:hint="default"/>
                <w:sz w:val="18"/>
                <w:szCs w:val="18"/>
              </w:rPr>
              <w:t>无偿或以不 公平条件向 其他单位或 者个人输送 利益，也不 采用其他方 式损害公司 利益；本人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316" w:lineRule="auto" w:before="155"/>
              <w:ind w:left="102" w:right="93"/>
              <w:jc w:val="left"/>
              <w:rPr>
                <w:rFonts w:ascii="宋体" w:hAnsi="宋体" w:cs="宋体" w:eastAsia="宋体" w:hint="default"/>
                <w:sz w:val="18"/>
                <w:szCs w:val="18"/>
              </w:rPr>
            </w:pPr>
            <w:r>
              <w:rPr>
                <w:rFonts w:ascii="宋体" w:hAnsi="宋体" w:cs="宋体" w:eastAsia="宋体" w:hint="default"/>
                <w:sz w:val="18"/>
                <w:szCs w:val="18"/>
              </w:rPr>
              <w:t>报告期内， 承诺各方 无违反该 承诺的情 况，该承诺 事项正在 履行中。</w:t>
            </w:r>
          </w:p>
        </w:tc>
      </w:tr>
      <w:tr>
        <w:trPr>
          <w:trHeight w:val="31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承诺对本人</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919" w:footer="1016"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的职务消费</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行为进行约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束；本人承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诺不动用公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司资产从事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与其履行职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责无关的投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资、消费活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56"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动。</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r>
        <w:trPr>
          <w:trHeight w:val="357" w:hRule="exact"/>
        </w:trPr>
        <w:tc>
          <w:tcPr>
            <w:tcW w:w="28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激励计划授</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予的限制性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股票自授予</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之日（</w:t>
            </w:r>
            <w:r>
              <w:rPr>
                <w:rFonts w:ascii="Times New Roman" w:hAnsi="Times New Roman" w:cs="Times New Roman" w:eastAsia="Times New Roman" w:hint="default"/>
                <w:sz w:val="18"/>
                <w:szCs w:val="18"/>
              </w:rPr>
              <w:t>2016</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个月内为锁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定期。在锁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定期内限制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性股票不得</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转让、用于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担保或偿还</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债务。激励</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对象因获授</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报告期内，</w:t>
            </w: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的尚未解锁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承诺各方</w:t>
            </w:r>
          </w:p>
        </w:tc>
      </w:tr>
      <w:tr>
        <w:trPr>
          <w:trHeight w:val="936"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1"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00" w:lineRule="auto"/>
              <w:ind w:left="102" w:right="245"/>
              <w:jc w:val="left"/>
              <w:rPr>
                <w:rFonts w:ascii="宋体" w:hAnsi="宋体" w:cs="宋体" w:eastAsia="宋体" w:hint="default"/>
                <w:sz w:val="18"/>
                <w:szCs w:val="18"/>
              </w:rPr>
            </w:pPr>
            <w:r>
              <w:rPr>
                <w:rFonts w:ascii="Times New Roman" w:hAnsi="Times New Roman" w:cs="Times New Roman" w:eastAsia="Times New Roman" w:hint="default"/>
                <w:sz w:val="18"/>
                <w:szCs w:val="18"/>
              </w:rPr>
              <w:t>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名股权 激励对象</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103" w:right="11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111"/>
              <w:jc w:val="both"/>
              <w:rPr>
                <w:rFonts w:ascii="宋体" w:hAnsi="宋体" w:cs="宋体" w:eastAsia="宋体" w:hint="default"/>
                <w:sz w:val="18"/>
                <w:szCs w:val="18"/>
              </w:rPr>
            </w:pPr>
            <w:r>
              <w:rPr>
                <w:rFonts w:ascii="宋体" w:hAnsi="宋体" w:cs="宋体" w:eastAsia="宋体" w:hint="default"/>
                <w:sz w:val="18"/>
                <w:szCs w:val="18"/>
              </w:rPr>
              <w:t>的限制性股 票而取得的 资本公积转</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100"/>
              <w:jc w:val="left"/>
              <w:rPr>
                <w:rFonts w:ascii="宋体" w:hAnsi="宋体" w:cs="宋体" w:eastAsia="宋体" w:hint="default"/>
                <w:sz w:val="18"/>
                <w:szCs w:val="18"/>
              </w:rPr>
            </w:pPr>
            <w:r>
              <w:rPr>
                <w:rFonts w:ascii="宋体" w:hAnsi="宋体" w:cs="宋体" w:eastAsia="宋体" w:hint="default"/>
                <w:sz w:val="18"/>
                <w:szCs w:val="18"/>
              </w:rPr>
              <w:t>无违反该 承诺的情 况，该承诺</w:t>
            </w: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增股本、派</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事项正在</w:t>
            </w: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息、派发股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履行中。</w:t>
            </w: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票红利、股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票拆细等股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份和红利同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时按本激励</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计划进行锁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定。锁定期</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满后根据公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限制性股票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激励计划</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（草案）的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有关规定执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28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行解锁。</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r>
        <w:trPr>
          <w:trHeight w:val="67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黄熠</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p>
          <w:p>
            <w:pPr>
              <w:pStyle w:val="TableParagraph"/>
              <w:spacing w:line="240" w:lineRule="auto" w:before="63"/>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93"/>
              <w:jc w:val="left"/>
              <w:rPr>
                <w:rFonts w:ascii="宋体" w:hAnsi="宋体" w:cs="宋体" w:eastAsia="宋体" w:hint="default"/>
                <w:sz w:val="18"/>
                <w:szCs w:val="18"/>
              </w:rPr>
            </w:pPr>
            <w:r>
              <w:rPr>
                <w:rFonts w:ascii="宋体" w:hAnsi="宋体" w:cs="宋体" w:eastAsia="宋体" w:hint="default"/>
                <w:sz w:val="18"/>
                <w:szCs w:val="18"/>
              </w:rPr>
              <w:t>报告期内， 承诺各方</w:t>
            </w:r>
          </w:p>
        </w:tc>
      </w:tr>
    </w:tbl>
    <w:p>
      <w:pPr>
        <w:spacing w:after="0" w:line="316" w:lineRule="auto"/>
        <w:jc w:val="left"/>
        <w:rPr>
          <w:rFonts w:ascii="宋体" w:hAnsi="宋体" w:cs="宋体" w:eastAsia="宋体" w:hint="default"/>
          <w:sz w:val="18"/>
          <w:szCs w:val="18"/>
        </w:rPr>
        <w:sectPr>
          <w:pgSz w:w="11910" w:h="16840"/>
          <w:pgMar w:header="919" w:footer="1016"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日前不减持</w:t>
            </w: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无违反该</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的承诺</w:t>
            </w:r>
            <w:r>
              <w:rPr>
                <w:rFonts w:ascii="宋体" w:hAnsi="宋体" w:cs="宋体" w:eastAsia="宋体" w:hint="default"/>
                <w:spacing w:val="-171"/>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承诺的情</w:t>
            </w: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在鄢建兵担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况，该承诺</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任赢时胜董</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事项正在</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事期间每年</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履行中。</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转让的股份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不超过持有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的股份总数</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50"/>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5%</w:t>
            </w:r>
            <w:r>
              <w:rPr>
                <w:rFonts w:ascii="宋体" w:hAnsi="宋体" w:cs="宋体" w:eastAsia="宋体" w:hint="default"/>
                <w:spacing w:val="-178"/>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鄢建兵离职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的，在离职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不得转让，</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离职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月内转让金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额不超过持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有的股份总</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数的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pacing w:val="-82"/>
                <w:sz w:val="18"/>
                <w:szCs w:val="18"/>
              </w:rPr>
              <w:t>）</w:t>
            </w:r>
            <w:r>
              <w:rPr>
                <w:rFonts w:ascii="宋体" w:hAnsi="宋体" w:cs="宋体" w:eastAsia="宋体" w:hint="default"/>
                <w:sz w:val="18"/>
                <w:szCs w:val="18"/>
              </w:rPr>
              <w:t>中国证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券监督管理</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委员会、深</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圳证券交易</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所关于限售</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股有相关规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定</w:t>
            </w:r>
            <w:r>
              <w:rPr>
                <w:rFonts w:ascii="宋体" w:hAnsi="宋体" w:cs="宋体" w:eastAsia="宋体" w:hint="default"/>
                <w:spacing w:val="-89"/>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2"/>
                <w:sz w:val="18"/>
                <w:szCs w:val="18"/>
              </w:rPr>
              <w:t>5</w:t>
            </w:r>
            <w:r>
              <w:rPr>
                <w:rFonts w:ascii="宋体" w:hAnsi="宋体" w:cs="宋体" w:eastAsia="宋体" w:hint="default"/>
                <w:sz w:val="18"/>
                <w:szCs w:val="18"/>
              </w:rPr>
              <w:t>）中</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国证券监督</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管理委员会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 </w:t>
            </w:r>
            <w:r>
              <w:rPr>
                <w:rFonts w:ascii="宋体" w:hAnsi="宋体" w:cs="宋体" w:eastAsia="宋体" w:hint="default"/>
                <w:sz w:val="18"/>
                <w:szCs w:val="18"/>
              </w:rPr>
              <w:t>日发布</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的《上市公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司股东、董</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监高减持股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份的若干规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定》以及深</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圳证券交易</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所</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5</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布的《深圳</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证券交易所</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上市公司股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东及董事、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监事、高级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管理人员减</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持股份实施</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919" w:footer="1016"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细则》的规</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定</w:t>
            </w:r>
            <w:r>
              <w:rPr>
                <w:rFonts w:ascii="宋体" w:hAnsi="宋体" w:cs="宋体" w:eastAsia="宋体" w:hint="default"/>
                <w:spacing w:val="-89"/>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2"/>
                <w:sz w:val="18"/>
                <w:szCs w:val="18"/>
              </w:rPr>
              <w:t>6</w:t>
            </w:r>
            <w:r>
              <w:rPr>
                <w:rFonts w:ascii="宋体" w:hAnsi="宋体" w:cs="宋体" w:eastAsia="宋体" w:hint="default"/>
                <w:sz w:val="18"/>
                <w:szCs w:val="18"/>
              </w:rPr>
              <w:t>）由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于赢时胜送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红股、资本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公积金转增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股本等原因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而增持的赢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时胜股份，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亦应遵守上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56"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述约定。</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58" w:hRule="exact"/>
        </w:trPr>
        <w:tc>
          <w:tcPr>
            <w:tcW w:w="283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如承诺超期未履行完毕的</w:t>
            </w:r>
            <w:r>
              <w:rPr>
                <w:rFonts w:ascii="宋体" w:hAnsi="宋体" w:cs="宋体" w:eastAsia="宋体" w:hint="default"/>
                <w:spacing w:val="-80"/>
                <w:sz w:val="18"/>
                <w:szCs w:val="18"/>
              </w:rPr>
              <w:t>，</w:t>
            </w:r>
            <w:r>
              <w:rPr>
                <w:rFonts w:ascii="宋体" w:hAnsi="宋体" w:cs="宋体" w:eastAsia="宋体" w:hint="default"/>
                <w:sz w:val="18"/>
                <w:szCs w:val="18"/>
              </w:rPr>
              <w:t>应当详</w:t>
            </w:r>
          </w:p>
        </w:tc>
        <w:tc>
          <w:tcPr>
            <w:tcW w:w="6731" w:type="dxa"/>
            <w:gridSpan w:val="6"/>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细说明未完成履行的具体原因及</w:t>
            </w:r>
          </w:p>
        </w:tc>
        <w:tc>
          <w:tcPr>
            <w:tcW w:w="6731" w:type="dxa"/>
            <w:gridSpan w:val="6"/>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56" w:hRule="exact"/>
        </w:trPr>
        <w:tc>
          <w:tcPr>
            <w:tcW w:w="283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下一步的工作计划</w:t>
            </w:r>
          </w:p>
        </w:tc>
        <w:tc>
          <w:tcPr>
            <w:tcW w:w="6731" w:type="dxa"/>
            <w:gridSpan w:val="6"/>
            <w:tcBorders>
              <w:top w:val="nil" w:sz="6" w:space="0" w:color="auto"/>
              <w:left w:val="single" w:sz="4" w:space="0" w:color="000000"/>
              <w:bottom w:val="single" w:sz="4" w:space="0" w:color="000000"/>
              <w:right w:val="single" w:sz="4" w:space="0" w:color="000000"/>
            </w:tcBorders>
          </w:tcPr>
          <w:p>
            <w:pPr/>
          </w:p>
        </w:tc>
      </w:tr>
    </w:tbl>
    <w:p>
      <w:pPr>
        <w:spacing w:line="240" w:lineRule="auto" w:before="11"/>
        <w:rPr>
          <w:rFonts w:ascii="Times New Roman" w:hAnsi="Times New Roman" w:cs="Times New Roman" w:eastAsia="Times New Roman" w:hint="default"/>
          <w:sz w:val="21"/>
          <w:szCs w:val="21"/>
        </w:rPr>
      </w:pPr>
    </w:p>
    <w:p>
      <w:pPr>
        <w:pStyle w:val="Heading3"/>
        <w:spacing w:line="259" w:lineRule="auto" w:before="34"/>
        <w:ind w:right="915"/>
        <w:jc w:val="left"/>
        <w:rPr>
          <w:b w:val="0"/>
          <w:bCs w:val="0"/>
        </w:rPr>
      </w:pPr>
      <w:bookmarkStart w:name="2、公司资产或项目存在盈利预测，且报告期仍处在盈利预测期间，公司就资产或项目达到" w:id="63"/>
      <w:bookmarkEnd w:id="63"/>
      <w:r>
        <w:rPr>
          <w:b w:val="0"/>
          <w:bCs w:val="0"/>
        </w:rPr>
      </w:r>
      <w:r>
        <w:rPr>
          <w:rFonts w:ascii="Times New Roman" w:hAnsi="Times New Roman" w:cs="Times New Roman" w:eastAsia="Times New Roman" w:hint="default"/>
          <w:spacing w:val="3"/>
          <w:w w:val="95"/>
        </w:rPr>
        <w:t>2</w:t>
      </w:r>
      <w:r>
        <w:rPr>
          <w:spacing w:val="3"/>
          <w:w w:val="95"/>
        </w:rPr>
        <w:t>、公司资产或项目存在盈利预测，且报告期仍处在盈利预测期间，公司就资产或项目达到原盈利预测及</w:t>
      </w:r>
      <w:r>
        <w:rPr>
          <w:spacing w:val="95"/>
          <w:w w:val="95"/>
        </w:rPr>
        <w:t> </w:t>
      </w:r>
      <w:r>
        <w:rPr>
          <w:spacing w:val="95"/>
          <w:w w:val="95"/>
        </w:rPr>
      </w:r>
      <w:r>
        <w:rPr/>
        <w:t>其原因做出说明</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right="915"/>
        <w:jc w:val="left"/>
      </w:pPr>
      <w:r>
        <w:rPr/>
        <w:t>□ 适用 √ 不适用</w:t>
      </w:r>
    </w:p>
    <w:p>
      <w:pPr>
        <w:spacing w:line="240" w:lineRule="auto" w:before="3"/>
        <w:rPr>
          <w:rFonts w:ascii="宋体" w:hAnsi="宋体" w:cs="宋体" w:eastAsia="宋体" w:hint="default"/>
          <w:sz w:val="25"/>
          <w:szCs w:val="25"/>
        </w:rPr>
      </w:pPr>
    </w:p>
    <w:p>
      <w:pPr>
        <w:pStyle w:val="Heading2"/>
        <w:spacing w:line="240" w:lineRule="auto"/>
        <w:ind w:right="915"/>
        <w:jc w:val="left"/>
        <w:rPr>
          <w:b w:val="0"/>
          <w:bCs w:val="0"/>
        </w:rPr>
      </w:pPr>
      <w:bookmarkStart w:name="三、控股股东及其关联方对上市公司的非经营性占用资金情况" w:id="64"/>
      <w:bookmarkEnd w:id="64"/>
      <w:r>
        <w:rPr>
          <w:b w:val="0"/>
          <w:bCs w:val="0"/>
        </w:rPr>
      </w:r>
      <w:r>
        <w:rPr/>
        <w:t>三、控股股东及其关联方对上市公司的非经营性占用资金情况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4994"/>
        <w:jc w:val="left"/>
      </w:pPr>
      <w:r>
        <w:rPr/>
        <w:t>□ 适用 √ 不适用 公司报告期不存在控股股东及其关联方对上市公司的非经营性占用资金。</w:t>
      </w:r>
    </w:p>
    <w:p>
      <w:pPr>
        <w:spacing w:line="240" w:lineRule="auto" w:before="2"/>
        <w:rPr>
          <w:rFonts w:ascii="宋体" w:hAnsi="宋体" w:cs="宋体" w:eastAsia="宋体" w:hint="default"/>
          <w:sz w:val="18"/>
          <w:szCs w:val="18"/>
        </w:rPr>
      </w:pPr>
    </w:p>
    <w:p>
      <w:pPr>
        <w:pStyle w:val="Heading2"/>
        <w:spacing w:line="240" w:lineRule="auto"/>
        <w:ind w:right="915"/>
        <w:jc w:val="left"/>
        <w:rPr>
          <w:b w:val="0"/>
          <w:bCs w:val="0"/>
        </w:rPr>
      </w:pPr>
      <w:bookmarkStart w:name="四、董事会对最近一期“非标准审计报告”相关情况的说明" w:id="65"/>
      <w:bookmarkEnd w:id="65"/>
      <w:r>
        <w:rPr>
          <w:b w:val="0"/>
          <w:bCs w:val="0"/>
        </w:rPr>
      </w:r>
      <w:r>
        <w:rPr/>
        <w:t>四、董事会对最近一期“非标准审计报告”相关情况的说明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15"/>
        <w:jc w:val="left"/>
      </w:pPr>
      <w:r>
        <w:rPr/>
        <w:t>□ 适用 √ 不适用</w:t>
      </w:r>
    </w:p>
    <w:p>
      <w:pPr>
        <w:spacing w:line="240" w:lineRule="auto" w:before="0"/>
        <w:rPr>
          <w:rFonts w:ascii="宋体" w:hAnsi="宋体" w:cs="宋体" w:eastAsia="宋体" w:hint="default"/>
          <w:sz w:val="18"/>
          <w:szCs w:val="18"/>
        </w:rPr>
      </w:pPr>
    </w:p>
    <w:p>
      <w:pPr>
        <w:pStyle w:val="Heading2"/>
        <w:spacing w:line="312" w:lineRule="exact" w:before="125"/>
        <w:ind w:right="915"/>
        <w:jc w:val="left"/>
        <w:rPr>
          <w:b w:val="0"/>
          <w:bCs w:val="0"/>
        </w:rPr>
      </w:pPr>
      <w:bookmarkStart w:name="五、董事会、监事会、独立董事（如有）对会计师事务所本报告期“非标准审计报告”的说" w:id="66"/>
      <w:bookmarkEnd w:id="66"/>
      <w:r>
        <w:rPr>
          <w:b w:val="0"/>
          <w:bCs w:val="0"/>
        </w:rPr>
      </w:r>
      <w:r>
        <w:rPr/>
        <w:t>五、董事会、监事会、独立董事（如有）对会计师事务所本报告期“非标准审计报告”的说</w:t>
      </w:r>
      <w:r>
        <w:rPr>
          <w:spacing w:val="-97"/>
        </w:rPr>
        <w:t> </w:t>
      </w:r>
      <w:r>
        <w:rPr>
          <w:spacing w:val="-97"/>
        </w:rPr>
      </w:r>
      <w:r>
        <w:rPr/>
        <w:t>明</w:t>
      </w:r>
      <w:r>
        <w:rPr>
          <w:b w:val="0"/>
          <w:bCs w:val="0"/>
        </w:rPr>
      </w:r>
    </w:p>
    <w:p>
      <w:pPr>
        <w:spacing w:line="240" w:lineRule="auto" w:before="4"/>
        <w:rPr>
          <w:rFonts w:ascii="宋体" w:hAnsi="宋体" w:cs="宋体" w:eastAsia="宋体" w:hint="default"/>
          <w:b/>
          <w:bCs/>
          <w:sz w:val="24"/>
          <w:szCs w:val="24"/>
        </w:rPr>
      </w:pPr>
    </w:p>
    <w:p>
      <w:pPr>
        <w:pStyle w:val="BodyText"/>
        <w:spacing w:line="240" w:lineRule="auto"/>
        <w:ind w:right="915"/>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915"/>
        <w:jc w:val="left"/>
        <w:rPr>
          <w:b w:val="0"/>
          <w:bCs w:val="0"/>
        </w:rPr>
      </w:pPr>
      <w:bookmarkStart w:name="六、董事会关于报告期会计政策、会计估计变更或重大会计差错更正的说明" w:id="67"/>
      <w:bookmarkEnd w:id="67"/>
      <w:r>
        <w:rPr>
          <w:b w:val="0"/>
          <w:bCs w:val="0"/>
        </w:rPr>
      </w:r>
      <w:r>
        <w:rPr/>
        <w:t>六、董事会关于报告期会计政策、会计估计变更或重大会计差错更正的说明</w:t>
      </w:r>
      <w:r>
        <w:rPr>
          <w:b w:val="0"/>
          <w:bCs w:val="0"/>
        </w:rPr>
      </w:r>
    </w:p>
    <w:p>
      <w:pPr>
        <w:spacing w:line="240" w:lineRule="auto" w:before="9"/>
        <w:rPr>
          <w:rFonts w:ascii="宋体" w:hAnsi="宋体" w:cs="宋体" w:eastAsia="宋体" w:hint="default"/>
          <w:b/>
          <w:bCs/>
          <w:sz w:val="26"/>
          <w:szCs w:val="26"/>
        </w:rPr>
      </w:pPr>
    </w:p>
    <w:p>
      <w:pPr>
        <w:pStyle w:val="BodyText"/>
        <w:spacing w:line="360" w:lineRule="auto"/>
        <w:ind w:right="6976"/>
        <w:jc w:val="left"/>
      </w:pPr>
      <w:r>
        <w:rPr/>
        <w:t>√ 适用 □ 不适用 </w:t>
      </w:r>
      <w:r>
        <w:rPr>
          <w:spacing w:val="-4"/>
        </w:rPr>
        <w:t>详见第十二节、五、</w:t>
      </w:r>
      <w:r>
        <w:rPr>
          <w:rFonts w:ascii="Times New Roman" w:hAnsi="Times New Roman" w:cs="Times New Roman" w:eastAsia="Times New Roman" w:hint="default"/>
          <w:spacing w:val="-4"/>
        </w:rPr>
        <w:t>44</w:t>
      </w:r>
      <w:r>
        <w:rPr>
          <w:spacing w:val="-4"/>
        </w:rPr>
        <w:t>、（</w:t>
      </w:r>
      <w:r>
        <w:rPr>
          <w:rFonts w:ascii="Times New Roman" w:hAnsi="Times New Roman" w:cs="Times New Roman" w:eastAsia="Times New Roman" w:hint="default"/>
          <w:spacing w:val="-4"/>
        </w:rPr>
        <w:t>1</w:t>
      </w:r>
      <w:r>
        <w:rPr>
          <w:spacing w:val="-4"/>
        </w:rPr>
        <w:t>）重要会计政策变更</w:t>
      </w:r>
    </w:p>
    <w:p>
      <w:pPr>
        <w:spacing w:line="240" w:lineRule="auto" w:before="5"/>
        <w:rPr>
          <w:rFonts w:ascii="宋体" w:hAnsi="宋体" w:cs="宋体" w:eastAsia="宋体" w:hint="default"/>
          <w:sz w:val="16"/>
          <w:szCs w:val="16"/>
        </w:rPr>
      </w:pPr>
    </w:p>
    <w:p>
      <w:pPr>
        <w:pStyle w:val="Heading2"/>
        <w:spacing w:line="240" w:lineRule="auto"/>
        <w:ind w:right="915"/>
        <w:jc w:val="left"/>
        <w:rPr>
          <w:b w:val="0"/>
          <w:bCs w:val="0"/>
        </w:rPr>
      </w:pPr>
      <w:bookmarkStart w:name="七、与上年度财务报告相比，合并报表范围发生变化的情况说明" w:id="68"/>
      <w:bookmarkEnd w:id="68"/>
      <w:r>
        <w:rPr>
          <w:b w:val="0"/>
          <w:bCs w:val="0"/>
        </w:rPr>
      </w:r>
      <w:r>
        <w:rPr/>
        <w:t>七、与上年度财务报告相比，合并报表范围发生变化的情况说明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left="472" w:right="915" w:hanging="360"/>
        <w:jc w:val="left"/>
      </w:pPr>
      <w:r>
        <w:rPr/>
        <w:t>√ 适用 □ 不适用 </w:t>
      </w:r>
      <w:r>
        <w:rPr>
          <w:spacing w:val="-2"/>
        </w:rPr>
        <w:t>深圳市赢时胜信息技术股份有限公司于2019年11月11日成立全资子公司深圳市赢时胜软件技术服务有限公司，注册资本</w:t>
      </w:r>
    </w:p>
    <w:p>
      <w:pPr>
        <w:pStyle w:val="BodyText"/>
        <w:spacing w:line="222" w:lineRule="exact"/>
        <w:ind w:right="915"/>
        <w:jc w:val="left"/>
      </w:pPr>
      <w:r>
        <w:rPr/>
        <w:t>2000万元，该公司自成立之日起纳入合并报表范围。</w:t>
      </w:r>
    </w:p>
    <w:p>
      <w:pPr>
        <w:spacing w:after="0" w:line="222" w:lineRule="exact"/>
        <w:jc w:val="left"/>
        <w:sectPr>
          <w:footerReference w:type="default" r:id="rId20"/>
          <w:pgSz w:w="11910" w:h="16840"/>
          <w:pgMar w:footer="1016" w:header="919" w:top="1120" w:bottom="1200" w:left="1020" w:right="0"/>
          <w:pgNumType w:start="5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Heading2"/>
        <w:spacing w:line="240" w:lineRule="auto" w:before="26"/>
        <w:ind w:right="915"/>
        <w:jc w:val="left"/>
        <w:rPr>
          <w:b w:val="0"/>
          <w:bCs w:val="0"/>
        </w:rPr>
      </w:pPr>
      <w:bookmarkStart w:name="八、聘任、解聘会计师事务所情况" w:id="69"/>
      <w:bookmarkEnd w:id="69"/>
      <w:r>
        <w:rPr>
          <w:b w:val="0"/>
          <w:bCs w:val="0"/>
        </w:rPr>
      </w:r>
      <w:r>
        <w:rPr/>
        <w:t>八、聘任、解聘会计师事务所情况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15"/>
        <w:jc w:val="left"/>
      </w:pPr>
      <w:r>
        <w:rPr/>
        <w:t>现聘任的会计事务所</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91"/>
        <w:gridCol w:w="4777"/>
      </w:tblGrid>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天职国际会计师事务所（特殊普通合伙）</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40</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8</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黎明、徐平</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黎明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年、徐平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pStyle w:val="BodyText"/>
        <w:spacing w:line="240" w:lineRule="auto" w:before="51"/>
        <w:ind w:right="915"/>
        <w:jc w:val="left"/>
      </w:pPr>
      <w:r>
        <w:rPr/>
        <w:t>是否改聘会计师事务所</w:t>
      </w:r>
    </w:p>
    <w:p>
      <w:pPr>
        <w:pStyle w:val="BodyText"/>
        <w:spacing w:line="357" w:lineRule="auto" w:before="117"/>
        <w:ind w:right="6254"/>
        <w:jc w:val="left"/>
      </w:pPr>
      <w:r>
        <w:rPr/>
        <w:t>□ 是 √ 否 聘请内部控制审计会计师事务所、财务顾问或保荐人情况</w:t>
      </w:r>
    </w:p>
    <w:p>
      <w:pPr>
        <w:pStyle w:val="BodyText"/>
        <w:spacing w:line="240" w:lineRule="auto" w:before="29"/>
        <w:ind w:right="915"/>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915"/>
        <w:jc w:val="left"/>
        <w:rPr>
          <w:b w:val="0"/>
          <w:bCs w:val="0"/>
        </w:rPr>
      </w:pPr>
      <w:bookmarkStart w:name="九、年度报告披露后面临暂停上市和终止上市情况" w:id="70"/>
      <w:bookmarkEnd w:id="70"/>
      <w:r>
        <w:rPr>
          <w:b w:val="0"/>
          <w:bCs w:val="0"/>
        </w:rPr>
      </w:r>
      <w:r>
        <w:rPr/>
        <w:t>九、年度报告披露后面临暂停上市和终止上市情况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15"/>
        <w:jc w:val="left"/>
      </w:pPr>
      <w:r>
        <w:rPr/>
        <w:t>□ 适用 √ 不适用</w:t>
      </w:r>
    </w:p>
    <w:p>
      <w:pPr>
        <w:spacing w:line="240" w:lineRule="auto" w:before="3"/>
        <w:rPr>
          <w:rFonts w:ascii="宋体" w:hAnsi="宋体" w:cs="宋体" w:eastAsia="宋体" w:hint="default"/>
          <w:sz w:val="25"/>
          <w:szCs w:val="25"/>
        </w:rPr>
      </w:pPr>
    </w:p>
    <w:p>
      <w:pPr>
        <w:pStyle w:val="Heading2"/>
        <w:spacing w:line="240" w:lineRule="auto"/>
        <w:ind w:right="915"/>
        <w:jc w:val="left"/>
        <w:rPr>
          <w:b w:val="0"/>
          <w:bCs w:val="0"/>
        </w:rPr>
      </w:pPr>
      <w:bookmarkStart w:name="十、破产重整相关事项" w:id="71"/>
      <w:bookmarkEnd w:id="71"/>
      <w:r>
        <w:rPr>
          <w:b w:val="0"/>
          <w:bCs w:val="0"/>
        </w:rPr>
      </w:r>
      <w:r>
        <w:rPr/>
        <w:t>十、破产重整相关事项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7694"/>
        <w:jc w:val="left"/>
      </w:pPr>
      <w:r>
        <w:rPr/>
        <w:t>□ 适用 √ 不适用 公司报告期未发生破产重整相关事项。</w:t>
      </w:r>
    </w:p>
    <w:p>
      <w:pPr>
        <w:spacing w:line="240" w:lineRule="auto" w:before="2"/>
        <w:rPr>
          <w:rFonts w:ascii="宋体" w:hAnsi="宋体" w:cs="宋体" w:eastAsia="宋体" w:hint="default"/>
          <w:sz w:val="18"/>
          <w:szCs w:val="18"/>
        </w:rPr>
      </w:pPr>
    </w:p>
    <w:p>
      <w:pPr>
        <w:pStyle w:val="Heading2"/>
        <w:spacing w:line="240" w:lineRule="auto"/>
        <w:ind w:right="915"/>
        <w:jc w:val="left"/>
        <w:rPr>
          <w:b w:val="0"/>
          <w:bCs w:val="0"/>
        </w:rPr>
      </w:pPr>
      <w:bookmarkStart w:name="十一、重大诉讼、仲裁事项" w:id="72"/>
      <w:bookmarkEnd w:id="72"/>
      <w:r>
        <w:rPr>
          <w:b w:val="0"/>
          <w:bCs w:val="0"/>
        </w:rPr>
      </w:r>
      <w:r>
        <w:rPr/>
        <w:t>十一、重大诉讼、仲裁事项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15"/>
        <w:jc w:val="left"/>
      </w:pPr>
      <w:r>
        <w:rPr/>
        <w:t>√ 适用 □ 不适用</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51"/>
        <w:gridCol w:w="1086"/>
        <w:gridCol w:w="1265"/>
        <w:gridCol w:w="953"/>
        <w:gridCol w:w="1393"/>
        <w:gridCol w:w="1265"/>
        <w:gridCol w:w="1080"/>
        <w:gridCol w:w="1077"/>
      </w:tblGrid>
      <w:tr>
        <w:trPr>
          <w:trHeight w:val="714" w:hRule="exact"/>
        </w:trPr>
        <w:tc>
          <w:tcPr>
            <w:tcW w:w="14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41" w:right="118" w:hanging="42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 情况</w:t>
            </w:r>
          </w:p>
        </w:tc>
        <w:tc>
          <w:tcPr>
            <w:tcW w:w="10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7" w:right="0"/>
              <w:jc w:val="left"/>
              <w:rPr>
                <w:rFonts w:ascii="宋体" w:hAnsi="宋体" w:cs="宋体" w:eastAsia="宋体" w:hint="default"/>
                <w:sz w:val="18"/>
                <w:szCs w:val="18"/>
              </w:rPr>
            </w:pPr>
            <w:r>
              <w:rPr>
                <w:rFonts w:ascii="宋体" w:hAnsi="宋体" w:cs="宋体" w:eastAsia="宋体" w:hint="default"/>
                <w:sz w:val="18"/>
                <w:szCs w:val="18"/>
              </w:rPr>
              <w:t>涉案金额</w:t>
            </w:r>
          </w:p>
          <w:p>
            <w:pPr>
              <w:pStyle w:val="TableParagraph"/>
              <w:spacing w:line="240" w:lineRule="auto" w:before="76"/>
              <w:ind w:left="177"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56" w:right="177" w:hanging="180"/>
              <w:jc w:val="left"/>
              <w:rPr>
                <w:rFonts w:ascii="宋体" w:hAnsi="宋体" w:cs="宋体" w:eastAsia="宋体" w:hint="default"/>
                <w:sz w:val="18"/>
                <w:szCs w:val="18"/>
              </w:rPr>
            </w:pPr>
            <w:r>
              <w:rPr>
                <w:rFonts w:ascii="宋体" w:hAnsi="宋体" w:cs="宋体" w:eastAsia="宋体" w:hint="default"/>
                <w:sz w:val="18"/>
                <w:szCs w:val="18"/>
              </w:rPr>
              <w:t>是否形成预 计负债</w:t>
            </w:r>
          </w:p>
        </w:tc>
        <w:tc>
          <w:tcPr>
            <w:tcW w:w="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71" w:right="17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 裁</w:t>
            </w:r>
            <w:r>
              <w:rPr>
                <w:rFonts w:ascii="Times New Roman" w:hAnsi="Times New Roman" w:cs="Times New Roman" w:eastAsia="Times New Roman" w:hint="default"/>
                <w:sz w:val="18"/>
                <w:szCs w:val="18"/>
              </w:rPr>
              <w:t>)</w:t>
            </w:r>
            <w:r>
              <w:rPr>
                <w:rFonts w:ascii="宋体" w:hAnsi="宋体" w:cs="宋体" w:eastAsia="宋体" w:hint="default"/>
                <w:sz w:val="18"/>
                <w:szCs w:val="18"/>
              </w:rPr>
              <w:t>进展</w:t>
            </w:r>
          </w:p>
        </w:tc>
        <w:tc>
          <w:tcPr>
            <w:tcW w:w="1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51" w:right="149" w:firstLine="31"/>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 理结果及影响</w:t>
            </w:r>
          </w:p>
        </w:tc>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77" w:right="116" w:hanging="6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 决执行情况</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4"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210" w:hRule="exact"/>
        </w:trPr>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77"/>
              <w:jc w:val="left"/>
              <w:rPr>
                <w:rFonts w:ascii="宋体" w:hAnsi="宋体" w:cs="宋体" w:eastAsia="宋体" w:hint="default"/>
                <w:sz w:val="18"/>
                <w:szCs w:val="18"/>
              </w:rPr>
            </w:pPr>
            <w:r>
              <w:rPr>
                <w:rFonts w:ascii="宋体" w:hAnsi="宋体" w:cs="宋体" w:eastAsia="宋体" w:hint="default"/>
                <w:sz w:val="18"/>
                <w:szCs w:val="18"/>
              </w:rPr>
              <w:t>子公司上海赢 量信息科技有 限公司（原告） 与鹤壁市永达 食品有限公司</w:t>
            </w:r>
          </w:p>
          <w:p>
            <w:pPr>
              <w:pStyle w:val="TableParagraph"/>
              <w:spacing w:line="316" w:lineRule="auto" w:before="19"/>
              <w:ind w:left="101" w:right="166"/>
              <w:jc w:val="left"/>
              <w:rPr>
                <w:rFonts w:ascii="宋体" w:hAnsi="宋体" w:cs="宋体" w:eastAsia="宋体" w:hint="default"/>
                <w:sz w:val="18"/>
                <w:szCs w:val="18"/>
              </w:rPr>
            </w:pPr>
            <w:r>
              <w:rPr>
                <w:rFonts w:ascii="宋体" w:hAnsi="宋体" w:cs="宋体" w:eastAsia="宋体" w:hint="default"/>
                <w:spacing w:val="-13"/>
                <w:sz w:val="18"/>
                <w:szCs w:val="18"/>
              </w:rPr>
              <w:t>（被告）、河南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省淇县永达食 业有限公司等</w:t>
            </w:r>
          </w:p>
          <w:p>
            <w:pPr>
              <w:pStyle w:val="TableParagraph"/>
              <w:spacing w:line="316" w:lineRule="auto" w:before="19"/>
              <w:ind w:left="101" w:right="101"/>
              <w:jc w:val="left"/>
              <w:rPr>
                <w:rFonts w:ascii="宋体" w:hAnsi="宋体" w:cs="宋体" w:eastAsia="宋体" w:hint="default"/>
                <w:sz w:val="18"/>
                <w:szCs w:val="18"/>
              </w:rPr>
            </w:pPr>
            <w:r>
              <w:rPr>
                <w:rFonts w:ascii="宋体" w:hAnsi="宋体" w:cs="宋体" w:eastAsia="宋体" w:hint="default"/>
                <w:spacing w:val="-4"/>
                <w:sz w:val="18"/>
                <w:szCs w:val="18"/>
              </w:rPr>
              <w:t>（被告）企业借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贷纠纷</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3,668.86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不形成</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0"/>
              <w:ind w:left="103" w:right="117"/>
              <w:jc w:val="left"/>
              <w:rPr>
                <w:rFonts w:ascii="宋体" w:hAnsi="宋体" w:cs="宋体" w:eastAsia="宋体" w:hint="default"/>
                <w:sz w:val="18"/>
                <w:szCs w:val="18"/>
              </w:rPr>
            </w:pPr>
            <w:r>
              <w:rPr>
                <w:rFonts w:ascii="宋体" w:hAnsi="宋体" w:cs="宋体" w:eastAsia="宋体" w:hint="default"/>
                <w:sz w:val="18"/>
                <w:szCs w:val="18"/>
              </w:rPr>
              <w:t>已审理终 结</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316" w:lineRule="auto"/>
              <w:ind w:left="103" w:right="197"/>
              <w:jc w:val="both"/>
              <w:rPr>
                <w:rFonts w:ascii="宋体" w:hAnsi="宋体" w:cs="宋体" w:eastAsia="宋体" w:hint="default"/>
                <w:sz w:val="18"/>
                <w:szCs w:val="18"/>
              </w:rPr>
            </w:pPr>
            <w:r>
              <w:rPr>
                <w:rFonts w:ascii="宋体" w:hAnsi="宋体" w:cs="宋体" w:eastAsia="宋体" w:hint="default"/>
                <w:sz w:val="18"/>
                <w:szCs w:val="18"/>
              </w:rPr>
              <w:t>上海市第一中 级人民法院终 审裁定</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102" w:right="70"/>
              <w:jc w:val="left"/>
              <w:rPr>
                <w:rFonts w:ascii="宋体" w:hAnsi="宋体" w:cs="宋体" w:eastAsia="宋体" w:hint="default"/>
                <w:sz w:val="18"/>
                <w:szCs w:val="18"/>
              </w:rPr>
            </w:pPr>
            <w:r>
              <w:rPr>
                <w:rFonts w:ascii="宋体" w:hAnsi="宋体" w:cs="宋体" w:eastAsia="宋体" w:hint="default"/>
                <w:sz w:val="18"/>
                <w:szCs w:val="18"/>
              </w:rPr>
              <w:t>已对被告银 </w:t>
            </w:r>
            <w:r>
              <w:rPr>
                <w:rFonts w:ascii="宋体" w:hAnsi="宋体" w:cs="宋体" w:eastAsia="宋体" w:hint="default"/>
                <w:spacing w:val="-6"/>
                <w:sz w:val="18"/>
                <w:szCs w:val="18"/>
              </w:rPr>
              <w:t>行账户、股权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及房产保全， 现在处于财 产查控阶段</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77" w:type="dxa"/>
            <w:tcBorders>
              <w:top w:val="single" w:sz="4" w:space="0" w:color="000000"/>
              <w:left w:val="single" w:sz="4" w:space="0" w:color="000000"/>
              <w:bottom w:val="single" w:sz="4" w:space="0" w:color="000000"/>
              <w:right w:val="single" w:sz="4" w:space="0" w:color="000000"/>
            </w:tcBorders>
          </w:tcPr>
          <w:p>
            <w:pPr/>
          </w:p>
        </w:tc>
      </w:tr>
      <w:tr>
        <w:trPr>
          <w:trHeight w:val="672" w:hRule="exact"/>
        </w:trPr>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257"/>
              <w:jc w:val="left"/>
              <w:rPr>
                <w:rFonts w:ascii="宋体" w:hAnsi="宋体" w:cs="宋体" w:eastAsia="宋体" w:hint="default"/>
                <w:sz w:val="18"/>
                <w:szCs w:val="18"/>
              </w:rPr>
            </w:pPr>
            <w:r>
              <w:rPr>
                <w:rFonts w:ascii="宋体" w:hAnsi="宋体" w:cs="宋体" w:eastAsia="宋体" w:hint="default"/>
                <w:sz w:val="18"/>
                <w:szCs w:val="18"/>
              </w:rPr>
              <w:t>孙公司上海蒲 园供应链管理</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14,041.31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不形成</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尚未开庭</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9" w:footer="1016"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1451"/>
        <w:gridCol w:w="1086"/>
        <w:gridCol w:w="1265"/>
        <w:gridCol w:w="953"/>
        <w:gridCol w:w="1393"/>
        <w:gridCol w:w="1265"/>
        <w:gridCol w:w="1080"/>
        <w:gridCol w:w="1077"/>
      </w:tblGrid>
      <w:tr>
        <w:trPr>
          <w:trHeight w:val="318" w:hRule="exact"/>
        </w:trPr>
        <w:tc>
          <w:tcPr>
            <w:tcW w:w="14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有限公司（原</w:t>
            </w:r>
          </w:p>
        </w:tc>
        <w:tc>
          <w:tcPr>
            <w:tcW w:w="1086" w:type="dxa"/>
            <w:vMerge w:val="restart"/>
            <w:tcBorders>
              <w:top w:val="single" w:sz="4" w:space="0" w:color="000000"/>
              <w:left w:val="single" w:sz="4" w:space="0" w:color="000000"/>
              <w:right w:val="single" w:sz="4" w:space="0" w:color="000000"/>
            </w:tcBorders>
          </w:tcPr>
          <w:p>
            <w:pPr/>
          </w:p>
        </w:tc>
        <w:tc>
          <w:tcPr>
            <w:tcW w:w="1265" w:type="dxa"/>
            <w:vMerge w:val="restart"/>
            <w:tcBorders>
              <w:top w:val="single" w:sz="4" w:space="0" w:color="000000"/>
              <w:left w:val="single" w:sz="4" w:space="0" w:color="000000"/>
              <w:right w:val="single" w:sz="4" w:space="0" w:color="000000"/>
            </w:tcBorders>
          </w:tcPr>
          <w:p>
            <w:pPr/>
          </w:p>
        </w:tc>
        <w:tc>
          <w:tcPr>
            <w:tcW w:w="953" w:type="dxa"/>
            <w:vMerge w:val="restart"/>
            <w:tcBorders>
              <w:top w:val="single" w:sz="4" w:space="0" w:color="000000"/>
              <w:left w:val="single" w:sz="4" w:space="0" w:color="000000"/>
              <w:right w:val="single" w:sz="4" w:space="0" w:color="000000"/>
            </w:tcBorders>
          </w:tcPr>
          <w:p>
            <w:pPr/>
          </w:p>
        </w:tc>
        <w:tc>
          <w:tcPr>
            <w:tcW w:w="1393" w:type="dxa"/>
            <w:vMerge w:val="restart"/>
            <w:tcBorders>
              <w:top w:val="single" w:sz="4" w:space="0" w:color="000000"/>
              <w:left w:val="single" w:sz="4" w:space="0" w:color="000000"/>
              <w:right w:val="single" w:sz="4" w:space="0" w:color="000000"/>
            </w:tcBorders>
          </w:tcPr>
          <w:p>
            <w:pPr/>
          </w:p>
        </w:tc>
        <w:tc>
          <w:tcPr>
            <w:tcW w:w="1265" w:type="dxa"/>
            <w:vMerge w:val="restart"/>
            <w:tcBorders>
              <w:top w:val="single" w:sz="4" w:space="0" w:color="000000"/>
              <w:left w:val="single" w:sz="4" w:space="0" w:color="000000"/>
              <w:right w:val="single" w:sz="4" w:space="0" w:color="000000"/>
            </w:tcBorders>
          </w:tcPr>
          <w:p>
            <w:pPr/>
          </w:p>
        </w:tc>
        <w:tc>
          <w:tcPr>
            <w:tcW w:w="1080" w:type="dxa"/>
            <w:vMerge w:val="restart"/>
            <w:tcBorders>
              <w:top w:val="single" w:sz="4" w:space="0" w:color="000000"/>
              <w:left w:val="single" w:sz="4" w:space="0" w:color="000000"/>
              <w:right w:val="single" w:sz="4" w:space="0" w:color="000000"/>
            </w:tcBorders>
          </w:tcPr>
          <w:p>
            <w:pPr/>
          </w:p>
        </w:tc>
        <w:tc>
          <w:tcPr>
            <w:tcW w:w="1077" w:type="dxa"/>
            <w:vMerge w:val="restart"/>
            <w:tcBorders>
              <w:top w:val="single" w:sz="4" w:space="0" w:color="000000"/>
              <w:left w:val="single" w:sz="4" w:space="0" w:color="000000"/>
              <w:right w:val="single" w:sz="4" w:space="0" w:color="000000"/>
            </w:tcBorders>
          </w:tcPr>
          <w:p>
            <w:pPr/>
          </w:p>
        </w:tc>
      </w:tr>
      <w:tr>
        <w:trPr>
          <w:trHeight w:val="312"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pacing w:val="-4"/>
                <w:sz w:val="18"/>
                <w:szCs w:val="18"/>
              </w:rPr>
              <w:t>告）与河南永达</w:t>
            </w:r>
          </w:p>
        </w:tc>
        <w:tc>
          <w:tcPr>
            <w:tcW w:w="1086"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953" w:type="dxa"/>
            <w:vMerge/>
            <w:tcBorders>
              <w:left w:val="single" w:sz="4" w:space="0" w:color="000000"/>
              <w:right w:val="single" w:sz="4" w:space="0" w:color="000000"/>
            </w:tcBorders>
          </w:tcPr>
          <w:p>
            <w:pPr/>
          </w:p>
        </w:tc>
        <w:tc>
          <w:tcPr>
            <w:tcW w:w="1393"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77" w:type="dxa"/>
            <w:vMerge/>
            <w:tcBorders>
              <w:left w:val="single" w:sz="4" w:space="0" w:color="000000"/>
              <w:right w:val="single" w:sz="4" w:space="0" w:color="000000"/>
            </w:tcBorders>
          </w:tcPr>
          <w:p>
            <w:pPr/>
          </w:p>
        </w:tc>
      </w:tr>
      <w:tr>
        <w:trPr>
          <w:trHeight w:val="312"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美基食品股份</w:t>
            </w:r>
          </w:p>
        </w:tc>
        <w:tc>
          <w:tcPr>
            <w:tcW w:w="1086"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953" w:type="dxa"/>
            <w:vMerge/>
            <w:tcBorders>
              <w:left w:val="single" w:sz="4" w:space="0" w:color="000000"/>
              <w:right w:val="single" w:sz="4" w:space="0" w:color="000000"/>
            </w:tcBorders>
          </w:tcPr>
          <w:p>
            <w:pPr/>
          </w:p>
        </w:tc>
        <w:tc>
          <w:tcPr>
            <w:tcW w:w="1393"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77" w:type="dxa"/>
            <w:vMerge/>
            <w:tcBorders>
              <w:left w:val="single" w:sz="4" w:space="0" w:color="000000"/>
              <w:right w:val="single" w:sz="4" w:space="0" w:color="000000"/>
            </w:tcBorders>
          </w:tcPr>
          <w:p>
            <w:pPr/>
          </w:p>
        </w:tc>
      </w:tr>
      <w:tr>
        <w:trPr>
          <w:trHeight w:val="312"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有限公司（被</w:t>
            </w:r>
          </w:p>
        </w:tc>
        <w:tc>
          <w:tcPr>
            <w:tcW w:w="1086"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953" w:type="dxa"/>
            <w:vMerge/>
            <w:tcBorders>
              <w:left w:val="single" w:sz="4" w:space="0" w:color="000000"/>
              <w:right w:val="single" w:sz="4" w:space="0" w:color="000000"/>
            </w:tcBorders>
          </w:tcPr>
          <w:p>
            <w:pPr/>
          </w:p>
        </w:tc>
        <w:tc>
          <w:tcPr>
            <w:tcW w:w="1393"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77" w:type="dxa"/>
            <w:vMerge/>
            <w:tcBorders>
              <w:left w:val="single" w:sz="4" w:space="0" w:color="000000"/>
              <w:right w:val="single" w:sz="4" w:space="0" w:color="000000"/>
            </w:tcBorders>
          </w:tcPr>
          <w:p>
            <w:pPr/>
          </w:p>
        </w:tc>
      </w:tr>
      <w:tr>
        <w:trPr>
          <w:trHeight w:val="312"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告</w:t>
            </w:r>
            <w:r>
              <w:rPr>
                <w:rFonts w:ascii="宋体" w:hAnsi="宋体" w:cs="宋体" w:eastAsia="宋体" w:hint="default"/>
                <w:spacing w:val="-89"/>
                <w:sz w:val="18"/>
                <w:szCs w:val="18"/>
              </w:rPr>
              <w:t>）</w:t>
            </w:r>
            <w:r>
              <w:rPr>
                <w:rFonts w:ascii="宋体" w:hAnsi="宋体" w:cs="宋体" w:eastAsia="宋体" w:hint="default"/>
                <w:sz w:val="18"/>
                <w:szCs w:val="18"/>
              </w:rPr>
              <w:t>、滑县永达</w:t>
            </w:r>
          </w:p>
        </w:tc>
        <w:tc>
          <w:tcPr>
            <w:tcW w:w="1086"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953" w:type="dxa"/>
            <w:vMerge/>
            <w:tcBorders>
              <w:left w:val="single" w:sz="4" w:space="0" w:color="000000"/>
              <w:right w:val="single" w:sz="4" w:space="0" w:color="000000"/>
            </w:tcBorders>
          </w:tcPr>
          <w:p>
            <w:pPr/>
          </w:p>
        </w:tc>
        <w:tc>
          <w:tcPr>
            <w:tcW w:w="1393"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77" w:type="dxa"/>
            <w:vMerge/>
            <w:tcBorders>
              <w:left w:val="single" w:sz="4" w:space="0" w:color="000000"/>
              <w:right w:val="single" w:sz="4" w:space="0" w:color="000000"/>
            </w:tcBorders>
          </w:tcPr>
          <w:p>
            <w:pPr/>
          </w:p>
        </w:tc>
      </w:tr>
      <w:tr>
        <w:trPr>
          <w:trHeight w:val="312"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饲料有限公司</w:t>
            </w:r>
          </w:p>
        </w:tc>
        <w:tc>
          <w:tcPr>
            <w:tcW w:w="1086"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953" w:type="dxa"/>
            <w:vMerge/>
            <w:tcBorders>
              <w:left w:val="single" w:sz="4" w:space="0" w:color="000000"/>
              <w:right w:val="single" w:sz="4" w:space="0" w:color="000000"/>
            </w:tcBorders>
          </w:tcPr>
          <w:p>
            <w:pPr/>
          </w:p>
        </w:tc>
        <w:tc>
          <w:tcPr>
            <w:tcW w:w="1393"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77" w:type="dxa"/>
            <w:vMerge/>
            <w:tcBorders>
              <w:left w:val="single" w:sz="4" w:space="0" w:color="000000"/>
              <w:right w:val="single" w:sz="4" w:space="0" w:color="000000"/>
            </w:tcBorders>
          </w:tcPr>
          <w:p>
            <w:pPr/>
          </w:p>
        </w:tc>
      </w:tr>
      <w:tr>
        <w:trPr>
          <w:trHeight w:val="312"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pacing w:val="-4"/>
                <w:sz w:val="18"/>
                <w:szCs w:val="18"/>
              </w:rPr>
              <w:t>等（被告）买卖</w:t>
            </w:r>
          </w:p>
        </w:tc>
        <w:tc>
          <w:tcPr>
            <w:tcW w:w="1086"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953" w:type="dxa"/>
            <w:vMerge/>
            <w:tcBorders>
              <w:left w:val="single" w:sz="4" w:space="0" w:color="000000"/>
              <w:right w:val="single" w:sz="4" w:space="0" w:color="000000"/>
            </w:tcBorders>
          </w:tcPr>
          <w:p>
            <w:pPr/>
          </w:p>
        </w:tc>
        <w:tc>
          <w:tcPr>
            <w:tcW w:w="1393"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77" w:type="dxa"/>
            <w:vMerge/>
            <w:tcBorders>
              <w:left w:val="single" w:sz="4" w:space="0" w:color="000000"/>
              <w:right w:val="single" w:sz="4" w:space="0" w:color="000000"/>
            </w:tcBorders>
          </w:tcPr>
          <w:p>
            <w:pPr/>
          </w:p>
        </w:tc>
      </w:tr>
      <w:tr>
        <w:trPr>
          <w:trHeight w:val="356" w:hRule="exact"/>
        </w:trPr>
        <w:tc>
          <w:tcPr>
            <w:tcW w:w="14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合同纠纷</w:t>
            </w:r>
          </w:p>
        </w:tc>
        <w:tc>
          <w:tcPr>
            <w:tcW w:w="1086" w:type="dxa"/>
            <w:vMerge/>
            <w:tcBorders>
              <w:left w:val="single" w:sz="4" w:space="0" w:color="000000"/>
              <w:bottom w:val="single" w:sz="4" w:space="0" w:color="000000"/>
              <w:right w:val="single" w:sz="4" w:space="0" w:color="000000"/>
            </w:tcBorders>
          </w:tcPr>
          <w:p>
            <w:pPr/>
          </w:p>
        </w:tc>
        <w:tc>
          <w:tcPr>
            <w:tcW w:w="1265" w:type="dxa"/>
            <w:vMerge/>
            <w:tcBorders>
              <w:left w:val="single" w:sz="4" w:space="0" w:color="000000"/>
              <w:bottom w:val="single" w:sz="4" w:space="0" w:color="000000"/>
              <w:right w:val="single" w:sz="4" w:space="0" w:color="000000"/>
            </w:tcBorders>
          </w:tcPr>
          <w:p>
            <w:pPr/>
          </w:p>
        </w:tc>
        <w:tc>
          <w:tcPr>
            <w:tcW w:w="953" w:type="dxa"/>
            <w:vMerge/>
            <w:tcBorders>
              <w:left w:val="single" w:sz="4" w:space="0" w:color="000000"/>
              <w:bottom w:val="single" w:sz="4" w:space="0" w:color="000000"/>
              <w:right w:val="single" w:sz="4" w:space="0" w:color="000000"/>
            </w:tcBorders>
          </w:tcPr>
          <w:p>
            <w:pPr/>
          </w:p>
        </w:tc>
        <w:tc>
          <w:tcPr>
            <w:tcW w:w="1393" w:type="dxa"/>
            <w:vMerge/>
            <w:tcBorders>
              <w:left w:val="single" w:sz="4" w:space="0" w:color="000000"/>
              <w:bottom w:val="single" w:sz="4" w:space="0" w:color="000000"/>
              <w:right w:val="single" w:sz="4" w:space="0" w:color="000000"/>
            </w:tcBorders>
          </w:tcPr>
          <w:p>
            <w:pPr/>
          </w:p>
        </w:tc>
        <w:tc>
          <w:tcPr>
            <w:tcW w:w="1265"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1077" w:type="dxa"/>
            <w:vMerge/>
            <w:tcBorders>
              <w:left w:val="single" w:sz="4" w:space="0" w:color="000000"/>
              <w:bottom w:val="single" w:sz="4" w:space="0" w:color="000000"/>
              <w:right w:val="single" w:sz="4" w:space="0" w:color="000000"/>
            </w:tcBorders>
          </w:tcPr>
          <w:p>
            <w:pPr/>
          </w:p>
        </w:tc>
      </w:tr>
      <w:tr>
        <w:trPr>
          <w:trHeight w:val="357" w:hRule="exact"/>
        </w:trPr>
        <w:tc>
          <w:tcPr>
            <w:tcW w:w="14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孙公司上海蒲</w:t>
            </w:r>
          </w:p>
        </w:tc>
        <w:tc>
          <w:tcPr>
            <w:tcW w:w="1086" w:type="dxa"/>
            <w:tcBorders>
              <w:top w:val="single" w:sz="4" w:space="0" w:color="000000"/>
              <w:left w:val="single" w:sz="4" w:space="0" w:color="000000"/>
              <w:bottom w:val="nil" w:sz="6" w:space="0" w:color="auto"/>
              <w:right w:val="single" w:sz="4" w:space="0" w:color="000000"/>
            </w:tcBorders>
          </w:tcPr>
          <w:p>
            <w:pPr/>
          </w:p>
        </w:tc>
        <w:tc>
          <w:tcPr>
            <w:tcW w:w="1265" w:type="dxa"/>
            <w:tcBorders>
              <w:top w:val="single" w:sz="4" w:space="0" w:color="000000"/>
              <w:left w:val="single" w:sz="4" w:space="0" w:color="000000"/>
              <w:bottom w:val="nil" w:sz="6" w:space="0" w:color="auto"/>
              <w:right w:val="single" w:sz="4" w:space="0" w:color="000000"/>
            </w:tcBorders>
          </w:tcPr>
          <w:p>
            <w:pPr/>
          </w:p>
        </w:tc>
        <w:tc>
          <w:tcPr>
            <w:tcW w:w="953" w:type="dxa"/>
            <w:tcBorders>
              <w:top w:val="single" w:sz="4" w:space="0" w:color="000000"/>
              <w:left w:val="single" w:sz="4" w:space="0" w:color="000000"/>
              <w:bottom w:val="nil" w:sz="6" w:space="0" w:color="auto"/>
              <w:right w:val="single" w:sz="4" w:space="0" w:color="000000"/>
            </w:tcBorders>
          </w:tcPr>
          <w:p>
            <w:pPr/>
          </w:p>
        </w:tc>
        <w:tc>
          <w:tcPr>
            <w:tcW w:w="1393" w:type="dxa"/>
            <w:tcBorders>
              <w:top w:val="single" w:sz="4" w:space="0" w:color="000000"/>
              <w:left w:val="single" w:sz="4" w:space="0" w:color="000000"/>
              <w:bottom w:val="nil" w:sz="6" w:space="0" w:color="auto"/>
              <w:right w:val="single" w:sz="4" w:space="0" w:color="000000"/>
            </w:tcBorders>
          </w:tcPr>
          <w:p>
            <w:pPr/>
          </w:p>
        </w:tc>
        <w:tc>
          <w:tcPr>
            <w:tcW w:w="1265" w:type="dxa"/>
            <w:tcBorders>
              <w:top w:val="single" w:sz="4" w:space="0" w:color="000000"/>
              <w:left w:val="single" w:sz="4" w:space="0" w:color="000000"/>
              <w:bottom w:val="nil" w:sz="6" w:space="0" w:color="auto"/>
              <w:right w:val="single" w:sz="4" w:space="0" w:color="000000"/>
            </w:tcBorders>
          </w:tcPr>
          <w:p>
            <w:pPr/>
          </w:p>
        </w:tc>
        <w:tc>
          <w:tcPr>
            <w:tcW w:w="1080" w:type="dxa"/>
            <w:vMerge w:val="restart"/>
            <w:tcBorders>
              <w:top w:val="single" w:sz="4" w:space="0" w:color="000000"/>
              <w:left w:val="single" w:sz="4" w:space="0" w:color="000000"/>
              <w:right w:val="single" w:sz="4" w:space="0" w:color="000000"/>
            </w:tcBorders>
          </w:tcPr>
          <w:p>
            <w:pPr/>
          </w:p>
        </w:tc>
        <w:tc>
          <w:tcPr>
            <w:tcW w:w="1077" w:type="dxa"/>
            <w:vMerge w:val="restart"/>
            <w:tcBorders>
              <w:top w:val="single" w:sz="4" w:space="0" w:color="000000"/>
              <w:left w:val="single" w:sz="4" w:space="0" w:color="000000"/>
              <w:right w:val="single" w:sz="4" w:space="0" w:color="000000"/>
            </w:tcBorders>
          </w:tcPr>
          <w:p>
            <w:pPr/>
          </w:p>
        </w:tc>
      </w:tr>
      <w:tr>
        <w:trPr>
          <w:trHeight w:val="312"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园供应链管理</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3" w:type="dxa"/>
            <w:tcBorders>
              <w:top w:val="nil" w:sz="6" w:space="0" w:color="auto"/>
              <w:left w:val="single" w:sz="4" w:space="0" w:color="000000"/>
              <w:bottom w:val="nil" w:sz="6" w:space="0" w:color="auto"/>
              <w:right w:val="single" w:sz="4" w:space="0" w:color="000000"/>
            </w:tcBorders>
          </w:tcPr>
          <w:p>
            <w:pPr/>
          </w:p>
        </w:tc>
        <w:tc>
          <w:tcPr>
            <w:tcW w:w="1393"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1080" w:type="dxa"/>
            <w:vMerge/>
            <w:tcBorders>
              <w:left w:val="single" w:sz="4" w:space="0" w:color="000000"/>
              <w:right w:val="single" w:sz="4" w:space="0" w:color="000000"/>
            </w:tcBorders>
          </w:tcPr>
          <w:p>
            <w:pPr/>
          </w:p>
        </w:tc>
        <w:tc>
          <w:tcPr>
            <w:tcW w:w="1077" w:type="dxa"/>
            <w:vMerge/>
            <w:tcBorders>
              <w:left w:val="single" w:sz="4" w:space="0" w:color="000000"/>
              <w:right w:val="single" w:sz="4" w:space="0" w:color="000000"/>
            </w:tcBorders>
          </w:tcPr>
          <w:p>
            <w:pPr/>
          </w:p>
        </w:tc>
      </w:tr>
      <w:tr>
        <w:trPr>
          <w:trHeight w:val="312"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有限公司（原</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3" w:type="dxa"/>
            <w:tcBorders>
              <w:top w:val="nil" w:sz="6" w:space="0" w:color="auto"/>
              <w:left w:val="single" w:sz="4" w:space="0" w:color="000000"/>
              <w:bottom w:val="nil" w:sz="6" w:space="0" w:color="auto"/>
              <w:right w:val="single" w:sz="4" w:space="0" w:color="000000"/>
            </w:tcBorders>
          </w:tcPr>
          <w:p>
            <w:pPr/>
          </w:p>
        </w:tc>
        <w:tc>
          <w:tcPr>
            <w:tcW w:w="1393"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1080" w:type="dxa"/>
            <w:vMerge/>
            <w:tcBorders>
              <w:left w:val="single" w:sz="4" w:space="0" w:color="000000"/>
              <w:right w:val="single" w:sz="4" w:space="0" w:color="000000"/>
            </w:tcBorders>
          </w:tcPr>
          <w:p>
            <w:pPr/>
          </w:p>
        </w:tc>
        <w:tc>
          <w:tcPr>
            <w:tcW w:w="1077" w:type="dxa"/>
            <w:vMerge/>
            <w:tcBorders>
              <w:left w:val="single" w:sz="4" w:space="0" w:color="000000"/>
              <w:right w:val="single" w:sz="4" w:space="0" w:color="000000"/>
            </w:tcBorders>
          </w:tcPr>
          <w:p>
            <w:pPr/>
          </w:p>
        </w:tc>
      </w:tr>
      <w:tr>
        <w:trPr>
          <w:trHeight w:val="317"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pacing w:val="-4"/>
                <w:sz w:val="18"/>
                <w:szCs w:val="18"/>
              </w:rPr>
              <w:t>告）与鹤壁市永</w:t>
            </w:r>
          </w:p>
        </w:tc>
        <w:tc>
          <w:tcPr>
            <w:tcW w:w="108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434" w:right="0"/>
              <w:jc w:val="left"/>
              <w:rPr>
                <w:rFonts w:ascii="Times New Roman" w:hAnsi="Times New Roman" w:cs="Times New Roman" w:eastAsia="Times New Roman" w:hint="default"/>
                <w:sz w:val="18"/>
                <w:szCs w:val="18"/>
              </w:rPr>
            </w:pPr>
            <w:r>
              <w:rPr>
                <w:rFonts w:ascii="Times New Roman"/>
                <w:sz w:val="18"/>
              </w:rPr>
              <w:t>2,129.8</w:t>
            </w:r>
          </w:p>
        </w:tc>
        <w:tc>
          <w:tcPr>
            <w:tcW w:w="12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不形成</w:t>
            </w:r>
          </w:p>
        </w:tc>
        <w:tc>
          <w:tcPr>
            <w:tcW w:w="9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尚未开庭</w:t>
            </w:r>
          </w:p>
        </w:tc>
        <w:tc>
          <w:tcPr>
            <w:tcW w:w="1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80" w:type="dxa"/>
            <w:vMerge/>
            <w:tcBorders>
              <w:left w:val="single" w:sz="4" w:space="0" w:color="000000"/>
              <w:right w:val="single" w:sz="4" w:space="0" w:color="000000"/>
            </w:tcBorders>
          </w:tcPr>
          <w:p>
            <w:pPr/>
          </w:p>
        </w:tc>
        <w:tc>
          <w:tcPr>
            <w:tcW w:w="1077" w:type="dxa"/>
            <w:vMerge/>
            <w:tcBorders>
              <w:left w:val="single" w:sz="4" w:space="0" w:color="000000"/>
              <w:right w:val="single" w:sz="4" w:space="0" w:color="000000"/>
            </w:tcBorders>
          </w:tcPr>
          <w:p>
            <w:pPr/>
          </w:p>
        </w:tc>
      </w:tr>
      <w:tr>
        <w:trPr>
          <w:trHeight w:val="307"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达养殖有限公</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3" w:type="dxa"/>
            <w:tcBorders>
              <w:top w:val="nil" w:sz="6" w:space="0" w:color="auto"/>
              <w:left w:val="single" w:sz="4" w:space="0" w:color="000000"/>
              <w:bottom w:val="nil" w:sz="6" w:space="0" w:color="auto"/>
              <w:right w:val="single" w:sz="4" w:space="0" w:color="000000"/>
            </w:tcBorders>
          </w:tcPr>
          <w:p>
            <w:pPr/>
          </w:p>
        </w:tc>
        <w:tc>
          <w:tcPr>
            <w:tcW w:w="1393"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1080" w:type="dxa"/>
            <w:vMerge/>
            <w:tcBorders>
              <w:left w:val="single" w:sz="4" w:space="0" w:color="000000"/>
              <w:right w:val="single" w:sz="4" w:space="0" w:color="000000"/>
            </w:tcBorders>
          </w:tcPr>
          <w:p>
            <w:pPr/>
          </w:p>
        </w:tc>
        <w:tc>
          <w:tcPr>
            <w:tcW w:w="1077" w:type="dxa"/>
            <w:vMerge/>
            <w:tcBorders>
              <w:left w:val="single" w:sz="4" w:space="0" w:color="000000"/>
              <w:right w:val="single" w:sz="4" w:space="0" w:color="000000"/>
            </w:tcBorders>
          </w:tcPr>
          <w:p>
            <w:pPr/>
          </w:p>
        </w:tc>
      </w:tr>
      <w:tr>
        <w:trPr>
          <w:trHeight w:val="312"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pacing w:val="-4"/>
                <w:sz w:val="18"/>
                <w:szCs w:val="18"/>
              </w:rPr>
              <w:t>司（被告）委托</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3" w:type="dxa"/>
            <w:tcBorders>
              <w:top w:val="nil" w:sz="6" w:space="0" w:color="auto"/>
              <w:left w:val="single" w:sz="4" w:space="0" w:color="000000"/>
              <w:bottom w:val="nil" w:sz="6" w:space="0" w:color="auto"/>
              <w:right w:val="single" w:sz="4" w:space="0" w:color="000000"/>
            </w:tcBorders>
          </w:tcPr>
          <w:p>
            <w:pPr/>
          </w:p>
        </w:tc>
        <w:tc>
          <w:tcPr>
            <w:tcW w:w="1393"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1080" w:type="dxa"/>
            <w:vMerge/>
            <w:tcBorders>
              <w:left w:val="single" w:sz="4" w:space="0" w:color="000000"/>
              <w:right w:val="single" w:sz="4" w:space="0" w:color="000000"/>
            </w:tcBorders>
          </w:tcPr>
          <w:p>
            <w:pPr/>
          </w:p>
        </w:tc>
        <w:tc>
          <w:tcPr>
            <w:tcW w:w="1077" w:type="dxa"/>
            <w:vMerge/>
            <w:tcBorders>
              <w:left w:val="single" w:sz="4" w:space="0" w:color="000000"/>
              <w:right w:val="single" w:sz="4" w:space="0" w:color="000000"/>
            </w:tcBorders>
          </w:tcPr>
          <w:p>
            <w:pPr/>
          </w:p>
        </w:tc>
      </w:tr>
      <w:tr>
        <w:trPr>
          <w:trHeight w:val="357" w:hRule="exact"/>
        </w:trPr>
        <w:tc>
          <w:tcPr>
            <w:tcW w:w="14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合同纠纷</w:t>
            </w:r>
          </w:p>
        </w:tc>
        <w:tc>
          <w:tcPr>
            <w:tcW w:w="1086" w:type="dxa"/>
            <w:tcBorders>
              <w:top w:val="nil" w:sz="6" w:space="0" w:color="auto"/>
              <w:left w:val="single" w:sz="4" w:space="0" w:color="000000"/>
              <w:bottom w:val="single" w:sz="4" w:space="0" w:color="000000"/>
              <w:right w:val="single" w:sz="4" w:space="0" w:color="000000"/>
            </w:tcBorders>
          </w:tcPr>
          <w:p>
            <w:pPr/>
          </w:p>
        </w:tc>
        <w:tc>
          <w:tcPr>
            <w:tcW w:w="1265" w:type="dxa"/>
            <w:tcBorders>
              <w:top w:val="nil" w:sz="6" w:space="0" w:color="auto"/>
              <w:left w:val="single" w:sz="4" w:space="0" w:color="000000"/>
              <w:bottom w:val="single" w:sz="4" w:space="0" w:color="000000"/>
              <w:right w:val="single" w:sz="4" w:space="0" w:color="000000"/>
            </w:tcBorders>
          </w:tcPr>
          <w:p>
            <w:pPr/>
          </w:p>
        </w:tc>
        <w:tc>
          <w:tcPr>
            <w:tcW w:w="953" w:type="dxa"/>
            <w:tcBorders>
              <w:top w:val="nil" w:sz="6" w:space="0" w:color="auto"/>
              <w:left w:val="single" w:sz="4" w:space="0" w:color="000000"/>
              <w:bottom w:val="single" w:sz="4" w:space="0" w:color="000000"/>
              <w:right w:val="single" w:sz="4" w:space="0" w:color="000000"/>
            </w:tcBorders>
          </w:tcPr>
          <w:p>
            <w:pPr/>
          </w:p>
        </w:tc>
        <w:tc>
          <w:tcPr>
            <w:tcW w:w="1393" w:type="dxa"/>
            <w:tcBorders>
              <w:top w:val="nil" w:sz="6" w:space="0" w:color="auto"/>
              <w:left w:val="single" w:sz="4" w:space="0" w:color="000000"/>
              <w:bottom w:val="single" w:sz="4" w:space="0" w:color="000000"/>
              <w:right w:val="single" w:sz="4" w:space="0" w:color="000000"/>
            </w:tcBorders>
          </w:tcPr>
          <w:p>
            <w:pPr/>
          </w:p>
        </w:tc>
        <w:tc>
          <w:tcPr>
            <w:tcW w:w="1265" w:type="dxa"/>
            <w:tcBorders>
              <w:top w:val="nil" w:sz="6" w:space="0" w:color="auto"/>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1077" w:type="dxa"/>
            <w:vMerge/>
            <w:tcBorders>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before="26"/>
        <w:ind w:right="0"/>
        <w:jc w:val="both"/>
        <w:rPr>
          <w:b w:val="0"/>
          <w:bCs w:val="0"/>
        </w:rPr>
      </w:pPr>
      <w:bookmarkStart w:name="十二、处罚及整改情况" w:id="73"/>
      <w:bookmarkEnd w:id="73"/>
      <w:r>
        <w:rPr>
          <w:b w:val="0"/>
          <w:bCs w:val="0"/>
        </w:rPr>
      </w:r>
      <w:r>
        <w:rPr/>
        <w:t>十二、处罚及整改情况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874"/>
        <w:jc w:val="left"/>
      </w:pPr>
      <w:r>
        <w:rPr/>
        <w:t>□ 适用 √ 不适用 公司报告期不存在处罚及整改情况。</w:t>
      </w:r>
    </w:p>
    <w:p>
      <w:pPr>
        <w:spacing w:line="240" w:lineRule="auto" w:before="4"/>
        <w:rPr>
          <w:rFonts w:ascii="宋体" w:hAnsi="宋体" w:cs="宋体" w:eastAsia="宋体" w:hint="default"/>
          <w:sz w:val="18"/>
          <w:szCs w:val="18"/>
        </w:rPr>
      </w:pPr>
    </w:p>
    <w:p>
      <w:pPr>
        <w:pStyle w:val="Heading2"/>
        <w:spacing w:line="240" w:lineRule="auto"/>
        <w:ind w:right="0"/>
        <w:jc w:val="both"/>
        <w:rPr>
          <w:b w:val="0"/>
          <w:bCs w:val="0"/>
        </w:rPr>
      </w:pPr>
      <w:bookmarkStart w:name="十三、公司及其控股股东、实际控制人的诚信状况" w:id="74"/>
      <w:bookmarkEnd w:id="74"/>
      <w:r>
        <w:rPr>
          <w:b w:val="0"/>
          <w:bCs w:val="0"/>
        </w:rPr>
      </w:r>
      <w:r>
        <w:rPr/>
        <w:t>十三、公司及其控股股东、实际控制人的诚信状况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both"/>
        <w:rPr>
          <w:b w:val="0"/>
          <w:bCs w:val="0"/>
        </w:rPr>
      </w:pPr>
      <w:bookmarkStart w:name="十四、公司股权激励计划、员工持股计划或其他员工激励措施的实施情况" w:id="75"/>
      <w:bookmarkEnd w:id="75"/>
      <w:r>
        <w:rPr>
          <w:b w:val="0"/>
          <w:bCs w:val="0"/>
        </w:rPr>
      </w:r>
      <w:r>
        <w:rPr/>
        <w:t>十四、公司股权激励计划、员工持股计划或其他员工激励措施的实施情况</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left="472" w:right="915" w:hanging="360"/>
        <w:jc w:val="left"/>
      </w:pPr>
      <w:r>
        <w:rPr/>
        <w:t>√ 适用 □ 不适用 </w:t>
      </w:r>
      <w:r>
        <w:rPr>
          <w:spacing w:val="-2"/>
        </w:rPr>
        <w:t>1、2019年8月13日，公司召开第四届董事会第二次会议和第四届监事会第二次会议，审议通过了《关于公司2016年限制</w:t>
      </w:r>
    </w:p>
    <w:p>
      <w:pPr>
        <w:pStyle w:val="BodyText"/>
        <w:spacing w:line="222" w:lineRule="exact"/>
        <w:ind w:right="0"/>
        <w:jc w:val="both"/>
      </w:pPr>
      <w:r>
        <w:rPr/>
        <w:t>性股票激励计划</w:t>
      </w:r>
      <w:r>
        <w:rPr>
          <w:spacing w:val="2"/>
        </w:rPr>
        <w:t>第</w:t>
      </w:r>
      <w:r>
        <w:rPr/>
        <w:t>三个解锁期可解锁的议案</w:t>
      </w:r>
      <w:r>
        <w:rPr>
          <w:spacing w:val="-89"/>
        </w:rPr>
        <w:t>》</w:t>
      </w:r>
      <w:r>
        <w:rPr/>
        <w:t>。公司将按照相</w:t>
      </w:r>
      <w:r>
        <w:rPr>
          <w:spacing w:val="2"/>
        </w:rPr>
        <w:t>关</w:t>
      </w:r>
      <w:r>
        <w:rPr/>
        <w:t>规定办理</w:t>
      </w:r>
      <w:r>
        <w:rPr>
          <w:spacing w:val="1"/>
        </w:rPr>
        <w:t>2</w:t>
      </w:r>
      <w:r>
        <w:rPr>
          <w:spacing w:val="-2"/>
        </w:rPr>
        <w:t>0</w:t>
      </w:r>
      <w:r>
        <w:rPr>
          <w:spacing w:val="1"/>
        </w:rPr>
        <w:t>1</w:t>
      </w:r>
      <w:r>
        <w:rPr>
          <w:spacing w:val="-2"/>
        </w:rPr>
        <w:t>6</w:t>
      </w:r>
      <w:r>
        <w:rPr/>
        <w:t>年限制性股票激</w:t>
      </w:r>
      <w:r>
        <w:rPr>
          <w:spacing w:val="2"/>
        </w:rPr>
        <w:t>励</w:t>
      </w:r>
      <w:r>
        <w:rPr/>
        <w:t>计划第三期解锁事宜。除已</w:t>
      </w:r>
    </w:p>
    <w:p>
      <w:pPr>
        <w:pStyle w:val="BodyText"/>
        <w:spacing w:line="316" w:lineRule="auto" w:before="76"/>
        <w:ind w:right="1132"/>
        <w:jc w:val="both"/>
      </w:pPr>
      <w:r>
        <w:rPr/>
        <w:t>离职的激励对象外，本次符合解锁条件的激励对象共计93人，可申请解锁的限制性股票数量1,556,250股，占公司目前总股 </w:t>
      </w:r>
      <w:r>
        <w:rPr>
          <w:spacing w:val="-2"/>
        </w:rPr>
        <w:t>本的0.21%。具体内容详见公司于2019年8月14日在巨潮资讯网披露的《关于2016年限制性股票激励计划第三个解锁期可解锁</w:t>
      </w:r>
      <w:r>
        <w:rPr>
          <w:spacing w:val="-56"/>
        </w:rPr>
        <w:t> </w:t>
      </w:r>
      <w:r>
        <w:rPr>
          <w:spacing w:val="-56"/>
        </w:rPr>
      </w:r>
      <w:r>
        <w:rPr>
          <w:spacing w:val="-5"/>
        </w:rPr>
        <w:t>的公告》（公告编码：2019-037）</w:t>
      </w:r>
    </w:p>
    <w:p>
      <w:pPr>
        <w:pStyle w:val="BodyText"/>
        <w:spacing w:line="316" w:lineRule="auto" w:before="19"/>
        <w:ind w:right="1039" w:firstLine="360"/>
        <w:jc w:val="left"/>
      </w:pPr>
      <w:r>
        <w:rPr/>
        <w:t>2、2019年9月6日，公司召开2019年第一次临时股东大会，审议通过了《关于回购注销离职股权激励对象所持已获授但 </w:t>
      </w:r>
      <w:r>
        <w:rPr>
          <w:spacing w:val="-5"/>
        </w:rPr>
        <w:t>尚未解锁的限制性股票的议案》。公司2016年限制性股票原授予的激励对象张珺、张培、李华超共计3人因个人原因申请离职，</w:t>
      </w:r>
      <w:r>
        <w:rPr>
          <w:spacing w:val="-63"/>
        </w:rPr>
        <w:t> </w:t>
      </w:r>
      <w:r>
        <w:rPr>
          <w:spacing w:val="-63"/>
        </w:rPr>
      </w:r>
      <w:r>
        <w:rPr>
          <w:spacing w:val="-4"/>
        </w:rPr>
        <w:t>根据《管理办法（试行）》等有关法律、法规和规范性文件以及《限制性股票激励计划（草案）》的规定，上述3人已不具备</w:t>
      </w:r>
      <w:r>
        <w:rPr>
          <w:spacing w:val="-44"/>
        </w:rPr>
        <w:t> </w:t>
      </w:r>
      <w:r>
        <w:rPr>
          <w:spacing w:val="-44"/>
        </w:rPr>
      </w:r>
      <w:r>
        <w:rPr>
          <w:spacing w:val="-4"/>
        </w:rPr>
        <w:t>股权激励对象的条件，现对其持有的已获授权但尚未解锁的限制性股票进行回购注销。根据《限制性股票激励计划（草案）》</w:t>
      </w:r>
      <w:r>
        <w:rPr>
          <w:spacing w:val="-41"/>
        </w:rPr>
        <w:t> </w:t>
      </w:r>
      <w:r>
        <w:rPr>
          <w:spacing w:val="-41"/>
        </w:rPr>
      </w:r>
      <w:r>
        <w:rPr>
          <w:spacing w:val="-2"/>
        </w:rPr>
        <w:t>及《限制性股票激励计划实施考核管理办法》，因公司已完成2016年度、2017年度及2018年度的利润分配工作，本次拟回购</w:t>
      </w:r>
      <w:r>
        <w:rPr>
          <w:spacing w:val="-60"/>
        </w:rPr>
        <w:t> </w:t>
      </w:r>
      <w:r>
        <w:rPr>
          <w:spacing w:val="-60"/>
        </w:rPr>
      </w:r>
      <w:r>
        <w:rPr/>
        <w:t>注销的限制性股票的数量共计122,500股，公司对本次拟回购注销的限制性股票的回购价格进行相应调整，本次限制性股票</w:t>
      </w:r>
      <w:r>
        <w:rPr>
          <w:spacing w:val="-86"/>
        </w:rPr>
        <w:t> </w:t>
      </w:r>
      <w:r>
        <w:rPr>
          <w:spacing w:val="-86"/>
        </w:rPr>
      </w:r>
      <w:r>
        <w:rPr/>
        <w:t>回购注销的价格为9.298元/股。具体内容详见公司于2019年8月14日在巨潮资讯网披露的《关于回购注销离职股权激励对象</w:t>
      </w:r>
      <w:r>
        <w:rPr/>
        <w:t> </w:t>
      </w:r>
      <w:r>
        <w:rPr>
          <w:spacing w:val="-2"/>
        </w:rPr>
        <w:t>所持已获授但尚未解锁的限制性股票的公告》（公告编号：2019-038）以及公司于2019年9月6日在巨潮资讯网披露的《2019</w:t>
      </w:r>
      <w:r>
        <w:rPr>
          <w:spacing w:val="-55"/>
        </w:rPr>
        <w:t> </w:t>
      </w:r>
      <w:r>
        <w:rPr>
          <w:spacing w:val="-55"/>
        </w:rPr>
      </w:r>
      <w:r>
        <w:rPr>
          <w:spacing w:val="-4"/>
        </w:rPr>
        <w:t>年第一次临时股东大会决议公告》（公告编码：2019-046）</w:t>
      </w:r>
    </w:p>
    <w:p>
      <w:pPr>
        <w:pStyle w:val="BodyText"/>
        <w:spacing w:line="316" w:lineRule="auto" w:before="19"/>
        <w:ind w:right="1124" w:firstLine="360"/>
        <w:jc w:val="left"/>
      </w:pPr>
      <w:r>
        <w:rPr>
          <w:spacing w:val="-2"/>
        </w:rPr>
        <w:t>3、2019年9月26日，公司按照相关规定办理了2016年限制性股票激励计划第三期解锁事宜，符合解锁条件的激励对象共</w:t>
      </w:r>
      <w:r>
        <w:rPr/>
        <w:t> 计93人，解除限售的股份总数为1,556,250股，占公司总股本比例的0.21%。本次解除限售的股份于2019年9月26日可流通上</w:t>
      </w:r>
    </w:p>
    <w:p>
      <w:pPr>
        <w:spacing w:after="0" w:line="316" w:lineRule="auto"/>
        <w:jc w:val="left"/>
        <w:sectPr>
          <w:pgSz w:w="11910" w:h="16840"/>
          <w:pgMar w:header="919" w:footer="1016" w:top="1120" w:bottom="1200" w:left="1020" w:right="0"/>
        </w:sectPr>
      </w:pPr>
    </w:p>
    <w:p>
      <w:pPr>
        <w:spacing w:line="240" w:lineRule="auto" w:before="12"/>
        <w:rPr>
          <w:rFonts w:ascii="宋体" w:hAnsi="宋体" w:cs="宋体" w:eastAsia="宋体" w:hint="default"/>
          <w:sz w:val="20"/>
          <w:szCs w:val="20"/>
        </w:rPr>
      </w:pPr>
    </w:p>
    <w:p>
      <w:pPr>
        <w:pStyle w:val="BodyText"/>
        <w:spacing w:line="316" w:lineRule="auto" w:before="44"/>
        <w:ind w:right="1132"/>
        <w:jc w:val="left"/>
      </w:pPr>
      <w:r>
        <w:rPr/>
        <w:t>市。具体内容详见公司于2019年9月26日在巨潮资讯网披露的《关于限制性股票激励计划第三个解锁期可解锁股份上市流通</w:t>
      </w:r>
      <w:r>
        <w:rPr>
          <w:spacing w:val="-86"/>
        </w:rPr>
        <w:t> </w:t>
      </w:r>
      <w:r>
        <w:rPr>
          <w:spacing w:val="-86"/>
        </w:rPr>
      </w:r>
      <w:r>
        <w:rPr>
          <w:spacing w:val="-5"/>
        </w:rPr>
        <w:t>的提示性公告》（公告编码：2019-055）</w:t>
      </w:r>
    </w:p>
    <w:p>
      <w:pPr>
        <w:pStyle w:val="BodyText"/>
        <w:spacing w:line="316" w:lineRule="auto" w:before="19"/>
        <w:ind w:right="1131" w:firstLine="360"/>
        <w:jc w:val="both"/>
      </w:pPr>
      <w:r>
        <w:rPr/>
        <w:t>4、2019年12月11日，经中国证券登记结算有限责任公司深圳分公司审核确认，公司此次部分限制性股票回购注销事宜 已于2019年12月11日办理完成，公司股份总数由742,214,580股变更为742,092,080股。具体内容详见公司于2019年12月12</w:t>
      </w:r>
      <w:r>
        <w:rPr>
          <w:spacing w:val="-20"/>
        </w:rPr>
        <w:t> </w:t>
      </w:r>
      <w:r>
        <w:rPr>
          <w:spacing w:val="-20"/>
        </w:rPr>
      </w:r>
      <w:r>
        <w:rPr>
          <w:spacing w:val="-3"/>
        </w:rPr>
        <w:t>日在巨潮资讯网披露的《关于部分限制性股票回购注销完成的公告》（公告编码：2019-064）</w:t>
      </w:r>
    </w:p>
    <w:p>
      <w:pPr>
        <w:pStyle w:val="BodyText"/>
        <w:spacing w:line="316" w:lineRule="auto" w:before="19"/>
        <w:ind w:right="1132" w:firstLine="360"/>
        <w:jc w:val="both"/>
      </w:pPr>
      <w:r>
        <w:rPr/>
        <w:t>5、因回购注销离职股权激励对象所持部分股份导致股本减少，公司于2019年12月17日完成了相关工商变更登记和《公 </w:t>
      </w:r>
      <w:r>
        <w:rPr>
          <w:spacing w:val="-2"/>
        </w:rPr>
        <w:t>司章程》备案手续。具体内容详见公司于2019年12月18日在巨潮资讯网披露的《关于完成工商变更登记及备案的公告》（公</w:t>
      </w:r>
      <w:r>
        <w:rPr>
          <w:spacing w:val="-62"/>
        </w:rPr>
        <w:t> </w:t>
      </w:r>
      <w:r>
        <w:rPr>
          <w:spacing w:val="-62"/>
        </w:rPr>
      </w:r>
      <w:r>
        <w:rPr/>
        <w:t>告编码：2019-065）</w:t>
      </w:r>
    </w:p>
    <w:p>
      <w:pPr>
        <w:pStyle w:val="BodyText"/>
        <w:spacing w:line="316" w:lineRule="auto" w:before="19"/>
        <w:ind w:right="1130" w:firstLine="360"/>
        <w:jc w:val="both"/>
      </w:pPr>
      <w:r>
        <w:rPr/>
        <w:t>6、对公司财务的影响，对公司财务的影响：按照《企业会计准则第11号—股份支付》的规定，公司将在锁定期的每个 </w:t>
      </w:r>
      <w:r>
        <w:rPr>
          <w:spacing w:val="-2"/>
        </w:rPr>
        <w:t>资产负债表日，根据最新取得的可解锁人数变动、业绩指标完成情况等后续信息，修正预计可解锁的限制性股票数量，并按</w:t>
      </w:r>
      <w:r>
        <w:rPr>
          <w:spacing w:val="-64"/>
        </w:rPr>
        <w:t> </w:t>
      </w:r>
      <w:r>
        <w:rPr>
          <w:spacing w:val="-64"/>
        </w:rPr>
      </w:r>
      <w:r>
        <w:rPr>
          <w:spacing w:val="-2"/>
        </w:rPr>
        <w:t>照限制性股票授予日的公允价值，将当期取得的服务计入相关成本或费用和资本公积。经测算，2019年度公司实际摊销股权</w:t>
      </w:r>
      <w:r>
        <w:rPr>
          <w:spacing w:val="-61"/>
        </w:rPr>
        <w:t> </w:t>
      </w:r>
      <w:r>
        <w:rPr>
          <w:spacing w:val="-61"/>
        </w:rPr>
      </w:r>
      <w:r>
        <w:rPr/>
        <w:t>激励成本为849,574.31元。</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6"/>
          <w:szCs w:val="26"/>
        </w:rPr>
      </w:pPr>
    </w:p>
    <w:p>
      <w:pPr>
        <w:pStyle w:val="Heading2"/>
        <w:spacing w:line="240" w:lineRule="auto"/>
        <w:ind w:right="915"/>
        <w:jc w:val="left"/>
        <w:rPr>
          <w:b w:val="0"/>
          <w:bCs w:val="0"/>
        </w:rPr>
      </w:pPr>
      <w:bookmarkStart w:name="十五、重大关联交易" w:id="76"/>
      <w:bookmarkEnd w:id="76"/>
      <w:r>
        <w:rPr>
          <w:b w:val="0"/>
          <w:bCs w:val="0"/>
        </w:rPr>
      </w:r>
      <w:r>
        <w:rPr/>
        <w:t>十五、重大关联交易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15"/>
        <w:jc w:val="left"/>
        <w:rPr>
          <w:b w:val="0"/>
          <w:bCs w:val="0"/>
        </w:rPr>
      </w:pPr>
      <w:bookmarkStart w:name="1、与日常经营相关的关联交易" w:id="77"/>
      <w:bookmarkEnd w:id="77"/>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6794"/>
        <w:jc w:val="left"/>
      </w:pPr>
      <w:r>
        <w:rPr/>
        <w:t>□ 适用 √ 不适用 公司报告期未发生与日常经营相关的关联交易。</w:t>
      </w:r>
    </w:p>
    <w:p>
      <w:pPr>
        <w:spacing w:line="240" w:lineRule="auto" w:before="2"/>
        <w:rPr>
          <w:rFonts w:ascii="宋体" w:hAnsi="宋体" w:cs="宋体" w:eastAsia="宋体" w:hint="default"/>
          <w:sz w:val="20"/>
          <w:szCs w:val="20"/>
        </w:rPr>
      </w:pPr>
    </w:p>
    <w:p>
      <w:pPr>
        <w:pStyle w:val="Heading3"/>
        <w:spacing w:line="240" w:lineRule="auto"/>
        <w:ind w:right="915"/>
        <w:jc w:val="left"/>
        <w:rPr>
          <w:b w:val="0"/>
          <w:bCs w:val="0"/>
        </w:rPr>
      </w:pPr>
      <w:bookmarkStart w:name="2、资产或股权收购、出售发生的关联交易" w:id="78"/>
      <w:bookmarkEnd w:id="78"/>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6434"/>
        <w:jc w:val="left"/>
      </w:pPr>
      <w:r>
        <w:rPr/>
        <w:t>□ 适用 √ 不适用 公司报告期未发生资产或股权收购、出售的关联交易。</w:t>
      </w:r>
    </w:p>
    <w:p>
      <w:pPr>
        <w:spacing w:line="240" w:lineRule="auto" w:before="4"/>
        <w:rPr>
          <w:rFonts w:ascii="宋体" w:hAnsi="宋体" w:cs="宋体" w:eastAsia="宋体" w:hint="default"/>
          <w:sz w:val="20"/>
          <w:szCs w:val="20"/>
        </w:rPr>
      </w:pPr>
    </w:p>
    <w:p>
      <w:pPr>
        <w:pStyle w:val="Heading3"/>
        <w:spacing w:line="240" w:lineRule="auto"/>
        <w:ind w:right="915"/>
        <w:jc w:val="left"/>
        <w:rPr>
          <w:b w:val="0"/>
          <w:bCs w:val="0"/>
        </w:rPr>
      </w:pPr>
      <w:bookmarkStart w:name="3、共同对外投资的关联交易" w:id="79"/>
      <w:bookmarkEnd w:id="79"/>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154"/>
        <w:jc w:val="left"/>
      </w:pPr>
      <w:r>
        <w:rPr/>
        <w:t>□ 适用 √ 不适用 公司报告期未发生共同对外投资的关联交易。</w:t>
      </w:r>
    </w:p>
    <w:p>
      <w:pPr>
        <w:spacing w:line="240" w:lineRule="auto" w:before="12"/>
        <w:rPr>
          <w:rFonts w:ascii="宋体" w:hAnsi="宋体" w:cs="宋体" w:eastAsia="宋体" w:hint="default"/>
          <w:sz w:val="19"/>
          <w:szCs w:val="19"/>
        </w:rPr>
      </w:pPr>
    </w:p>
    <w:p>
      <w:pPr>
        <w:pStyle w:val="Heading3"/>
        <w:spacing w:line="240" w:lineRule="auto"/>
        <w:ind w:right="915"/>
        <w:jc w:val="left"/>
        <w:rPr>
          <w:b w:val="0"/>
          <w:bCs w:val="0"/>
        </w:rPr>
      </w:pPr>
      <w:bookmarkStart w:name="4、关联债权债务往来" w:id="80"/>
      <w:bookmarkEnd w:id="80"/>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4"/>
        <w:jc w:val="left"/>
      </w:pPr>
      <w:r>
        <w:rPr/>
        <w:t>□ 适用 √ 不适用 公司报告期不存在关联债权债务往来。</w:t>
      </w:r>
    </w:p>
    <w:p>
      <w:pPr>
        <w:spacing w:line="240" w:lineRule="auto" w:before="12"/>
        <w:rPr>
          <w:rFonts w:ascii="宋体" w:hAnsi="宋体" w:cs="宋体" w:eastAsia="宋体" w:hint="default"/>
          <w:sz w:val="19"/>
          <w:szCs w:val="19"/>
        </w:rPr>
      </w:pPr>
    </w:p>
    <w:p>
      <w:pPr>
        <w:pStyle w:val="Heading3"/>
        <w:spacing w:line="240" w:lineRule="auto"/>
        <w:ind w:right="915"/>
        <w:jc w:val="left"/>
        <w:rPr>
          <w:b w:val="0"/>
          <w:bCs w:val="0"/>
        </w:rPr>
      </w:pPr>
      <w:bookmarkStart w:name="5、其他重大关联交易" w:id="81"/>
      <w:bookmarkEnd w:id="81"/>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8054"/>
        <w:jc w:val="left"/>
      </w:pPr>
      <w:r>
        <w:rPr/>
        <w:t>□ 适用 √ 不适用 公司报告期无其他重大关联交易。</w:t>
      </w:r>
    </w:p>
    <w:p>
      <w:pPr>
        <w:spacing w:after="0" w:line="360" w:lineRule="auto"/>
        <w:jc w:val="left"/>
        <w:sectPr>
          <w:pgSz w:w="11910" w:h="16840"/>
          <w:pgMar w:header="919" w:footer="1016" w:top="1120" w:bottom="1200" w:left="1020" w:right="0"/>
        </w:sectPr>
      </w:pPr>
    </w:p>
    <w:p>
      <w:pPr>
        <w:spacing w:line="240" w:lineRule="auto" w:before="8"/>
        <w:rPr>
          <w:rFonts w:ascii="宋体" w:hAnsi="宋体" w:cs="宋体" w:eastAsia="宋体" w:hint="default"/>
          <w:sz w:val="18"/>
          <w:szCs w:val="18"/>
        </w:rPr>
      </w:pPr>
    </w:p>
    <w:p>
      <w:pPr>
        <w:pStyle w:val="Heading2"/>
        <w:spacing w:line="240" w:lineRule="auto" w:before="26"/>
        <w:ind w:right="915"/>
        <w:jc w:val="left"/>
        <w:rPr>
          <w:b w:val="0"/>
          <w:bCs w:val="0"/>
        </w:rPr>
      </w:pPr>
      <w:bookmarkStart w:name="十六、重大合同及其履行情况" w:id="82"/>
      <w:bookmarkEnd w:id="82"/>
      <w:r>
        <w:rPr>
          <w:b w:val="0"/>
          <w:bCs w:val="0"/>
        </w:rPr>
      </w:r>
      <w:r>
        <w:rPr/>
        <w:t>十六、重大合同及其履行情况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15"/>
        <w:jc w:val="left"/>
        <w:rPr>
          <w:b w:val="0"/>
          <w:bCs w:val="0"/>
        </w:rPr>
      </w:pPr>
      <w:bookmarkStart w:name="1、托管、承包、租赁事项情况" w:id="83"/>
      <w:bookmarkEnd w:id="83"/>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15"/>
        <w:jc w:val="left"/>
        <w:rPr>
          <w:b w:val="0"/>
          <w:bCs w:val="0"/>
        </w:rPr>
      </w:pPr>
      <w:bookmarkStart w:name="（1）托管情况" w:id="84"/>
      <w:bookmarkEnd w:id="84"/>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8414"/>
        <w:jc w:val="left"/>
      </w:pPr>
      <w:r>
        <w:rPr/>
        <w:t>□ 适用 √ 不适用 公司报告期不存在托管情况。</w:t>
      </w:r>
    </w:p>
    <w:p>
      <w:pPr>
        <w:spacing w:line="240" w:lineRule="auto" w:before="12"/>
        <w:rPr>
          <w:rFonts w:ascii="宋体" w:hAnsi="宋体" w:cs="宋体" w:eastAsia="宋体" w:hint="default"/>
          <w:sz w:val="19"/>
          <w:szCs w:val="19"/>
        </w:rPr>
      </w:pPr>
    </w:p>
    <w:p>
      <w:pPr>
        <w:pStyle w:val="Heading3"/>
        <w:spacing w:line="240" w:lineRule="auto"/>
        <w:ind w:right="915"/>
        <w:jc w:val="left"/>
        <w:rPr>
          <w:b w:val="0"/>
          <w:bCs w:val="0"/>
        </w:rPr>
      </w:pPr>
      <w:bookmarkStart w:name="（2）承包情况" w:id="85"/>
      <w:bookmarkEnd w:id="85"/>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8414"/>
        <w:jc w:val="left"/>
      </w:pPr>
      <w:r>
        <w:rPr/>
        <w:t>□ 适用 √ 不适用 公司报告期不存在承包情况。</w:t>
      </w:r>
    </w:p>
    <w:p>
      <w:pPr>
        <w:spacing w:line="240" w:lineRule="auto" w:before="2"/>
        <w:rPr>
          <w:rFonts w:ascii="宋体" w:hAnsi="宋体" w:cs="宋体" w:eastAsia="宋体" w:hint="default"/>
          <w:sz w:val="20"/>
          <w:szCs w:val="20"/>
        </w:rPr>
      </w:pPr>
    </w:p>
    <w:p>
      <w:pPr>
        <w:pStyle w:val="Heading3"/>
        <w:spacing w:line="240" w:lineRule="auto"/>
        <w:ind w:right="915"/>
        <w:jc w:val="left"/>
        <w:rPr>
          <w:b w:val="0"/>
          <w:bCs w:val="0"/>
        </w:rPr>
      </w:pPr>
      <w:bookmarkStart w:name="（3）租赁情况" w:id="86"/>
      <w:bookmarkEnd w:id="86"/>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15"/>
        <w:jc w:val="left"/>
      </w:pPr>
      <w:r>
        <w:rPr/>
        <w:t>√ 适用  □</w:t>
      </w:r>
      <w:r>
        <w:rPr>
          <w:spacing w:val="-1"/>
        </w:rPr>
        <w:t> </w:t>
      </w:r>
      <w:r>
        <w:rPr/>
        <w:t>不适用</w:t>
      </w:r>
    </w:p>
    <w:p>
      <w:pPr>
        <w:pStyle w:val="BodyText"/>
        <w:spacing w:line="240" w:lineRule="auto" w:before="117"/>
        <w:ind w:left="0" w:right="1132"/>
        <w:jc w:val="right"/>
      </w:pP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spacing w:val="-4"/>
        </w:rPr>
        <w:t>1</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45"/>
        </w:rPr>
        <w:t> </w:t>
      </w:r>
      <w:r>
        <w:rPr>
          <w:rFonts w:ascii="Times New Roman" w:hAnsi="Times New Roman" w:cs="Times New Roman" w:eastAsia="Times New Roman" w:hint="default"/>
          <w:spacing w:val="-4"/>
        </w:rPr>
        <w:t>1</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日</w:t>
      </w:r>
      <w:r>
        <w:rPr>
          <w:spacing w:val="-8"/>
        </w:rPr>
        <w:t>，</w:t>
      </w:r>
      <w:r>
        <w:rPr/>
        <w:t>公司与北京嘉禾国信投资有限责任公司签</w:t>
      </w:r>
      <w:r>
        <w:rPr>
          <w:spacing w:val="-8"/>
        </w:rPr>
        <w:t>订</w:t>
      </w:r>
      <w:r>
        <w:rPr/>
        <w:t>《嘉禾国信大厦办公区域租赁合同</w:t>
      </w:r>
      <w:r>
        <w:rPr>
          <w:spacing w:val="-92"/>
        </w:rPr>
        <w:t>》</w:t>
      </w:r>
      <w:r>
        <w:rPr>
          <w:spacing w:val="-8"/>
        </w:rPr>
        <w:t>，</w:t>
      </w:r>
      <w:r>
        <w:rPr/>
        <w:t>约定北京嘉禾国</w:t>
      </w:r>
    </w:p>
    <w:p>
      <w:pPr>
        <w:pStyle w:val="BodyText"/>
        <w:spacing w:line="240" w:lineRule="auto" w:before="63"/>
        <w:ind w:right="915"/>
        <w:jc w:val="left"/>
      </w:pPr>
      <w:r>
        <w:rPr/>
        <w:t>信投资有限责任公司将其位于北京市东城区广渠门内白桥大街</w:t>
      </w:r>
      <w:r>
        <w:rPr>
          <w:spacing w:val="-45"/>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号的嘉禾国信大厦第</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层</w:t>
      </w:r>
      <w:r>
        <w:rPr>
          <w:spacing w:val="-45"/>
        </w:rPr>
        <w:t> </w:t>
      </w:r>
      <w:r>
        <w:rPr>
          <w:rFonts w:ascii="Times New Roman" w:hAnsi="Times New Roman" w:cs="Times New Roman" w:eastAsia="Times New Roman" w:hint="default"/>
        </w:rPr>
        <w:t>901-912</w:t>
      </w:r>
      <w:r>
        <w:rPr>
          <w:rFonts w:ascii="Times New Roman" w:hAnsi="Times New Roman" w:cs="Times New Roman" w:eastAsia="Times New Roman" w:hint="default"/>
          <w:spacing w:val="-3"/>
        </w:rPr>
        <w:t> </w:t>
      </w:r>
      <w:r>
        <w:rPr/>
        <w:t>号租赁给公司，租赁面</w:t>
      </w:r>
    </w:p>
    <w:p>
      <w:pPr>
        <w:pStyle w:val="BodyText"/>
        <w:spacing w:line="240" w:lineRule="auto" w:before="63"/>
        <w:ind w:right="915"/>
        <w:jc w:val="left"/>
      </w:pPr>
      <w:r>
        <w:rPr/>
        <w:t>积约为</w:t>
      </w:r>
      <w:r>
        <w:rPr>
          <w:spacing w:val="-46"/>
        </w:rPr>
        <w:t> </w:t>
      </w:r>
      <w:r>
        <w:rPr>
          <w:rFonts w:ascii="Times New Roman" w:hAnsi="Times New Roman" w:cs="Times New Roman" w:eastAsia="Times New Roman" w:hint="default"/>
        </w:rPr>
        <w:t>2,387.24</w:t>
      </w:r>
      <w:r>
        <w:rPr>
          <w:rFonts w:ascii="Times New Roman" w:hAnsi="Times New Roman" w:cs="Times New Roman" w:eastAsia="Times New Roman" w:hint="default"/>
          <w:spacing w:val="-2"/>
        </w:rPr>
        <w:t> </w:t>
      </w:r>
      <w:r>
        <w:rPr/>
        <w:t>平方米。租赁期限自</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11</w:t>
      </w:r>
      <w:r>
        <w:rPr>
          <w:rFonts w:ascii="Times New Roman" w:hAnsi="Times New Roman" w:cs="Times New Roman" w:eastAsia="Times New Roman" w:hint="default"/>
          <w:spacing w:val="-4"/>
        </w:rPr>
        <w:t> </w:t>
      </w:r>
      <w:r>
        <w:rPr/>
        <w:t>月</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日至</w:t>
      </w:r>
      <w:r>
        <w:rPr>
          <w:spacing w:val="-1"/>
        </w:rPr>
        <w:t> </w:t>
      </w:r>
      <w:r>
        <w:rPr>
          <w:rFonts w:ascii="Times New Roman" w:hAnsi="Times New Roman" w:cs="Times New Roman" w:eastAsia="Times New Roman" w:hint="default"/>
        </w:rPr>
        <w:t>2022</w:t>
      </w:r>
      <w:r>
        <w:rPr>
          <w:rFonts w:ascii="Times New Roman" w:hAnsi="Times New Roman" w:cs="Times New Roman" w:eastAsia="Times New Roman" w:hint="default"/>
          <w:spacing w:val="-4"/>
        </w:rPr>
        <w:t> </w:t>
      </w:r>
      <w:r>
        <w:rPr/>
        <w:t>年</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日，租金为人民币</w:t>
      </w:r>
      <w:r>
        <w:rPr>
          <w:spacing w:val="-46"/>
        </w:rPr>
        <w:t> </w:t>
      </w:r>
      <w:r>
        <w:rPr>
          <w:rFonts w:ascii="Times New Roman" w:hAnsi="Times New Roman" w:cs="Times New Roman" w:eastAsia="Times New Roman" w:hint="default"/>
        </w:rPr>
        <w:t>482,532.82</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w:t>
      </w:r>
      <w:r>
        <w:rPr/>
        <w:t>月。</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BodyText"/>
        <w:spacing w:line="240" w:lineRule="auto"/>
        <w:ind w:right="915"/>
        <w:jc w:val="left"/>
      </w:pPr>
      <w:r>
        <w:rPr/>
        <w:t>□ 适用 √ 不适用</w:t>
      </w:r>
    </w:p>
    <w:p>
      <w:pPr>
        <w:pStyle w:val="BodyText"/>
        <w:spacing w:line="240" w:lineRule="auto" w:before="117"/>
        <w:ind w:right="915"/>
        <w:jc w:val="left"/>
      </w:pPr>
      <w:r>
        <w:rPr/>
        <w:t>公司报告期不存在为公司带来的损益达到公司报告期利润总额</w:t>
      </w:r>
      <w:r>
        <w:rPr>
          <w:spacing w:val="-48"/>
        </w:rPr>
        <w:t> </w:t>
      </w:r>
      <w:r>
        <w:rPr>
          <w:rFonts w:ascii="Times New Roman" w:hAnsi="Times New Roman" w:cs="Times New Roman" w:eastAsia="Times New Roman" w:hint="default"/>
        </w:rPr>
        <w:t>10%</w:t>
      </w:r>
      <w:r>
        <w:rPr/>
        <w:t>以上的租赁项目。</w:t>
      </w:r>
    </w:p>
    <w:p>
      <w:pPr>
        <w:spacing w:line="240" w:lineRule="auto" w:before="13"/>
        <w:rPr>
          <w:rFonts w:ascii="宋体" w:hAnsi="宋体" w:cs="宋体" w:eastAsia="宋体" w:hint="default"/>
          <w:sz w:val="25"/>
          <w:szCs w:val="25"/>
        </w:rPr>
      </w:pPr>
    </w:p>
    <w:p>
      <w:pPr>
        <w:pStyle w:val="Heading3"/>
        <w:spacing w:line="240" w:lineRule="auto"/>
        <w:ind w:right="915"/>
        <w:jc w:val="left"/>
        <w:rPr>
          <w:b w:val="0"/>
          <w:bCs w:val="0"/>
        </w:rPr>
      </w:pPr>
      <w:bookmarkStart w:name="2、重大担保" w:id="87"/>
      <w:bookmarkEnd w:id="87"/>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15"/>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915"/>
        <w:jc w:val="left"/>
        <w:rPr>
          <w:b w:val="0"/>
          <w:bCs w:val="0"/>
        </w:rPr>
      </w:pPr>
      <w:bookmarkStart w:name="（1）担保情况" w:id="88"/>
      <w:bookmarkEnd w:id="88"/>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2"/>
        <w:jc w:val="right"/>
      </w:pPr>
      <w:r>
        <w:rPr/>
        <w:t>单位：万元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709"/>
        <w:gridCol w:w="927"/>
        <w:gridCol w:w="921"/>
        <w:gridCol w:w="1293"/>
        <w:gridCol w:w="1063"/>
        <w:gridCol w:w="1035"/>
        <w:gridCol w:w="1048"/>
        <w:gridCol w:w="793"/>
        <w:gridCol w:w="779"/>
      </w:tblGrid>
      <w:tr>
        <w:trPr>
          <w:trHeight w:val="402"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8"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338"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90" w:right="184"/>
              <w:jc w:val="both"/>
              <w:rPr>
                <w:rFonts w:ascii="宋体" w:hAnsi="宋体" w:cs="宋体" w:eastAsia="宋体" w:hint="default"/>
                <w:sz w:val="18"/>
                <w:szCs w:val="18"/>
              </w:rPr>
            </w:pPr>
            <w:r>
              <w:rPr>
                <w:rFonts w:ascii="宋体" w:hAnsi="宋体" w:cs="宋体" w:eastAsia="宋体" w:hint="default"/>
                <w:sz w:val="18"/>
                <w:szCs w:val="18"/>
              </w:rPr>
              <w:t>担保额 度相关 公告披 露日期</w:t>
            </w:r>
          </w:p>
        </w:tc>
        <w:tc>
          <w:tcPr>
            <w:tcW w:w="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68" w:right="181" w:hanging="180"/>
              <w:jc w:val="left"/>
              <w:rPr>
                <w:rFonts w:ascii="宋体" w:hAnsi="宋体" w:cs="宋体" w:eastAsia="宋体" w:hint="default"/>
                <w:sz w:val="18"/>
                <w:szCs w:val="18"/>
              </w:rPr>
            </w:pPr>
            <w:r>
              <w:rPr>
                <w:rFonts w:ascii="宋体" w:hAnsi="宋体" w:cs="宋体" w:eastAsia="宋体" w:hint="default"/>
                <w:sz w:val="18"/>
                <w:szCs w:val="18"/>
              </w:rPr>
              <w:t>担保额 度</w:t>
            </w:r>
          </w:p>
        </w:tc>
        <w:tc>
          <w:tcPr>
            <w:tcW w:w="1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553" w:right="188" w:hanging="360"/>
              <w:jc w:val="left"/>
              <w:rPr>
                <w:rFonts w:ascii="宋体" w:hAnsi="宋体" w:cs="宋体" w:eastAsia="宋体" w:hint="default"/>
                <w:sz w:val="18"/>
                <w:szCs w:val="18"/>
              </w:rPr>
            </w:pPr>
            <w:r>
              <w:rPr>
                <w:rFonts w:ascii="宋体" w:hAnsi="宋体" w:cs="宋体" w:eastAsia="宋体" w:hint="default"/>
                <w:sz w:val="18"/>
                <w:szCs w:val="18"/>
              </w:rPr>
              <w:t>实际发生日 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47" w:right="164"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50"/>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46"/>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21" w:right="119"/>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13" w:right="113"/>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402"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338"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85" w:right="189"/>
              <w:jc w:val="both"/>
              <w:rPr>
                <w:rFonts w:ascii="宋体" w:hAnsi="宋体" w:cs="宋体" w:eastAsia="宋体" w:hint="default"/>
                <w:sz w:val="18"/>
                <w:szCs w:val="18"/>
              </w:rPr>
            </w:pPr>
            <w:r>
              <w:rPr>
                <w:rFonts w:ascii="宋体" w:hAnsi="宋体" w:cs="宋体" w:eastAsia="宋体" w:hint="default"/>
                <w:sz w:val="18"/>
                <w:szCs w:val="18"/>
              </w:rPr>
              <w:t>担保额 度相关 公告披 露日期</w:t>
            </w:r>
          </w:p>
        </w:tc>
        <w:tc>
          <w:tcPr>
            <w:tcW w:w="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63" w:right="186" w:hanging="180"/>
              <w:jc w:val="left"/>
              <w:rPr>
                <w:rFonts w:ascii="宋体" w:hAnsi="宋体" w:cs="宋体" w:eastAsia="宋体" w:hint="default"/>
                <w:sz w:val="18"/>
                <w:szCs w:val="18"/>
              </w:rPr>
            </w:pPr>
            <w:r>
              <w:rPr>
                <w:rFonts w:ascii="宋体" w:hAnsi="宋体" w:cs="宋体" w:eastAsia="宋体" w:hint="default"/>
                <w:sz w:val="18"/>
                <w:szCs w:val="18"/>
              </w:rPr>
              <w:t>担保额 度</w:t>
            </w:r>
          </w:p>
        </w:tc>
        <w:tc>
          <w:tcPr>
            <w:tcW w:w="1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47" w:right="164"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50"/>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50"/>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19" w:right="121"/>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13" w:right="113"/>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400"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53"/>
              <w:jc w:val="center"/>
              <w:rPr>
                <w:rFonts w:ascii="宋体" w:hAnsi="宋体" w:cs="宋体" w:eastAsia="宋体" w:hint="default"/>
                <w:sz w:val="18"/>
                <w:szCs w:val="18"/>
              </w:rPr>
            </w:pPr>
            <w:r>
              <w:rPr>
                <w:rFonts w:ascii="宋体" w:hAnsi="宋体" w:cs="宋体" w:eastAsia="宋体" w:hint="default"/>
                <w:sz w:val="18"/>
                <w:szCs w:val="18"/>
              </w:rPr>
              <w:t>上海赢量信息科技</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0" w:right="0"/>
              <w:jc w:val="left"/>
              <w:rPr>
                <w:rFonts w:ascii="Times New Roman" w:hAnsi="Times New Roman" w:cs="Times New Roman" w:eastAsia="Times New Roman" w:hint="default"/>
                <w:sz w:val="18"/>
                <w:szCs w:val="18"/>
              </w:rPr>
            </w:pPr>
            <w:r>
              <w:rPr>
                <w:rFonts w:ascii="Times New Roman"/>
                <w:sz w:val="18"/>
              </w:rPr>
              <w:t>20,000</w:t>
            </w:r>
          </w:p>
        </w:tc>
        <w:tc>
          <w:tcPr>
            <w:tcW w:w="1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3" w:right="0"/>
              <w:jc w:val="left"/>
              <w:rPr>
                <w:rFonts w:ascii="Times New Roman" w:hAnsi="Times New Roman" w:cs="Times New Roman" w:eastAsia="Times New Roman" w:hint="default"/>
                <w:sz w:val="18"/>
                <w:szCs w:val="18"/>
              </w:rPr>
            </w:pPr>
            <w:r>
              <w:rPr>
                <w:rFonts w:ascii="Times New Roman"/>
                <w:sz w:val="18"/>
              </w:rPr>
              <w:t>5,000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2" w:right="0"/>
              <w:jc w:val="left"/>
              <w:rPr>
                <w:rFonts w:ascii="宋体" w:hAnsi="宋体" w:cs="宋体" w:eastAsia="宋体" w:hint="default"/>
                <w:sz w:val="18"/>
                <w:szCs w:val="18"/>
              </w:rPr>
            </w:pPr>
            <w:r>
              <w:rPr>
                <w:rFonts w:ascii="宋体" w:hAnsi="宋体" w:cs="宋体" w:eastAsia="宋体" w:hint="default"/>
                <w:sz w:val="18"/>
                <w:szCs w:val="18"/>
              </w:rPr>
              <w:t>连带责任</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19" w:footer="1016"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1707"/>
        <w:gridCol w:w="921"/>
        <w:gridCol w:w="918"/>
        <w:gridCol w:w="1304"/>
        <w:gridCol w:w="1053"/>
        <w:gridCol w:w="1045"/>
        <w:gridCol w:w="1045"/>
        <w:gridCol w:w="791"/>
        <w:gridCol w:w="784"/>
      </w:tblGrid>
      <w:tr>
        <w:trPr>
          <w:trHeight w:val="674"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10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18"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053"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12" w:right="0"/>
              <w:jc w:val="left"/>
              <w:rPr>
                <w:rFonts w:ascii="宋体" w:hAnsi="宋体" w:cs="宋体" w:eastAsia="宋体" w:hint="default"/>
                <w:sz w:val="18"/>
                <w:szCs w:val="18"/>
              </w:rPr>
            </w:pPr>
            <w:r>
              <w:rPr>
                <w:rFonts w:ascii="宋体" w:hAnsi="宋体" w:cs="宋体" w:eastAsia="宋体" w:hint="default"/>
                <w:sz w:val="18"/>
                <w:szCs w:val="18"/>
              </w:rPr>
              <w:t>保证</w:t>
            </w:r>
          </w:p>
        </w:tc>
        <w:tc>
          <w:tcPr>
            <w:tcW w:w="1045"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1" w:right="152"/>
              <w:jc w:val="left"/>
              <w:rPr>
                <w:rFonts w:ascii="宋体" w:hAnsi="宋体" w:cs="宋体" w:eastAsia="宋体" w:hint="default"/>
                <w:sz w:val="18"/>
                <w:szCs w:val="18"/>
              </w:rPr>
            </w:pPr>
            <w:r>
              <w:rPr>
                <w:rFonts w:ascii="宋体" w:hAnsi="宋体" w:cs="宋体" w:eastAsia="宋体" w:hint="default"/>
                <w:sz w:val="18"/>
                <w:szCs w:val="18"/>
              </w:rPr>
              <w:t>上海赢量信息科技 有限公司</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10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18" w:right="0"/>
              <w:jc w:val="left"/>
              <w:rPr>
                <w:rFonts w:ascii="Times New Roman" w:hAnsi="Times New Roman" w:cs="Times New Roman" w:eastAsia="Times New Roman" w:hint="default"/>
                <w:sz w:val="18"/>
                <w:szCs w:val="18"/>
              </w:rPr>
            </w:pPr>
            <w:r>
              <w:rPr>
                <w:rFonts w:ascii="Times New Roman"/>
                <w:sz w:val="18"/>
              </w:rPr>
              <w:t>20,000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43" w:right="0"/>
              <w:jc w:val="left"/>
              <w:rPr>
                <w:rFonts w:ascii="Times New Roman" w:hAnsi="Times New Roman" w:cs="Times New Roman" w:eastAsia="Times New Roman" w:hint="default"/>
                <w:sz w:val="18"/>
                <w:szCs w:val="18"/>
              </w:rPr>
            </w:pPr>
            <w:r>
              <w:rPr>
                <w:rFonts w:ascii="Times New Roman"/>
                <w:sz w:val="18"/>
              </w:rPr>
              <w:t>5,000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12" w:right="200"/>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1"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74"/>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2" w:right="152"/>
              <w:jc w:val="left"/>
              <w:rPr>
                <w:rFonts w:ascii="宋体" w:hAnsi="宋体" w:cs="宋体" w:eastAsia="宋体" w:hint="default"/>
                <w:sz w:val="18"/>
                <w:szCs w:val="18"/>
              </w:rPr>
            </w:pPr>
            <w:r>
              <w:rPr>
                <w:rFonts w:ascii="宋体" w:hAnsi="宋体" w:cs="宋体" w:eastAsia="宋体" w:hint="default"/>
                <w:sz w:val="18"/>
                <w:szCs w:val="18"/>
              </w:rPr>
              <w:t>报告期内对子公司担保 实际发生额合计（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4" w:hRule="exact"/>
        </w:trPr>
        <w:tc>
          <w:tcPr>
            <w:tcW w:w="26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74"/>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2" w:right="184"/>
              <w:jc w:val="left"/>
              <w:rPr>
                <w:rFonts w:ascii="宋体" w:hAnsi="宋体" w:cs="宋体" w:eastAsia="宋体" w:hint="default"/>
                <w:sz w:val="18"/>
                <w:szCs w:val="18"/>
              </w:rPr>
            </w:pPr>
            <w:r>
              <w:rPr>
                <w:rFonts w:ascii="宋体" w:hAnsi="宋体" w:cs="宋体" w:eastAsia="宋体" w:hint="default"/>
                <w:sz w:val="18"/>
                <w:szCs w:val="18"/>
              </w:rPr>
              <w:t>报告期末对子公司实际 担保余额合计（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338" w:hRule="exact"/>
        </w:trPr>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81" w:right="188"/>
              <w:jc w:val="both"/>
              <w:rPr>
                <w:rFonts w:ascii="宋体" w:hAnsi="宋体" w:cs="宋体" w:eastAsia="宋体" w:hint="default"/>
                <w:sz w:val="18"/>
                <w:szCs w:val="18"/>
              </w:rPr>
            </w:pPr>
            <w:r>
              <w:rPr>
                <w:rFonts w:ascii="宋体" w:hAnsi="宋体" w:cs="宋体" w:eastAsia="宋体" w:hint="default"/>
                <w:sz w:val="18"/>
                <w:szCs w:val="18"/>
              </w:rPr>
              <w:t>担保额 度相关 公告披 露日期</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53" w:right="191" w:hanging="180"/>
              <w:jc w:val="left"/>
              <w:rPr>
                <w:rFonts w:ascii="宋体" w:hAnsi="宋体" w:cs="宋体" w:eastAsia="宋体" w:hint="default"/>
                <w:sz w:val="18"/>
                <w:szCs w:val="18"/>
              </w:rPr>
            </w:pPr>
            <w:r>
              <w:rPr>
                <w:rFonts w:ascii="宋体" w:hAnsi="宋体" w:cs="宋体" w:eastAsia="宋体" w:hint="default"/>
                <w:sz w:val="18"/>
                <w:szCs w:val="18"/>
              </w:rPr>
              <w:t>担保额 度</w:t>
            </w:r>
          </w:p>
        </w:tc>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37" w:right="164"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5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45"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17" w:right="121"/>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13" w:right="118"/>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402"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4" w:hRule="exact"/>
        </w:trPr>
        <w:tc>
          <w:tcPr>
            <w:tcW w:w="26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2" w:right="184"/>
              <w:jc w:val="left"/>
              <w:rPr>
                <w:rFonts w:ascii="宋体" w:hAnsi="宋体" w:cs="宋体" w:eastAsia="宋体" w:hint="default"/>
                <w:sz w:val="18"/>
                <w:szCs w:val="18"/>
              </w:rPr>
            </w:pPr>
            <w:r>
              <w:rPr>
                <w:rFonts w:ascii="宋体" w:hAnsi="宋体" w:cs="宋体" w:eastAsia="宋体" w:hint="default"/>
                <w:sz w:val="18"/>
                <w:szCs w:val="18"/>
              </w:rPr>
              <w:t>报告期内担保实际发生 额合计（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4" w:hRule="exact"/>
        </w:trPr>
        <w:tc>
          <w:tcPr>
            <w:tcW w:w="26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74"/>
              <w:jc w:val="left"/>
              <w:rPr>
                <w:rFonts w:ascii="宋体" w:hAnsi="宋体" w:cs="宋体" w:eastAsia="宋体" w:hint="default"/>
                <w:sz w:val="18"/>
                <w:szCs w:val="18"/>
              </w:rPr>
            </w:pPr>
            <w:r>
              <w:rPr>
                <w:rFonts w:ascii="宋体" w:hAnsi="宋体" w:cs="宋体" w:eastAsia="宋体" w:hint="default"/>
                <w:sz w:val="18"/>
                <w:szCs w:val="18"/>
              </w:rPr>
              <w:t>报告期末已审批的担保额度合 计（</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2" w:right="184"/>
              <w:jc w:val="left"/>
              <w:rPr>
                <w:rFonts w:ascii="宋体" w:hAnsi="宋体" w:cs="宋体" w:eastAsia="宋体" w:hint="default"/>
                <w:sz w:val="18"/>
                <w:szCs w:val="18"/>
              </w:rPr>
            </w:pPr>
            <w:r>
              <w:rPr>
                <w:rFonts w:ascii="宋体" w:hAnsi="宋体" w:cs="宋体" w:eastAsia="宋体" w:hint="default"/>
                <w:sz w:val="18"/>
                <w:szCs w:val="18"/>
              </w:rPr>
              <w:t>报告期末实际担保余额 合计（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485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3.56%</w:t>
            </w:r>
          </w:p>
        </w:tc>
      </w:tr>
      <w:tr>
        <w:trPr>
          <w:trHeight w:val="402"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其中：</w:t>
            </w:r>
          </w:p>
        </w:tc>
      </w:tr>
    </w:tbl>
    <w:p>
      <w:pPr>
        <w:pStyle w:val="BodyText"/>
        <w:spacing w:line="360" w:lineRule="auto" w:before="50"/>
        <w:ind w:right="8054"/>
        <w:jc w:val="left"/>
      </w:pPr>
      <w:r>
        <w:rPr/>
        <w:t>采用复合方式担保的具体情况说明 无</w:t>
      </w:r>
    </w:p>
    <w:p>
      <w:pPr>
        <w:spacing w:line="240" w:lineRule="auto" w:before="2"/>
        <w:rPr>
          <w:rFonts w:ascii="宋体" w:hAnsi="宋体" w:cs="宋体" w:eastAsia="宋体" w:hint="default"/>
          <w:sz w:val="20"/>
          <w:szCs w:val="20"/>
        </w:rPr>
      </w:pPr>
    </w:p>
    <w:p>
      <w:pPr>
        <w:pStyle w:val="Heading3"/>
        <w:spacing w:line="240" w:lineRule="auto"/>
        <w:ind w:right="915"/>
        <w:jc w:val="left"/>
        <w:rPr>
          <w:b w:val="0"/>
          <w:bCs w:val="0"/>
        </w:rPr>
      </w:pPr>
      <w:bookmarkStart w:name="（2）违规对外担保情况" w:id="89"/>
      <w:bookmarkEnd w:id="89"/>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6794"/>
        <w:jc w:val="left"/>
      </w:pPr>
      <w:r>
        <w:rPr/>
        <w:t>□ 适用 √ 不适用 公司报告期无违规对外担保情况。</w:t>
      </w:r>
    </w:p>
    <w:p>
      <w:pPr>
        <w:spacing w:line="240" w:lineRule="auto" w:before="2"/>
        <w:rPr>
          <w:rFonts w:ascii="宋体" w:hAnsi="宋体" w:cs="宋体" w:eastAsia="宋体" w:hint="default"/>
          <w:sz w:val="20"/>
          <w:szCs w:val="20"/>
        </w:rPr>
      </w:pPr>
    </w:p>
    <w:p>
      <w:pPr>
        <w:pStyle w:val="Heading3"/>
        <w:spacing w:line="240" w:lineRule="auto"/>
        <w:ind w:right="915"/>
        <w:jc w:val="left"/>
        <w:rPr>
          <w:b w:val="0"/>
          <w:bCs w:val="0"/>
        </w:rPr>
      </w:pPr>
      <w:bookmarkStart w:name="3、委托他人进行现金资产管理情况" w:id="90"/>
      <w:bookmarkEnd w:id="90"/>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15"/>
        <w:jc w:val="left"/>
        <w:rPr>
          <w:b w:val="0"/>
          <w:bCs w:val="0"/>
        </w:rPr>
      </w:pPr>
      <w:bookmarkStart w:name="（1）委托理财情况" w:id="91"/>
      <w:bookmarkEnd w:id="91"/>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19" w:footer="1016" w:top="1120" w:bottom="1200" w:left="1020" w:right="0"/>
        </w:sectPr>
      </w:pPr>
    </w:p>
    <w:p>
      <w:pPr>
        <w:pStyle w:val="BodyText"/>
        <w:spacing w:line="360" w:lineRule="auto" w:before="44"/>
        <w:ind w:right="-20"/>
        <w:jc w:val="left"/>
      </w:pPr>
      <w:r>
        <w:rPr/>
        <w:t>√ 适用 □ 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100" w:bottom="1200" w:left="1020" w:right="0"/>
          <w:cols w:num="2" w:equalWidth="0">
            <w:col w:w="1913" w:space="6825"/>
            <w:col w:w="2152"/>
          </w:cols>
        </w:sectPr>
      </w:pP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868"/>
        <w:gridCol w:w="1962"/>
        <w:gridCol w:w="1981"/>
        <w:gridCol w:w="1909"/>
        <w:gridCol w:w="1847"/>
      </w:tblGrid>
      <w:tr>
        <w:trPr>
          <w:trHeight w:val="402"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54"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8"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34,590</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14,800</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0"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其他类</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z w:val="18"/>
              </w:rPr>
              <w:t>4,900</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0</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3830"/>
        <w:gridCol w:w="1981"/>
        <w:gridCol w:w="1909"/>
        <w:gridCol w:w="1847"/>
      </w:tblGrid>
      <w:tr>
        <w:trPr>
          <w:trHeight w:val="402" w:hRule="exact"/>
        </w:trPr>
        <w:tc>
          <w:tcPr>
            <w:tcW w:w="3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39,490</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14,800</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right="915"/>
        <w:jc w:val="left"/>
      </w:pPr>
      <w:r>
        <w:rPr/>
        <w:t>单项金额重大或安全性较低、流动性较差、不保本的高风险委托理财具体情况</w:t>
      </w:r>
    </w:p>
    <w:p>
      <w:pPr>
        <w:pStyle w:val="BodyText"/>
        <w:spacing w:line="357" w:lineRule="auto" w:before="117"/>
        <w:ind w:right="5714"/>
        <w:jc w:val="left"/>
      </w:pPr>
      <w:r>
        <w:rPr/>
        <w:t>□ 适用 √ 不适用 委托理财出现预期无法收回本金或存在其他可能导致减值的情形</w:t>
      </w:r>
    </w:p>
    <w:p>
      <w:pPr>
        <w:pStyle w:val="BodyText"/>
        <w:spacing w:line="240" w:lineRule="auto" w:before="29"/>
        <w:ind w:right="915"/>
        <w:jc w:val="left"/>
      </w:pPr>
      <w:r>
        <w:rPr/>
        <w:t>□ 适用 √ 不适用</w:t>
      </w:r>
    </w:p>
    <w:p>
      <w:pPr>
        <w:spacing w:line="240" w:lineRule="auto" w:before="0"/>
        <w:rPr>
          <w:rFonts w:ascii="宋体" w:hAnsi="宋体" w:cs="宋体" w:eastAsia="宋体" w:hint="default"/>
          <w:sz w:val="18"/>
          <w:szCs w:val="18"/>
        </w:rPr>
      </w:pPr>
    </w:p>
    <w:p>
      <w:pPr>
        <w:pStyle w:val="Heading3"/>
        <w:spacing w:line="240" w:lineRule="auto" w:before="118"/>
        <w:ind w:right="915"/>
        <w:jc w:val="left"/>
        <w:rPr>
          <w:b w:val="0"/>
          <w:bCs w:val="0"/>
        </w:rPr>
      </w:pPr>
      <w:bookmarkStart w:name="（2）委托贷款情况" w:id="92"/>
      <w:bookmarkEnd w:id="92"/>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8414"/>
        <w:jc w:val="left"/>
      </w:pPr>
      <w:r>
        <w:rPr/>
        <w:t>□ 适用 √ 不适用 公司报告期不存在委托贷款。</w:t>
      </w:r>
    </w:p>
    <w:p>
      <w:pPr>
        <w:spacing w:line="240" w:lineRule="auto" w:before="2"/>
        <w:rPr>
          <w:rFonts w:ascii="宋体" w:hAnsi="宋体" w:cs="宋体" w:eastAsia="宋体" w:hint="default"/>
          <w:sz w:val="20"/>
          <w:szCs w:val="20"/>
        </w:rPr>
      </w:pPr>
    </w:p>
    <w:p>
      <w:pPr>
        <w:pStyle w:val="Heading3"/>
        <w:spacing w:line="240" w:lineRule="auto"/>
        <w:ind w:right="915"/>
        <w:jc w:val="left"/>
        <w:rPr>
          <w:b w:val="0"/>
          <w:bCs w:val="0"/>
        </w:rPr>
      </w:pPr>
      <w:bookmarkStart w:name="4、其他重大合同" w:id="93"/>
      <w:bookmarkEnd w:id="93"/>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8054"/>
        <w:jc w:val="left"/>
      </w:pPr>
      <w:r>
        <w:rPr/>
        <w:t>□ 适用 √ 不适用 公司报告期不存在其他重大合同。</w:t>
      </w:r>
    </w:p>
    <w:p>
      <w:pPr>
        <w:spacing w:line="240" w:lineRule="auto" w:before="2"/>
        <w:rPr>
          <w:rFonts w:ascii="宋体" w:hAnsi="宋体" w:cs="宋体" w:eastAsia="宋体" w:hint="default"/>
          <w:sz w:val="18"/>
          <w:szCs w:val="18"/>
        </w:rPr>
      </w:pPr>
    </w:p>
    <w:p>
      <w:pPr>
        <w:spacing w:line="506" w:lineRule="auto" w:before="0"/>
        <w:ind w:left="112" w:right="8591" w:firstLine="0"/>
        <w:jc w:val="left"/>
        <w:rPr>
          <w:rFonts w:ascii="宋体" w:hAnsi="宋体" w:cs="宋体" w:eastAsia="宋体" w:hint="default"/>
          <w:sz w:val="18"/>
          <w:szCs w:val="18"/>
        </w:rPr>
      </w:pPr>
      <w:bookmarkStart w:name="十七、社会责任情况" w:id="94"/>
      <w:bookmarkEnd w:id="94"/>
      <w:r>
        <w:rPr/>
      </w:r>
      <w:r>
        <w:rPr>
          <w:rFonts w:ascii="宋体" w:hAnsi="宋体" w:cs="宋体" w:eastAsia="宋体" w:hint="default"/>
          <w:b/>
          <w:bCs/>
          <w:sz w:val="24"/>
          <w:szCs w:val="24"/>
        </w:rPr>
        <w:t>十七、社会责任情况</w:t>
      </w:r>
      <w:r>
        <w:rPr>
          <w:rFonts w:ascii="宋体" w:hAnsi="宋体" w:cs="宋体" w:eastAsia="宋体" w:hint="default"/>
          <w:b/>
          <w:bCs/>
          <w:w w:val="99"/>
          <w:sz w:val="24"/>
          <w:szCs w:val="24"/>
        </w:rPr>
        <w:t> </w:t>
      </w:r>
      <w:bookmarkStart w:name="1、履行社会责任情况" w:id="95"/>
      <w:bookmarkEnd w:id="95"/>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、履行社会责任情况</w:t>
      </w:r>
      <w:r>
        <w:rPr>
          <w:rFonts w:ascii="宋体" w:hAnsi="宋体" w:cs="宋体" w:eastAsia="宋体" w:hint="default"/>
          <w:b/>
          <w:bCs/>
          <w:w w:val="99"/>
          <w:sz w:val="21"/>
          <w:szCs w:val="21"/>
        </w:rPr>
        <w:t> </w:t>
      </w:r>
      <w:r>
        <w:rPr>
          <w:rFonts w:ascii="宋体" w:hAnsi="宋体" w:cs="宋体" w:eastAsia="宋体" w:hint="default"/>
          <w:sz w:val="18"/>
          <w:szCs w:val="18"/>
        </w:rPr>
        <w:t>无</w:t>
      </w:r>
    </w:p>
    <w:p>
      <w:pPr>
        <w:pStyle w:val="Heading3"/>
        <w:spacing w:line="240" w:lineRule="auto" w:before="153"/>
        <w:ind w:right="915"/>
        <w:jc w:val="left"/>
        <w:rPr>
          <w:b w:val="0"/>
          <w:bCs w:val="0"/>
        </w:rPr>
      </w:pPr>
      <w:bookmarkStart w:name="2、履行精准扶贫社会责任情况" w:id="96"/>
      <w:bookmarkEnd w:id="96"/>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15"/>
        <w:jc w:val="left"/>
        <w:rPr>
          <w:b w:val="0"/>
          <w:bCs w:val="0"/>
        </w:rPr>
      </w:pPr>
      <w:bookmarkStart w:name="（1）精准扶贫规划" w:id="97"/>
      <w:bookmarkEnd w:id="97"/>
      <w:r>
        <w:rPr>
          <w:b w:val="0"/>
          <w:bCs w:val="0"/>
        </w:rPr>
      </w:r>
      <w:r>
        <w:rPr/>
        <w:t>（</w:t>
      </w:r>
      <w:r>
        <w:rPr>
          <w:rFonts w:ascii="Times New Roman" w:hAnsi="Times New Roman" w:cs="Times New Roman" w:eastAsia="Times New Roman" w:hint="default"/>
        </w:rPr>
        <w:t>1</w:t>
      </w:r>
      <w:r>
        <w:rPr/>
        <w:t>）精准扶贫规划</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15"/>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15"/>
        <w:jc w:val="left"/>
        <w:rPr>
          <w:b w:val="0"/>
          <w:bCs w:val="0"/>
        </w:rPr>
      </w:pPr>
      <w:bookmarkStart w:name="（2）年度精准扶贫概要" w:id="98"/>
      <w:bookmarkEnd w:id="98"/>
      <w:r>
        <w:rPr>
          <w:b w:val="0"/>
          <w:bCs w:val="0"/>
        </w:rPr>
      </w:r>
      <w:r>
        <w:rPr/>
        <w:t>（</w:t>
      </w:r>
      <w:r>
        <w:rPr>
          <w:rFonts w:ascii="Times New Roman" w:hAnsi="Times New Roman" w:cs="Times New Roman" w:eastAsia="Times New Roman" w:hint="default"/>
        </w:rPr>
        <w:t>2</w:t>
      </w:r>
      <w:r>
        <w:rPr/>
        <w:t>）年度精准扶贫概要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15"/>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15"/>
        <w:jc w:val="left"/>
        <w:rPr>
          <w:b w:val="0"/>
          <w:bCs w:val="0"/>
        </w:rPr>
      </w:pPr>
      <w:bookmarkStart w:name="（3）精准扶贫成效" w:id="99"/>
      <w:bookmarkEnd w:id="99"/>
      <w:r>
        <w:rPr>
          <w:b w:val="0"/>
          <w:bCs w:val="0"/>
        </w:rPr>
      </w:r>
      <w:r>
        <w:rPr/>
        <w:t>（</w:t>
      </w:r>
      <w:r>
        <w:rPr>
          <w:rFonts w:ascii="Times New Roman" w:hAnsi="Times New Roman" w:cs="Times New Roman" w:eastAsia="Times New Roman" w:hint="default"/>
        </w:rPr>
        <w:t>3</w:t>
      </w:r>
      <w:r>
        <w:rPr/>
        <w:t>）精准扶贫成效</w:t>
      </w:r>
      <w:r>
        <w:rPr>
          <w:b w:val="0"/>
          <w:bCs w:val="0"/>
        </w:rPr>
      </w:r>
    </w:p>
    <w:p>
      <w:pPr>
        <w:spacing w:line="240" w:lineRule="auto" w:before="8"/>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624"/>
        <w:gridCol w:w="1553"/>
        <w:gridCol w:w="4391"/>
      </w:tblGrid>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指标</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0"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after="0" w:line="240" w:lineRule="auto"/>
        <w:jc w:val="center"/>
        <w:rPr>
          <w:rFonts w:ascii="宋体" w:hAnsi="宋体" w:cs="宋体" w:eastAsia="宋体" w:hint="default"/>
          <w:sz w:val="18"/>
          <w:szCs w:val="18"/>
        </w:rPr>
        <w:sectPr>
          <w:pgSz w:w="11910" w:h="16840"/>
          <w:pgMar w:header="919" w:footer="1016" w:top="1120" w:bottom="1200" w:left="1020" w:right="0"/>
        </w:sectPr>
      </w:pPr>
    </w:p>
    <w:p>
      <w:pPr>
        <w:spacing w:line="240" w:lineRule="auto" w:before="5"/>
        <w:rPr>
          <w:rFonts w:ascii="宋体" w:hAnsi="宋体" w:cs="宋体" w:eastAsia="宋体" w:hint="default"/>
          <w:b/>
          <w:bCs/>
          <w:sz w:val="23"/>
          <w:szCs w:val="23"/>
        </w:rPr>
      </w:pPr>
    </w:p>
    <w:tbl>
      <w:tblPr>
        <w:tblW w:w="0" w:type="auto"/>
        <w:jc w:val="left"/>
        <w:tblInd w:w="109" w:type="dxa"/>
        <w:tblLayout w:type="fixed"/>
        <w:tblCellMar>
          <w:top w:w="0" w:type="dxa"/>
          <w:left w:w="0" w:type="dxa"/>
          <w:bottom w:w="0" w:type="dxa"/>
          <w:right w:w="0" w:type="dxa"/>
        </w:tblCellMar>
        <w:tblLook w:val="01E0"/>
      </w:tblPr>
      <w:tblGrid>
        <w:gridCol w:w="3624"/>
        <w:gridCol w:w="1553"/>
        <w:gridCol w:w="4391"/>
      </w:tblGrid>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3"/>
        <w:rPr>
          <w:rFonts w:ascii="宋体" w:hAnsi="宋体" w:cs="宋体" w:eastAsia="宋体" w:hint="default"/>
          <w:b/>
          <w:bCs/>
          <w:sz w:val="19"/>
          <w:szCs w:val="19"/>
        </w:rPr>
      </w:pPr>
    </w:p>
    <w:p>
      <w:pPr>
        <w:pStyle w:val="Heading3"/>
        <w:spacing w:line="240" w:lineRule="auto" w:before="34"/>
        <w:ind w:right="915"/>
        <w:jc w:val="left"/>
        <w:rPr>
          <w:b w:val="0"/>
          <w:bCs w:val="0"/>
        </w:rPr>
      </w:pPr>
      <w:bookmarkStart w:name="（4）后续精准扶贫计划" w:id="100"/>
      <w:bookmarkEnd w:id="100"/>
      <w:r>
        <w:rPr>
          <w:b w:val="0"/>
          <w:bCs w:val="0"/>
        </w:rPr>
      </w:r>
      <w:r>
        <w:rPr/>
        <w:t>（</w:t>
      </w:r>
      <w:r>
        <w:rPr>
          <w:rFonts w:ascii="Times New Roman" w:hAnsi="Times New Roman" w:cs="Times New Roman" w:eastAsia="Times New Roman" w:hint="default"/>
        </w:rPr>
        <w:t>4</w:t>
      </w:r>
      <w:r>
        <w:rPr/>
        <w:t>）后续精准扶贫计划</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15"/>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15"/>
        <w:jc w:val="left"/>
        <w:rPr>
          <w:b w:val="0"/>
          <w:bCs w:val="0"/>
        </w:rPr>
      </w:pPr>
      <w:bookmarkStart w:name="3、环境保护相关的情况" w:id="101"/>
      <w:bookmarkEnd w:id="101"/>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5714"/>
        <w:jc w:val="left"/>
      </w:pPr>
      <w:r>
        <w:rPr/>
        <w:t>上市公司及其子公司是否属于环境保护部门公布的重点排污单位 否</w:t>
      </w:r>
    </w:p>
    <w:p>
      <w:pPr>
        <w:pStyle w:val="BodyText"/>
        <w:spacing w:line="240" w:lineRule="auto" w:before="29"/>
        <w:ind w:right="915"/>
        <w:jc w:val="left"/>
      </w:pPr>
      <w:r>
        <w:rPr/>
        <w:t>无</w:t>
      </w:r>
    </w:p>
    <w:p>
      <w:pPr>
        <w:spacing w:line="240" w:lineRule="auto" w:before="1"/>
        <w:rPr>
          <w:rFonts w:ascii="宋体" w:hAnsi="宋体" w:cs="宋体" w:eastAsia="宋体" w:hint="default"/>
          <w:sz w:val="25"/>
          <w:szCs w:val="25"/>
        </w:rPr>
      </w:pPr>
    </w:p>
    <w:p>
      <w:pPr>
        <w:pStyle w:val="Heading2"/>
        <w:spacing w:line="240" w:lineRule="auto"/>
        <w:ind w:right="915"/>
        <w:jc w:val="left"/>
        <w:rPr>
          <w:b w:val="0"/>
          <w:bCs w:val="0"/>
        </w:rPr>
      </w:pPr>
      <w:bookmarkStart w:name="十八、其他重大事项的说明" w:id="102"/>
      <w:bookmarkEnd w:id="102"/>
      <w:r>
        <w:rPr>
          <w:b w:val="0"/>
          <w:bCs w:val="0"/>
        </w:rPr>
      </w:r>
      <w:r>
        <w:rPr/>
        <w:t>十八、其他重大事项的说明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7154"/>
        <w:jc w:val="left"/>
      </w:pPr>
      <w:r>
        <w:rPr/>
        <w:t>□ 适用 √ 不适用 公司报告期不存在需要说明的其他重大事项。</w:t>
      </w:r>
    </w:p>
    <w:p>
      <w:pPr>
        <w:spacing w:line="240" w:lineRule="auto" w:before="2"/>
        <w:rPr>
          <w:rFonts w:ascii="宋体" w:hAnsi="宋体" w:cs="宋体" w:eastAsia="宋体" w:hint="default"/>
          <w:sz w:val="18"/>
          <w:szCs w:val="18"/>
        </w:rPr>
      </w:pPr>
    </w:p>
    <w:p>
      <w:pPr>
        <w:pStyle w:val="Heading2"/>
        <w:spacing w:line="240" w:lineRule="auto"/>
        <w:ind w:right="915"/>
        <w:jc w:val="left"/>
        <w:rPr>
          <w:b w:val="0"/>
          <w:bCs w:val="0"/>
        </w:rPr>
      </w:pPr>
      <w:bookmarkStart w:name="十九、公司子公司重大事项" w:id="103"/>
      <w:bookmarkEnd w:id="103"/>
      <w:r>
        <w:rPr>
          <w:b w:val="0"/>
          <w:bCs w:val="0"/>
        </w:rPr>
      </w:r>
      <w:r>
        <w:rPr/>
        <w:t>十九、公司子公司重大事项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15"/>
        <w:jc w:val="left"/>
      </w:pPr>
      <w:r>
        <w:rPr/>
        <w:t>□ 适用 √ 不适用</w:t>
      </w:r>
    </w:p>
    <w:p>
      <w:pPr>
        <w:spacing w:after="0" w:line="240" w:lineRule="auto"/>
        <w:jc w:val="left"/>
        <w:sectPr>
          <w:pgSz w:w="11910" w:h="16840"/>
          <w:pgMar w:header="919" w:footer="1016" w:top="112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1"/>
        <w:spacing w:line="240" w:lineRule="auto"/>
        <w:ind w:left="3007" w:right="915"/>
        <w:jc w:val="left"/>
        <w:rPr>
          <w:b w:val="0"/>
          <w:bCs w:val="0"/>
        </w:rPr>
      </w:pPr>
      <w:bookmarkStart w:name="第六节股份变动及股东情况" w:id="104"/>
      <w:bookmarkEnd w:id="104"/>
      <w:r>
        <w:rPr>
          <w:b w:val="0"/>
          <w:bCs w:val="0"/>
        </w:rPr>
      </w:r>
      <w:bookmarkStart w:name="_bookmark5" w:id="105"/>
      <w:bookmarkEnd w:id="105"/>
      <w:r>
        <w:rPr>
          <w:b w:val="0"/>
          <w:bCs w:val="0"/>
        </w:rPr>
      </w:r>
      <w:r>
        <w:rPr/>
        <w:t>第六节股份变动及股东情况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915"/>
        <w:jc w:val="left"/>
        <w:rPr>
          <w:b w:val="0"/>
          <w:bCs w:val="0"/>
        </w:rPr>
      </w:pPr>
      <w:bookmarkStart w:name="一、股份变动情况" w:id="106"/>
      <w:bookmarkEnd w:id="106"/>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15"/>
        <w:jc w:val="left"/>
        <w:rPr>
          <w:b w:val="0"/>
          <w:bCs w:val="0"/>
        </w:rPr>
      </w:pPr>
      <w:bookmarkStart w:name="1、股份变动情况" w:id="107"/>
      <w:bookmarkEnd w:id="107"/>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单位：股</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27"/>
        <w:gridCol w:w="823"/>
        <w:gridCol w:w="823"/>
        <w:gridCol w:w="823"/>
        <w:gridCol w:w="822"/>
        <w:gridCol w:w="822"/>
        <w:gridCol w:w="822"/>
        <w:gridCol w:w="822"/>
        <w:gridCol w:w="794"/>
        <w:gridCol w:w="794"/>
      </w:tblGrid>
      <w:tr>
        <w:trPr>
          <w:trHeight w:val="402" w:hRule="exact"/>
        </w:trPr>
        <w:tc>
          <w:tcPr>
            <w:tcW w:w="2227" w:type="dxa"/>
            <w:vMerge w:val="restart"/>
            <w:tcBorders>
              <w:top w:val="single" w:sz="4" w:space="0" w:color="000000"/>
              <w:left w:val="single" w:sz="4" w:space="0" w:color="000000"/>
              <w:right w:val="single" w:sz="4" w:space="0" w:color="000000"/>
            </w:tcBorders>
            <w:shd w:val="clear" w:color="auto" w:fill="D2D2D2"/>
          </w:tcPr>
          <w:p>
            <w:pPr/>
          </w:p>
        </w:tc>
        <w:tc>
          <w:tcPr>
            <w:tcW w:w="164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4" w:hRule="exact"/>
        </w:trPr>
        <w:tc>
          <w:tcPr>
            <w:tcW w:w="2227"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16" w:right="135" w:hanging="180"/>
              <w:jc w:val="left"/>
              <w:rPr>
                <w:rFonts w:ascii="宋体" w:hAnsi="宋体" w:cs="宋体" w:eastAsia="宋体" w:hint="default"/>
                <w:sz w:val="18"/>
                <w:szCs w:val="18"/>
              </w:rPr>
            </w:pPr>
            <w:r>
              <w:rPr>
                <w:rFonts w:ascii="宋体" w:hAnsi="宋体" w:cs="宋体" w:eastAsia="宋体" w:hint="default"/>
                <w:sz w:val="18"/>
                <w:szCs w:val="18"/>
              </w:rPr>
              <w:t>发行新 股</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6" w:right="135" w:hanging="92"/>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left"/>
              <w:rPr>
                <w:rFonts w:ascii="Times New Roman" w:hAnsi="Times New Roman" w:cs="Times New Roman" w:eastAsia="Times New Roman" w:hint="default"/>
                <w:sz w:val="18"/>
                <w:szCs w:val="18"/>
              </w:rPr>
            </w:pPr>
            <w:r>
              <w:rPr>
                <w:rFonts w:ascii="Times New Roman"/>
                <w:sz w:val="18"/>
              </w:rPr>
              <w:t>229,527</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,478</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30.92%</w:t>
            </w:r>
          </w:p>
        </w:tc>
        <w:tc>
          <w:tcPr>
            <w:tcW w:w="823"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-53,950,</w:t>
            </w:r>
          </w:p>
          <w:p>
            <w:pPr>
              <w:pStyle w:val="TableParagraph"/>
              <w:spacing w:line="240" w:lineRule="auto" w:before="105"/>
              <w:ind w:left="438" w:right="0"/>
              <w:jc w:val="lef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-53,950,</w:t>
            </w:r>
          </w:p>
          <w:p>
            <w:pPr>
              <w:pStyle w:val="TableParagraph"/>
              <w:spacing w:line="240" w:lineRule="auto" w:before="105"/>
              <w:ind w:left="440" w:right="0"/>
              <w:jc w:val="left"/>
              <w:rPr>
                <w:rFonts w:ascii="Times New Roman" w:hAnsi="Times New Roman" w:cs="Times New Roman" w:eastAsia="Times New Roman" w:hint="default"/>
                <w:sz w:val="18"/>
                <w:szCs w:val="18"/>
              </w:rPr>
            </w:pPr>
            <w:r>
              <w:rPr>
                <w:rFonts w:ascii="Times New Roman"/>
                <w:sz w:val="18"/>
              </w:rPr>
              <w:t>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6" w:right="0"/>
              <w:jc w:val="left"/>
              <w:rPr>
                <w:rFonts w:ascii="Times New Roman" w:hAnsi="Times New Roman" w:cs="Times New Roman" w:eastAsia="Times New Roman" w:hint="default"/>
                <w:sz w:val="18"/>
                <w:szCs w:val="18"/>
              </w:rPr>
            </w:pPr>
            <w:r>
              <w:rPr>
                <w:rFonts w:ascii="Times New Roman"/>
                <w:sz w:val="18"/>
              </w:rPr>
              <w:t>175,57</w:t>
            </w:r>
          </w:p>
          <w:p>
            <w:pPr>
              <w:pStyle w:val="TableParagraph"/>
              <w:spacing w:line="240" w:lineRule="auto" w:before="105"/>
              <w:ind w:left="275" w:right="0"/>
              <w:jc w:val="left"/>
              <w:rPr>
                <w:rFonts w:ascii="Times New Roman" w:hAnsi="Times New Roman" w:cs="Times New Roman" w:eastAsia="Times New Roman" w:hint="default"/>
                <w:sz w:val="18"/>
                <w:szCs w:val="18"/>
              </w:rPr>
            </w:pPr>
            <w:r>
              <w:rPr>
                <w:rFonts w:ascii="Times New Roman"/>
                <w:sz w:val="18"/>
              </w:rPr>
              <w:t>7,478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23.66%</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6" w:right="0"/>
              <w:jc w:val="left"/>
              <w:rPr>
                <w:rFonts w:ascii="Times New Roman" w:hAnsi="Times New Roman" w:cs="Times New Roman" w:eastAsia="Times New Roman" w:hint="default"/>
                <w:sz w:val="18"/>
                <w:szCs w:val="18"/>
              </w:rPr>
            </w:pPr>
            <w:r>
              <w:rPr>
                <w:rFonts w:ascii="Times New Roman"/>
                <w:sz w:val="18"/>
              </w:rPr>
              <w:t>229,527</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,478</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30.92%</w:t>
            </w:r>
          </w:p>
        </w:tc>
        <w:tc>
          <w:tcPr>
            <w:tcW w:w="823"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0" w:right="0"/>
              <w:jc w:val="left"/>
              <w:rPr>
                <w:rFonts w:ascii="Times New Roman" w:hAnsi="Times New Roman" w:cs="Times New Roman" w:eastAsia="Times New Roman" w:hint="default"/>
                <w:sz w:val="18"/>
                <w:szCs w:val="18"/>
              </w:rPr>
            </w:pPr>
            <w:r>
              <w:rPr>
                <w:rFonts w:ascii="Times New Roman"/>
                <w:sz w:val="18"/>
              </w:rPr>
              <w:t>-53,950,</w:t>
            </w:r>
          </w:p>
          <w:p>
            <w:pPr>
              <w:pStyle w:val="TableParagraph"/>
              <w:spacing w:line="240" w:lineRule="auto" w:before="105"/>
              <w:ind w:left="438" w:right="0"/>
              <w:jc w:val="lef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1" w:right="0"/>
              <w:jc w:val="left"/>
              <w:rPr>
                <w:rFonts w:ascii="Times New Roman" w:hAnsi="Times New Roman" w:cs="Times New Roman" w:eastAsia="Times New Roman" w:hint="default"/>
                <w:sz w:val="18"/>
                <w:szCs w:val="18"/>
              </w:rPr>
            </w:pPr>
            <w:r>
              <w:rPr>
                <w:rFonts w:ascii="Times New Roman"/>
                <w:sz w:val="18"/>
              </w:rPr>
              <w:t>-53,950,</w:t>
            </w:r>
          </w:p>
          <w:p>
            <w:pPr>
              <w:pStyle w:val="TableParagraph"/>
              <w:spacing w:line="240" w:lineRule="auto" w:before="105"/>
              <w:ind w:left="440" w:right="0"/>
              <w:jc w:val="left"/>
              <w:rPr>
                <w:rFonts w:ascii="Times New Roman" w:hAnsi="Times New Roman" w:cs="Times New Roman" w:eastAsia="Times New Roman" w:hint="default"/>
                <w:sz w:val="18"/>
                <w:szCs w:val="18"/>
              </w:rPr>
            </w:pPr>
            <w:r>
              <w:rPr>
                <w:rFonts w:ascii="Times New Roman"/>
                <w:sz w:val="18"/>
              </w:rPr>
              <w:t>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6" w:right="0"/>
              <w:jc w:val="left"/>
              <w:rPr>
                <w:rFonts w:ascii="Times New Roman" w:hAnsi="Times New Roman" w:cs="Times New Roman" w:eastAsia="Times New Roman" w:hint="default"/>
                <w:sz w:val="18"/>
                <w:szCs w:val="18"/>
              </w:rPr>
            </w:pPr>
            <w:r>
              <w:rPr>
                <w:rFonts w:ascii="Times New Roman"/>
                <w:sz w:val="18"/>
              </w:rPr>
              <w:t>175,57</w:t>
            </w:r>
          </w:p>
          <w:p>
            <w:pPr>
              <w:pStyle w:val="TableParagraph"/>
              <w:spacing w:line="240" w:lineRule="auto" w:before="105"/>
              <w:ind w:left="275" w:right="0"/>
              <w:jc w:val="left"/>
              <w:rPr>
                <w:rFonts w:ascii="Times New Roman" w:hAnsi="Times New Roman" w:cs="Times New Roman" w:eastAsia="Times New Roman" w:hint="default"/>
                <w:sz w:val="18"/>
                <w:szCs w:val="18"/>
              </w:rPr>
            </w:pPr>
            <w:r>
              <w:rPr>
                <w:rFonts w:ascii="Times New Roman"/>
                <w:sz w:val="18"/>
              </w:rPr>
              <w:t>7,478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23.66%</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left"/>
              <w:rPr>
                <w:rFonts w:ascii="Times New Roman" w:hAnsi="Times New Roman" w:cs="Times New Roman" w:eastAsia="Times New Roman" w:hint="default"/>
                <w:sz w:val="18"/>
                <w:szCs w:val="18"/>
              </w:rPr>
            </w:pPr>
            <w:r>
              <w:rPr>
                <w:rFonts w:ascii="Times New Roman"/>
                <w:sz w:val="18"/>
              </w:rPr>
              <w:t>229,527</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,478</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30.92%</w:t>
            </w:r>
          </w:p>
        </w:tc>
        <w:tc>
          <w:tcPr>
            <w:tcW w:w="823"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-53,950,</w:t>
            </w:r>
          </w:p>
          <w:p>
            <w:pPr>
              <w:pStyle w:val="TableParagraph"/>
              <w:spacing w:line="240" w:lineRule="auto" w:before="105"/>
              <w:ind w:left="438" w:right="0"/>
              <w:jc w:val="lef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-53,950,</w:t>
            </w:r>
          </w:p>
          <w:p>
            <w:pPr>
              <w:pStyle w:val="TableParagraph"/>
              <w:spacing w:line="240" w:lineRule="auto" w:before="105"/>
              <w:ind w:left="440" w:right="0"/>
              <w:jc w:val="left"/>
              <w:rPr>
                <w:rFonts w:ascii="Times New Roman" w:hAnsi="Times New Roman" w:cs="Times New Roman" w:eastAsia="Times New Roman" w:hint="default"/>
                <w:sz w:val="18"/>
                <w:szCs w:val="18"/>
              </w:rPr>
            </w:pPr>
            <w:r>
              <w:rPr>
                <w:rFonts w:ascii="Times New Roman"/>
                <w:sz w:val="18"/>
              </w:rPr>
              <w:t>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6" w:right="0"/>
              <w:jc w:val="left"/>
              <w:rPr>
                <w:rFonts w:ascii="Times New Roman" w:hAnsi="Times New Roman" w:cs="Times New Roman" w:eastAsia="Times New Roman" w:hint="default"/>
                <w:sz w:val="18"/>
                <w:szCs w:val="18"/>
              </w:rPr>
            </w:pPr>
            <w:r>
              <w:rPr>
                <w:rFonts w:ascii="Times New Roman"/>
                <w:sz w:val="18"/>
              </w:rPr>
              <w:t>175,57</w:t>
            </w:r>
          </w:p>
          <w:p>
            <w:pPr>
              <w:pStyle w:val="TableParagraph"/>
              <w:spacing w:line="240" w:lineRule="auto" w:before="105"/>
              <w:ind w:left="275" w:right="0"/>
              <w:jc w:val="left"/>
              <w:rPr>
                <w:rFonts w:ascii="Times New Roman" w:hAnsi="Times New Roman" w:cs="Times New Roman" w:eastAsia="Times New Roman" w:hint="default"/>
                <w:sz w:val="18"/>
                <w:szCs w:val="18"/>
              </w:rPr>
            </w:pPr>
            <w:r>
              <w:rPr>
                <w:rFonts w:ascii="Times New Roman"/>
                <w:sz w:val="18"/>
              </w:rPr>
              <w:t>7,478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23.66%</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6" w:right="0"/>
              <w:jc w:val="left"/>
              <w:rPr>
                <w:rFonts w:ascii="Times New Roman" w:hAnsi="Times New Roman" w:cs="Times New Roman" w:eastAsia="Times New Roman" w:hint="default"/>
                <w:sz w:val="18"/>
                <w:szCs w:val="18"/>
              </w:rPr>
            </w:pPr>
            <w:r>
              <w:rPr>
                <w:rFonts w:ascii="Times New Roman"/>
                <w:sz w:val="18"/>
              </w:rPr>
              <w:t>512,687</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,102</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69.08%</w:t>
            </w:r>
          </w:p>
        </w:tc>
        <w:tc>
          <w:tcPr>
            <w:tcW w:w="823"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0" w:right="0"/>
              <w:jc w:val="left"/>
              <w:rPr>
                <w:rFonts w:ascii="Times New Roman" w:hAnsi="Times New Roman" w:cs="Times New Roman" w:eastAsia="Times New Roman" w:hint="default"/>
                <w:sz w:val="18"/>
                <w:szCs w:val="18"/>
              </w:rPr>
            </w:pPr>
            <w:r>
              <w:rPr>
                <w:rFonts w:ascii="Times New Roman"/>
                <w:sz w:val="18"/>
              </w:rPr>
              <w:t>53,827,</w:t>
            </w:r>
          </w:p>
          <w:p>
            <w:pPr>
              <w:pStyle w:val="TableParagraph"/>
              <w:spacing w:line="240" w:lineRule="auto" w:before="105"/>
              <w:ind w:left="438" w:right="0"/>
              <w:jc w:val="left"/>
              <w:rPr>
                <w:rFonts w:ascii="Times New Roman" w:hAnsi="Times New Roman" w:cs="Times New Roman" w:eastAsia="Times New Roman" w:hint="default"/>
                <w:sz w:val="18"/>
                <w:szCs w:val="18"/>
              </w:rPr>
            </w:pPr>
            <w:r>
              <w:rPr>
                <w:rFonts w:ascii="Times New Roman"/>
                <w:sz w:val="18"/>
              </w:rPr>
              <w:t>500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8" w:right="0"/>
              <w:jc w:val="left"/>
              <w:rPr>
                <w:rFonts w:ascii="Times New Roman" w:hAnsi="Times New Roman" w:cs="Times New Roman" w:eastAsia="Times New Roman" w:hint="default"/>
                <w:sz w:val="18"/>
                <w:szCs w:val="18"/>
              </w:rPr>
            </w:pPr>
            <w:r>
              <w:rPr>
                <w:rFonts w:ascii="Times New Roman"/>
                <w:sz w:val="18"/>
              </w:rPr>
              <w:t>53,827,</w:t>
            </w:r>
          </w:p>
          <w:p>
            <w:pPr>
              <w:pStyle w:val="TableParagraph"/>
              <w:spacing w:line="240" w:lineRule="auto" w:before="105"/>
              <w:ind w:left="440" w:right="0"/>
              <w:jc w:val="left"/>
              <w:rPr>
                <w:rFonts w:ascii="Times New Roman" w:hAnsi="Times New Roman" w:cs="Times New Roman" w:eastAsia="Times New Roman" w:hint="default"/>
                <w:sz w:val="18"/>
                <w:szCs w:val="18"/>
              </w:rPr>
            </w:pPr>
            <w:r>
              <w:rPr>
                <w:rFonts w:ascii="Times New Roman"/>
                <w:sz w:val="18"/>
              </w:rPr>
              <w:t>500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6" w:right="0"/>
              <w:jc w:val="left"/>
              <w:rPr>
                <w:rFonts w:ascii="Times New Roman" w:hAnsi="Times New Roman" w:cs="Times New Roman" w:eastAsia="Times New Roman" w:hint="default"/>
                <w:sz w:val="18"/>
                <w:szCs w:val="18"/>
              </w:rPr>
            </w:pPr>
            <w:r>
              <w:rPr>
                <w:rFonts w:ascii="Times New Roman"/>
                <w:sz w:val="18"/>
              </w:rPr>
              <w:t>566,51</w:t>
            </w:r>
          </w:p>
          <w:p>
            <w:pPr>
              <w:pStyle w:val="TableParagraph"/>
              <w:spacing w:line="240" w:lineRule="auto" w:before="105"/>
              <w:ind w:left="275" w:right="0"/>
              <w:jc w:val="left"/>
              <w:rPr>
                <w:rFonts w:ascii="Times New Roman" w:hAnsi="Times New Roman" w:cs="Times New Roman" w:eastAsia="Times New Roman" w:hint="default"/>
                <w:sz w:val="18"/>
                <w:szCs w:val="18"/>
              </w:rPr>
            </w:pPr>
            <w:r>
              <w:rPr>
                <w:rFonts w:ascii="Times New Roman"/>
                <w:sz w:val="18"/>
              </w:rPr>
              <w:t>4,602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69.08%</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left"/>
              <w:rPr>
                <w:rFonts w:ascii="Times New Roman" w:hAnsi="Times New Roman" w:cs="Times New Roman" w:eastAsia="Times New Roman" w:hint="default"/>
                <w:sz w:val="18"/>
                <w:szCs w:val="18"/>
              </w:rPr>
            </w:pPr>
            <w:r>
              <w:rPr>
                <w:rFonts w:ascii="Times New Roman"/>
                <w:sz w:val="18"/>
              </w:rPr>
              <w:t>512,687</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,102</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69.08%</w:t>
            </w:r>
          </w:p>
        </w:tc>
        <w:tc>
          <w:tcPr>
            <w:tcW w:w="823"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0" w:right="0"/>
              <w:jc w:val="left"/>
              <w:rPr>
                <w:rFonts w:ascii="Times New Roman" w:hAnsi="Times New Roman" w:cs="Times New Roman" w:eastAsia="Times New Roman" w:hint="default"/>
                <w:sz w:val="18"/>
                <w:szCs w:val="18"/>
              </w:rPr>
            </w:pPr>
            <w:r>
              <w:rPr>
                <w:rFonts w:ascii="Times New Roman"/>
                <w:sz w:val="18"/>
              </w:rPr>
              <w:t>53,827,</w:t>
            </w:r>
          </w:p>
          <w:p>
            <w:pPr>
              <w:pStyle w:val="TableParagraph"/>
              <w:spacing w:line="240" w:lineRule="auto" w:before="105"/>
              <w:ind w:left="438" w:right="0"/>
              <w:jc w:val="left"/>
              <w:rPr>
                <w:rFonts w:ascii="Times New Roman" w:hAnsi="Times New Roman" w:cs="Times New Roman" w:eastAsia="Times New Roman" w:hint="default"/>
                <w:sz w:val="18"/>
                <w:szCs w:val="18"/>
              </w:rPr>
            </w:pPr>
            <w:r>
              <w:rPr>
                <w:rFonts w:ascii="Times New Roman"/>
                <w:sz w:val="18"/>
              </w:rPr>
              <w:t>500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8" w:right="0"/>
              <w:jc w:val="left"/>
              <w:rPr>
                <w:rFonts w:ascii="Times New Roman" w:hAnsi="Times New Roman" w:cs="Times New Roman" w:eastAsia="Times New Roman" w:hint="default"/>
                <w:sz w:val="18"/>
                <w:szCs w:val="18"/>
              </w:rPr>
            </w:pPr>
            <w:r>
              <w:rPr>
                <w:rFonts w:ascii="Times New Roman"/>
                <w:sz w:val="18"/>
              </w:rPr>
              <w:t>53,827,</w:t>
            </w:r>
          </w:p>
          <w:p>
            <w:pPr>
              <w:pStyle w:val="TableParagraph"/>
              <w:spacing w:line="240" w:lineRule="auto" w:before="105"/>
              <w:ind w:left="440" w:right="0"/>
              <w:jc w:val="left"/>
              <w:rPr>
                <w:rFonts w:ascii="Times New Roman" w:hAnsi="Times New Roman" w:cs="Times New Roman" w:eastAsia="Times New Roman" w:hint="default"/>
                <w:sz w:val="18"/>
                <w:szCs w:val="18"/>
              </w:rPr>
            </w:pPr>
            <w:r>
              <w:rPr>
                <w:rFonts w:ascii="Times New Roman"/>
                <w:sz w:val="18"/>
              </w:rPr>
              <w:t>500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6" w:right="0"/>
              <w:jc w:val="left"/>
              <w:rPr>
                <w:rFonts w:ascii="Times New Roman" w:hAnsi="Times New Roman" w:cs="Times New Roman" w:eastAsia="Times New Roman" w:hint="default"/>
                <w:sz w:val="18"/>
                <w:szCs w:val="18"/>
              </w:rPr>
            </w:pPr>
            <w:r>
              <w:rPr>
                <w:rFonts w:ascii="Times New Roman"/>
                <w:sz w:val="18"/>
              </w:rPr>
              <w:t>566,51</w:t>
            </w:r>
          </w:p>
          <w:p>
            <w:pPr>
              <w:pStyle w:val="TableParagraph"/>
              <w:spacing w:line="240" w:lineRule="auto" w:before="105"/>
              <w:ind w:left="275" w:right="0"/>
              <w:jc w:val="left"/>
              <w:rPr>
                <w:rFonts w:ascii="Times New Roman" w:hAnsi="Times New Roman" w:cs="Times New Roman" w:eastAsia="Times New Roman" w:hint="default"/>
                <w:sz w:val="18"/>
                <w:szCs w:val="18"/>
              </w:rPr>
            </w:pPr>
            <w:r>
              <w:rPr>
                <w:rFonts w:ascii="Times New Roman"/>
                <w:sz w:val="18"/>
              </w:rPr>
              <w:t>4,602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69.08%</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6" w:right="0"/>
              <w:jc w:val="left"/>
              <w:rPr>
                <w:rFonts w:ascii="Times New Roman" w:hAnsi="Times New Roman" w:cs="Times New Roman" w:eastAsia="Times New Roman" w:hint="default"/>
                <w:sz w:val="18"/>
                <w:szCs w:val="18"/>
              </w:rPr>
            </w:pPr>
            <w:r>
              <w:rPr>
                <w:rFonts w:ascii="Times New Roman"/>
                <w:sz w:val="18"/>
              </w:rPr>
              <w:t>742,214</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,580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3"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-122,50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-122,50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6" w:right="0"/>
              <w:jc w:val="left"/>
              <w:rPr>
                <w:rFonts w:ascii="Times New Roman" w:hAnsi="Times New Roman" w:cs="Times New Roman" w:eastAsia="Times New Roman" w:hint="default"/>
                <w:sz w:val="18"/>
                <w:szCs w:val="18"/>
              </w:rPr>
            </w:pPr>
            <w:r>
              <w:rPr>
                <w:rFonts w:ascii="Times New Roman"/>
                <w:sz w:val="18"/>
              </w:rPr>
              <w:t>742,09</w:t>
            </w:r>
          </w:p>
          <w:p>
            <w:pPr>
              <w:pStyle w:val="TableParagraph"/>
              <w:spacing w:line="240" w:lineRule="auto" w:before="105"/>
              <w:ind w:left="275" w:right="0"/>
              <w:jc w:val="left"/>
              <w:rPr>
                <w:rFonts w:ascii="Times New Roman" w:hAnsi="Times New Roman" w:cs="Times New Roman" w:eastAsia="Times New Roman" w:hint="default"/>
                <w:sz w:val="18"/>
                <w:szCs w:val="18"/>
              </w:rPr>
            </w:pPr>
            <w:r>
              <w:rPr>
                <w:rFonts w:ascii="Times New Roman"/>
                <w:sz w:val="18"/>
              </w:rPr>
              <w:t>2,080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240" w:lineRule="auto" w:before="51"/>
        <w:ind w:right="915"/>
        <w:jc w:val="left"/>
      </w:pPr>
      <w:r>
        <w:rPr/>
        <w:t>股份变动的原因</w:t>
      </w:r>
    </w:p>
    <w:p>
      <w:pPr>
        <w:pStyle w:val="BodyText"/>
        <w:spacing w:line="360" w:lineRule="auto" w:before="115"/>
        <w:ind w:left="472" w:right="915" w:hanging="360"/>
        <w:jc w:val="left"/>
      </w:pPr>
      <w:r>
        <w:rPr/>
        <w:t>√ 适用 □ 不适用 </w:t>
      </w:r>
      <w:r>
        <w:rPr>
          <w:spacing w:val="-4"/>
        </w:rPr>
        <w:t>1、2018年1月2日，根据《公司法》、《证券法》及有关规定，中国证券登记结算有限责任公司对本公司董事、监事及高</w:t>
      </w:r>
    </w:p>
    <w:p>
      <w:pPr>
        <w:pStyle w:val="BodyText"/>
        <w:spacing w:line="222" w:lineRule="exact"/>
        <w:ind w:right="915"/>
        <w:jc w:val="left"/>
      </w:pPr>
      <w:r>
        <w:rPr/>
        <w:t>级管理人员所持本公司本年度可转让股份法定额度进行了核算，并对该额度内可通过交易系统交易的股份进行解锁，因而公</w:t>
      </w:r>
    </w:p>
    <w:p>
      <w:pPr>
        <w:pStyle w:val="BodyText"/>
        <w:spacing w:line="316" w:lineRule="auto" w:before="76"/>
        <w:ind w:left="472" w:right="1124" w:hanging="360"/>
        <w:jc w:val="left"/>
      </w:pPr>
      <w:r>
        <w:rPr/>
        <w:t>司高管限售股合计减少12,623,588股，无限售流通股增加12,623,588股； 2、2019年9月4日，公司原董事、副总经理庞军先生离职后虚拟任期已届满，其持有的公司股票15,395,550股全部由限</w:t>
      </w:r>
    </w:p>
    <w:p>
      <w:pPr>
        <w:pStyle w:val="BodyText"/>
        <w:spacing w:line="316" w:lineRule="auto" w:before="19"/>
        <w:ind w:left="472" w:right="915" w:hanging="360"/>
        <w:jc w:val="left"/>
      </w:pPr>
      <w:r>
        <w:rPr/>
        <w:t>售股转为无限售流通股。 </w:t>
      </w:r>
      <w:r>
        <w:rPr>
          <w:spacing w:val="-2"/>
        </w:rPr>
        <w:t>3、2019年5月17日，2018年度股东大会审议通过并选举了公司第四届董事会成员，公司原董事鄢建兵先生不再担任新一</w:t>
      </w:r>
    </w:p>
    <w:p>
      <w:pPr>
        <w:pStyle w:val="BodyText"/>
        <w:spacing w:line="316" w:lineRule="auto" w:before="19"/>
        <w:ind w:right="915"/>
        <w:jc w:val="left"/>
      </w:pPr>
      <w:r>
        <w:rPr>
          <w:spacing w:val="-2"/>
        </w:rPr>
        <w:t>届董事会成员，且不在公司担任任何职务。根据《深圳证券交易所上市公司股东及董事、监事、高级管理人员减持股份实施</w:t>
      </w:r>
      <w:r>
        <w:rPr>
          <w:spacing w:val="-65"/>
        </w:rPr>
        <w:t> </w:t>
      </w:r>
      <w:r>
        <w:rPr>
          <w:spacing w:val="-65"/>
        </w:rPr>
      </w:r>
      <w:r>
        <w:rPr>
          <w:spacing w:val="-4"/>
        </w:rPr>
        <w:t>细则》的相关规定，董事、高级管理人员离职后半年内不得转让其所持本公司股份。因此，鄢建兵先生所持股份被全部锁定。</w:t>
      </w:r>
      <w:r>
        <w:rPr>
          <w:spacing w:val="-42"/>
        </w:rPr>
        <w:t> </w:t>
      </w:r>
      <w:r>
        <w:rPr>
          <w:spacing w:val="-42"/>
        </w:rPr>
      </w:r>
      <w:r>
        <w:rPr/>
        <w:t>2019年11月21日暨离职半年后股票锁定期届满，其持有的公司股票24,252,112股全部由限售股转为无限售流通股。</w:t>
      </w:r>
    </w:p>
    <w:p>
      <w:pPr>
        <w:pStyle w:val="BodyText"/>
        <w:spacing w:line="316" w:lineRule="auto" w:before="19"/>
        <w:ind w:right="1141" w:firstLine="360"/>
        <w:jc w:val="both"/>
      </w:pPr>
      <w:r>
        <w:rPr/>
        <w:t>4、2019年9月26日，公司2016年限制性股票激励计划涉及的93名激励对象所持有的股权激励限售股1,556,250股第三个 解锁期期满上市流通；</w:t>
      </w:r>
    </w:p>
    <w:p>
      <w:pPr>
        <w:pStyle w:val="BodyText"/>
        <w:spacing w:line="316" w:lineRule="auto" w:before="19"/>
        <w:ind w:right="1141" w:firstLine="360"/>
        <w:jc w:val="both"/>
      </w:pPr>
      <w:r>
        <w:rPr/>
        <w:t>5、2019年12月11日，公司2016年限制性股票原授予的激励对象张珺、张培、李华超共计三人因个人原因申请离职，根 </w:t>
      </w:r>
      <w:r>
        <w:rPr>
          <w:spacing w:val="-2"/>
        </w:rPr>
        <w:t>据《上市公司股权激励管理办法》等有关法律、法规和规范性文件以及《限制性股票激励计划（草案）》的规定，公司对三</w:t>
      </w:r>
      <w:r>
        <w:rPr>
          <w:spacing w:val="-71"/>
        </w:rPr>
        <w:t> </w:t>
      </w:r>
      <w:r>
        <w:rPr>
          <w:spacing w:val="-71"/>
        </w:rPr>
      </w:r>
      <w:r>
        <w:rPr/>
        <w:t>名激励对象已授予尚未解锁的限制性股票合计122,500股进行回购注销。</w:t>
      </w:r>
    </w:p>
    <w:p>
      <w:pPr>
        <w:spacing w:after="0" w:line="316" w:lineRule="auto"/>
        <w:jc w:val="both"/>
        <w:sectPr>
          <w:pgSz w:w="11910" w:h="16840"/>
          <w:pgMar w:header="919" w:footer="1016" w:top="1120" w:bottom="1200" w:left="1020" w:right="0"/>
        </w:sectPr>
      </w:pPr>
    </w:p>
    <w:p>
      <w:pPr>
        <w:spacing w:line="240" w:lineRule="auto" w:before="12"/>
        <w:rPr>
          <w:rFonts w:ascii="宋体" w:hAnsi="宋体" w:cs="宋体" w:eastAsia="宋体" w:hint="default"/>
          <w:sz w:val="20"/>
          <w:szCs w:val="20"/>
        </w:rPr>
      </w:pPr>
    </w:p>
    <w:p>
      <w:pPr>
        <w:pStyle w:val="BodyText"/>
        <w:spacing w:line="240" w:lineRule="auto" w:before="44"/>
        <w:ind w:right="915"/>
        <w:jc w:val="left"/>
      </w:pPr>
      <w:r>
        <w:rPr/>
        <w:t>股份变动的批准情况</w:t>
      </w:r>
    </w:p>
    <w:p>
      <w:pPr>
        <w:pStyle w:val="BodyText"/>
        <w:spacing w:line="360" w:lineRule="auto" w:before="115"/>
        <w:ind w:left="472" w:right="1124" w:hanging="360"/>
        <w:jc w:val="left"/>
      </w:pPr>
      <w:r>
        <w:rPr/>
        <w:t>√ 适用 □ 不适用 1、公司2016年限制性股票激励计划第三个解锁期解锁股份上市流通，已经过公司第四届董事会第二次会议、第四届监</w:t>
      </w:r>
    </w:p>
    <w:p>
      <w:pPr>
        <w:pStyle w:val="BodyText"/>
        <w:spacing w:line="222" w:lineRule="exact"/>
        <w:ind w:right="915"/>
        <w:jc w:val="left"/>
      </w:pPr>
      <w:hyperlink r:id="rId14">
        <w:r>
          <w:rPr/>
          <w:t>事会第二次会议审议通过，详细信息参见公司在巨潮资讯网（www.cninfo.com.cn</w:t>
        </w:r>
      </w:hyperlink>
      <w:r>
        <w:rPr/>
        <w:t>）的相关公告。</w:t>
      </w:r>
    </w:p>
    <w:p>
      <w:pPr>
        <w:pStyle w:val="BodyText"/>
        <w:spacing w:line="316" w:lineRule="auto" w:before="76"/>
        <w:ind w:right="1124" w:firstLine="360"/>
        <w:jc w:val="left"/>
      </w:pPr>
      <w:r>
        <w:rPr/>
        <w:t>2、公司对三名激励对象已授予尚未解锁的限制性股票进行回购注销，已经过公司第四届董事会第二次会议、第四届监</w:t>
      </w:r>
      <w:hyperlink r:id="rId14">
        <w:r>
          <w:rPr/>
          <w:t> 事会第二次会议审议通过，详细信息参见公司在巨潮资讯网（www.cninfo.com.cn</w:t>
        </w:r>
      </w:hyperlink>
      <w:r>
        <w:rPr/>
        <w:t>）的相关公告。</w:t>
      </w:r>
    </w:p>
    <w:p>
      <w:pPr>
        <w:spacing w:line="240" w:lineRule="auto" w:before="0"/>
        <w:rPr>
          <w:rFonts w:ascii="宋体" w:hAnsi="宋体" w:cs="宋体" w:eastAsia="宋体" w:hint="default"/>
          <w:sz w:val="18"/>
          <w:szCs w:val="18"/>
        </w:rPr>
      </w:pPr>
    </w:p>
    <w:p>
      <w:pPr>
        <w:pStyle w:val="BodyText"/>
        <w:spacing w:line="240" w:lineRule="auto" w:before="136"/>
        <w:ind w:right="915"/>
        <w:jc w:val="left"/>
      </w:pPr>
      <w:r>
        <w:rPr/>
        <w:t>股份变动的过户情况</w:t>
      </w:r>
    </w:p>
    <w:p>
      <w:pPr>
        <w:pStyle w:val="BodyText"/>
        <w:spacing w:line="360" w:lineRule="auto" w:before="115"/>
        <w:ind w:left="472" w:right="915" w:hanging="360"/>
        <w:jc w:val="left"/>
      </w:pPr>
      <w:r>
        <w:rPr/>
        <w:t>√ 适用 □ 不适用 </w:t>
      </w:r>
      <w:r>
        <w:rPr>
          <w:spacing w:val="-2"/>
        </w:rPr>
        <w:t>1、2019年9月26日，公司办理了2016年限制性股票激励计划涉及的93名激励对象所持有的股权激励限售股第三个解锁期</w:t>
      </w:r>
    </w:p>
    <w:p>
      <w:pPr>
        <w:pStyle w:val="BodyText"/>
        <w:spacing w:line="222" w:lineRule="exact"/>
        <w:ind w:right="915"/>
        <w:jc w:val="left"/>
      </w:pPr>
      <w:r>
        <w:rPr/>
        <w:t>解除限售，解除限售1,556,250股。</w:t>
      </w:r>
    </w:p>
    <w:p>
      <w:pPr>
        <w:pStyle w:val="BodyText"/>
        <w:spacing w:line="360" w:lineRule="auto" w:before="76"/>
        <w:ind w:right="1394" w:firstLine="360"/>
        <w:jc w:val="left"/>
      </w:pPr>
      <w:r>
        <w:rPr/>
        <w:t>2、2019年12月11日，公司对三名激励对象已授予尚未解锁的限制性股票合计122,500股办理完毕了回购注销手续。 股份回购的实施进展情况</w:t>
      </w:r>
    </w:p>
    <w:p>
      <w:pPr>
        <w:pStyle w:val="BodyText"/>
        <w:spacing w:line="360" w:lineRule="auto" w:before="25"/>
        <w:ind w:left="472" w:right="915" w:hanging="360"/>
        <w:jc w:val="left"/>
      </w:pPr>
      <w:r>
        <w:rPr/>
        <w:t>√ 适用 □ 不适用 </w:t>
      </w:r>
      <w:r>
        <w:rPr>
          <w:spacing w:val="-2"/>
        </w:rPr>
        <w:t>公司2016年限制性股票原授予的激励对象张珺、张培、李华超共计三人因个人原因申请离职，经公司第四届董事会第二</w:t>
      </w:r>
    </w:p>
    <w:p>
      <w:pPr>
        <w:pStyle w:val="BodyText"/>
        <w:spacing w:line="222" w:lineRule="exact"/>
        <w:ind w:right="915"/>
        <w:jc w:val="left"/>
      </w:pPr>
      <w:r>
        <w:rPr/>
        <w:t>次会议和第四届监事会第二次会议审议通过，同意对三名激励对象已授予尚未解锁的限制性股票合计122,500股进行回购注</w:t>
      </w:r>
    </w:p>
    <w:p>
      <w:pPr>
        <w:pStyle w:val="BodyText"/>
        <w:spacing w:line="295" w:lineRule="auto" w:before="76"/>
        <w:ind w:right="915"/>
        <w:jc w:val="left"/>
        <w:rPr>
          <w:sz w:val="21"/>
          <w:szCs w:val="21"/>
        </w:rPr>
      </w:pPr>
      <w:r>
        <w:rPr>
          <w:spacing w:val="-2"/>
        </w:rPr>
        <w:t>销，回购价格9.298元/股，回购总金额1,139,005.00元。本次限制性股票回购注销事宜已于2019年12月11日完成，本次回购</w:t>
      </w:r>
      <w:r>
        <w:rPr>
          <w:spacing w:val="-51"/>
        </w:rPr>
        <w:t> </w:t>
      </w:r>
      <w:r>
        <w:rPr>
          <w:spacing w:val="-51"/>
        </w:rPr>
      </w:r>
      <w:r>
        <w:rPr/>
        <w:t>注销完成后，公司股份总数由742,214,580股变更为742,092,080股</w:t>
      </w:r>
      <w:r>
        <w:rPr>
          <w:sz w:val="21"/>
          <w:szCs w:val="21"/>
        </w:rPr>
        <w:t>。</w:t>
      </w:r>
    </w:p>
    <w:p>
      <w:pPr>
        <w:spacing w:line="240" w:lineRule="auto" w:before="0"/>
        <w:rPr>
          <w:rFonts w:ascii="宋体" w:hAnsi="宋体" w:cs="宋体" w:eastAsia="宋体" w:hint="default"/>
          <w:sz w:val="20"/>
          <w:szCs w:val="20"/>
        </w:rPr>
      </w:pPr>
    </w:p>
    <w:p>
      <w:pPr>
        <w:pStyle w:val="BodyText"/>
        <w:spacing w:line="240" w:lineRule="auto" w:before="141"/>
        <w:ind w:right="915"/>
        <w:jc w:val="left"/>
      </w:pPr>
      <w:r>
        <w:rPr/>
        <w:t>采用集中竞价方式减持回购股份的实施进展情况</w:t>
      </w:r>
    </w:p>
    <w:p>
      <w:pPr>
        <w:pStyle w:val="BodyText"/>
        <w:spacing w:line="360" w:lineRule="auto" w:before="117"/>
        <w:ind w:right="1394"/>
        <w:jc w:val="left"/>
      </w:pPr>
      <w:r>
        <w:rPr/>
        <w:t>□ 适用 √ 不适用 股份变动对最近一年和最近一期基本每股收益和稀释每股收益、归属于公司普通股股东的每股净资产等财务指标的影响</w:t>
      </w:r>
    </w:p>
    <w:p>
      <w:pPr>
        <w:pStyle w:val="BodyText"/>
        <w:spacing w:line="360" w:lineRule="auto" w:before="25"/>
        <w:ind w:right="6794"/>
        <w:jc w:val="left"/>
      </w:pPr>
      <w:r>
        <w:rPr/>
        <w:t>□ 适用 √ 不适用 公司认为必要或证券监管机构要求披露的其他内容</w:t>
      </w:r>
    </w:p>
    <w:p>
      <w:pPr>
        <w:pStyle w:val="BodyText"/>
        <w:spacing w:line="240" w:lineRule="auto" w:before="27"/>
        <w:ind w:right="915"/>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915"/>
        <w:jc w:val="left"/>
        <w:rPr>
          <w:b w:val="0"/>
          <w:bCs w:val="0"/>
        </w:rPr>
      </w:pPr>
      <w:bookmarkStart w:name="2、限售股份变动情况" w:id="108"/>
      <w:bookmarkEnd w:id="108"/>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915"/>
        <w:jc w:val="left"/>
      </w:pPr>
      <w:r>
        <w:rPr/>
        <w:t>√ 适用 □ 不适用</w:t>
      </w:r>
    </w:p>
    <w:p>
      <w:pPr>
        <w:pStyle w:val="BodyText"/>
        <w:spacing w:line="240" w:lineRule="auto" w:before="117"/>
        <w:ind w:left="0" w:right="1132"/>
        <w:jc w:val="right"/>
      </w:pPr>
      <w:r>
        <w:rPr/>
        <w:t>单位：股</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06"/>
        <w:gridCol w:w="1488"/>
        <w:gridCol w:w="1488"/>
        <w:gridCol w:w="1488"/>
        <w:gridCol w:w="1488"/>
        <w:gridCol w:w="1204"/>
        <w:gridCol w:w="1204"/>
      </w:tblGrid>
      <w:tr>
        <w:trPr>
          <w:trHeight w:val="714" w:hRule="exact"/>
        </w:trPr>
        <w:tc>
          <w:tcPr>
            <w:tcW w:w="1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47" w:right="10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47" w:right="108"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15" w:right="145" w:hanging="269"/>
              <w:jc w:val="left"/>
              <w:rPr>
                <w:rFonts w:ascii="宋体" w:hAnsi="宋体" w:cs="宋体" w:eastAsia="宋体" w:hint="default"/>
                <w:sz w:val="18"/>
                <w:szCs w:val="18"/>
              </w:rPr>
            </w:pPr>
            <w:r>
              <w:rPr>
                <w:rFonts w:ascii="宋体" w:hAnsi="宋体" w:cs="宋体" w:eastAsia="宋体" w:hint="default"/>
                <w:sz w:val="18"/>
                <w:szCs w:val="18"/>
              </w:rPr>
              <w:t>拟解除限售 日期</w:t>
            </w:r>
          </w:p>
        </w:tc>
      </w:tr>
      <w:tr>
        <w:trPr>
          <w:trHeight w:val="358" w:hRule="exact"/>
        </w:trPr>
        <w:tc>
          <w:tcPr>
            <w:tcW w:w="1206"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488" w:type="dxa"/>
            <w:vMerge w:val="restart"/>
            <w:tcBorders>
              <w:top w:val="single" w:sz="4" w:space="0" w:color="000000"/>
              <w:left w:val="single" w:sz="4" w:space="0" w:color="000000"/>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204" w:type="dxa"/>
            <w:tcBorders>
              <w:top w:val="single" w:sz="4" w:space="0" w:color="000000"/>
              <w:left w:val="single" w:sz="4" w:space="0" w:color="000000"/>
              <w:bottom w:val="nil" w:sz="6" w:space="0" w:color="auto"/>
              <w:right w:val="single" w:sz="4" w:space="0" w:color="000000"/>
            </w:tcBorders>
          </w:tcPr>
          <w:p>
            <w:pPr/>
          </w:p>
        </w:tc>
        <w:tc>
          <w:tcPr>
            <w:tcW w:w="12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任职期内按</w:t>
            </w:r>
          </w:p>
        </w:tc>
      </w:tr>
      <w:tr>
        <w:trPr>
          <w:trHeight w:val="624" w:hRule="exact"/>
        </w:trPr>
        <w:tc>
          <w:tcPr>
            <w:tcW w:w="120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唐球</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132,255,529</w:t>
            </w:r>
          </w:p>
        </w:tc>
        <w:tc>
          <w:tcPr>
            <w:tcW w:w="1488" w:type="dxa"/>
            <w:vMerge/>
            <w:tcBorders>
              <w:left w:val="single" w:sz="4" w:space="0" w:color="000000"/>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4,200,000</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128,055,529</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188"/>
              <w:jc w:val="left"/>
              <w:rPr>
                <w:rFonts w:ascii="宋体" w:hAnsi="宋体" w:cs="宋体" w:eastAsia="宋体" w:hint="default"/>
                <w:sz w:val="18"/>
                <w:szCs w:val="18"/>
              </w:rPr>
            </w:pPr>
            <w:r>
              <w:rPr>
                <w:rFonts w:ascii="宋体" w:hAnsi="宋体" w:cs="宋体" w:eastAsia="宋体" w:hint="default"/>
                <w:sz w:val="18"/>
                <w:szCs w:val="18"/>
              </w:rPr>
              <w:t>照高管股份 限售规定执</w:t>
            </w:r>
          </w:p>
        </w:tc>
      </w:tr>
      <w:tr>
        <w:trPr>
          <w:trHeight w:val="356" w:hRule="exact"/>
        </w:trPr>
        <w:tc>
          <w:tcPr>
            <w:tcW w:w="1206"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488" w:type="dxa"/>
            <w:vMerge/>
            <w:tcBorders>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204" w:type="dxa"/>
            <w:tcBorders>
              <w:top w:val="nil" w:sz="6" w:space="0" w:color="auto"/>
              <w:left w:val="single" w:sz="4" w:space="0" w:color="000000"/>
              <w:bottom w:val="single" w:sz="4" w:space="0" w:color="000000"/>
              <w:right w:val="single" w:sz="4" w:space="0" w:color="000000"/>
            </w:tcBorders>
          </w:tcPr>
          <w:p>
            <w:pPr/>
          </w:p>
        </w:tc>
        <w:tc>
          <w:tcPr>
            <w:tcW w:w="12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行</w:t>
            </w:r>
          </w:p>
        </w:tc>
      </w:tr>
      <w:tr>
        <w:trPr>
          <w:trHeight w:val="357" w:hRule="exact"/>
        </w:trPr>
        <w:tc>
          <w:tcPr>
            <w:tcW w:w="1206"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488" w:type="dxa"/>
            <w:vMerge w:val="restart"/>
            <w:tcBorders>
              <w:top w:val="single" w:sz="4" w:space="0" w:color="000000"/>
              <w:left w:val="single" w:sz="4" w:space="0" w:color="000000"/>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204" w:type="dxa"/>
            <w:tcBorders>
              <w:top w:val="single" w:sz="4" w:space="0" w:color="000000"/>
              <w:left w:val="single" w:sz="4" w:space="0" w:color="000000"/>
              <w:bottom w:val="nil" w:sz="6" w:space="0" w:color="auto"/>
              <w:right w:val="single" w:sz="4" w:space="0" w:color="000000"/>
            </w:tcBorders>
          </w:tcPr>
          <w:p>
            <w:pPr/>
          </w:p>
        </w:tc>
        <w:tc>
          <w:tcPr>
            <w:tcW w:w="12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任职期内按</w:t>
            </w:r>
          </w:p>
        </w:tc>
      </w:tr>
      <w:tr>
        <w:trPr>
          <w:trHeight w:val="624" w:hRule="exact"/>
        </w:trPr>
        <w:tc>
          <w:tcPr>
            <w:tcW w:w="120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鄢建红</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32,862,937</w:t>
            </w:r>
          </w:p>
        </w:tc>
        <w:tc>
          <w:tcPr>
            <w:tcW w:w="1488" w:type="dxa"/>
            <w:vMerge/>
            <w:tcBorders>
              <w:left w:val="single" w:sz="4" w:space="0" w:color="000000"/>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6,150,000</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26,712,937</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188"/>
              <w:jc w:val="left"/>
              <w:rPr>
                <w:rFonts w:ascii="宋体" w:hAnsi="宋体" w:cs="宋体" w:eastAsia="宋体" w:hint="default"/>
                <w:sz w:val="18"/>
                <w:szCs w:val="18"/>
              </w:rPr>
            </w:pPr>
            <w:r>
              <w:rPr>
                <w:rFonts w:ascii="宋体" w:hAnsi="宋体" w:cs="宋体" w:eastAsia="宋体" w:hint="default"/>
                <w:sz w:val="18"/>
                <w:szCs w:val="18"/>
              </w:rPr>
              <w:t>照高管股份 限售规定执</w:t>
            </w:r>
          </w:p>
        </w:tc>
      </w:tr>
      <w:tr>
        <w:trPr>
          <w:trHeight w:val="357" w:hRule="exact"/>
        </w:trPr>
        <w:tc>
          <w:tcPr>
            <w:tcW w:w="1206"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488" w:type="dxa"/>
            <w:vMerge/>
            <w:tcBorders>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204" w:type="dxa"/>
            <w:tcBorders>
              <w:top w:val="nil" w:sz="6" w:space="0" w:color="auto"/>
              <w:left w:val="single" w:sz="4" w:space="0" w:color="000000"/>
              <w:bottom w:val="single" w:sz="4" w:space="0" w:color="000000"/>
              <w:right w:val="single" w:sz="4" w:space="0" w:color="000000"/>
            </w:tcBorders>
          </w:tcPr>
          <w:p>
            <w:pPr/>
          </w:p>
        </w:tc>
        <w:tc>
          <w:tcPr>
            <w:tcW w:w="12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行</w:t>
            </w:r>
          </w:p>
        </w:tc>
      </w:tr>
      <w:tr>
        <w:trPr>
          <w:trHeight w:val="400" w:hRule="exact"/>
        </w:trPr>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鄢建兵</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24,252,112</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24,252,112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919" w:footer="1016"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1206"/>
        <w:gridCol w:w="1488"/>
        <w:gridCol w:w="1488"/>
        <w:gridCol w:w="1488"/>
        <w:gridCol w:w="1488"/>
        <w:gridCol w:w="1204"/>
        <w:gridCol w:w="1204"/>
      </w:tblGrid>
      <w:tr>
        <w:trPr>
          <w:trHeight w:val="356" w:hRule="exact"/>
        </w:trPr>
        <w:tc>
          <w:tcPr>
            <w:tcW w:w="1206"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488" w:type="dxa"/>
            <w:vMerge w:val="restart"/>
            <w:tcBorders>
              <w:top w:val="single" w:sz="4" w:space="0" w:color="000000"/>
              <w:left w:val="single" w:sz="4" w:space="0" w:color="000000"/>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204" w:type="dxa"/>
            <w:tcBorders>
              <w:top w:val="single" w:sz="4" w:space="0" w:color="000000"/>
              <w:left w:val="single" w:sz="4" w:space="0" w:color="000000"/>
              <w:bottom w:val="nil" w:sz="6" w:space="0" w:color="auto"/>
              <w:right w:val="single" w:sz="4" w:space="0" w:color="000000"/>
            </w:tcBorders>
          </w:tcPr>
          <w:p>
            <w:pPr/>
          </w:p>
        </w:tc>
        <w:tc>
          <w:tcPr>
            <w:tcW w:w="12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任职期内按</w:t>
            </w:r>
          </w:p>
        </w:tc>
      </w:tr>
      <w:tr>
        <w:trPr>
          <w:trHeight w:val="624" w:hRule="exact"/>
        </w:trPr>
        <w:tc>
          <w:tcPr>
            <w:tcW w:w="120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周云杉</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21,000,000</w:t>
            </w:r>
          </w:p>
        </w:tc>
        <w:tc>
          <w:tcPr>
            <w:tcW w:w="1488" w:type="dxa"/>
            <w:vMerge/>
            <w:tcBorders>
              <w:left w:val="single" w:sz="4" w:space="0" w:color="000000"/>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2,311,088</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18,688,912</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188"/>
              <w:jc w:val="left"/>
              <w:rPr>
                <w:rFonts w:ascii="宋体" w:hAnsi="宋体" w:cs="宋体" w:eastAsia="宋体" w:hint="default"/>
                <w:sz w:val="18"/>
                <w:szCs w:val="18"/>
              </w:rPr>
            </w:pPr>
            <w:r>
              <w:rPr>
                <w:rFonts w:ascii="宋体" w:hAnsi="宋体" w:cs="宋体" w:eastAsia="宋体" w:hint="default"/>
                <w:sz w:val="18"/>
                <w:szCs w:val="18"/>
              </w:rPr>
              <w:t>照高管股份 限售规定执</w:t>
            </w:r>
          </w:p>
        </w:tc>
      </w:tr>
      <w:tr>
        <w:trPr>
          <w:trHeight w:val="358" w:hRule="exact"/>
        </w:trPr>
        <w:tc>
          <w:tcPr>
            <w:tcW w:w="1206"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488" w:type="dxa"/>
            <w:vMerge/>
            <w:tcBorders>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204" w:type="dxa"/>
            <w:tcBorders>
              <w:top w:val="nil" w:sz="6" w:space="0" w:color="auto"/>
              <w:left w:val="single" w:sz="4" w:space="0" w:color="000000"/>
              <w:bottom w:val="single" w:sz="4" w:space="0" w:color="000000"/>
              <w:right w:val="single" w:sz="4" w:space="0" w:color="000000"/>
            </w:tcBorders>
          </w:tcPr>
          <w:p>
            <w:pPr/>
          </w:p>
        </w:tc>
        <w:tc>
          <w:tcPr>
            <w:tcW w:w="12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行</w:t>
            </w:r>
          </w:p>
        </w:tc>
      </w:tr>
      <w:tr>
        <w:trPr>
          <w:trHeight w:val="402" w:hRule="exact"/>
        </w:trPr>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庞军</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15,395,550</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15,395,550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56" w:hRule="exact"/>
        </w:trPr>
        <w:tc>
          <w:tcPr>
            <w:tcW w:w="1206"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488" w:type="dxa"/>
            <w:vMerge w:val="restart"/>
            <w:tcBorders>
              <w:top w:val="single" w:sz="4" w:space="0" w:color="000000"/>
              <w:left w:val="single" w:sz="4" w:space="0" w:color="000000"/>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204" w:type="dxa"/>
            <w:tcBorders>
              <w:top w:val="single" w:sz="4" w:space="0" w:color="000000"/>
              <w:left w:val="single" w:sz="4" w:space="0" w:color="000000"/>
              <w:bottom w:val="nil" w:sz="6" w:space="0" w:color="auto"/>
              <w:right w:val="single" w:sz="4" w:space="0" w:color="000000"/>
            </w:tcBorders>
          </w:tcPr>
          <w:p>
            <w:pPr/>
          </w:p>
        </w:tc>
        <w:tc>
          <w:tcPr>
            <w:tcW w:w="12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任职期内按</w:t>
            </w:r>
          </w:p>
        </w:tc>
      </w:tr>
      <w:tr>
        <w:trPr>
          <w:trHeight w:val="624" w:hRule="exact"/>
        </w:trPr>
        <w:tc>
          <w:tcPr>
            <w:tcW w:w="120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赵欣</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7,600</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37,500</w:t>
            </w:r>
          </w:p>
        </w:tc>
        <w:tc>
          <w:tcPr>
            <w:tcW w:w="1488" w:type="dxa"/>
            <w:vMerge/>
            <w:tcBorders>
              <w:left w:val="single" w:sz="4" w:space="0" w:color="000000"/>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45,100</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188"/>
              <w:jc w:val="left"/>
              <w:rPr>
                <w:rFonts w:ascii="宋体" w:hAnsi="宋体" w:cs="宋体" w:eastAsia="宋体" w:hint="default"/>
                <w:sz w:val="18"/>
                <w:szCs w:val="18"/>
              </w:rPr>
            </w:pPr>
            <w:r>
              <w:rPr>
                <w:rFonts w:ascii="宋体" w:hAnsi="宋体" w:cs="宋体" w:eastAsia="宋体" w:hint="default"/>
                <w:sz w:val="18"/>
                <w:szCs w:val="18"/>
              </w:rPr>
              <w:t>照高管股份 限售规定执</w:t>
            </w:r>
          </w:p>
        </w:tc>
      </w:tr>
      <w:tr>
        <w:trPr>
          <w:trHeight w:val="358" w:hRule="exact"/>
        </w:trPr>
        <w:tc>
          <w:tcPr>
            <w:tcW w:w="1206"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488" w:type="dxa"/>
            <w:vMerge/>
            <w:tcBorders>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204" w:type="dxa"/>
            <w:tcBorders>
              <w:top w:val="nil" w:sz="6" w:space="0" w:color="auto"/>
              <w:left w:val="single" w:sz="4" w:space="0" w:color="000000"/>
              <w:bottom w:val="single" w:sz="4" w:space="0" w:color="000000"/>
              <w:right w:val="single" w:sz="4" w:space="0" w:color="000000"/>
            </w:tcBorders>
          </w:tcPr>
          <w:p>
            <w:pPr/>
          </w:p>
        </w:tc>
        <w:tc>
          <w:tcPr>
            <w:tcW w:w="12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行</w:t>
            </w:r>
          </w:p>
        </w:tc>
      </w:tr>
      <w:tr>
        <w:trPr>
          <w:trHeight w:val="358" w:hRule="exact"/>
        </w:trPr>
        <w:tc>
          <w:tcPr>
            <w:tcW w:w="1206"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488" w:type="dxa"/>
            <w:vMerge w:val="restart"/>
            <w:tcBorders>
              <w:top w:val="single" w:sz="4" w:space="0" w:color="000000"/>
              <w:left w:val="single" w:sz="4" w:space="0" w:color="000000"/>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204" w:type="dxa"/>
            <w:tcBorders>
              <w:top w:val="single" w:sz="4" w:space="0" w:color="000000"/>
              <w:left w:val="single" w:sz="4" w:space="0" w:color="000000"/>
              <w:bottom w:val="nil" w:sz="6" w:space="0" w:color="auto"/>
              <w:right w:val="single" w:sz="4" w:space="0" w:color="000000"/>
            </w:tcBorders>
          </w:tcPr>
          <w:p>
            <w:pPr/>
          </w:p>
        </w:tc>
        <w:tc>
          <w:tcPr>
            <w:tcW w:w="12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根据公司</w:t>
            </w:r>
          </w:p>
        </w:tc>
      </w:tr>
      <w:tr>
        <w:trPr>
          <w:trHeight w:val="1248" w:hRule="exact"/>
        </w:trPr>
        <w:tc>
          <w:tcPr>
            <w:tcW w:w="120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01" w:right="192"/>
              <w:jc w:val="both"/>
              <w:rPr>
                <w:rFonts w:ascii="宋体" w:hAnsi="宋体" w:cs="宋体" w:eastAsia="宋体" w:hint="default"/>
                <w:sz w:val="18"/>
                <w:szCs w:val="18"/>
              </w:rPr>
            </w:pPr>
            <w:r>
              <w:rPr>
                <w:rFonts w:ascii="宋体" w:hAnsi="宋体" w:cs="宋体" w:eastAsia="宋体" w:hint="default"/>
                <w:sz w:val="18"/>
                <w:szCs w:val="18"/>
              </w:rPr>
              <w:t>其他股权激 励限售股股 东</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3,753,750</w:t>
            </w:r>
          </w:p>
        </w:tc>
        <w:tc>
          <w:tcPr>
            <w:tcW w:w="1488" w:type="dxa"/>
            <w:vMerge/>
            <w:tcBorders>
              <w:left w:val="single" w:sz="4" w:space="0" w:color="000000"/>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1,678,750</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2,075,000</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103" w:right="189"/>
              <w:jc w:val="left"/>
              <w:rPr>
                <w:rFonts w:ascii="宋体" w:hAnsi="宋体" w:cs="宋体" w:eastAsia="宋体" w:hint="default"/>
                <w:sz w:val="18"/>
                <w:szCs w:val="18"/>
              </w:rPr>
            </w:pPr>
            <w:r>
              <w:rPr>
                <w:rFonts w:ascii="宋体" w:hAnsi="宋体" w:cs="宋体" w:eastAsia="宋体" w:hint="default"/>
                <w:sz w:val="18"/>
                <w:szCs w:val="18"/>
              </w:rPr>
              <w:t>股权激励限 售股</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312" w:lineRule="auto" w:before="10"/>
              <w:ind w:left="103" w:right="1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年限制 性股票激励 计划（草案） 的有关规定</w:t>
            </w:r>
          </w:p>
        </w:tc>
      </w:tr>
      <w:tr>
        <w:trPr>
          <w:trHeight w:val="356" w:hRule="exact"/>
        </w:trPr>
        <w:tc>
          <w:tcPr>
            <w:tcW w:w="1206"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488" w:type="dxa"/>
            <w:vMerge/>
            <w:tcBorders>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204" w:type="dxa"/>
            <w:tcBorders>
              <w:top w:val="nil" w:sz="6" w:space="0" w:color="auto"/>
              <w:left w:val="single" w:sz="4" w:space="0" w:color="000000"/>
              <w:bottom w:val="single" w:sz="4" w:space="0" w:color="000000"/>
              <w:right w:val="single" w:sz="4" w:space="0" w:color="000000"/>
            </w:tcBorders>
          </w:tcPr>
          <w:p>
            <w:pPr/>
          </w:p>
        </w:tc>
        <w:tc>
          <w:tcPr>
            <w:tcW w:w="12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执行解锁。</w:t>
            </w:r>
          </w:p>
        </w:tc>
      </w:tr>
      <w:tr>
        <w:trPr>
          <w:trHeight w:val="402" w:hRule="exact"/>
        </w:trPr>
        <w:tc>
          <w:tcPr>
            <w:tcW w:w="1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229,527,478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37,500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53,987,500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175,577,478</w:t>
            </w:r>
          </w:p>
        </w:tc>
        <w:tc>
          <w:tcPr>
            <w:tcW w:w="1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18"/>
          <w:szCs w:val="18"/>
        </w:rPr>
      </w:pPr>
    </w:p>
    <w:p>
      <w:pPr>
        <w:pStyle w:val="Heading2"/>
        <w:spacing w:line="240" w:lineRule="auto" w:before="26"/>
        <w:ind w:right="915"/>
        <w:jc w:val="left"/>
        <w:rPr>
          <w:b w:val="0"/>
          <w:bCs w:val="0"/>
        </w:rPr>
      </w:pPr>
      <w:bookmarkStart w:name="二、证券发行与上市情况" w:id="109"/>
      <w:bookmarkEnd w:id="109"/>
      <w:r>
        <w:rPr>
          <w:b w:val="0"/>
          <w:bCs w:val="0"/>
        </w:rPr>
      </w: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15"/>
        <w:jc w:val="left"/>
        <w:rPr>
          <w:b w:val="0"/>
          <w:bCs w:val="0"/>
        </w:rPr>
      </w:pPr>
      <w:bookmarkStart w:name="1、报告期内证券发行（不含优先股）情况" w:id="110"/>
      <w:bookmarkEnd w:id="110"/>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15"/>
        <w:jc w:val="left"/>
      </w:pPr>
      <w:r>
        <w:rPr/>
        <w:t>□ 适用 √ 不适用</w:t>
      </w:r>
    </w:p>
    <w:p>
      <w:pPr>
        <w:spacing w:line="240" w:lineRule="auto" w:before="0"/>
        <w:rPr>
          <w:rFonts w:ascii="宋体" w:hAnsi="宋体" w:cs="宋体" w:eastAsia="宋体" w:hint="default"/>
          <w:sz w:val="18"/>
          <w:szCs w:val="18"/>
        </w:rPr>
      </w:pPr>
    </w:p>
    <w:p>
      <w:pPr>
        <w:pStyle w:val="Heading3"/>
        <w:spacing w:line="240" w:lineRule="auto" w:before="118"/>
        <w:ind w:right="915"/>
        <w:jc w:val="left"/>
        <w:rPr>
          <w:b w:val="0"/>
          <w:bCs w:val="0"/>
        </w:rPr>
      </w:pPr>
      <w:bookmarkStart w:name="2、公司股份总数及股东结构的变动、公司资产和负债结构的变动情况说明" w:id="111"/>
      <w:bookmarkEnd w:id="111"/>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472" w:right="915" w:hanging="360"/>
        <w:jc w:val="left"/>
      </w:pPr>
      <w:r>
        <w:rPr/>
        <w:t>√ 适用 □ 不适用 </w:t>
      </w:r>
      <w:r>
        <w:rPr>
          <w:spacing w:val="-2"/>
        </w:rPr>
        <w:t>公司2016年限制性股票原授予的激励对象张珺、张培、李华超共计三人因个人原因申请离职，经公司第四届董事会第二</w:t>
      </w:r>
    </w:p>
    <w:p>
      <w:pPr>
        <w:pStyle w:val="BodyText"/>
        <w:spacing w:line="224" w:lineRule="exact"/>
        <w:ind w:right="915"/>
        <w:jc w:val="left"/>
      </w:pPr>
      <w:r>
        <w:rPr/>
        <w:t>次会议、第四届监事会第二次会议、2019年第一次临时股东大会审议通过，同意对三名激励对象已授予尚未解锁的限制性股</w:t>
      </w:r>
    </w:p>
    <w:p>
      <w:pPr>
        <w:pStyle w:val="BodyText"/>
        <w:spacing w:line="295" w:lineRule="auto" w:before="76"/>
        <w:ind w:right="1124"/>
        <w:jc w:val="left"/>
        <w:rPr>
          <w:sz w:val="21"/>
          <w:szCs w:val="21"/>
        </w:rPr>
      </w:pPr>
      <w:r>
        <w:rPr/>
        <w:t>票合计122,500股进行回购注销。本次限制性股票回购注销事宜已于2019年12月11日完成，本次回购注销完成后，公司股份 总数由742,214,580股变更为742,092,080股</w:t>
      </w:r>
      <w:r>
        <w:rPr>
          <w:sz w:val="21"/>
          <w:szCs w:val="21"/>
        </w:rPr>
        <w:t>。</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3"/>
        <w:spacing w:line="240" w:lineRule="auto"/>
        <w:ind w:right="915"/>
        <w:jc w:val="left"/>
        <w:rPr>
          <w:b w:val="0"/>
          <w:bCs w:val="0"/>
        </w:rPr>
      </w:pPr>
      <w:bookmarkStart w:name="3、现存的内部职工股情况" w:id="112"/>
      <w:bookmarkEnd w:id="112"/>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15"/>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915"/>
        <w:jc w:val="left"/>
        <w:rPr>
          <w:b w:val="0"/>
          <w:bCs w:val="0"/>
        </w:rPr>
      </w:pPr>
      <w:bookmarkStart w:name="三、股东和实际控制人情况" w:id="113"/>
      <w:bookmarkEnd w:id="113"/>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15"/>
        <w:jc w:val="left"/>
        <w:rPr>
          <w:b w:val="0"/>
          <w:bCs w:val="0"/>
        </w:rPr>
      </w:pPr>
      <w:bookmarkStart w:name="1、公司股东数量及持股情况" w:id="114"/>
      <w:bookmarkEnd w:id="114"/>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0" w:right="1132"/>
        <w:jc w:val="right"/>
      </w:pPr>
      <w:r>
        <w:rPr/>
        <w:t>单位：股</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01"/>
        <w:gridCol w:w="1196"/>
        <w:gridCol w:w="930"/>
        <w:gridCol w:w="1063"/>
        <w:gridCol w:w="1063"/>
        <w:gridCol w:w="1063"/>
        <w:gridCol w:w="1994"/>
        <w:gridCol w:w="1059"/>
      </w:tblGrid>
      <w:tr>
        <w:trPr>
          <w:trHeight w:val="672" w:hRule="exact"/>
        </w:trPr>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 w:right="187"/>
              <w:jc w:val="left"/>
              <w:rPr>
                <w:rFonts w:ascii="宋体" w:hAnsi="宋体" w:cs="宋体" w:eastAsia="宋体" w:hint="default"/>
                <w:sz w:val="18"/>
                <w:szCs w:val="18"/>
              </w:rPr>
            </w:pPr>
            <w:r>
              <w:rPr>
                <w:rFonts w:ascii="宋体" w:hAnsi="宋体" w:cs="宋体" w:eastAsia="宋体" w:hint="default"/>
                <w:sz w:val="18"/>
                <w:szCs w:val="18"/>
              </w:rPr>
              <w:t>报告期末普 通股股东总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588" w:right="0"/>
              <w:jc w:val="left"/>
              <w:rPr>
                <w:rFonts w:ascii="Times New Roman" w:hAnsi="Times New Roman" w:cs="Times New Roman" w:eastAsia="Times New Roman" w:hint="default"/>
                <w:sz w:val="18"/>
                <w:szCs w:val="18"/>
              </w:rPr>
            </w:pPr>
            <w:r>
              <w:rPr>
                <w:rFonts w:ascii="Times New Roman"/>
                <w:sz w:val="18"/>
              </w:rPr>
              <w:t>55,929</w:t>
            </w:r>
          </w:p>
        </w:tc>
        <w:tc>
          <w:tcPr>
            <w:tcW w:w="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275"/>
              <w:jc w:val="left"/>
              <w:rPr>
                <w:rFonts w:ascii="宋体" w:hAnsi="宋体" w:cs="宋体" w:eastAsia="宋体" w:hint="default"/>
                <w:sz w:val="18"/>
                <w:szCs w:val="18"/>
              </w:rPr>
            </w:pPr>
            <w:r>
              <w:rPr>
                <w:rFonts w:ascii="宋体" w:hAnsi="宋体" w:cs="宋体" w:eastAsia="宋体" w:hint="default"/>
                <w:sz w:val="18"/>
                <w:szCs w:val="18"/>
              </w:rPr>
              <w:t>年度报 告披露</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454" w:right="0"/>
              <w:jc w:val="left"/>
              <w:rPr>
                <w:rFonts w:ascii="Times New Roman" w:hAnsi="Times New Roman" w:cs="Times New Roman" w:eastAsia="Times New Roman" w:hint="default"/>
                <w:sz w:val="18"/>
                <w:szCs w:val="18"/>
              </w:rPr>
            </w:pPr>
            <w:r>
              <w:rPr>
                <w:rFonts w:ascii="Times New Roman"/>
                <w:sz w:val="18"/>
              </w:rPr>
              <w:t>53,152</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227"/>
              <w:jc w:val="left"/>
              <w:rPr>
                <w:rFonts w:ascii="宋体" w:hAnsi="宋体" w:cs="宋体" w:eastAsia="宋体" w:hint="default"/>
                <w:sz w:val="18"/>
                <w:szCs w:val="18"/>
              </w:rPr>
            </w:pPr>
            <w:r>
              <w:rPr>
                <w:rFonts w:ascii="宋体" w:hAnsi="宋体" w:cs="宋体" w:eastAsia="宋体" w:hint="default"/>
                <w:sz w:val="18"/>
                <w:szCs w:val="18"/>
              </w:rPr>
              <w:t>报告期末 表决权恢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 w:right="260"/>
              <w:jc w:val="left"/>
              <w:rPr>
                <w:rFonts w:ascii="宋体" w:hAnsi="宋体" w:cs="宋体" w:eastAsia="宋体" w:hint="default"/>
                <w:sz w:val="18"/>
                <w:szCs w:val="18"/>
              </w:rPr>
            </w:pPr>
            <w:r>
              <w:rPr>
                <w:rFonts w:ascii="宋体" w:hAnsi="宋体" w:cs="宋体" w:eastAsia="宋体" w:hint="default"/>
                <w:sz w:val="18"/>
                <w:szCs w:val="18"/>
              </w:rPr>
              <w:t>年度报告披露日前上 一月末表决权恢复的</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footerReference w:type="default" r:id="rId21"/>
          <w:pgSz w:w="11910" w:h="16840"/>
          <w:pgMar w:footer="1016" w:header="919" w:top="1120" w:bottom="1200" w:left="1020" w:right="0"/>
          <w:pgNumType w:start="6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1201"/>
        <w:gridCol w:w="1196"/>
        <w:gridCol w:w="930"/>
        <w:gridCol w:w="1063"/>
        <w:gridCol w:w="1063"/>
        <w:gridCol w:w="1063"/>
        <w:gridCol w:w="926"/>
        <w:gridCol w:w="1068"/>
        <w:gridCol w:w="1059"/>
      </w:tblGrid>
      <w:tr>
        <w:trPr>
          <w:trHeight w:val="1610" w:hRule="exact"/>
        </w:trPr>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数</w:t>
            </w:r>
          </w:p>
        </w:tc>
        <w:tc>
          <w:tcPr>
            <w:tcW w:w="1196"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02" w:right="275"/>
              <w:jc w:val="both"/>
              <w:rPr>
                <w:rFonts w:ascii="宋体" w:hAnsi="宋体" w:cs="宋体" w:eastAsia="宋体" w:hint="default"/>
                <w:sz w:val="18"/>
                <w:szCs w:val="18"/>
              </w:rPr>
            </w:pPr>
            <w:r>
              <w:rPr>
                <w:rFonts w:ascii="宋体" w:hAnsi="宋体" w:cs="宋体" w:eastAsia="宋体" w:hint="default"/>
                <w:sz w:val="18"/>
                <w:szCs w:val="18"/>
              </w:rPr>
              <w:t>日前上 一月末 普通股 股东总 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03" w:right="47"/>
              <w:jc w:val="left"/>
              <w:rPr>
                <w:rFonts w:ascii="宋体" w:hAnsi="宋体" w:cs="宋体" w:eastAsia="宋体" w:hint="default"/>
                <w:sz w:val="18"/>
                <w:szCs w:val="18"/>
              </w:rPr>
            </w:pPr>
            <w:r>
              <w:rPr>
                <w:rFonts w:ascii="宋体" w:hAnsi="宋体" w:cs="宋体" w:eastAsia="宋体" w:hint="default"/>
                <w:sz w:val="18"/>
                <w:szCs w:val="18"/>
              </w:rPr>
              <w:t>复的优先 股股东总 数（如有）</w:t>
            </w:r>
          </w:p>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（参见注</w:t>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tcPr>
          <w:p>
            <w:pPr/>
          </w:p>
        </w:tc>
        <w:tc>
          <w:tcPr>
            <w:tcW w:w="19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01" w:right="260"/>
              <w:jc w:val="left"/>
              <w:rPr>
                <w:rFonts w:ascii="宋体" w:hAnsi="宋体" w:cs="宋体" w:eastAsia="宋体" w:hint="default"/>
                <w:sz w:val="18"/>
                <w:szCs w:val="18"/>
              </w:rPr>
            </w:pPr>
            <w:r>
              <w:rPr>
                <w:rFonts w:ascii="宋体" w:hAnsi="宋体" w:cs="宋体" w:eastAsia="宋体" w:hint="default"/>
                <w:sz w:val="18"/>
                <w:szCs w:val="18"/>
              </w:rPr>
              <w:t>优先股股东总数（如 </w:t>
            </w:r>
            <w:r>
              <w:rPr>
                <w:rFonts w:ascii="宋体" w:hAnsi="宋体" w:cs="宋体" w:eastAsia="宋体" w:hint="default"/>
                <w:spacing w:val="-15"/>
                <w:sz w:val="18"/>
                <w:szCs w:val="18"/>
              </w:rPr>
              <w:t>有）（参见注</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9</w:t>
            </w:r>
            <w:r>
              <w:rPr>
                <w:rFonts w:ascii="宋体" w:hAnsi="宋体" w:cs="宋体" w:eastAsia="宋体" w:hint="default"/>
                <w:spacing w:val="-1"/>
                <w:sz w:val="18"/>
                <w:szCs w:val="18"/>
              </w:rPr>
              <w:t>）</w:t>
            </w:r>
          </w:p>
        </w:tc>
        <w:tc>
          <w:tcPr>
            <w:tcW w:w="10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2" w:hRule="exact"/>
        </w:trPr>
        <w:tc>
          <w:tcPr>
            <w:tcW w:w="12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3"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2"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368" w:right="189"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66" w:right="165"/>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66" w:right="165"/>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66" w:right="164"/>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92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88" w:right="186"/>
              <w:jc w:val="both"/>
              <w:rPr>
                <w:rFonts w:ascii="宋体" w:hAnsi="宋体" w:cs="宋体" w:eastAsia="宋体" w:hint="default"/>
                <w:sz w:val="18"/>
                <w:szCs w:val="18"/>
              </w:rPr>
            </w:pPr>
            <w:r>
              <w:rPr>
                <w:rFonts w:ascii="宋体" w:hAnsi="宋体" w:cs="宋体" w:eastAsia="宋体" w:hint="default"/>
                <w:sz w:val="18"/>
                <w:szCs w:val="18"/>
              </w:rPr>
              <w:t>持有无 限售条 件的股 份数量</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8"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936" w:hRule="exact"/>
        </w:trPr>
        <w:tc>
          <w:tcPr>
            <w:tcW w:w="1201"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930"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926" w:type="dxa"/>
            <w:vMerge/>
            <w:tcBorders>
              <w:left w:val="single" w:sz="4" w:space="0" w:color="000000"/>
              <w:bottom w:val="single" w:sz="4" w:space="0" w:color="000000"/>
              <w:right w:val="single" w:sz="4" w:space="0" w:color="000000"/>
            </w:tcBorders>
            <w:shd w:val="clear" w:color="auto" w:fill="D2D2D2"/>
          </w:tcPr>
          <w:p>
            <w:pPr/>
          </w:p>
        </w:tc>
        <w:tc>
          <w:tcPr>
            <w:tcW w:w="1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16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344"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唐球</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21.45%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159,152,47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w w:val="95"/>
                <w:sz w:val="18"/>
              </w:rPr>
              <w:t>-11,588,22</w:t>
            </w:r>
            <w:r>
              <w:rPr>
                <w:rFonts w:ascii="Times New Roman"/>
                <w:spacing w:val="-1"/>
                <w:sz w:val="18"/>
              </w:rPr>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128,055,52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31,096,9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89,560,000</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张列</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5.84%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43,360,000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-4,787,300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43,360,0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00</w:t>
            </w:r>
          </w:p>
        </w:tc>
        <w:tc>
          <w:tcPr>
            <w:tcW w:w="1068"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鄢建红</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4.40%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32,617,288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-2,999,962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26,712,937</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5,904,35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w:t>
            </w:r>
          </w:p>
        </w:tc>
        <w:tc>
          <w:tcPr>
            <w:tcW w:w="1068"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鄢建兵</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3.29%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24,436,150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-6,900,000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24,436,1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50</w:t>
            </w:r>
          </w:p>
        </w:tc>
        <w:tc>
          <w:tcPr>
            <w:tcW w:w="1068"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周云杉</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3.06%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22,718,550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-2,,200,000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18,688,912</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4,029,63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w:t>
            </w:r>
          </w:p>
        </w:tc>
        <w:tc>
          <w:tcPr>
            <w:tcW w:w="1068"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黄熠</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2.69%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19,936,150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w w:val="95"/>
                <w:sz w:val="18"/>
              </w:rPr>
              <w:t>-11,000,00</w:t>
            </w:r>
            <w:r>
              <w:rPr>
                <w:rFonts w:ascii="Times New Roman"/>
                <w:spacing w:val="-1"/>
                <w:sz w:val="18"/>
              </w:rPr>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19,936,1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50</w:t>
            </w:r>
          </w:p>
        </w:tc>
        <w:tc>
          <w:tcPr>
            <w:tcW w:w="1068"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庞军</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1.89%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14,059,150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-1,336,400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14,059,1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2,800,000</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87"/>
              <w:jc w:val="left"/>
              <w:rPr>
                <w:rFonts w:ascii="宋体" w:hAnsi="宋体" w:cs="宋体" w:eastAsia="宋体" w:hint="default"/>
                <w:sz w:val="18"/>
                <w:szCs w:val="18"/>
              </w:rPr>
            </w:pPr>
            <w:r>
              <w:rPr>
                <w:rFonts w:ascii="宋体" w:hAnsi="宋体" w:cs="宋体" w:eastAsia="宋体" w:hint="default"/>
                <w:sz w:val="18"/>
                <w:szCs w:val="18"/>
              </w:rPr>
              <w:t>香港中央结 算有限公司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0.75%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5,553,827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5,279,417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5,553,82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w:t>
            </w:r>
          </w:p>
        </w:tc>
        <w:tc>
          <w:tcPr>
            <w:tcW w:w="1068"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0"/>
              <w:ind w:left="101" w:right="187"/>
              <w:jc w:val="both"/>
              <w:rPr>
                <w:rFonts w:ascii="宋体" w:hAnsi="宋体" w:cs="宋体" w:eastAsia="宋体" w:hint="default"/>
                <w:sz w:val="18"/>
                <w:szCs w:val="18"/>
              </w:rPr>
            </w:pPr>
            <w:r>
              <w:rPr>
                <w:rFonts w:ascii="宋体" w:hAnsi="宋体" w:cs="宋体" w:eastAsia="宋体" w:hint="default"/>
                <w:sz w:val="18"/>
                <w:szCs w:val="18"/>
              </w:rPr>
              <w:t>中国工商银 行股份有限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易方 达创业板交 易型开放式 指数证券投 资基金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0.70%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5,194,262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-4,152,800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5,194,26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w:t>
            </w:r>
          </w:p>
        </w:tc>
        <w:tc>
          <w:tcPr>
            <w:tcW w:w="1068"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陈先恒</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0.42%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3,100,000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3,100,000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1068"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39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101" w:right="123"/>
              <w:jc w:val="left"/>
              <w:rPr>
                <w:rFonts w:ascii="宋体" w:hAnsi="宋体" w:cs="宋体" w:eastAsia="宋体" w:hint="default"/>
                <w:sz w:val="18"/>
                <w:szCs w:val="18"/>
              </w:rPr>
            </w:pPr>
            <w:r>
              <w:rPr>
                <w:rFonts w:ascii="宋体" w:hAnsi="宋体" w:cs="宋体" w:eastAsia="宋体" w:hint="default"/>
                <w:sz w:val="18"/>
                <w:szCs w:val="18"/>
              </w:rPr>
              <w:t>战略投资者或一般法人因配 售新股成为前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名股东的 </w:t>
            </w:r>
            <w:r>
              <w:rPr>
                <w:rFonts w:ascii="宋体" w:hAnsi="宋体" w:cs="宋体" w:eastAsia="宋体" w:hint="default"/>
                <w:spacing w:val="-9"/>
                <w:sz w:val="18"/>
                <w:szCs w:val="18"/>
              </w:rPr>
              <w:t>情况（如有）（参见注</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w:t>
            </w:r>
          </w:p>
        </w:tc>
        <w:tc>
          <w:tcPr>
            <w:tcW w:w="7172"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2" w:hRule="exact"/>
        </w:trPr>
        <w:tc>
          <w:tcPr>
            <w:tcW w:w="239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23"/>
              <w:jc w:val="left"/>
              <w:rPr>
                <w:rFonts w:ascii="宋体" w:hAnsi="宋体" w:cs="宋体" w:eastAsia="宋体" w:hint="default"/>
                <w:sz w:val="18"/>
                <w:szCs w:val="18"/>
              </w:rPr>
            </w:pPr>
            <w:r>
              <w:rPr>
                <w:rFonts w:ascii="宋体" w:hAnsi="宋体" w:cs="宋体" w:eastAsia="宋体" w:hint="default"/>
                <w:sz w:val="18"/>
                <w:szCs w:val="18"/>
              </w:rPr>
              <w:t>上述股东关联关系或一致行 动的说明</w:t>
            </w:r>
          </w:p>
        </w:tc>
        <w:tc>
          <w:tcPr>
            <w:tcW w:w="7172"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唐球、鄢建红、鄢建兵为一致行动人关系</w:t>
            </w:r>
          </w:p>
        </w:tc>
      </w:tr>
    </w:tbl>
    <w:p>
      <w:pPr>
        <w:spacing w:after="0" w:line="240" w:lineRule="auto"/>
        <w:jc w:val="left"/>
        <w:rPr>
          <w:rFonts w:ascii="宋体" w:hAnsi="宋体" w:cs="宋体" w:eastAsia="宋体" w:hint="default"/>
          <w:sz w:val="18"/>
          <w:szCs w:val="18"/>
        </w:rPr>
        <w:sectPr>
          <w:pgSz w:w="11910" w:h="16840"/>
          <w:pgMar w:header="919" w:footer="1016"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397"/>
        <w:gridCol w:w="5045"/>
        <w:gridCol w:w="1068"/>
        <w:gridCol w:w="1059"/>
      </w:tblGrid>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402" w:hRule="exact"/>
        </w:trPr>
        <w:tc>
          <w:tcPr>
            <w:tcW w:w="23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504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16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2" w:hRule="exact"/>
        </w:trPr>
        <w:tc>
          <w:tcPr>
            <w:tcW w:w="2397" w:type="dxa"/>
            <w:vMerge/>
            <w:tcBorders>
              <w:left w:val="single" w:sz="4" w:space="0" w:color="000000"/>
              <w:bottom w:val="single" w:sz="4" w:space="0" w:color="000000"/>
              <w:right w:val="single" w:sz="4" w:space="0" w:color="000000"/>
            </w:tcBorders>
            <w:shd w:val="clear" w:color="auto" w:fill="D2D2D2"/>
          </w:tcPr>
          <w:p>
            <w:pPr/>
          </w:p>
        </w:tc>
        <w:tc>
          <w:tcPr>
            <w:tcW w:w="5045" w:type="dxa"/>
            <w:vMerge/>
            <w:tcBorders>
              <w:left w:val="single" w:sz="4" w:space="0" w:color="000000"/>
              <w:bottom w:val="single" w:sz="4" w:space="0" w:color="000000"/>
              <w:right w:val="single" w:sz="4" w:space="0" w:color="000000"/>
            </w:tcBorders>
            <w:shd w:val="clear" w:color="auto" w:fill="D2D2D2"/>
          </w:tcPr>
          <w:p>
            <w:pPr/>
          </w:p>
        </w:tc>
        <w:tc>
          <w:tcPr>
            <w:tcW w:w="1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4"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714"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张列</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43,360,000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234"/>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43,360,000</w:t>
            </w:r>
          </w:p>
        </w:tc>
      </w:tr>
      <w:tr>
        <w:trPr>
          <w:trHeight w:val="714"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唐球</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31,096,950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234"/>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31,096,950</w:t>
            </w:r>
          </w:p>
        </w:tc>
      </w:tr>
      <w:tr>
        <w:trPr>
          <w:trHeight w:val="714"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鄢建兵</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24,436,150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234"/>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24,436,150</w:t>
            </w:r>
          </w:p>
        </w:tc>
      </w:tr>
      <w:tr>
        <w:trPr>
          <w:trHeight w:val="714"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黄熠</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19,936,150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234"/>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19,936,150</w:t>
            </w:r>
          </w:p>
        </w:tc>
      </w:tr>
      <w:tr>
        <w:trPr>
          <w:trHeight w:val="714"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庞军</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14,059,150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234"/>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14,059,150</w:t>
            </w:r>
          </w:p>
        </w:tc>
      </w:tr>
      <w:tr>
        <w:trPr>
          <w:trHeight w:val="714"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鄢建红</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5,904,351</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234"/>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5,904,351</w:t>
            </w:r>
          </w:p>
        </w:tc>
      </w:tr>
      <w:tr>
        <w:trPr>
          <w:trHeight w:val="714"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香港中央结算有限公司</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5,553,827</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234"/>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5,553,827</w:t>
            </w:r>
          </w:p>
        </w:tc>
      </w:tr>
      <w:tr>
        <w:trPr>
          <w:trHeight w:val="1026"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中国工商银行股份有限公司</w:t>
            </w:r>
          </w:p>
          <w:p>
            <w:pPr>
              <w:pStyle w:val="TableParagraph"/>
              <w:spacing w:line="300" w:lineRule="auto" w:before="76"/>
              <w:ind w:left="101" w:right="183"/>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易方达创业板交易型开放</w:t>
            </w:r>
            <w:r>
              <w:rPr>
                <w:rFonts w:ascii="宋体" w:hAnsi="宋体" w:cs="宋体" w:eastAsia="宋体" w:hint="default"/>
                <w:w w:val="99"/>
                <w:sz w:val="18"/>
                <w:szCs w:val="18"/>
              </w:rPr>
              <w:t> </w:t>
            </w:r>
            <w:r>
              <w:rPr>
                <w:rFonts w:ascii="宋体" w:hAnsi="宋体" w:cs="宋体" w:eastAsia="宋体" w:hint="default"/>
                <w:sz w:val="18"/>
                <w:szCs w:val="18"/>
              </w:rPr>
              <w:t>式指数证券投资基金</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5,194,262</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2" w:right="234"/>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5,194,262</w:t>
            </w:r>
          </w:p>
        </w:tc>
      </w:tr>
      <w:tr>
        <w:trPr>
          <w:trHeight w:val="714"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周云杉</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4,029,638</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234"/>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4,029,638</w:t>
            </w:r>
          </w:p>
        </w:tc>
      </w:tr>
      <w:tr>
        <w:trPr>
          <w:trHeight w:val="714"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陈先恒</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3,100,000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234"/>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3,100,000</w:t>
            </w:r>
          </w:p>
        </w:tc>
      </w:tr>
      <w:tr>
        <w:trPr>
          <w:trHeight w:val="1650" w:hRule="exact"/>
        </w:trPr>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pacing w:val="-12"/>
                <w:sz w:val="18"/>
                <w:szCs w:val="18"/>
              </w:rPr>
              <w:t>之间，以及前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w:t>
            </w:r>
          </w:p>
          <w:p>
            <w:pPr>
              <w:pStyle w:val="TableParagraph"/>
              <w:spacing w:line="309" w:lineRule="auto" w:before="63"/>
              <w:ind w:left="101" w:right="123"/>
              <w:jc w:val="left"/>
              <w:rPr>
                <w:rFonts w:ascii="宋体" w:hAnsi="宋体" w:cs="宋体" w:eastAsia="宋体" w:hint="default"/>
                <w:sz w:val="18"/>
                <w:szCs w:val="18"/>
              </w:rPr>
            </w:pPr>
            <w:r>
              <w:rPr>
                <w:rFonts w:ascii="宋体" w:hAnsi="宋体" w:cs="宋体" w:eastAsia="宋体" w:hint="default"/>
                <w:sz w:val="18"/>
                <w:szCs w:val="18"/>
              </w:rPr>
              <w:t>通股股东和前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 间关联关系或一致行动的说 明</w:t>
            </w:r>
          </w:p>
        </w:tc>
        <w:tc>
          <w:tcPr>
            <w:tcW w:w="717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唐球、鄢建红、鄢建兵为一致行动人关系</w:t>
            </w:r>
          </w:p>
        </w:tc>
      </w:tr>
      <w:tr>
        <w:trPr>
          <w:trHeight w:val="714" w:hRule="exact"/>
        </w:trPr>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23"/>
              <w:jc w:val="left"/>
              <w:rPr>
                <w:rFonts w:ascii="宋体" w:hAnsi="宋体" w:cs="宋体" w:eastAsia="宋体" w:hint="default"/>
                <w:sz w:val="18"/>
                <w:szCs w:val="18"/>
              </w:rPr>
            </w:pPr>
            <w:r>
              <w:rPr>
                <w:rFonts w:ascii="宋体" w:hAnsi="宋体" w:cs="宋体" w:eastAsia="宋体" w:hint="default"/>
                <w:sz w:val="18"/>
                <w:szCs w:val="18"/>
              </w:rPr>
              <w:t>参与融资融券业务股东情况 </w:t>
            </w:r>
            <w:r>
              <w:rPr>
                <w:rFonts w:ascii="宋体" w:hAnsi="宋体" w:cs="宋体" w:eastAsia="宋体" w:hint="default"/>
                <w:spacing w:val="-9"/>
                <w:sz w:val="18"/>
                <w:szCs w:val="18"/>
              </w:rPr>
              <w:t>说明（如有）（参见注</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w:t>
            </w:r>
          </w:p>
        </w:tc>
        <w:tc>
          <w:tcPr>
            <w:tcW w:w="717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915"/>
        <w:jc w:val="left"/>
      </w:pPr>
      <w:r>
        <w:rPr/>
        <w:t>公司前</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名无限售条件普通股股东在报告期内是否进行约定购回交易</w:t>
      </w:r>
    </w:p>
    <w:p>
      <w:pPr>
        <w:pStyle w:val="BodyText"/>
        <w:spacing w:line="240" w:lineRule="auto" w:before="103"/>
        <w:ind w:right="915"/>
        <w:jc w:val="left"/>
      </w:pPr>
      <w:r>
        <w:rPr/>
        <w:t>□ 是 √ 否</w:t>
      </w:r>
    </w:p>
    <w:p>
      <w:pPr>
        <w:pStyle w:val="BodyText"/>
        <w:spacing w:line="240" w:lineRule="auto" w:before="115"/>
        <w:ind w:right="915"/>
        <w:jc w:val="left"/>
      </w:pPr>
      <w:r>
        <w:rPr/>
        <w:t>公司前</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名无限售条件普通股股东在报告期内未进行约定购回交易。</w:t>
      </w:r>
    </w:p>
    <w:p>
      <w:pPr>
        <w:spacing w:line="240" w:lineRule="auto" w:before="13"/>
        <w:rPr>
          <w:rFonts w:ascii="宋体" w:hAnsi="宋体" w:cs="宋体" w:eastAsia="宋体" w:hint="default"/>
          <w:sz w:val="25"/>
          <w:szCs w:val="25"/>
        </w:rPr>
      </w:pPr>
    </w:p>
    <w:p>
      <w:pPr>
        <w:pStyle w:val="Heading3"/>
        <w:spacing w:line="240" w:lineRule="auto"/>
        <w:ind w:right="915"/>
        <w:jc w:val="left"/>
        <w:rPr>
          <w:b w:val="0"/>
          <w:bCs w:val="0"/>
        </w:rPr>
      </w:pPr>
      <w:bookmarkStart w:name="2、公司控股股东情况" w:id="115"/>
      <w:bookmarkEnd w:id="115"/>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8594"/>
        <w:jc w:val="left"/>
      </w:pPr>
      <w:r>
        <w:rPr/>
        <w:t>控股股东性质：自然人控股 控股股东类型：自然人</w:t>
      </w:r>
    </w:p>
    <w:p>
      <w:pPr>
        <w:spacing w:after="0" w:line="357" w:lineRule="auto"/>
        <w:jc w:val="left"/>
        <w:sectPr>
          <w:pgSz w:w="11910" w:h="16840"/>
          <w:pgMar w:header="919" w:footer="1016"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3417"/>
        <w:gridCol w:w="2030"/>
        <w:gridCol w:w="4120"/>
      </w:tblGrid>
      <w:tr>
        <w:trPr>
          <w:trHeight w:val="402"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唐球</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鄢建红</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50"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2" w:right="100"/>
              <w:jc w:val="both"/>
              <w:rPr>
                <w:rFonts w:ascii="宋体" w:hAnsi="宋体" w:cs="宋体" w:eastAsia="宋体" w:hint="default"/>
                <w:sz w:val="18"/>
                <w:szCs w:val="18"/>
              </w:rPr>
            </w:pPr>
            <w:r>
              <w:rPr>
                <w:rFonts w:ascii="宋体" w:hAnsi="宋体" w:cs="宋体" w:eastAsia="宋体" w:hint="default"/>
                <w:sz w:val="18"/>
                <w:szCs w:val="18"/>
              </w:rPr>
              <w:t>唐球先生，</w:t>
            </w: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月任深圳市赢时胜信息技术有限公司执 </w:t>
            </w:r>
            <w:r>
              <w:rPr>
                <w:rFonts w:ascii="宋体" w:hAnsi="宋体" w:cs="宋体" w:eastAsia="宋体" w:hint="default"/>
                <w:spacing w:val="-5"/>
                <w:sz w:val="18"/>
                <w:szCs w:val="18"/>
              </w:rPr>
              <w:t>行董事、总经理；</w:t>
            </w:r>
            <w:r>
              <w:rPr>
                <w:rFonts w:ascii="Times New Roman" w:hAnsi="Times New Roman" w:cs="Times New Roman" w:eastAsia="Times New Roman" w:hint="default"/>
                <w:spacing w:val="-5"/>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月起任深圳市赢时胜信息技术股份有限公司董事 </w:t>
            </w:r>
            <w:r>
              <w:rPr>
                <w:rFonts w:ascii="宋体" w:hAnsi="宋体" w:cs="宋体" w:eastAsia="宋体" w:hint="default"/>
                <w:spacing w:val="-3"/>
                <w:sz w:val="18"/>
                <w:szCs w:val="18"/>
              </w:rPr>
              <w:t>长、总经理。</w:t>
            </w:r>
            <w:r>
              <w:rPr>
                <w:rFonts w:ascii="宋体" w:hAnsi="宋体" w:cs="宋体" w:eastAsia="宋体" w:hint="default"/>
                <w:spacing w:val="-20"/>
                <w:sz w:val="18"/>
                <w:szCs w:val="18"/>
              </w:rPr>
              <w:t> </w:t>
            </w:r>
            <w:r>
              <w:rPr>
                <w:rFonts w:ascii="宋体" w:hAnsi="宋体" w:cs="宋体" w:eastAsia="宋体" w:hint="default"/>
                <w:sz w:val="18"/>
                <w:szCs w:val="18"/>
              </w:rPr>
              <w:t>鄢建红女士，</w:t>
            </w: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月任深圳市赢时胜信息 </w:t>
            </w:r>
            <w:r>
              <w:rPr>
                <w:rFonts w:ascii="宋体" w:hAnsi="宋体" w:cs="宋体" w:eastAsia="宋体" w:hint="default"/>
                <w:spacing w:val="-4"/>
                <w:sz w:val="18"/>
                <w:szCs w:val="18"/>
              </w:rPr>
              <w:t>技术有限公司财务负责人；</w:t>
            </w:r>
            <w:r>
              <w:rPr>
                <w:rFonts w:ascii="Times New Roman" w:hAnsi="Times New Roman" w:cs="Times New Roman" w:eastAsia="Times New Roman" w:hint="default"/>
                <w:spacing w:val="-4"/>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月起任深圳市赢时胜信息技术股份有限 公司董事。</w:t>
            </w:r>
          </w:p>
        </w:tc>
      </w:tr>
      <w:tr>
        <w:trPr>
          <w:trHeight w:val="714"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243"/>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 公司的股权情况</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915"/>
        <w:jc w:val="left"/>
      </w:pPr>
      <w:r>
        <w:rPr/>
        <w:t>控股股东报告期内变更</w:t>
      </w:r>
    </w:p>
    <w:p>
      <w:pPr>
        <w:pStyle w:val="BodyText"/>
        <w:spacing w:line="357" w:lineRule="auto" w:before="117"/>
        <w:ind w:right="6794"/>
        <w:jc w:val="left"/>
      </w:pPr>
      <w:r>
        <w:rPr/>
        <w:t>□ 适用 √ 不适用 公司报告期控股股东未发生变更。</w:t>
      </w:r>
    </w:p>
    <w:p>
      <w:pPr>
        <w:spacing w:line="240" w:lineRule="auto" w:before="3"/>
        <w:rPr>
          <w:rFonts w:ascii="宋体" w:hAnsi="宋体" w:cs="宋体" w:eastAsia="宋体" w:hint="default"/>
          <w:sz w:val="20"/>
          <w:szCs w:val="20"/>
        </w:rPr>
      </w:pPr>
    </w:p>
    <w:p>
      <w:pPr>
        <w:pStyle w:val="Heading3"/>
        <w:spacing w:line="240" w:lineRule="auto"/>
        <w:ind w:right="915"/>
        <w:jc w:val="left"/>
        <w:rPr>
          <w:b w:val="0"/>
          <w:bCs w:val="0"/>
        </w:rPr>
      </w:pPr>
      <w:bookmarkStart w:name="3、公司实际控制人及其一致行动人" w:id="116"/>
      <w:bookmarkEnd w:id="116"/>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8414"/>
        <w:jc w:val="left"/>
      </w:pPr>
      <w:r>
        <w:rPr/>
        <w:t>实际控制人性质：境内自然人 实际控制人类型：自然人</w:t>
      </w: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0"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69"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1" w:right="108" w:hanging="900"/>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唐球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鄢建红</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鄢建兵</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117"/>
              <w:jc w:val="left"/>
              <w:rPr>
                <w:rFonts w:ascii="宋体" w:hAnsi="宋体" w:cs="宋体" w:eastAsia="宋体" w:hint="default"/>
                <w:sz w:val="18"/>
                <w:szCs w:val="18"/>
              </w:rPr>
            </w:pPr>
            <w:r>
              <w:rPr>
                <w:rFonts w:ascii="宋体" w:hAnsi="宋体" w:cs="宋体" w:eastAsia="宋体" w:hint="default"/>
                <w:sz w:val="18"/>
                <w:szCs w:val="18"/>
              </w:rPr>
              <w:t>一致行动（含协议、亲属、 同一控制）</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96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01"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6" w:type="dxa"/>
            <w:gridSpan w:val="3"/>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2" w:right="10"/>
              <w:jc w:val="left"/>
              <w:rPr>
                <w:rFonts w:ascii="宋体" w:hAnsi="宋体" w:cs="宋体" w:eastAsia="宋体" w:hint="default"/>
                <w:sz w:val="18"/>
                <w:szCs w:val="18"/>
              </w:rPr>
            </w:pPr>
            <w:r>
              <w:rPr>
                <w:rFonts w:ascii="宋体" w:hAnsi="宋体" w:cs="宋体" w:eastAsia="宋体" w:hint="default"/>
                <w:sz w:val="18"/>
                <w:szCs w:val="18"/>
              </w:rPr>
              <w:t>唐球先生，</w:t>
            </w: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月任深圳市赢时胜信息技术有限公司执行董事、总经 </w:t>
            </w:r>
            <w:r>
              <w:rPr>
                <w:rFonts w:ascii="宋体" w:hAnsi="宋体" w:cs="宋体" w:eastAsia="宋体" w:hint="default"/>
                <w:spacing w:val="-6"/>
                <w:sz w:val="18"/>
                <w:szCs w:val="18"/>
              </w:rPr>
              <w:t>理；</w:t>
            </w:r>
            <w:r>
              <w:rPr>
                <w:rFonts w:ascii="Times New Roman" w:hAnsi="Times New Roman" w:cs="Times New Roman" w:eastAsia="Times New Roman" w:hint="default"/>
                <w:spacing w:val="-6"/>
                <w:sz w:val="18"/>
                <w:szCs w:val="18"/>
              </w:rPr>
              <w:t>2010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月起任深圳市赢时胜信息技术股份有限公司董事长、总经理；</w:t>
            </w:r>
            <w:r>
              <w:rPr>
                <w:rFonts w:ascii="宋体" w:hAnsi="宋体" w:cs="宋体" w:eastAsia="宋体" w:hint="default"/>
                <w:spacing w:val="-44"/>
                <w:sz w:val="18"/>
                <w:szCs w:val="18"/>
              </w:rPr>
              <w:t> </w:t>
            </w:r>
            <w:r>
              <w:rPr>
                <w:rFonts w:ascii="宋体" w:hAnsi="宋体" w:cs="宋体" w:eastAsia="宋体" w:hint="default"/>
                <w:sz w:val="18"/>
                <w:szCs w:val="18"/>
              </w:rPr>
              <w:t>鄢建红女士，</w:t>
            </w:r>
            <w:r>
              <w:rPr>
                <w:rFonts w:ascii="宋体" w:hAnsi="宋体" w:cs="宋体" w:eastAsia="宋体" w:hint="default"/>
                <w:sz w:val="18"/>
                <w:szCs w:val="18"/>
              </w:rPr>
              <w:t> </w:t>
            </w:r>
            <w:r>
              <w:rPr>
                <w:rFonts w:ascii="Times New Roman" w:hAnsi="Times New Roman" w:cs="Times New Roman" w:eastAsia="Times New Roman" w:hint="default"/>
                <w:sz w:val="18"/>
                <w:szCs w:val="18"/>
              </w:rPr>
              <w:t>2004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 </w:t>
            </w:r>
            <w:r>
              <w:rPr>
                <w:rFonts w:ascii="宋体" w:hAnsi="宋体" w:cs="宋体" w:eastAsia="宋体" w:hint="default"/>
                <w:spacing w:val="-3"/>
                <w:sz w:val="18"/>
                <w:szCs w:val="18"/>
              </w:rPr>
              <w:t>月任深圳市赢时胜信息技术有限公司财务负责人；</w:t>
            </w:r>
            <w:r>
              <w:rPr>
                <w:rFonts w:ascii="Times New Roman" w:hAnsi="Times New Roman" w:cs="Times New Roman" w:eastAsia="Times New Roman" w:hint="default"/>
                <w:spacing w:val="-3"/>
                <w:sz w:val="18"/>
                <w:szCs w:val="18"/>
              </w:rPr>
              <w:t>2010</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月起</w:t>
            </w:r>
          </w:p>
          <w:p>
            <w:pPr>
              <w:pStyle w:val="TableParagraph"/>
              <w:spacing w:line="240" w:lineRule="auto" w:before="13"/>
              <w:ind w:left="102" w:right="0"/>
              <w:jc w:val="left"/>
              <w:rPr>
                <w:rFonts w:ascii="宋体" w:hAnsi="宋体" w:cs="宋体" w:eastAsia="宋体" w:hint="default"/>
                <w:sz w:val="18"/>
                <w:szCs w:val="18"/>
              </w:rPr>
            </w:pPr>
            <w:r>
              <w:rPr>
                <w:rFonts w:ascii="宋体" w:hAnsi="宋体" w:cs="宋体" w:eastAsia="宋体" w:hint="default"/>
                <w:sz w:val="18"/>
                <w:szCs w:val="18"/>
              </w:rPr>
              <w:t>任深圳市赢时胜信息技术股份有限公司董事。鄢建兵先生，</w:t>
            </w: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月任</w:t>
            </w:r>
          </w:p>
          <w:p>
            <w:pPr>
              <w:pStyle w:val="TableParagraph"/>
              <w:spacing w:line="300" w:lineRule="auto" w:before="63"/>
              <w:ind w:left="102" w:right="101"/>
              <w:jc w:val="left"/>
              <w:rPr>
                <w:rFonts w:ascii="宋体" w:hAnsi="宋体" w:cs="宋体" w:eastAsia="宋体" w:hint="default"/>
                <w:sz w:val="18"/>
                <w:szCs w:val="18"/>
              </w:rPr>
            </w:pPr>
            <w:r>
              <w:rPr>
                <w:rFonts w:ascii="宋体" w:hAnsi="宋体" w:cs="宋体" w:eastAsia="宋体" w:hint="default"/>
                <w:sz w:val="18"/>
                <w:szCs w:val="18"/>
              </w:rPr>
              <w:t>深圳市赢时胜信息技术有限公司董事、副总经理；</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月任深圳市赢 时胜信息技术股份有限公司董事，</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月第三届董事会届满离任。</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207"/>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 上市公司情况</w:t>
            </w:r>
          </w:p>
        </w:tc>
        <w:tc>
          <w:tcPr>
            <w:tcW w:w="71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70"/>
        <w:ind w:right="915"/>
        <w:jc w:val="left"/>
      </w:pPr>
      <w:r>
        <w:rPr/>
        <w:t>实际控制人报告期内变更</w:t>
      </w:r>
    </w:p>
    <w:p>
      <w:pPr>
        <w:pStyle w:val="BodyText"/>
        <w:spacing w:line="357" w:lineRule="auto" w:before="117"/>
        <w:ind w:right="6794"/>
        <w:jc w:val="left"/>
      </w:pPr>
      <w:r>
        <w:rPr/>
        <w:t>□ 适用 √ 不适用 公司报告期实际控制人未发生变更。 公司与实际控制人之间的产权及控制关系的方框图</w:t>
      </w:r>
    </w:p>
    <w:p>
      <w:pPr>
        <w:spacing w:after="0" w:line="357" w:lineRule="auto"/>
        <w:jc w:val="left"/>
        <w:sectPr>
          <w:pgSz w:w="11910" w:h="16840"/>
          <w:pgMar w:header="919" w:footer="1016" w:top="1120" w:bottom="1200" w:left="102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3"/>
          <w:szCs w:val="13"/>
        </w:rPr>
      </w:pPr>
    </w:p>
    <w:p>
      <w:pPr>
        <w:spacing w:line="2874" w:lineRule="exact"/>
        <w:ind w:left="2522" w:right="0" w:firstLine="0"/>
        <w:rPr>
          <w:rFonts w:ascii="宋体" w:hAnsi="宋体" w:cs="宋体" w:eastAsia="宋体" w:hint="default"/>
          <w:sz w:val="20"/>
          <w:szCs w:val="20"/>
        </w:rPr>
      </w:pPr>
      <w:r>
        <w:rPr>
          <w:rFonts w:ascii="宋体" w:hAnsi="宋体" w:cs="宋体" w:eastAsia="宋体" w:hint="default"/>
          <w:position w:val="-56"/>
          <w:sz w:val="20"/>
          <w:szCs w:val="20"/>
        </w:rPr>
        <w:drawing>
          <wp:inline distT="0" distB="0" distL="0" distR="0">
            <wp:extent cx="3074632" cy="1825180"/>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22" cstate="print"/>
                    <a:stretch>
                      <a:fillRect/>
                    </a:stretch>
                  </pic:blipFill>
                  <pic:spPr>
                    <a:xfrm>
                      <a:off x="0" y="0"/>
                      <a:ext cx="3074632" cy="1825180"/>
                    </a:xfrm>
                    <a:prstGeom prst="rect">
                      <a:avLst/>
                    </a:prstGeom>
                  </pic:spPr>
                </pic:pic>
              </a:graphicData>
            </a:graphic>
          </wp:inline>
        </w:drawing>
      </w:r>
      <w:r>
        <w:rPr>
          <w:rFonts w:ascii="宋体" w:hAnsi="宋体" w:cs="宋体" w:eastAsia="宋体" w:hint="default"/>
          <w:position w:val="-56"/>
          <w:sz w:val="20"/>
          <w:szCs w:val="20"/>
        </w:rPr>
      </w:r>
    </w:p>
    <w:p>
      <w:pPr>
        <w:spacing w:line="240" w:lineRule="auto" w:before="8"/>
        <w:rPr>
          <w:rFonts w:ascii="宋体" w:hAnsi="宋体" w:cs="宋体" w:eastAsia="宋体" w:hint="default"/>
          <w:sz w:val="21"/>
          <w:szCs w:val="21"/>
        </w:rPr>
      </w:pPr>
    </w:p>
    <w:p>
      <w:pPr>
        <w:pStyle w:val="BodyText"/>
        <w:spacing w:line="240" w:lineRule="auto" w:before="44"/>
        <w:ind w:right="915"/>
        <w:jc w:val="left"/>
      </w:pPr>
      <w:r>
        <w:rPr/>
        <w:t>实际控制人通过信托或其他资产管理方式控制公司</w:t>
      </w:r>
    </w:p>
    <w:p>
      <w:pPr>
        <w:pStyle w:val="BodyText"/>
        <w:spacing w:line="240" w:lineRule="auto" w:before="117"/>
        <w:ind w:right="915"/>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915"/>
        <w:jc w:val="left"/>
        <w:rPr>
          <w:b w:val="0"/>
          <w:bCs w:val="0"/>
        </w:rPr>
      </w:pPr>
      <w:bookmarkStart w:name="4、其他持股在10%以上的法人股东" w:id="117"/>
      <w:bookmarkEnd w:id="117"/>
      <w:r>
        <w:rPr>
          <w:b w:val="0"/>
          <w:bCs w:val="0"/>
        </w:rPr>
      </w:r>
      <w:r>
        <w:rPr>
          <w:rFonts w:ascii="Times New Roman" w:hAnsi="Times New Roman" w:cs="Times New Roman" w:eastAsia="Times New Roman" w:hint="default"/>
        </w:rPr>
        <w:t>4</w:t>
      </w:r>
      <w:r>
        <w:rPr/>
        <w:t>、其他持股在</w:t>
      </w:r>
      <w:r>
        <w:rPr>
          <w:spacing w:val="-60"/>
        </w:rPr>
        <w:t> </w:t>
      </w:r>
      <w:r>
        <w:rPr>
          <w:rFonts w:ascii="Times New Roman" w:hAnsi="Times New Roman" w:cs="Times New Roman" w:eastAsia="Times New Roman" w:hint="default"/>
        </w:rPr>
        <w:t>10%</w:t>
      </w:r>
      <w:r>
        <w:rPr/>
        <w:t>以上的法人股东</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15"/>
        <w:jc w:val="left"/>
      </w:pPr>
      <w:r>
        <w:rPr/>
        <w:t>□ 适用 √ 不适用</w:t>
      </w:r>
    </w:p>
    <w:p>
      <w:pPr>
        <w:spacing w:line="240" w:lineRule="auto" w:before="0"/>
        <w:rPr>
          <w:rFonts w:ascii="宋体" w:hAnsi="宋体" w:cs="宋体" w:eastAsia="宋体" w:hint="default"/>
          <w:sz w:val="18"/>
          <w:szCs w:val="18"/>
        </w:rPr>
      </w:pPr>
    </w:p>
    <w:p>
      <w:pPr>
        <w:pStyle w:val="Heading3"/>
        <w:spacing w:line="240" w:lineRule="auto" w:before="118"/>
        <w:ind w:right="915"/>
        <w:jc w:val="left"/>
        <w:rPr>
          <w:b w:val="0"/>
          <w:bCs w:val="0"/>
        </w:rPr>
      </w:pPr>
      <w:bookmarkStart w:name="5、控股股东、实际控制人、重组方及其他承诺主体股份限制减持情况" w:id="118"/>
      <w:bookmarkEnd w:id="118"/>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15"/>
        <w:jc w:val="left"/>
      </w:pPr>
      <w:r>
        <w:rPr/>
        <w:t>□ 适用 √ 不适用</w:t>
      </w:r>
    </w:p>
    <w:p>
      <w:pPr>
        <w:spacing w:after="0" w:line="240" w:lineRule="auto"/>
        <w:jc w:val="left"/>
        <w:sectPr>
          <w:pgSz w:w="11910" w:h="16840"/>
          <w:pgMar w:header="919" w:footer="1016" w:top="112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1"/>
        <w:spacing w:line="240" w:lineRule="auto"/>
        <w:ind w:left="3328" w:right="915"/>
        <w:jc w:val="left"/>
        <w:rPr>
          <w:b w:val="0"/>
          <w:bCs w:val="0"/>
        </w:rPr>
      </w:pPr>
      <w:bookmarkStart w:name="第七节优先股相关情况" w:id="119"/>
      <w:bookmarkEnd w:id="119"/>
      <w:r>
        <w:rPr>
          <w:b w:val="0"/>
          <w:bCs w:val="0"/>
        </w:rPr>
      </w:r>
      <w:bookmarkStart w:name="_bookmark6" w:id="120"/>
      <w:bookmarkEnd w:id="120"/>
      <w:r>
        <w:rPr>
          <w:b w:val="0"/>
          <w:bCs w:val="0"/>
        </w:rPr>
      </w:r>
      <w:r>
        <w:rPr/>
        <w:t>第七节优先股相关情况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spacing w:line="360" w:lineRule="auto" w:before="44"/>
        <w:ind w:right="8594"/>
        <w:jc w:val="left"/>
      </w:pPr>
      <w:r>
        <w:rPr/>
        <w:t>□ 适用 √ 不适用 报告期公司不存在优先股。</w:t>
      </w:r>
    </w:p>
    <w:p>
      <w:pPr>
        <w:spacing w:after="0" w:line="360" w:lineRule="auto"/>
        <w:jc w:val="left"/>
        <w:sectPr>
          <w:pgSz w:w="11910" w:h="16840"/>
          <w:pgMar w:header="919" w:footer="1016" w:top="112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1"/>
        <w:spacing w:line="240" w:lineRule="auto"/>
        <w:ind w:left="2685" w:right="915"/>
        <w:jc w:val="left"/>
        <w:rPr>
          <w:b w:val="0"/>
          <w:bCs w:val="0"/>
        </w:rPr>
      </w:pPr>
      <w:bookmarkStart w:name="第八节可转换公司债券相关情况" w:id="121"/>
      <w:bookmarkEnd w:id="121"/>
      <w:r>
        <w:rPr>
          <w:b w:val="0"/>
          <w:bCs w:val="0"/>
        </w:rPr>
      </w:r>
      <w:bookmarkStart w:name="_bookmark7" w:id="122"/>
      <w:bookmarkEnd w:id="122"/>
      <w:r>
        <w:rPr>
          <w:b w:val="0"/>
          <w:bCs w:val="0"/>
        </w:rPr>
      </w:r>
      <w:r>
        <w:rPr/>
        <w:t>第八节可转换公司债券相关情况</w:t>
      </w:r>
      <w:r>
        <w:rPr>
          <w:b w:val="0"/>
          <w:bCs w:val="0"/>
        </w:rPr>
      </w:r>
    </w:p>
    <w:p>
      <w:pPr>
        <w:spacing w:line="240" w:lineRule="auto" w:before="6"/>
        <w:rPr>
          <w:rFonts w:ascii="宋体" w:hAnsi="宋体" w:cs="宋体" w:eastAsia="宋体" w:hint="default"/>
          <w:b/>
          <w:bCs/>
          <w:sz w:val="42"/>
          <w:szCs w:val="42"/>
        </w:rPr>
      </w:pPr>
    </w:p>
    <w:p>
      <w:pPr>
        <w:pStyle w:val="BodyText"/>
        <w:spacing w:line="360" w:lineRule="auto"/>
        <w:ind w:right="7874"/>
        <w:jc w:val="left"/>
      </w:pPr>
      <w:r>
        <w:rPr/>
        <w:t>□ 适用 √ 不适用 报告期公司不存在可转换公司债券。</w:t>
      </w:r>
    </w:p>
    <w:p>
      <w:pPr>
        <w:spacing w:after="0" w:line="360" w:lineRule="auto"/>
        <w:jc w:val="left"/>
        <w:sectPr>
          <w:pgSz w:w="11910" w:h="16840"/>
          <w:pgMar w:header="919" w:footer="1016" w:top="112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1"/>
        <w:spacing w:line="240" w:lineRule="auto"/>
        <w:ind w:left="1723" w:right="915"/>
        <w:jc w:val="left"/>
        <w:rPr>
          <w:b w:val="0"/>
          <w:bCs w:val="0"/>
        </w:rPr>
      </w:pPr>
      <w:bookmarkStart w:name="第九节董事、监事、高级管理人员和员工情况" w:id="123"/>
      <w:bookmarkEnd w:id="123"/>
      <w:r>
        <w:rPr>
          <w:b w:val="0"/>
          <w:bCs w:val="0"/>
        </w:rPr>
      </w:r>
      <w:bookmarkStart w:name="_bookmark8" w:id="124"/>
      <w:bookmarkEnd w:id="124"/>
      <w:r>
        <w:rPr>
          <w:b w:val="0"/>
          <w:bCs w:val="0"/>
        </w:rPr>
      </w:r>
      <w:r>
        <w:rPr/>
        <w:t>第九节董事、监事、高级管理人员和员工情况</w:t>
      </w:r>
      <w:r>
        <w:rPr>
          <w:b w:val="0"/>
          <w:bCs w:val="0"/>
        </w:rPr>
      </w:r>
    </w:p>
    <w:p>
      <w:pPr>
        <w:spacing w:line="240" w:lineRule="auto" w:before="10"/>
        <w:rPr>
          <w:rFonts w:ascii="宋体" w:hAnsi="宋体" w:cs="宋体" w:eastAsia="宋体" w:hint="default"/>
          <w:b/>
          <w:bCs/>
          <w:sz w:val="38"/>
          <w:szCs w:val="38"/>
        </w:rPr>
      </w:pPr>
    </w:p>
    <w:p>
      <w:pPr>
        <w:pStyle w:val="Heading2"/>
        <w:spacing w:line="240" w:lineRule="auto"/>
        <w:ind w:right="915"/>
        <w:jc w:val="left"/>
        <w:rPr>
          <w:b w:val="0"/>
          <w:bCs w:val="0"/>
        </w:rPr>
      </w:pPr>
      <w:bookmarkStart w:name="一、董事、监事和高级管理人员持股变动" w:id="125"/>
      <w:bookmarkEnd w:id="125"/>
      <w:r>
        <w:rPr>
          <w:b w:val="0"/>
          <w:bCs w:val="0"/>
        </w:rPr>
      </w:r>
      <w:r>
        <w:rPr/>
        <w:t>一、董事、监事和高级管理人员持股变动</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798"/>
        <w:gridCol w:w="797"/>
        <w:gridCol w:w="797"/>
        <w:gridCol w:w="797"/>
        <w:gridCol w:w="798"/>
        <w:gridCol w:w="797"/>
        <w:gridCol w:w="798"/>
        <w:gridCol w:w="798"/>
        <w:gridCol w:w="798"/>
        <w:gridCol w:w="798"/>
        <w:gridCol w:w="798"/>
        <w:gridCol w:w="798"/>
      </w:tblGrid>
      <w:tr>
        <w:trPr>
          <w:trHeight w:val="1338"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302" w:right="123" w:hanging="180"/>
              <w:jc w:val="left"/>
              <w:rPr>
                <w:rFonts w:ascii="宋体" w:hAnsi="宋体" w:cs="宋体" w:eastAsia="宋体" w:hint="default"/>
                <w:sz w:val="18"/>
                <w:szCs w:val="18"/>
              </w:rPr>
            </w:pPr>
            <w:r>
              <w:rPr>
                <w:rFonts w:ascii="宋体" w:hAnsi="宋体" w:cs="宋体" w:eastAsia="宋体" w:hint="default"/>
                <w:sz w:val="18"/>
                <w:szCs w:val="18"/>
              </w:rPr>
              <w:t>任职状 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122" w:right="122"/>
              <w:jc w:val="left"/>
              <w:rPr>
                <w:rFonts w:ascii="宋体" w:hAnsi="宋体" w:cs="宋体" w:eastAsia="宋体" w:hint="default"/>
                <w:sz w:val="18"/>
                <w:szCs w:val="18"/>
              </w:rPr>
            </w:pPr>
            <w:r>
              <w:rPr>
                <w:rFonts w:ascii="宋体" w:hAnsi="宋体" w:cs="宋体" w:eastAsia="宋体" w:hint="default"/>
                <w:sz w:val="18"/>
                <w:szCs w:val="18"/>
              </w:rPr>
              <w:t>任期起 始日期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125" w:right="121"/>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5" w:right="122" w:hanging="92"/>
              <w:jc w:val="left"/>
              <w:rPr>
                <w:rFonts w:ascii="宋体" w:hAnsi="宋体" w:cs="宋体" w:eastAsia="宋体" w:hint="default"/>
                <w:sz w:val="18"/>
                <w:szCs w:val="18"/>
              </w:rPr>
            </w:pPr>
            <w:r>
              <w:rPr>
                <w:rFonts w:ascii="宋体" w:hAnsi="宋体" w:cs="宋体" w:eastAsia="宋体" w:hint="default"/>
                <w:sz w:val="18"/>
                <w:szCs w:val="18"/>
              </w:rPr>
              <w:t>期初持 股数</w:t>
            </w:r>
          </w:p>
          <w:p>
            <w:pPr>
              <w:pStyle w:val="TableParagraph"/>
              <w:spacing w:line="240" w:lineRule="auto" w:before="19"/>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5" w:right="121"/>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40" w:lineRule="auto" w:before="19"/>
              <w:ind w:left="125"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3" w:right="122"/>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240" w:lineRule="auto" w:before="19"/>
              <w:ind w:left="123"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25" w:right="121"/>
              <w:jc w:val="left"/>
              <w:rPr>
                <w:rFonts w:ascii="宋体" w:hAnsi="宋体" w:cs="宋体" w:eastAsia="宋体" w:hint="default"/>
                <w:sz w:val="18"/>
                <w:szCs w:val="18"/>
              </w:rPr>
            </w:pPr>
            <w:r>
              <w:rPr>
                <w:rFonts w:ascii="宋体" w:hAnsi="宋体" w:cs="宋体" w:eastAsia="宋体" w:hint="default"/>
                <w:sz w:val="18"/>
                <w:szCs w:val="18"/>
              </w:rPr>
              <w:t>其他增 减变动</w:t>
            </w:r>
          </w:p>
          <w:p>
            <w:pPr>
              <w:pStyle w:val="TableParagraph"/>
              <w:spacing w:line="240" w:lineRule="auto" w:before="19"/>
              <w:ind w:left="125"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5" w:right="122" w:hanging="92"/>
              <w:jc w:val="left"/>
              <w:rPr>
                <w:rFonts w:ascii="宋体" w:hAnsi="宋体" w:cs="宋体" w:eastAsia="宋体" w:hint="default"/>
                <w:sz w:val="18"/>
                <w:szCs w:val="18"/>
              </w:rPr>
            </w:pPr>
            <w:r>
              <w:rPr>
                <w:rFonts w:ascii="宋体" w:hAnsi="宋体" w:cs="宋体" w:eastAsia="宋体" w:hint="default"/>
                <w:sz w:val="18"/>
                <w:szCs w:val="18"/>
              </w:rPr>
              <w:t>期末持 股数</w:t>
            </w:r>
          </w:p>
          <w:p>
            <w:pPr>
              <w:pStyle w:val="TableParagraph"/>
              <w:spacing w:line="240" w:lineRule="auto" w:before="19"/>
              <w:ind w:left="123" w:right="0"/>
              <w:jc w:val="left"/>
              <w:rPr>
                <w:rFonts w:ascii="宋体" w:hAnsi="宋体" w:cs="宋体" w:eastAsia="宋体" w:hint="default"/>
                <w:sz w:val="18"/>
                <w:szCs w:val="18"/>
              </w:rPr>
            </w:pPr>
            <w:r>
              <w:rPr>
                <w:rFonts w:ascii="宋体" w:hAnsi="宋体" w:cs="宋体" w:eastAsia="宋体" w:hint="default"/>
                <w:sz w:val="18"/>
                <w:szCs w:val="18"/>
              </w:rPr>
              <w:t>（股）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唐球</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142"/>
              <w:jc w:val="left"/>
              <w:rPr>
                <w:rFonts w:ascii="宋体" w:hAnsi="宋体" w:cs="宋体" w:eastAsia="宋体" w:hint="default"/>
                <w:sz w:val="18"/>
                <w:szCs w:val="18"/>
              </w:rPr>
            </w:pPr>
            <w:r>
              <w:rPr>
                <w:rFonts w:ascii="宋体" w:hAnsi="宋体" w:cs="宋体" w:eastAsia="宋体" w:hint="default"/>
                <w:sz w:val="18"/>
                <w:szCs w:val="18"/>
              </w:rPr>
              <w:t>董事 长、总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170,74</w:t>
            </w:r>
          </w:p>
          <w:p>
            <w:pPr>
              <w:pStyle w:val="TableParagraph"/>
              <w:spacing w:line="240" w:lineRule="auto" w:before="105"/>
              <w:ind w:left="280" w:right="0"/>
              <w:jc w:val="left"/>
              <w:rPr>
                <w:rFonts w:ascii="Times New Roman" w:hAnsi="Times New Roman" w:cs="Times New Roman" w:eastAsia="Times New Roman" w:hint="default"/>
                <w:sz w:val="18"/>
                <w:szCs w:val="18"/>
              </w:rPr>
            </w:pPr>
            <w:r>
              <w:rPr>
                <w:rFonts w:ascii="Times New Roman"/>
                <w:sz w:val="18"/>
              </w:rPr>
              <w:t>0,705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152" w:right="0"/>
              <w:jc w:val="left"/>
              <w:rPr>
                <w:rFonts w:ascii="Times New Roman" w:hAnsi="Times New Roman" w:cs="Times New Roman" w:eastAsia="Times New Roman" w:hint="default"/>
                <w:sz w:val="18"/>
                <w:szCs w:val="18"/>
              </w:rPr>
            </w:pPr>
            <w:r>
              <w:rPr>
                <w:rFonts w:ascii="Times New Roman"/>
                <w:sz w:val="18"/>
              </w:rPr>
              <w:t>11,588,</w:t>
            </w:r>
          </w:p>
          <w:p>
            <w:pPr>
              <w:pStyle w:val="TableParagraph"/>
              <w:spacing w:line="240" w:lineRule="auto" w:before="105"/>
              <w:ind w:left="414" w:right="0"/>
              <w:jc w:val="left"/>
              <w:rPr>
                <w:rFonts w:ascii="Times New Roman" w:hAnsi="Times New Roman" w:cs="Times New Roman" w:eastAsia="Times New Roman" w:hint="default"/>
                <w:sz w:val="18"/>
                <w:szCs w:val="18"/>
              </w:rPr>
            </w:pPr>
            <w:r>
              <w:rPr>
                <w:rFonts w:ascii="Times New Roman"/>
                <w:sz w:val="18"/>
              </w:rPr>
              <w:t>226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159,15</w:t>
            </w:r>
          </w:p>
          <w:p>
            <w:pPr>
              <w:pStyle w:val="TableParagraph"/>
              <w:spacing w:line="240" w:lineRule="auto" w:before="105"/>
              <w:ind w:left="280" w:right="0"/>
              <w:jc w:val="left"/>
              <w:rPr>
                <w:rFonts w:ascii="Times New Roman" w:hAnsi="Times New Roman" w:cs="Times New Roman" w:eastAsia="Times New Roman" w:hint="default"/>
                <w:sz w:val="18"/>
                <w:szCs w:val="18"/>
              </w:rPr>
            </w:pPr>
            <w:r>
              <w:rPr>
                <w:rFonts w:ascii="Times New Roman"/>
                <w:sz w:val="18"/>
              </w:rPr>
              <w:t>2,479</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1" w:right="0"/>
              <w:jc w:val="left"/>
              <w:rPr>
                <w:rFonts w:ascii="宋体" w:hAnsi="宋体" w:cs="宋体" w:eastAsia="宋体" w:hint="default"/>
                <w:sz w:val="18"/>
                <w:szCs w:val="18"/>
              </w:rPr>
            </w:pPr>
            <w:r>
              <w:rPr>
                <w:rFonts w:ascii="宋体" w:hAnsi="宋体" w:cs="宋体" w:eastAsia="宋体" w:hint="default"/>
                <w:sz w:val="18"/>
                <w:szCs w:val="18"/>
              </w:rPr>
              <w:t>鄢建红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35,617,</w:t>
            </w:r>
          </w:p>
          <w:p>
            <w:pPr>
              <w:pStyle w:val="TableParagraph"/>
              <w:spacing w:line="240" w:lineRule="auto" w:before="105"/>
              <w:ind w:left="414" w:right="0"/>
              <w:jc w:val="left"/>
              <w:rPr>
                <w:rFonts w:ascii="Times New Roman" w:hAnsi="Times New Roman" w:cs="Times New Roman" w:eastAsia="Times New Roman" w:hint="default"/>
                <w:sz w:val="18"/>
                <w:szCs w:val="18"/>
              </w:rPr>
            </w:pPr>
            <w:r>
              <w:rPr>
                <w:rFonts w:ascii="Times New Roman"/>
                <w:sz w:val="18"/>
              </w:rPr>
              <w:t>250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2,999,9</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62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32,617,</w:t>
            </w:r>
          </w:p>
          <w:p>
            <w:pPr>
              <w:pStyle w:val="TableParagraph"/>
              <w:spacing w:line="240" w:lineRule="auto" w:before="105"/>
              <w:ind w:left="414" w:right="0"/>
              <w:jc w:val="left"/>
              <w:rPr>
                <w:rFonts w:ascii="Times New Roman" w:hAnsi="Times New Roman" w:cs="Times New Roman" w:eastAsia="Times New Roman" w:hint="default"/>
                <w:sz w:val="18"/>
                <w:szCs w:val="18"/>
              </w:rPr>
            </w:pPr>
            <w:r>
              <w:rPr>
                <w:rFonts w:ascii="Times New Roman"/>
                <w:sz w:val="18"/>
              </w:rPr>
              <w:t>288</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鄢建兵</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31,336,</w:t>
            </w:r>
          </w:p>
          <w:p>
            <w:pPr>
              <w:pStyle w:val="TableParagraph"/>
              <w:spacing w:line="240" w:lineRule="auto" w:before="105"/>
              <w:ind w:left="414" w:right="0"/>
              <w:jc w:val="left"/>
              <w:rPr>
                <w:rFonts w:ascii="Times New Roman" w:hAnsi="Times New Roman" w:cs="Times New Roman" w:eastAsia="Times New Roman" w:hint="default"/>
                <w:sz w:val="18"/>
                <w:szCs w:val="18"/>
              </w:rPr>
            </w:pPr>
            <w:r>
              <w:rPr>
                <w:rFonts w:ascii="Times New Roman"/>
                <w:sz w:val="18"/>
              </w:rPr>
              <w:t>150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6,900,0</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24,436,</w:t>
            </w:r>
          </w:p>
          <w:p>
            <w:pPr>
              <w:pStyle w:val="TableParagraph"/>
              <w:spacing w:line="240" w:lineRule="auto" w:before="105"/>
              <w:ind w:left="414" w:right="0"/>
              <w:jc w:val="left"/>
              <w:rPr>
                <w:rFonts w:ascii="Times New Roman" w:hAnsi="Times New Roman" w:cs="Times New Roman" w:eastAsia="Times New Roman" w:hint="default"/>
                <w:sz w:val="18"/>
                <w:szCs w:val="18"/>
              </w:rPr>
            </w:pPr>
            <w:r>
              <w:rPr>
                <w:rFonts w:ascii="Times New Roman"/>
                <w:sz w:val="18"/>
              </w:rPr>
              <w:t>150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1" w:right="0"/>
              <w:jc w:val="left"/>
              <w:rPr>
                <w:rFonts w:ascii="宋体" w:hAnsi="宋体" w:cs="宋体" w:eastAsia="宋体" w:hint="default"/>
                <w:sz w:val="18"/>
                <w:szCs w:val="18"/>
              </w:rPr>
            </w:pPr>
            <w:r>
              <w:rPr>
                <w:rFonts w:ascii="宋体" w:hAnsi="宋体" w:cs="宋体" w:eastAsia="宋体" w:hint="default"/>
                <w:sz w:val="18"/>
                <w:szCs w:val="18"/>
              </w:rPr>
              <w:t>周云杉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42"/>
              <w:jc w:val="both"/>
              <w:rPr>
                <w:rFonts w:ascii="宋体" w:hAnsi="宋体" w:cs="宋体" w:eastAsia="宋体" w:hint="default"/>
                <w:sz w:val="18"/>
                <w:szCs w:val="18"/>
              </w:rPr>
            </w:pPr>
            <w:r>
              <w:rPr>
                <w:rFonts w:ascii="宋体" w:hAnsi="宋体" w:cs="宋体" w:eastAsia="宋体" w:hint="default"/>
                <w:sz w:val="18"/>
                <w:szCs w:val="18"/>
              </w:rPr>
              <w:t>董事、 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24,918,</w:t>
            </w:r>
          </w:p>
          <w:p>
            <w:pPr>
              <w:pStyle w:val="TableParagraph"/>
              <w:spacing w:line="240" w:lineRule="auto" w:before="105"/>
              <w:ind w:left="414" w:right="0"/>
              <w:jc w:val="left"/>
              <w:rPr>
                <w:rFonts w:ascii="Times New Roman" w:hAnsi="Times New Roman" w:cs="Times New Roman" w:eastAsia="Times New Roman" w:hint="default"/>
                <w:sz w:val="18"/>
                <w:szCs w:val="18"/>
              </w:rPr>
            </w:pPr>
            <w:r>
              <w:rPr>
                <w:rFonts w:ascii="Times New Roman"/>
                <w:sz w:val="18"/>
              </w:rPr>
              <w:t>550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2,200,0</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22,718,</w:t>
            </w:r>
          </w:p>
          <w:p>
            <w:pPr>
              <w:pStyle w:val="TableParagraph"/>
              <w:spacing w:line="240" w:lineRule="auto" w:before="105"/>
              <w:ind w:left="414" w:right="0"/>
              <w:jc w:val="left"/>
              <w:rPr>
                <w:rFonts w:ascii="Times New Roman" w:hAnsi="Times New Roman" w:cs="Times New Roman" w:eastAsia="Times New Roman" w:hint="default"/>
                <w:sz w:val="18"/>
                <w:szCs w:val="18"/>
              </w:rPr>
            </w:pPr>
            <w:r>
              <w:rPr>
                <w:rFonts w:ascii="Times New Roman"/>
                <w:sz w:val="18"/>
              </w:rPr>
              <w:t>550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赵欣</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142"/>
              <w:jc w:val="both"/>
              <w:rPr>
                <w:rFonts w:ascii="宋体" w:hAnsi="宋体" w:cs="宋体" w:eastAsia="宋体" w:hint="default"/>
                <w:sz w:val="18"/>
                <w:szCs w:val="18"/>
              </w:rPr>
            </w:pPr>
            <w:r>
              <w:rPr>
                <w:rFonts w:ascii="宋体" w:hAnsi="宋体" w:cs="宋体" w:eastAsia="宋体" w:hint="default"/>
                <w:sz w:val="18"/>
                <w:szCs w:val="18"/>
              </w:rPr>
              <w:t>董事、 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126,80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126,80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r>
      <w:tr>
        <w:trPr>
          <w:trHeight w:val="361" w:hRule="exact"/>
        </w:trPr>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伍国安</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财务总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8"/>
                <w:szCs w:val="18"/>
              </w:rPr>
            </w:pPr>
            <w:r>
              <w:rPr>
                <w:rFonts w:ascii="Times New Roman"/>
                <w:sz w:val="18"/>
              </w:rPr>
              <w:t>0</w:t>
            </w:r>
          </w:p>
        </w:tc>
      </w:tr>
      <w:tr>
        <w:trPr>
          <w:trHeight w:val="353" w:hRule="exact"/>
        </w:trPr>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监</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r>
      <w:tr>
        <w:trPr>
          <w:trHeight w:val="361" w:hRule="exact"/>
        </w:trPr>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李跃峰</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2"/>
              <w:jc w:val="right"/>
              <w:rPr>
                <w:rFonts w:ascii="Times New Roman" w:hAnsi="Times New Roman" w:cs="Times New Roman" w:eastAsia="Times New Roman" w:hint="default"/>
                <w:sz w:val="18"/>
                <w:szCs w:val="18"/>
              </w:rPr>
            </w:pPr>
            <w:r>
              <w:rPr>
                <w:rFonts w:ascii="Times New Roman"/>
                <w:sz w:val="18"/>
              </w:rPr>
              <w:t>0</w:t>
            </w:r>
          </w:p>
        </w:tc>
      </w:tr>
      <w:tr>
        <w:trPr>
          <w:trHeight w:val="353" w:hRule="exact"/>
        </w:trPr>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程霞</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42"/>
              <w:jc w:val="both"/>
              <w:rPr>
                <w:rFonts w:ascii="宋体" w:hAnsi="宋体" w:cs="宋体" w:eastAsia="宋体" w:hint="default"/>
                <w:sz w:val="18"/>
                <w:szCs w:val="18"/>
              </w:rPr>
            </w:pPr>
            <w:r>
              <w:rPr>
                <w:rFonts w:ascii="宋体" w:hAnsi="宋体" w:cs="宋体" w:eastAsia="宋体" w:hint="default"/>
                <w:sz w:val="18"/>
                <w:szCs w:val="18"/>
              </w:rPr>
              <w:t>董事会 秘书、 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陈朝琳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103" w:right="142"/>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102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1" w:right="0"/>
              <w:jc w:val="left"/>
              <w:rPr>
                <w:rFonts w:ascii="宋体" w:hAnsi="宋体" w:cs="宋体" w:eastAsia="宋体" w:hint="default"/>
                <w:sz w:val="18"/>
                <w:szCs w:val="18"/>
              </w:rPr>
            </w:pPr>
            <w:r>
              <w:rPr>
                <w:rFonts w:ascii="宋体" w:hAnsi="宋体" w:cs="宋体" w:eastAsia="宋体" w:hint="default"/>
                <w:sz w:val="18"/>
                <w:szCs w:val="18"/>
              </w:rPr>
              <w:t>兰邦胜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03" w:right="142"/>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919" w:footer="1016" w:top="1120" w:bottom="1200" w:left="1020" w:right="0"/>
        </w:sectPr>
      </w:pPr>
    </w:p>
    <w:p>
      <w:pPr>
        <w:spacing w:line="240" w:lineRule="auto" w:before="5"/>
        <w:rPr>
          <w:rFonts w:ascii="宋体" w:hAnsi="宋体" w:cs="宋体" w:eastAsia="宋体" w:hint="default"/>
          <w:b/>
          <w:bCs/>
          <w:sz w:val="23"/>
          <w:szCs w:val="23"/>
        </w:rPr>
      </w:pPr>
    </w:p>
    <w:tbl>
      <w:tblPr>
        <w:tblW w:w="0" w:type="auto"/>
        <w:jc w:val="left"/>
        <w:tblInd w:w="109" w:type="dxa"/>
        <w:tblLayout w:type="fixed"/>
        <w:tblCellMar>
          <w:top w:w="0" w:type="dxa"/>
          <w:left w:w="0" w:type="dxa"/>
          <w:bottom w:w="0" w:type="dxa"/>
          <w:right w:w="0" w:type="dxa"/>
        </w:tblCellMar>
        <w:tblLook w:val="01E0"/>
      </w:tblPr>
      <w:tblGrid>
        <w:gridCol w:w="798"/>
        <w:gridCol w:w="797"/>
        <w:gridCol w:w="797"/>
        <w:gridCol w:w="797"/>
        <w:gridCol w:w="798"/>
        <w:gridCol w:w="797"/>
        <w:gridCol w:w="798"/>
        <w:gridCol w:w="798"/>
        <w:gridCol w:w="798"/>
        <w:gridCol w:w="798"/>
        <w:gridCol w:w="798"/>
        <w:gridCol w:w="798"/>
      </w:tblGrid>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1" w:right="0"/>
              <w:jc w:val="left"/>
              <w:rPr>
                <w:rFonts w:ascii="宋体" w:hAnsi="宋体" w:cs="宋体" w:eastAsia="宋体" w:hint="default"/>
                <w:sz w:val="18"/>
                <w:szCs w:val="18"/>
              </w:rPr>
            </w:pPr>
            <w:r>
              <w:rPr>
                <w:rFonts w:ascii="宋体" w:hAnsi="宋体" w:cs="宋体" w:eastAsia="宋体" w:hint="default"/>
                <w:sz w:val="18"/>
                <w:szCs w:val="18"/>
              </w:rPr>
              <w:t>胡琴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103" w:right="142"/>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322"/>
              <w:jc w:val="righ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李荣林</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103" w:right="142"/>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322"/>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1" w:right="0"/>
              <w:jc w:val="left"/>
              <w:rPr>
                <w:rFonts w:ascii="宋体" w:hAnsi="宋体" w:cs="宋体" w:eastAsia="宋体" w:hint="default"/>
                <w:sz w:val="18"/>
                <w:szCs w:val="18"/>
              </w:rPr>
            </w:pPr>
            <w:r>
              <w:rPr>
                <w:rFonts w:ascii="宋体" w:hAnsi="宋体" w:cs="宋体" w:eastAsia="宋体" w:hint="default"/>
                <w:sz w:val="18"/>
                <w:szCs w:val="18"/>
              </w:rPr>
              <w:t>张建科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103" w:right="142"/>
              <w:jc w:val="left"/>
              <w:rPr>
                <w:rFonts w:ascii="宋体" w:hAnsi="宋体" w:cs="宋体" w:eastAsia="宋体" w:hint="default"/>
                <w:sz w:val="18"/>
                <w:szCs w:val="18"/>
              </w:rPr>
            </w:pPr>
            <w:r>
              <w:rPr>
                <w:rFonts w:ascii="宋体" w:hAnsi="宋体" w:cs="宋体" w:eastAsia="宋体" w:hint="default"/>
                <w:sz w:val="18"/>
                <w:szCs w:val="18"/>
              </w:rPr>
              <w:t>监事会 主席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322"/>
              <w:jc w:val="righ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张海波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103" w:right="142"/>
              <w:jc w:val="left"/>
              <w:rPr>
                <w:rFonts w:ascii="宋体" w:hAnsi="宋体" w:cs="宋体" w:eastAsia="宋体" w:hint="default"/>
                <w:sz w:val="18"/>
                <w:szCs w:val="18"/>
              </w:rPr>
            </w:pPr>
            <w:r>
              <w:rPr>
                <w:rFonts w:ascii="宋体" w:hAnsi="宋体" w:cs="宋体" w:eastAsia="宋体" w:hint="default"/>
                <w:sz w:val="18"/>
                <w:szCs w:val="18"/>
              </w:rPr>
              <w:t>监事会 主席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322"/>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1" w:right="0"/>
              <w:jc w:val="left"/>
              <w:rPr>
                <w:rFonts w:ascii="宋体" w:hAnsi="宋体" w:cs="宋体" w:eastAsia="宋体" w:hint="default"/>
                <w:sz w:val="18"/>
                <w:szCs w:val="18"/>
              </w:rPr>
            </w:pPr>
            <w:r>
              <w:rPr>
                <w:rFonts w:ascii="宋体" w:hAnsi="宋体" w:cs="宋体" w:eastAsia="宋体" w:hint="default"/>
                <w:sz w:val="18"/>
                <w:szCs w:val="18"/>
              </w:rPr>
              <w:t>宾鸽</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103" w:right="142"/>
              <w:jc w:val="left"/>
              <w:rPr>
                <w:rFonts w:ascii="宋体" w:hAnsi="宋体" w:cs="宋体" w:eastAsia="宋体" w:hint="default"/>
                <w:sz w:val="18"/>
                <w:szCs w:val="18"/>
              </w:rPr>
            </w:pPr>
            <w:r>
              <w:rPr>
                <w:rFonts w:ascii="宋体" w:hAnsi="宋体" w:cs="宋体" w:eastAsia="宋体" w:hint="default"/>
                <w:sz w:val="18"/>
                <w:szCs w:val="18"/>
              </w:rPr>
              <w:t>职工监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322"/>
              <w:jc w:val="righ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33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蒲为干</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103" w:right="142"/>
              <w:jc w:val="left"/>
              <w:rPr>
                <w:rFonts w:ascii="宋体" w:hAnsi="宋体" w:cs="宋体" w:eastAsia="宋体" w:hint="default"/>
                <w:sz w:val="18"/>
                <w:szCs w:val="18"/>
              </w:rPr>
            </w:pPr>
            <w:r>
              <w:rPr>
                <w:rFonts w:ascii="宋体" w:hAnsi="宋体" w:cs="宋体" w:eastAsia="宋体" w:hint="default"/>
                <w:sz w:val="18"/>
                <w:szCs w:val="18"/>
              </w:rPr>
              <w:t>职工监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322"/>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1" w:right="0"/>
              <w:jc w:val="left"/>
              <w:rPr>
                <w:rFonts w:ascii="宋体" w:hAnsi="宋体" w:cs="宋体" w:eastAsia="宋体" w:hint="default"/>
                <w:sz w:val="18"/>
                <w:szCs w:val="18"/>
              </w:rPr>
            </w:pPr>
            <w:r>
              <w:rPr>
                <w:rFonts w:ascii="宋体" w:hAnsi="宋体" w:cs="宋体" w:eastAsia="宋体" w:hint="default"/>
                <w:sz w:val="18"/>
                <w:szCs w:val="18"/>
              </w:rPr>
              <w:t>何芳芳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322"/>
              <w:jc w:val="righ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322"/>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331"/>
              <w:jc w:val="right"/>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332"/>
              <w:jc w:val="right"/>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1" w:right="0"/>
              <w:jc w:val="left"/>
              <w:rPr>
                <w:rFonts w:ascii="Times New Roman" w:hAnsi="Times New Roman" w:cs="Times New Roman" w:eastAsia="Times New Roman" w:hint="default"/>
                <w:sz w:val="18"/>
                <w:szCs w:val="18"/>
              </w:rPr>
            </w:pPr>
            <w:r>
              <w:rPr>
                <w:rFonts w:ascii="Times New Roman"/>
                <w:sz w:val="18"/>
              </w:rPr>
              <w:t>262,73</w:t>
            </w:r>
          </w:p>
          <w:p>
            <w:pPr>
              <w:pStyle w:val="TableParagraph"/>
              <w:spacing w:line="240" w:lineRule="auto" w:before="105"/>
              <w:ind w:left="280" w:right="0"/>
              <w:jc w:val="left"/>
              <w:rPr>
                <w:rFonts w:ascii="Times New Roman" w:hAnsi="Times New Roman" w:cs="Times New Roman" w:eastAsia="Times New Roman" w:hint="default"/>
                <w:sz w:val="18"/>
                <w:szCs w:val="18"/>
              </w:rPr>
            </w:pPr>
            <w:r>
              <w:rPr>
                <w:rFonts w:ascii="Times New Roman"/>
                <w:sz w:val="18"/>
              </w:rPr>
              <w:t>9,455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5" w:right="0"/>
              <w:jc w:val="left"/>
              <w:rPr>
                <w:rFonts w:ascii="Times New Roman" w:hAnsi="Times New Roman" w:cs="Times New Roman" w:eastAsia="Times New Roman" w:hint="default"/>
                <w:sz w:val="18"/>
                <w:szCs w:val="18"/>
              </w:rPr>
            </w:pPr>
            <w:r>
              <w:rPr>
                <w:rFonts w:ascii="Times New Roman"/>
                <w:sz w:val="18"/>
              </w:rPr>
              <w:t>23,688,</w:t>
            </w:r>
          </w:p>
          <w:p>
            <w:pPr>
              <w:pStyle w:val="TableParagraph"/>
              <w:spacing w:line="240" w:lineRule="auto" w:before="105"/>
              <w:ind w:left="414" w:right="0"/>
              <w:jc w:val="left"/>
              <w:rPr>
                <w:rFonts w:ascii="Times New Roman" w:hAnsi="Times New Roman" w:cs="Times New Roman" w:eastAsia="Times New Roman" w:hint="default"/>
                <w:sz w:val="18"/>
                <w:szCs w:val="18"/>
              </w:rPr>
            </w:pPr>
            <w:r>
              <w:rPr>
                <w:rFonts w:ascii="Times New Roman"/>
                <w:sz w:val="18"/>
              </w:rPr>
              <w:t>188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1" w:right="0"/>
              <w:jc w:val="left"/>
              <w:rPr>
                <w:rFonts w:ascii="Times New Roman" w:hAnsi="Times New Roman" w:cs="Times New Roman" w:eastAsia="Times New Roman" w:hint="default"/>
                <w:sz w:val="18"/>
                <w:szCs w:val="18"/>
              </w:rPr>
            </w:pPr>
            <w:r>
              <w:rPr>
                <w:rFonts w:ascii="Times New Roman"/>
                <w:sz w:val="18"/>
              </w:rPr>
              <w:t>239,05</w:t>
            </w:r>
          </w:p>
          <w:p>
            <w:pPr>
              <w:pStyle w:val="TableParagraph"/>
              <w:spacing w:line="240" w:lineRule="auto" w:before="105"/>
              <w:ind w:left="280" w:right="0"/>
              <w:jc w:val="left"/>
              <w:rPr>
                <w:rFonts w:ascii="Times New Roman" w:hAnsi="Times New Roman" w:cs="Times New Roman" w:eastAsia="Times New Roman" w:hint="default"/>
                <w:sz w:val="18"/>
                <w:szCs w:val="18"/>
              </w:rPr>
            </w:pPr>
            <w:r>
              <w:rPr>
                <w:rFonts w:ascii="Times New Roman"/>
                <w:sz w:val="18"/>
              </w:rPr>
              <w:t>1,267</w:t>
            </w:r>
          </w:p>
        </w:tc>
      </w:tr>
    </w:tbl>
    <w:p>
      <w:pPr>
        <w:spacing w:line="240" w:lineRule="auto" w:before="2"/>
        <w:rPr>
          <w:rFonts w:ascii="宋体" w:hAnsi="宋体" w:cs="宋体" w:eastAsia="宋体" w:hint="default"/>
          <w:b/>
          <w:bCs/>
          <w:sz w:val="18"/>
          <w:szCs w:val="18"/>
        </w:rPr>
      </w:pPr>
    </w:p>
    <w:p>
      <w:pPr>
        <w:pStyle w:val="Heading2"/>
        <w:spacing w:line="240" w:lineRule="auto" w:before="26"/>
        <w:ind w:right="915"/>
        <w:jc w:val="left"/>
        <w:rPr>
          <w:b w:val="0"/>
          <w:bCs w:val="0"/>
        </w:rPr>
      </w:pPr>
      <w:bookmarkStart w:name="二、公司董事、监事、高级管理人员变动情况" w:id="126"/>
      <w:bookmarkEnd w:id="126"/>
      <w:r>
        <w:rPr>
          <w:b w:val="0"/>
          <w:bCs w:val="0"/>
        </w:rPr>
      </w:r>
      <w:r>
        <w:rPr/>
        <w:t>二、公司董事、监事、高级管理人员变动情况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15"/>
        <w:jc w:val="left"/>
      </w:pPr>
      <w:r>
        <w:rPr/>
        <w:t>√ 适用 □ 不适用</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29"/>
        <w:gridCol w:w="1330"/>
        <w:gridCol w:w="1330"/>
        <w:gridCol w:w="1330"/>
        <w:gridCol w:w="4248"/>
      </w:tblGrid>
      <w:tr>
        <w:trPr>
          <w:trHeight w:val="402" w:hRule="exact"/>
        </w:trPr>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0"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鄢建兵</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714" w:hRule="exact"/>
        </w:trPr>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胡琴</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714" w:hRule="exact"/>
        </w:trPr>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张建科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714" w:hRule="exact"/>
        </w:trPr>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宾鸽</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个人原因</w:t>
            </w:r>
          </w:p>
        </w:tc>
      </w:tr>
    </w:tbl>
    <w:p>
      <w:pPr>
        <w:spacing w:line="240" w:lineRule="auto" w:before="2"/>
        <w:rPr>
          <w:rFonts w:ascii="宋体" w:hAnsi="宋体" w:cs="宋体" w:eastAsia="宋体" w:hint="default"/>
          <w:sz w:val="18"/>
          <w:szCs w:val="18"/>
        </w:rPr>
      </w:pPr>
    </w:p>
    <w:p>
      <w:pPr>
        <w:pStyle w:val="Heading2"/>
        <w:spacing w:line="240" w:lineRule="auto" w:before="26"/>
        <w:ind w:right="915"/>
        <w:jc w:val="left"/>
        <w:rPr>
          <w:b w:val="0"/>
          <w:bCs w:val="0"/>
        </w:rPr>
      </w:pPr>
      <w:bookmarkStart w:name="三、任职情况" w:id="127"/>
      <w:bookmarkEnd w:id="127"/>
      <w:r>
        <w:rPr>
          <w:b w:val="0"/>
          <w:bCs w:val="0"/>
        </w:rPr>
      </w:r>
      <w:r>
        <w:rPr/>
        <w:t>三、任职情况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15"/>
        <w:jc w:val="left"/>
      </w:pPr>
      <w:r>
        <w:rPr/>
        <w:t>公司现任董事、监事、高级管理人员专业背景、主要工作经历以及目前在公司的主要职责</w:t>
      </w:r>
    </w:p>
    <w:p>
      <w:pPr>
        <w:spacing w:after="0" w:line="240" w:lineRule="auto"/>
        <w:jc w:val="left"/>
        <w:sectPr>
          <w:pgSz w:w="11910" w:h="16840"/>
          <w:pgMar w:header="919" w:footer="1016" w:top="1120" w:bottom="1200" w:left="1020" w:right="0"/>
        </w:sectPr>
      </w:pPr>
    </w:p>
    <w:p>
      <w:pPr>
        <w:spacing w:line="240" w:lineRule="auto" w:before="12"/>
        <w:rPr>
          <w:rFonts w:ascii="宋体" w:hAnsi="宋体" w:cs="宋体" w:eastAsia="宋体" w:hint="default"/>
          <w:sz w:val="20"/>
          <w:szCs w:val="20"/>
        </w:rPr>
      </w:pPr>
    </w:p>
    <w:p>
      <w:pPr>
        <w:pStyle w:val="BodyText"/>
        <w:spacing w:line="316" w:lineRule="auto" w:before="44"/>
        <w:ind w:left="472" w:right="1124"/>
        <w:jc w:val="left"/>
      </w:pPr>
      <w:r>
        <w:rPr/>
        <w:t>（一）董事会成员 1、唐球，男，1971年出生，中国国籍，无境外居留权，大学本科学历；1993年至1994年任长沙电表厂技术员；1994年</w:t>
      </w:r>
    </w:p>
    <w:p>
      <w:pPr>
        <w:pStyle w:val="BodyText"/>
        <w:spacing w:line="316" w:lineRule="auto" w:before="19"/>
        <w:ind w:right="1132"/>
        <w:jc w:val="both"/>
      </w:pPr>
      <w:r>
        <w:rPr/>
        <w:t>至1998年任深圳市深软电子技术有限公司开发工程师；1998年至2001年任深圳市亚美联电子技术有限公司职员；2001年9月 至2004年8月任深圳市赢时胜电子技术有限公司执行董事、总经理；2004年8月至2010年3月任深圳市赢时胜信息技术有限公 司执行董事、总经理；2010年3月起至今任深圳市赢时胜信息技术股份有限公司董事长、总经理。</w:t>
      </w:r>
    </w:p>
    <w:p>
      <w:pPr>
        <w:pStyle w:val="BodyText"/>
        <w:spacing w:line="316" w:lineRule="auto" w:before="19"/>
        <w:ind w:right="1130" w:firstLine="360"/>
        <w:jc w:val="both"/>
      </w:pPr>
      <w:r>
        <w:rPr>
          <w:spacing w:val="-2"/>
        </w:rPr>
        <w:t>2、鄢建红，女，1971年出生，中国国籍，无境外居留权，研究生学历；1994年9月至1995年12月任深圳市中达信会计师</w:t>
      </w:r>
      <w:r>
        <w:rPr/>
        <w:t> </w:t>
      </w:r>
      <w:r>
        <w:rPr>
          <w:spacing w:val="-2"/>
        </w:rPr>
        <w:t>事务所职员；1996年至1998年任中国水电八局贵阳分局普定电站项目部财务科职员；1998年至2001年任深圳市亚美联电子技</w:t>
      </w:r>
      <w:r>
        <w:rPr>
          <w:spacing w:val="-56"/>
        </w:rPr>
        <w:t> </w:t>
      </w:r>
      <w:r>
        <w:rPr>
          <w:spacing w:val="-56"/>
        </w:rPr>
      </w:r>
      <w:r>
        <w:rPr>
          <w:spacing w:val="-2"/>
        </w:rPr>
        <w:t>术有限公司财务经理；2001年9月至2004年8月任深圳市赢时胜电子技术有限公司财务负责人；2004年8月至2010年3月任深圳</w:t>
      </w:r>
      <w:r>
        <w:rPr>
          <w:spacing w:val="-54"/>
        </w:rPr>
        <w:t> </w:t>
      </w:r>
      <w:r>
        <w:rPr>
          <w:spacing w:val="-54"/>
        </w:rPr>
      </w:r>
      <w:r>
        <w:rPr/>
        <w:t>市赢时胜信息技术有限公司财务负责人；2010年3月起至今任深圳市赢时胜信息技术股份有限公司董事。</w:t>
      </w:r>
    </w:p>
    <w:p>
      <w:pPr>
        <w:pStyle w:val="BodyText"/>
        <w:spacing w:line="316" w:lineRule="auto" w:before="19"/>
        <w:ind w:right="1129" w:firstLine="360"/>
        <w:jc w:val="both"/>
      </w:pPr>
      <w:r>
        <w:rPr>
          <w:spacing w:val="-2"/>
        </w:rPr>
        <w:t>3、伍国安，男，1966年生，中国国籍，无境外居留权；1987年7月至2003年10月任湘潭烟草中专学校教务科财务会计专</w:t>
      </w:r>
      <w:r>
        <w:rPr/>
        <w:t> </w:t>
      </w:r>
      <w:r>
        <w:rPr>
          <w:spacing w:val="-2"/>
        </w:rPr>
        <w:t>业讲师；2003年11月至2007年2月任湘潭烟草中专学校（湖南省烟草职工培训中心）财务部主管会计；2007年3月至2010年11</w:t>
      </w:r>
      <w:r>
        <w:rPr>
          <w:spacing w:val="-51"/>
        </w:rPr>
        <w:t> </w:t>
      </w:r>
      <w:r>
        <w:rPr>
          <w:spacing w:val="-51"/>
        </w:rPr>
      </w:r>
      <w:r>
        <w:rPr>
          <w:spacing w:val="-2"/>
        </w:rPr>
        <w:t>月湘潭烟草中专学校（湖南省烟草职工培训中心）财务部科长；2010年12月起至今任深圳市赢时胜信息技术股份有限公司财</w:t>
      </w:r>
      <w:r>
        <w:rPr>
          <w:spacing w:val="-60"/>
        </w:rPr>
        <w:t> </w:t>
      </w:r>
      <w:r>
        <w:rPr>
          <w:spacing w:val="-60"/>
        </w:rPr>
      </w:r>
      <w:r>
        <w:rPr/>
        <w:t>务总监。</w:t>
      </w:r>
    </w:p>
    <w:p>
      <w:pPr>
        <w:pStyle w:val="BodyText"/>
        <w:spacing w:line="316" w:lineRule="auto" w:before="19"/>
        <w:ind w:right="1126" w:firstLine="360"/>
        <w:jc w:val="both"/>
      </w:pPr>
      <w:r>
        <w:rPr>
          <w:spacing w:val="-3"/>
        </w:rPr>
        <w:t>4、周云杉，男，1978年出生，中国国籍，无境外居留权，大学专科学历；1999年至2000年任三一重工物质部职员；2001</w:t>
      </w:r>
      <w:r>
        <w:rPr/>
        <w:t> </w:t>
      </w:r>
      <w:r>
        <w:rPr>
          <w:spacing w:val="-2"/>
        </w:rPr>
        <w:t>年9月至2004年8月任深圳市赢时胜电子技术有限公司助理总经理；2004年8月至2010年3月任深圳市赢时胜信息技术有限公司</w:t>
      </w:r>
      <w:r>
        <w:rPr>
          <w:spacing w:val="-56"/>
        </w:rPr>
        <w:t> </w:t>
      </w:r>
      <w:r>
        <w:rPr>
          <w:spacing w:val="-56"/>
        </w:rPr>
      </w:r>
      <w:r>
        <w:rPr/>
        <w:t>助理总经理；2010年3月起任深圳市赢时胜信息技术股份有限公司董事、副总经理。</w:t>
      </w:r>
    </w:p>
    <w:p>
      <w:pPr>
        <w:pStyle w:val="BodyText"/>
        <w:spacing w:line="316" w:lineRule="auto" w:before="19"/>
        <w:ind w:right="1130" w:firstLine="360"/>
        <w:jc w:val="both"/>
      </w:pPr>
      <w:r>
        <w:rPr>
          <w:spacing w:val="-2"/>
        </w:rPr>
        <w:t>5、赵欣，男，1980年8月出生，中国国籍，无境外永久居留权，硕士研究生学历。2004年9月至2007年8月就职于东软集</w:t>
      </w:r>
      <w:r>
        <w:rPr/>
        <w:t> </w:t>
      </w:r>
      <w:r>
        <w:rPr>
          <w:spacing w:val="-2"/>
        </w:rPr>
        <w:t>团政府事业部，历任软件工程师、高级软件工程师、系统架构师；2007年8月至2011年8月就职于东软集团天津分公司，担任</w:t>
      </w:r>
      <w:r>
        <w:rPr>
          <w:spacing w:val="-59"/>
        </w:rPr>
        <w:t> </w:t>
      </w:r>
      <w:r>
        <w:rPr>
          <w:spacing w:val="-59"/>
        </w:rPr>
      </w:r>
      <w:r>
        <w:rPr>
          <w:spacing w:val="-2"/>
        </w:rPr>
        <w:t>技术总监；2011年8月至2014年9月就职于厦门巨龙软件工程有限公司，担任技术总监；2014年9月至2018年4月就职于深圳市</w:t>
      </w:r>
      <w:r>
        <w:rPr>
          <w:spacing w:val="-54"/>
        </w:rPr>
        <w:t> </w:t>
      </w:r>
      <w:r>
        <w:rPr>
          <w:spacing w:val="-54"/>
        </w:rPr>
      </w:r>
      <w:r>
        <w:rPr/>
        <w:t>赢时胜信息技术股份有限公司，担任研发中心总监和赢时胜公司首席技术官；2018年5月至今就职于深圳市赢时胜信息技术</w:t>
      </w:r>
      <w:r>
        <w:rPr>
          <w:spacing w:val="-86"/>
        </w:rPr>
        <w:t> </w:t>
      </w:r>
      <w:r>
        <w:rPr>
          <w:spacing w:val="-86"/>
        </w:rPr>
      </w:r>
      <w:r>
        <w:rPr/>
        <w:t>股份有限公司，担任研究院院长和赢时胜公司首席技术官。</w:t>
      </w:r>
    </w:p>
    <w:p>
      <w:pPr>
        <w:pStyle w:val="BodyText"/>
        <w:spacing w:line="316" w:lineRule="auto" w:before="19"/>
        <w:ind w:right="1130" w:firstLine="360"/>
        <w:jc w:val="both"/>
      </w:pPr>
      <w:r>
        <w:rPr>
          <w:spacing w:val="-2"/>
        </w:rPr>
        <w:t>6、李跃峰，男，1983年1月出生，中国国籍，无境外永久居留权，硕士研究生学历。2005年至2007年就职于北京玖方量</w:t>
      </w:r>
      <w:r>
        <w:rPr/>
        <w:t> 子软件技术有限公司，任部门总监；2007年至2008年就职于新华财经有限公司任Alpha信息技术部经理；2008年至2009年就 </w:t>
      </w:r>
      <w:r>
        <w:rPr>
          <w:spacing w:val="-2"/>
        </w:rPr>
        <w:t>职于北京玖方量子软件技术有限公司任总经理；2009年至今就职于深圳市赢时胜信息技术股份有限公司，历任公司资产负债</w:t>
      </w:r>
      <w:r>
        <w:rPr>
          <w:spacing w:val="-62"/>
        </w:rPr>
        <w:t> </w:t>
      </w:r>
      <w:r>
        <w:rPr>
          <w:spacing w:val="-62"/>
        </w:rPr>
      </w:r>
      <w:r>
        <w:rPr/>
        <w:t>产品部部门总监、营销中心售前部门部门总监、客服中心部门总监、总经理助理、软服中心总经理、创服中心总经理。</w:t>
      </w:r>
    </w:p>
    <w:p>
      <w:pPr>
        <w:pStyle w:val="BodyText"/>
        <w:spacing w:line="316" w:lineRule="auto" w:before="19"/>
        <w:ind w:right="1129" w:firstLine="360"/>
        <w:jc w:val="both"/>
      </w:pPr>
      <w:r>
        <w:rPr>
          <w:spacing w:val="-2"/>
        </w:rPr>
        <w:t>7、陈朝琳，男，1973年生，中国国籍，无境外居留权；1995年8月至1997年10月任福建省饲料工业公司职员；1997年11</w:t>
      </w:r>
      <w:r>
        <w:rPr/>
        <w:t> 月至1999年8月任连江瑞邦金属制品有限公司总经理助理；1999年9月至2002年7月在厦门大学就读工商管理硕士；2001年8</w:t>
      </w:r>
      <w:r>
        <w:rPr>
          <w:spacing w:val="-15"/>
        </w:rPr>
        <w:t> </w:t>
      </w:r>
      <w:r>
        <w:rPr>
          <w:spacing w:val="-15"/>
        </w:rPr>
      </w:r>
      <w:r>
        <w:rPr/>
        <w:t>月至2004年10月任厦门高能投资咨询有限公司项目经理；2004年11月至2008年7月任厦门市企业经营管理人才评价推荐中心</w:t>
      </w:r>
      <w:r>
        <w:rPr/>
        <w:t> 项目经理；2008年9月至2011年6月在厦门大学会计学专业就读管理学博士；2011年7月至今任厦门国家会计学院副教授。现 任公司独立董事。</w:t>
      </w:r>
    </w:p>
    <w:p>
      <w:pPr>
        <w:pStyle w:val="BodyText"/>
        <w:spacing w:line="316" w:lineRule="auto" w:before="19"/>
        <w:ind w:right="1037" w:firstLine="360"/>
        <w:jc w:val="left"/>
      </w:pPr>
      <w:r>
        <w:rPr>
          <w:spacing w:val="-2"/>
        </w:rPr>
        <w:t>8、兰邦胜，男，1978年8月出生，中国国籍，无境外居留权，硕士研究生学历；2005年9月至2007年2月任厦门金友诚软</w:t>
      </w:r>
      <w:r>
        <w:rPr/>
        <w:t> </w:t>
      </w:r>
      <w:r>
        <w:rPr>
          <w:spacing w:val="-2"/>
        </w:rPr>
        <w:t>件有限公司销售部经理；2007年3月至2008年2月任诺基亚中国有限公司深圳分公司大客户专员；2008年3月至2008年5月任劲</w:t>
      </w:r>
      <w:r>
        <w:rPr>
          <w:spacing w:val="-54"/>
        </w:rPr>
        <w:t> </w:t>
      </w:r>
      <w:r>
        <w:rPr>
          <w:spacing w:val="-54"/>
        </w:rPr>
      </w:r>
      <w:r>
        <w:rPr/>
        <w:t>霸男装股份有限公司证券事务代表；2008年6月至2009年9月任厦门市美亚柏科资讯科技有限公司风险控制部副经理；2009</w:t>
      </w:r>
      <w:r>
        <w:rPr>
          <w:spacing w:val="-11"/>
        </w:rPr>
        <w:t> </w:t>
      </w:r>
      <w:r>
        <w:rPr>
          <w:spacing w:val="-11"/>
        </w:rPr>
      </w:r>
      <w:r>
        <w:rPr>
          <w:spacing w:val="-2"/>
        </w:rPr>
        <w:t>年9月至2011年4月任厦门市美亚柏科信息股份有限公司监事会主席；2011年4月至2012年6月任福州百洋海味食品有限公司副</w:t>
      </w:r>
      <w:r>
        <w:rPr>
          <w:spacing w:val="-56"/>
        </w:rPr>
        <w:t> </w:t>
      </w:r>
      <w:r>
        <w:rPr>
          <w:spacing w:val="-56"/>
        </w:rPr>
      </w:r>
      <w:r>
        <w:rPr>
          <w:spacing w:val="-5"/>
        </w:rPr>
        <w:t>总经理、董事会秘书；2012年6月至2012年12月任福建省晋江市华宇织造有限公司董事长助理、董事会秘书；2013年1月至2014</w:t>
      </w:r>
      <w:r>
        <w:rPr>
          <w:spacing w:val="-34"/>
        </w:rPr>
        <w:t> </w:t>
      </w:r>
      <w:r>
        <w:rPr>
          <w:spacing w:val="-34"/>
        </w:rPr>
      </w:r>
      <w:r>
        <w:rPr>
          <w:spacing w:val="-3"/>
        </w:rPr>
        <w:t>年12月任厦门明翰电气股份有限公司副总经理、董事会秘书；2015年1月至2016年5月任厦门纳网科技股份有限公司副总经理、</w:t>
      </w:r>
      <w:r>
        <w:rPr>
          <w:spacing w:val="-84"/>
        </w:rPr>
        <w:t> </w:t>
      </w:r>
      <w:r>
        <w:rPr>
          <w:spacing w:val="-84"/>
        </w:rPr>
      </w:r>
      <w:r>
        <w:rPr>
          <w:spacing w:val="-2"/>
        </w:rPr>
        <w:t>董事会秘书；2016年3月至今任深圳市赢时胜信息技术股份有限公司独立董事；2018年5月至今任福建阿石创新材料股份有限</w:t>
      </w:r>
      <w:r>
        <w:rPr>
          <w:spacing w:val="-59"/>
        </w:rPr>
        <w:t> </w:t>
      </w:r>
      <w:r>
        <w:rPr>
          <w:spacing w:val="-59"/>
        </w:rPr>
      </w:r>
      <w:r>
        <w:rPr/>
        <w:t>公司独立董事；2016年6月至2017年7月任长城证券股份有限公司江西分公司企业融资部业务董事；2017年8月至今任长城证</w:t>
      </w:r>
      <w:r>
        <w:rPr/>
        <w:t> 券股份有限公司投资银行事业部资产管理并购融资部执行董事。现任公司独立董事。</w:t>
      </w:r>
    </w:p>
    <w:p>
      <w:pPr>
        <w:pStyle w:val="BodyText"/>
        <w:spacing w:line="316" w:lineRule="auto" w:before="19"/>
        <w:ind w:right="1041" w:firstLine="360"/>
        <w:jc w:val="both"/>
      </w:pPr>
      <w:r>
        <w:rPr>
          <w:spacing w:val="-2"/>
        </w:rPr>
        <w:t>9、李荣林，男，1965年2月出生，中国国籍，无境外居留权，博士。1985年7月至1990年8月就职于淮北烈山职业中学任</w:t>
      </w:r>
      <w:r>
        <w:rPr/>
        <w:t> </w:t>
      </w:r>
      <w:r>
        <w:rPr>
          <w:spacing w:val="-2"/>
        </w:rPr>
        <w:t>教师；1993年7月至1997年1月就职于广西北海党校任教师；2000年7月至今就职于上海财经大学任教师。现任公司独立董事。</w:t>
      </w:r>
    </w:p>
    <w:p>
      <w:pPr>
        <w:pStyle w:val="BodyText"/>
        <w:spacing w:line="316" w:lineRule="auto" w:before="19"/>
        <w:ind w:left="472" w:right="1124"/>
        <w:jc w:val="left"/>
      </w:pPr>
      <w:r>
        <w:rPr/>
        <w:t>（二）监事会成员 1、张海波，男，1982年生，中国国籍，无境外居留权，大学本科学历；2005年3月至2007年5月任台达电源股份有限公</w:t>
      </w:r>
    </w:p>
    <w:p>
      <w:pPr>
        <w:pStyle w:val="BodyText"/>
        <w:spacing w:line="240" w:lineRule="auto" w:before="19"/>
        <w:ind w:right="0"/>
        <w:jc w:val="both"/>
      </w:pPr>
      <w:r>
        <w:rPr/>
        <w:t>司TE工程师；2007年5月至2007年12月任贝汉安仪实业(深圳)有限公司测试工程师；2007年12月至2008年3月任浚信工业(深</w:t>
      </w:r>
    </w:p>
    <w:p>
      <w:pPr>
        <w:spacing w:after="0" w:line="240" w:lineRule="auto"/>
        <w:jc w:val="both"/>
        <w:sectPr>
          <w:pgSz w:w="11910" w:h="16840"/>
          <w:pgMar w:header="919" w:footer="1016" w:top="1120" w:bottom="1200" w:left="1020" w:right="0"/>
        </w:sectPr>
      </w:pPr>
    </w:p>
    <w:p>
      <w:pPr>
        <w:spacing w:line="240" w:lineRule="auto" w:before="12"/>
        <w:rPr>
          <w:rFonts w:ascii="宋体" w:hAnsi="宋体" w:cs="宋体" w:eastAsia="宋体" w:hint="default"/>
          <w:sz w:val="20"/>
          <w:szCs w:val="20"/>
        </w:rPr>
      </w:pPr>
    </w:p>
    <w:p>
      <w:pPr>
        <w:pStyle w:val="BodyText"/>
        <w:spacing w:line="316" w:lineRule="auto" w:before="44"/>
        <w:ind w:right="1130"/>
        <w:jc w:val="both"/>
      </w:pPr>
      <w:r>
        <w:rPr/>
        <w:t>圳)有限公司TE工程师；2008年3月至2009年3月任山特电子(深圳)有限公司</w:t>
      </w:r>
      <w:r>
        <w:rPr>
          <w:spacing w:val="59"/>
        </w:rPr>
        <w:t> </w:t>
      </w:r>
      <w:r>
        <w:rPr/>
        <w:t>TE工程师；2009年3月至2010年1月自学；2010</w:t>
      </w:r>
      <w:r>
        <w:rPr>
          <w:spacing w:val="-73"/>
        </w:rPr>
        <w:t> </w:t>
      </w:r>
      <w:r>
        <w:rPr>
          <w:spacing w:val="-73"/>
        </w:rPr>
      </w:r>
      <w:r>
        <w:rPr/>
        <w:t>年1月至2011年4月任深圳博度科技有限公司软件工程师；2011年4月起任深圳市赢时胜信息技术股份有限公司产品中心软件</w:t>
      </w:r>
      <w:r>
        <w:rPr>
          <w:spacing w:val="-85"/>
        </w:rPr>
        <w:t> </w:t>
      </w:r>
      <w:r>
        <w:rPr>
          <w:spacing w:val="-85"/>
        </w:rPr>
      </w:r>
      <w:r>
        <w:rPr/>
        <w:t>工程师，曾任公司第二、三届非职工代表监事。</w:t>
      </w:r>
    </w:p>
    <w:p>
      <w:pPr>
        <w:pStyle w:val="BodyText"/>
        <w:spacing w:line="316" w:lineRule="auto" w:before="19"/>
        <w:ind w:right="1130" w:firstLine="360"/>
        <w:jc w:val="both"/>
      </w:pPr>
      <w:r>
        <w:rPr>
          <w:spacing w:val="-2"/>
        </w:rPr>
        <w:t>2、蒲为干，男，1984年出生，中国国籍，无境外居留权，大学本科学历。2010年12月到2015年4月就职于深圳市新邦物</w:t>
      </w:r>
      <w:r>
        <w:rPr/>
        <w:t> 流有限公司，历任门店管理岗、人力资源招聘岗；2015年4月至今就职于深圳市赢时胜信息技术股份有限公司，担任人力资</w:t>
      </w:r>
      <w:r>
        <w:rPr>
          <w:spacing w:val="-86"/>
        </w:rPr>
        <w:t> </w:t>
      </w:r>
      <w:r>
        <w:rPr>
          <w:spacing w:val="-86"/>
        </w:rPr>
      </w:r>
      <w:r>
        <w:rPr/>
        <w:t>源部经理。</w:t>
      </w:r>
    </w:p>
    <w:p>
      <w:pPr>
        <w:pStyle w:val="BodyText"/>
        <w:spacing w:line="316" w:lineRule="auto" w:before="19"/>
        <w:ind w:right="1132" w:firstLine="360"/>
        <w:jc w:val="both"/>
      </w:pPr>
      <w:r>
        <w:rPr/>
        <w:t>3、何芳芳，女，1998年12月出生，中国国籍，无境外居留权，大专学历。2018年12月至今就职于深圳市赢时胜信息技 术股份有限公司任公司助理会计。</w:t>
      </w:r>
    </w:p>
    <w:p>
      <w:pPr>
        <w:pStyle w:val="BodyText"/>
        <w:spacing w:line="316" w:lineRule="auto" w:before="19"/>
        <w:ind w:left="472" w:right="4274"/>
        <w:jc w:val="left"/>
      </w:pPr>
      <w:r>
        <w:rPr/>
        <w:t>（三）高级管理人员 </w:t>
      </w:r>
      <w:r>
        <w:rPr>
          <w:spacing w:val="-4"/>
        </w:rPr>
        <w:t>1、唐球先生，总经理，简历详见本节“1、董事会成员”。</w:t>
      </w:r>
    </w:p>
    <w:p>
      <w:pPr>
        <w:pStyle w:val="BodyText"/>
        <w:spacing w:line="240" w:lineRule="auto" w:before="19"/>
        <w:ind w:left="472" w:right="915"/>
        <w:jc w:val="left"/>
      </w:pPr>
      <w:r>
        <w:rPr>
          <w:spacing w:val="1"/>
        </w:rPr>
        <w:t>2</w:t>
      </w:r>
      <w:r>
        <w:rPr/>
        <w:t>、周云杉先生，副总经理，简历详见本节“</w:t>
      </w:r>
      <w:r>
        <w:rPr>
          <w:spacing w:val="-2"/>
        </w:rPr>
        <w:t>1</w:t>
      </w:r>
      <w:r>
        <w:rPr/>
        <w:t>、董事会成员</w:t>
      </w:r>
      <w:r>
        <w:rPr>
          <w:spacing w:val="-89"/>
        </w:rPr>
        <w:t>”</w:t>
      </w:r>
      <w:r>
        <w:rPr/>
        <w:t>。</w:t>
      </w:r>
    </w:p>
    <w:p>
      <w:pPr>
        <w:pStyle w:val="BodyText"/>
        <w:spacing w:line="240" w:lineRule="auto" w:before="76"/>
        <w:ind w:left="472" w:right="915"/>
        <w:jc w:val="left"/>
      </w:pPr>
      <w:r>
        <w:rPr>
          <w:spacing w:val="1"/>
        </w:rPr>
        <w:t>3</w:t>
      </w:r>
      <w:r>
        <w:rPr/>
        <w:t>、赵欣先生，副总经理，简历详见本节“</w:t>
      </w:r>
      <w:r>
        <w:rPr>
          <w:spacing w:val="-2"/>
        </w:rPr>
        <w:t>1</w:t>
      </w:r>
      <w:r>
        <w:rPr/>
        <w:t>、董事会成员</w:t>
      </w:r>
      <w:r>
        <w:rPr>
          <w:spacing w:val="-89"/>
        </w:rPr>
        <w:t>”</w:t>
      </w:r>
      <w:r>
        <w:rPr/>
        <w:t>。</w:t>
      </w:r>
    </w:p>
    <w:p>
      <w:pPr>
        <w:pStyle w:val="BodyText"/>
        <w:spacing w:line="240" w:lineRule="auto" w:before="76"/>
        <w:ind w:left="472" w:right="915"/>
        <w:jc w:val="left"/>
      </w:pPr>
      <w:r>
        <w:rPr/>
        <w:t>4、伍国安先生，财务总监，简历详见本节“1、董事会成员”</w:t>
      </w:r>
    </w:p>
    <w:p>
      <w:pPr>
        <w:pStyle w:val="BodyText"/>
        <w:spacing w:line="316" w:lineRule="auto" w:before="115"/>
        <w:ind w:right="1130" w:firstLine="360"/>
        <w:jc w:val="both"/>
      </w:pPr>
      <w:r>
        <w:rPr/>
        <w:t>5、程霞，女，1975年生，中国国籍，无境外居留权，硕士,金融/工商管理专业；1998年3月至2001年1月任深圳市文正 明信息技术有限公司董事会秘书、证券事业部副总经理；2001年1月至2004年12月任深圳市脉山龙信息技术股份有限公司营 销总监；2005年12月至2009年6月任深圳市今日投资财经资讯有限公司市场策划总监兼金融渠道营销中心总经理；2009年6</w:t>
      </w:r>
      <w:r>
        <w:rPr>
          <w:spacing w:val="-14"/>
        </w:rPr>
        <w:t> </w:t>
      </w:r>
      <w:r>
        <w:rPr>
          <w:spacing w:val="-14"/>
        </w:rPr>
      </w:r>
      <w:r>
        <w:rPr>
          <w:spacing w:val="-2"/>
        </w:rPr>
        <w:t>月至2010年8月任深圳市国泰安信息技术有限公司助理总裁；2010年9月起任深圳市赢时胜信息技术股份有限公司董事会秘书</w:t>
      </w:r>
      <w:r>
        <w:rPr>
          <w:spacing w:val="-59"/>
        </w:rPr>
        <w:t> </w:t>
      </w:r>
      <w:r>
        <w:rPr>
          <w:spacing w:val="-59"/>
        </w:rPr>
      </w:r>
      <w:r>
        <w:rPr>
          <w:spacing w:val="-2"/>
        </w:rPr>
        <w:t>兼营销中心负责人，2010年12月起任深圳市赢时胜信息技术股份有限公司副总经理。2016年3月4日，续任公司副总经理、董</w:t>
      </w:r>
      <w:r>
        <w:rPr>
          <w:spacing w:val="-58"/>
        </w:rPr>
        <w:t> </w:t>
      </w:r>
      <w:r>
        <w:rPr>
          <w:spacing w:val="-58"/>
        </w:rPr>
      </w:r>
      <w:r>
        <w:rPr/>
        <w:t>事会秘书，任期三年。</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pStyle w:val="BodyText"/>
        <w:spacing w:line="240" w:lineRule="auto"/>
        <w:ind w:right="0"/>
        <w:jc w:val="both"/>
      </w:pPr>
      <w:r>
        <w:rPr/>
        <w:t>在股东单位任职情况</w:t>
      </w:r>
    </w:p>
    <w:p>
      <w:pPr>
        <w:pStyle w:val="BodyText"/>
        <w:spacing w:line="360" w:lineRule="auto" w:before="115"/>
        <w:ind w:right="9134"/>
        <w:jc w:val="left"/>
      </w:pPr>
      <w:r>
        <w:rPr/>
        <w:t>□ 适用 √ 不适用 在其他单位任职情况</w:t>
      </w:r>
    </w:p>
    <w:p>
      <w:pPr>
        <w:pStyle w:val="BodyText"/>
        <w:spacing w:line="240" w:lineRule="auto" w:before="27"/>
        <w:ind w:right="0"/>
        <w:jc w:val="both"/>
      </w:pPr>
      <w:r>
        <w:rPr/>
        <w:t>√ 适用 □ 不适用</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01"/>
        <w:gridCol w:w="3190"/>
        <w:gridCol w:w="1063"/>
        <w:gridCol w:w="1705"/>
        <w:gridCol w:w="910"/>
        <w:gridCol w:w="1499"/>
      </w:tblGrid>
      <w:tr>
        <w:trPr>
          <w:trHeight w:val="1026" w:hRule="exact"/>
        </w:trPr>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505" w:right="144" w:hanging="360"/>
              <w:jc w:val="left"/>
              <w:rPr>
                <w:rFonts w:ascii="宋体" w:hAnsi="宋体" w:cs="宋体" w:eastAsia="宋体" w:hint="default"/>
                <w:sz w:val="18"/>
                <w:szCs w:val="18"/>
              </w:rPr>
            </w:pPr>
            <w:r>
              <w:rPr>
                <w:rFonts w:ascii="宋体" w:hAnsi="宋体" w:cs="宋体" w:eastAsia="宋体" w:hint="default"/>
                <w:sz w:val="18"/>
                <w:szCs w:val="18"/>
              </w:rPr>
              <w:t>任职人员姓 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49"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65" w:right="166"/>
              <w:jc w:val="center"/>
              <w:rPr>
                <w:rFonts w:ascii="宋体" w:hAnsi="宋体" w:cs="宋体" w:eastAsia="宋体" w:hint="default"/>
                <w:sz w:val="18"/>
                <w:szCs w:val="18"/>
              </w:rPr>
            </w:pPr>
            <w:r>
              <w:rPr>
                <w:rFonts w:ascii="宋体" w:hAnsi="宋体" w:cs="宋体" w:eastAsia="宋体" w:hint="default"/>
                <w:sz w:val="18"/>
                <w:szCs w:val="18"/>
              </w:rPr>
              <w:t>在其他单 位担任的 职务</w:t>
            </w:r>
          </w:p>
        </w:tc>
        <w:tc>
          <w:tcPr>
            <w:tcW w:w="1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78" w:right="179"/>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1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05" w:right="113" w:hanging="92"/>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唐球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上海赢量信息科技有限公司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唐球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上海赢保商业保理有限公司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唐球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上海赢数网络科技有限公司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唐球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上海怀若智能科技有限公司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唐球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怀光智能科技（武汉）有限公司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唐球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深圳市赢时胜软件技术服务有限公司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48"/>
              <w:jc w:val="left"/>
              <w:rPr>
                <w:rFonts w:ascii="宋体" w:hAnsi="宋体" w:cs="宋体" w:eastAsia="宋体" w:hint="default"/>
                <w:sz w:val="18"/>
                <w:szCs w:val="18"/>
              </w:rPr>
            </w:pPr>
            <w:r>
              <w:rPr>
                <w:rFonts w:ascii="宋体" w:hAnsi="宋体" w:cs="宋体" w:eastAsia="宋体" w:hint="default"/>
                <w:sz w:val="18"/>
                <w:szCs w:val="18"/>
              </w:rPr>
              <w:t>执行董事、 总经理</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伍国安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上海赢量信息科技有限公司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伍国安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上海赢保商业保理有限公司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伍国安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深圳市图灵机器人有限公司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陈朝琳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厦门博芮投资股份有限公司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陈朝琳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百應租賃控股有限公司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0"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陈朝琳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福建飞通通讯科技股份有限公司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center"/>
        <w:rPr>
          <w:rFonts w:ascii="宋体" w:hAnsi="宋体" w:cs="宋体" w:eastAsia="宋体" w:hint="default"/>
          <w:sz w:val="18"/>
          <w:szCs w:val="18"/>
        </w:rPr>
        <w:sectPr>
          <w:footerReference w:type="default" r:id="rId23"/>
          <w:pgSz w:w="11910" w:h="16840"/>
          <w:pgMar w:footer="1016" w:header="919" w:top="1120" w:bottom="1200" w:left="1020" w:right="0"/>
          <w:pgNumType w:start="7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1201"/>
        <w:gridCol w:w="3190"/>
        <w:gridCol w:w="1063"/>
        <w:gridCol w:w="1705"/>
        <w:gridCol w:w="910"/>
        <w:gridCol w:w="1499"/>
      </w:tblGrid>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陈朝琳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101"/>
              <w:jc w:val="left"/>
              <w:rPr>
                <w:rFonts w:ascii="宋体" w:hAnsi="宋体" w:cs="宋体" w:eastAsia="宋体" w:hint="default"/>
                <w:sz w:val="18"/>
                <w:szCs w:val="18"/>
              </w:rPr>
            </w:pPr>
            <w:r>
              <w:rPr>
                <w:rFonts w:ascii="宋体" w:hAnsi="宋体" w:cs="宋体" w:eastAsia="宋体" w:hint="default"/>
                <w:spacing w:val="-6"/>
                <w:sz w:val="18"/>
                <w:szCs w:val="18"/>
              </w:rPr>
              <w:t>上特展示（厦门）系统工程股份有限公</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兰邦胜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福建阿石创新材料股份有限公司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李跃峰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上海怀若智能科技有限公司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李跃峰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链石</w:t>
            </w:r>
            <w:r>
              <w:rPr>
                <w:rFonts w:ascii="Times New Roman" w:hAnsi="Times New Roman" w:cs="Times New Roman" w:eastAsia="Times New Roman" w:hint="default"/>
                <w:sz w:val="18"/>
                <w:szCs w:val="18"/>
              </w:rPr>
              <w:t>(</w:t>
            </w:r>
            <w:r>
              <w:rPr>
                <w:rFonts w:ascii="宋体" w:hAnsi="宋体" w:cs="宋体" w:eastAsia="宋体" w:hint="default"/>
                <w:sz w:val="18"/>
                <w:szCs w:val="18"/>
              </w:rPr>
              <w:t>苏州</w:t>
            </w:r>
            <w:r>
              <w:rPr>
                <w:rFonts w:ascii="Times New Roman" w:hAnsi="Times New Roman" w:cs="Times New Roman" w:eastAsia="Times New Roman" w:hint="default"/>
                <w:sz w:val="18"/>
                <w:szCs w:val="18"/>
              </w:rPr>
              <w:t>)</w:t>
            </w:r>
            <w:r>
              <w:rPr>
                <w:rFonts w:ascii="宋体" w:hAnsi="宋体" w:cs="宋体" w:eastAsia="宋体" w:hint="default"/>
                <w:sz w:val="18"/>
                <w:szCs w:val="18"/>
              </w:rPr>
              <w:t>信息科技有限公司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李跃峰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链石</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w:t>
            </w:r>
            <w:r>
              <w:rPr>
                <w:rFonts w:ascii="宋体" w:hAnsi="宋体" w:cs="宋体" w:eastAsia="宋体" w:hint="default"/>
                <w:sz w:val="18"/>
                <w:szCs w:val="18"/>
              </w:rPr>
              <w:t>信息科技有限公司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李跃峰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6"/>
                <w:sz w:val="18"/>
                <w:szCs w:val="18"/>
              </w:rPr>
              <w:t>上海桓宽企业管理咨询合伙企业（有限</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合伙）</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李跃峰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赢时胜（北京）信息技术有限公司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915"/>
        <w:jc w:val="left"/>
      </w:pPr>
      <w:r>
        <w:rPr/>
        <w:t>公司现任及报告期内离任董事、监事和高级管理人员近三年证券监管机构处罚的情况</w:t>
      </w:r>
    </w:p>
    <w:p>
      <w:pPr>
        <w:pStyle w:val="BodyText"/>
        <w:spacing w:line="240" w:lineRule="auto" w:before="117"/>
        <w:ind w:right="915"/>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915"/>
        <w:jc w:val="left"/>
        <w:rPr>
          <w:b w:val="0"/>
          <w:bCs w:val="0"/>
        </w:rPr>
      </w:pPr>
      <w:bookmarkStart w:name="四、董事、监事、高级管理人员报酬情况" w:id="128"/>
      <w:bookmarkEnd w:id="128"/>
      <w:r>
        <w:rPr>
          <w:b w:val="0"/>
          <w:bCs w:val="0"/>
        </w:rPr>
      </w: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left="472" w:right="915" w:hanging="360"/>
        <w:jc w:val="left"/>
      </w:pPr>
      <w:r>
        <w:rPr/>
        <w:t>董事、监事、高级管理人员报酬的决策程序、确定依据、实际支付情况 </w:t>
      </w:r>
      <w:r>
        <w:rPr>
          <w:spacing w:val="-2"/>
        </w:rPr>
        <w:t>公司董事、监事报酬由股东大会决定，高级管理人员报酬由董事会决定；在公司担任职务的董事、监事、高级管理人员</w:t>
      </w:r>
    </w:p>
    <w:p>
      <w:pPr>
        <w:pStyle w:val="BodyText"/>
        <w:spacing w:line="222" w:lineRule="exact"/>
        <w:ind w:right="915"/>
        <w:jc w:val="left"/>
      </w:pPr>
      <w:r>
        <w:rPr/>
        <w:t>报酬由公司根据担任的其他职务支付，董事、监事不另外支付津贴。独立董事津贴根据股东大会所通过的决议来进行支付。</w:t>
      </w:r>
    </w:p>
    <w:p>
      <w:pPr>
        <w:pStyle w:val="BodyText"/>
        <w:spacing w:line="240" w:lineRule="auto" w:before="76"/>
        <w:ind w:right="915"/>
        <w:jc w:val="left"/>
        <w:rPr>
          <w:rFonts w:ascii="Times New Roman" w:hAnsi="Times New Roman" w:cs="Times New Roman" w:eastAsia="Times New Roman" w:hint="default"/>
        </w:rPr>
      </w:pPr>
      <w:r>
        <w:rPr/>
        <w:t>董事、监事、高级管理人员报酬确定依据是公司盈利水平及各董事、监事、高级管理人员的分工及履职情况。</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9"/>
          <w:szCs w:val="19"/>
        </w:rPr>
      </w:pPr>
    </w:p>
    <w:p>
      <w:pPr>
        <w:pStyle w:val="BodyText"/>
        <w:spacing w:line="240" w:lineRule="auto"/>
        <w:ind w:right="915"/>
        <w:jc w:val="left"/>
      </w:pPr>
      <w:r>
        <w:rPr/>
        <w:t>公司报告期内董事、监事和高级管理人员报酬情况</w:t>
      </w:r>
    </w:p>
    <w:p>
      <w:pPr>
        <w:pStyle w:val="BodyText"/>
        <w:spacing w:line="240" w:lineRule="auto" w:before="117"/>
        <w:ind w:left="0" w:right="1132"/>
        <w:jc w:val="right"/>
      </w:pPr>
      <w:r>
        <w:rPr/>
        <w:t>单位：万元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9"/>
        <w:gridCol w:w="2270"/>
        <w:gridCol w:w="990"/>
        <w:gridCol w:w="841"/>
        <w:gridCol w:w="1367"/>
        <w:gridCol w:w="1367"/>
        <w:gridCol w:w="1367"/>
      </w:tblGrid>
      <w:tr>
        <w:trPr>
          <w:trHeight w:val="714"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38" w:right="136"/>
              <w:jc w:val="left"/>
              <w:rPr>
                <w:rFonts w:ascii="宋体" w:hAnsi="宋体" w:cs="宋体" w:eastAsia="宋体" w:hint="default"/>
                <w:sz w:val="18"/>
                <w:szCs w:val="18"/>
              </w:rPr>
            </w:pPr>
            <w:r>
              <w:rPr>
                <w:rFonts w:ascii="宋体" w:hAnsi="宋体" w:cs="宋体" w:eastAsia="宋体" w:hint="default"/>
                <w:sz w:val="18"/>
                <w:szCs w:val="18"/>
              </w:rPr>
              <w:t>从公司获得的 税前报酬总额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37" w:right="138"/>
              <w:jc w:val="left"/>
              <w:rPr>
                <w:rFonts w:ascii="宋体" w:hAnsi="宋体" w:cs="宋体" w:eastAsia="宋体" w:hint="default"/>
                <w:sz w:val="18"/>
                <w:szCs w:val="18"/>
              </w:rPr>
            </w:pPr>
            <w:r>
              <w:rPr>
                <w:rFonts w:ascii="宋体" w:hAnsi="宋体" w:cs="宋体" w:eastAsia="宋体" w:hint="default"/>
                <w:sz w:val="18"/>
                <w:szCs w:val="18"/>
              </w:rPr>
              <w:t>是否在公司关 联方获取报酬</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唐球</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鄢建红</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鄢建兵</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周云杉</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赵欣</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伍国安</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董事、财务总监</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李跃峰</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程霞</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董事会秘书、副总经理</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陈朝琳</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兰邦胜</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胡琴</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李荣林</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张建科</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5.67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0"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张海波</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35.36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19" w:footer="1016"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1369"/>
        <w:gridCol w:w="2270"/>
        <w:gridCol w:w="990"/>
        <w:gridCol w:w="841"/>
        <w:gridCol w:w="1367"/>
        <w:gridCol w:w="1367"/>
        <w:gridCol w:w="1367"/>
      </w:tblGrid>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宾鸽</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25" w:right="0"/>
              <w:jc w:val="left"/>
              <w:rPr>
                <w:rFonts w:ascii="Times New Roman" w:hAnsi="Times New Roman" w:cs="Times New Roman" w:eastAsia="Times New Roman" w:hint="default"/>
                <w:sz w:val="18"/>
                <w:szCs w:val="18"/>
              </w:rPr>
            </w:pPr>
            <w:r>
              <w:rPr>
                <w:rFonts w:ascii="Times New Roman"/>
                <w:sz w:val="18"/>
              </w:rPr>
              <w:t>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5.02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蒲为干</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25" w:right="0"/>
              <w:jc w:val="left"/>
              <w:rPr>
                <w:rFonts w:ascii="Times New Roman" w:hAnsi="Times New Roman" w:cs="Times New Roman" w:eastAsia="Times New Roman" w:hint="default"/>
                <w:sz w:val="18"/>
                <w:szCs w:val="18"/>
              </w:rPr>
            </w:pPr>
            <w:r>
              <w:rPr>
                <w:rFonts w:ascii="Times New Roman"/>
                <w:sz w:val="18"/>
              </w:rPr>
              <w:t>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2"/>
                <w:sz w:val="18"/>
              </w:rPr>
              <w:t>11.99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何芳芳</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25" w:right="0"/>
              <w:jc w:val="left"/>
              <w:rPr>
                <w:rFonts w:ascii="Times New Roman" w:hAnsi="Times New Roman" w:cs="Times New Roman" w:eastAsia="Times New Roman" w:hint="default"/>
                <w:sz w:val="18"/>
                <w:szCs w:val="18"/>
              </w:rPr>
            </w:pPr>
            <w:r>
              <w:rPr>
                <w:rFonts w:ascii="Times New Roman"/>
                <w:sz w:val="18"/>
              </w:rPr>
              <w:t>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4.76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57" w:right="0"/>
              <w:jc w:val="left"/>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580.4</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0"/>
        <w:ind w:right="915"/>
        <w:jc w:val="left"/>
      </w:pPr>
      <w:r>
        <w:rPr/>
        <w:t>公司董事、高级管理人员报告期内被授予的股权激励情况</w:t>
      </w:r>
    </w:p>
    <w:p>
      <w:pPr>
        <w:pStyle w:val="BodyText"/>
        <w:spacing w:line="240" w:lineRule="auto" w:before="117"/>
        <w:ind w:right="915"/>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915"/>
        <w:jc w:val="left"/>
        <w:rPr>
          <w:b w:val="0"/>
          <w:bCs w:val="0"/>
        </w:rPr>
      </w:pPr>
      <w:bookmarkStart w:name="五、公司员工情况" w:id="129"/>
      <w:bookmarkEnd w:id="129"/>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15"/>
        <w:jc w:val="left"/>
        <w:rPr>
          <w:b w:val="0"/>
          <w:bCs w:val="0"/>
        </w:rPr>
      </w:pPr>
      <w:bookmarkStart w:name="1、员工数量、专业构成及教育程度" w:id="130"/>
      <w:bookmarkEnd w:id="130"/>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2,497</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2,631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2,631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77"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2,513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54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2,631</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98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大学本科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2,202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大学专科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298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2,631</w:t>
            </w:r>
          </w:p>
        </w:tc>
      </w:tr>
    </w:tbl>
    <w:p>
      <w:pPr>
        <w:spacing w:line="240" w:lineRule="auto" w:before="3"/>
        <w:rPr>
          <w:rFonts w:ascii="宋体" w:hAnsi="宋体" w:cs="宋体" w:eastAsia="宋体" w:hint="default"/>
          <w:b/>
          <w:bCs/>
          <w:sz w:val="19"/>
          <w:szCs w:val="19"/>
        </w:rPr>
      </w:pPr>
    </w:p>
    <w:p>
      <w:pPr>
        <w:pStyle w:val="Heading3"/>
        <w:spacing w:line="240" w:lineRule="auto" w:before="34"/>
        <w:ind w:right="915"/>
        <w:jc w:val="left"/>
        <w:rPr>
          <w:b w:val="0"/>
          <w:bCs w:val="0"/>
        </w:rPr>
      </w:pPr>
      <w:bookmarkStart w:name="2、薪酬政策" w:id="131"/>
      <w:bookmarkEnd w:id="131"/>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2" w:firstLine="360"/>
        <w:jc w:val="both"/>
      </w:pPr>
      <w:r>
        <w:rPr>
          <w:spacing w:val="-2"/>
        </w:rPr>
        <w:t>公司根据员工岗位、司龄、能力、责任、贡献及行业薪酬水平等因素作为判定员工薪酬的依据，建立了合法、规范、有</w:t>
      </w:r>
      <w:r>
        <w:rPr/>
        <w:t> </w:t>
      </w:r>
      <w:r>
        <w:rPr>
          <w:spacing w:val="-2"/>
        </w:rPr>
        <w:t>效的薪酬福利体系，建立了薪酬政策与岗位价值相匹配的薪酬管理体系及薪酬等级制度，建立了适应公司参与竞争、体现员</w:t>
      </w:r>
      <w:r>
        <w:rPr>
          <w:spacing w:val="-65"/>
        </w:rPr>
        <w:t> </w:t>
      </w:r>
      <w:r>
        <w:rPr>
          <w:spacing w:val="-65"/>
        </w:rPr>
      </w:r>
      <w:r>
        <w:rPr>
          <w:spacing w:val="-2"/>
        </w:rPr>
        <w:t>工贡献价值、能够有效激励员工的薪酬福利机制，秉承“价值共享、外部竞争力、内部公平、奖优罚劣、薪酬保密”的薪酬</w:t>
      </w:r>
      <w:r>
        <w:rPr>
          <w:spacing w:val="-66"/>
        </w:rPr>
        <w:t> </w:t>
      </w:r>
      <w:r>
        <w:rPr>
          <w:spacing w:val="-66"/>
        </w:rPr>
      </w:r>
      <w:r>
        <w:rPr>
          <w:spacing w:val="-2"/>
        </w:rPr>
        <w:t>分配原则的基础上，公司凸显人文关怀，为员工提供年度带薪假期、绩效奖金激励、社保公积金、各项补贴、员工活动等福</w:t>
      </w:r>
      <w:r>
        <w:rPr>
          <w:spacing w:val="-66"/>
        </w:rPr>
        <w:t> </w:t>
      </w:r>
      <w:r>
        <w:rPr>
          <w:spacing w:val="-66"/>
        </w:rPr>
      </w:r>
      <w:r>
        <w:rPr>
          <w:spacing w:val="-2"/>
        </w:rPr>
        <w:t>利政策，保障员工劳逸结合、身心健康；同时，公司还增设多元的福利活动，如结婚、生子、生日、节日福利，部门活动经</w:t>
      </w:r>
    </w:p>
    <w:p>
      <w:pPr>
        <w:spacing w:after="0" w:line="316" w:lineRule="auto"/>
        <w:jc w:val="both"/>
        <w:sectPr>
          <w:pgSz w:w="11910" w:h="16840"/>
          <w:pgMar w:header="919" w:footer="1016" w:top="1120" w:bottom="1200" w:left="1020" w:right="0"/>
        </w:sectPr>
      </w:pPr>
    </w:p>
    <w:p>
      <w:pPr>
        <w:spacing w:line="240" w:lineRule="auto" w:before="12"/>
        <w:rPr>
          <w:rFonts w:ascii="宋体" w:hAnsi="宋体" w:cs="宋体" w:eastAsia="宋体" w:hint="default"/>
          <w:sz w:val="20"/>
          <w:szCs w:val="20"/>
        </w:rPr>
      </w:pPr>
    </w:p>
    <w:p>
      <w:pPr>
        <w:pStyle w:val="BodyText"/>
        <w:spacing w:line="240" w:lineRule="auto" w:before="44"/>
        <w:ind w:right="915"/>
        <w:jc w:val="left"/>
      </w:pPr>
      <w:r>
        <w:rPr/>
        <w:t>费，定期体育活动等，调动员工积极性，增强公司凝聚力，提升公司综合竞争力。</w:t>
      </w:r>
    </w:p>
    <w:p>
      <w:pPr>
        <w:spacing w:line="240" w:lineRule="auto" w:before="11"/>
        <w:rPr>
          <w:rFonts w:ascii="宋体" w:hAnsi="宋体" w:cs="宋体" w:eastAsia="宋体" w:hint="default"/>
          <w:sz w:val="26"/>
          <w:szCs w:val="26"/>
        </w:rPr>
      </w:pPr>
    </w:p>
    <w:p>
      <w:pPr>
        <w:pStyle w:val="Heading3"/>
        <w:spacing w:line="240" w:lineRule="auto"/>
        <w:ind w:right="915"/>
        <w:jc w:val="left"/>
        <w:rPr>
          <w:b w:val="0"/>
          <w:bCs w:val="0"/>
        </w:rPr>
      </w:pPr>
      <w:bookmarkStart w:name="3、培训计划" w:id="132"/>
      <w:bookmarkEnd w:id="132"/>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4" w:firstLine="360"/>
        <w:jc w:val="left"/>
      </w:pPr>
      <w:r>
        <w:rPr>
          <w:spacing w:val="-2"/>
        </w:rPr>
        <w:t>员工培训作为现代企业人力资源管理的重要内容备受公司关注，为加强人才队伍建设，提升公司核心竞争力，保证公司</w:t>
      </w:r>
      <w:r>
        <w:rPr/>
        <w:t> </w:t>
      </w:r>
      <w:r>
        <w:rPr>
          <w:spacing w:val="-2"/>
        </w:rPr>
        <w:t>可持续发展，公司结合发展战略布局、人才需求，制定了科学、系统、规范的培训计划。公司现有的培训体系包括，对新员</w:t>
      </w:r>
      <w:r>
        <w:rPr>
          <w:spacing w:val="-64"/>
        </w:rPr>
        <w:t> </w:t>
      </w:r>
      <w:r>
        <w:rPr>
          <w:spacing w:val="-64"/>
        </w:rPr>
      </w:r>
      <w:r>
        <w:rPr>
          <w:spacing w:val="-2"/>
        </w:rPr>
        <w:t>工进行的一年多期培训，以企业文化、运作流程、规章制度介绍为主，结合实地参观体验；对客服体系全方位培训，提升产</w:t>
      </w:r>
      <w:r>
        <w:rPr>
          <w:spacing w:val="-66"/>
        </w:rPr>
        <w:t> </w:t>
      </w:r>
      <w:r>
        <w:rPr>
          <w:spacing w:val="-66"/>
        </w:rPr>
      </w:r>
      <w:r>
        <w:rPr>
          <w:spacing w:val="-2"/>
        </w:rPr>
        <w:t>品技术认知，沟通交流技巧等；对技术体进行系统一宣导，与时俱进探讨新技术发展，进行重难点技术问题答疑及常见问题</w:t>
      </w:r>
      <w:r>
        <w:rPr>
          <w:spacing w:val="-66"/>
        </w:rPr>
        <w:t> </w:t>
      </w:r>
      <w:r>
        <w:rPr>
          <w:spacing w:val="-66"/>
        </w:rPr>
      </w:r>
      <w:r>
        <w:rPr/>
        <w:t>排查，热点分析等。对不同阶段不同工作性质的员工进行多元化针对性的培训，有的放矢，提升员工企业认知，职业技能， 增强公司活力。</w:t>
      </w:r>
    </w:p>
    <w:p>
      <w:pPr>
        <w:spacing w:line="240" w:lineRule="auto" w:before="8"/>
        <w:rPr>
          <w:rFonts w:ascii="宋体" w:hAnsi="宋体" w:cs="宋体" w:eastAsia="宋体" w:hint="default"/>
          <w:sz w:val="22"/>
          <w:szCs w:val="22"/>
        </w:rPr>
      </w:pPr>
    </w:p>
    <w:p>
      <w:pPr>
        <w:pStyle w:val="Heading3"/>
        <w:spacing w:line="240" w:lineRule="auto"/>
        <w:ind w:right="915"/>
        <w:jc w:val="left"/>
        <w:rPr>
          <w:b w:val="0"/>
          <w:bCs w:val="0"/>
        </w:rPr>
      </w:pPr>
      <w:bookmarkStart w:name="4、劳务外包情况" w:id="133"/>
      <w:bookmarkEnd w:id="133"/>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15"/>
        <w:jc w:val="left"/>
      </w:pPr>
      <w:r>
        <w:rPr/>
        <w:t>□ 适用 √ 不适用</w:t>
      </w:r>
    </w:p>
    <w:p>
      <w:pPr>
        <w:spacing w:after="0" w:line="240" w:lineRule="auto"/>
        <w:jc w:val="left"/>
        <w:sectPr>
          <w:pgSz w:w="11910" w:h="16840"/>
          <w:pgMar w:header="919" w:footer="1016" w:top="112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1"/>
        <w:spacing w:line="240" w:lineRule="auto"/>
        <w:ind w:right="3037"/>
        <w:jc w:val="center"/>
        <w:rPr>
          <w:b w:val="0"/>
          <w:bCs w:val="0"/>
        </w:rPr>
      </w:pPr>
      <w:bookmarkStart w:name="第十节公司治理" w:id="134"/>
      <w:bookmarkEnd w:id="134"/>
      <w:r>
        <w:rPr>
          <w:b w:val="0"/>
          <w:bCs w:val="0"/>
        </w:rPr>
      </w:r>
      <w:bookmarkStart w:name="_bookmark9" w:id="135"/>
      <w:bookmarkEnd w:id="135"/>
      <w:r>
        <w:rPr>
          <w:b w:val="0"/>
          <w:bCs w:val="0"/>
        </w:rPr>
      </w:r>
      <w:r>
        <w:rPr/>
        <w:t>第十节公司治理</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0"/>
        <w:jc w:val="both"/>
        <w:rPr>
          <w:b w:val="0"/>
          <w:bCs w:val="0"/>
        </w:rPr>
      </w:pPr>
      <w:bookmarkStart w:name="一、公司治理的基本状况" w:id="136"/>
      <w:bookmarkEnd w:id="136"/>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034" w:firstLine="360"/>
        <w:jc w:val="left"/>
      </w:pPr>
      <w:r>
        <w:rPr>
          <w:spacing w:val="-15"/>
        </w:rPr>
        <w:t>报告期内，公司严格按照《公司法》、《证券法》、《上市公司治理准则》、《深圳证券交易所创业板股票上市规则》、《深圳</w:t>
      </w:r>
      <w:r>
        <w:rPr/>
        <w:t> </w:t>
      </w:r>
      <w:r>
        <w:rPr>
          <w:spacing w:val="-2"/>
        </w:rPr>
        <w:t>证券交易所创业板上市公司规范运作指引》和其它有关法律法规、规范性文件的要求，确立了股东大会、董事会、监事会及</w:t>
      </w:r>
      <w:r>
        <w:rPr>
          <w:spacing w:val="-65"/>
        </w:rPr>
        <w:t> </w:t>
      </w:r>
      <w:r>
        <w:rPr>
          <w:spacing w:val="-65"/>
        </w:rPr>
      </w:r>
      <w:r>
        <w:rPr>
          <w:spacing w:val="-2"/>
        </w:rPr>
        <w:t>经营管理层的分层治理结构，不断完善公司法人治理结构，建立健全公司内部控制制度，进一步规范公司运作，提高公司治</w:t>
      </w:r>
      <w:r>
        <w:rPr>
          <w:spacing w:val="-66"/>
        </w:rPr>
        <w:t> </w:t>
      </w:r>
      <w:r>
        <w:rPr>
          <w:spacing w:val="-66"/>
        </w:rPr>
      </w:r>
      <w:r>
        <w:rPr/>
        <w:t>理水平。截至本报告期末，公司股东大会、董事会及各专门委员会、监事会、独立董事、董事会秘书和管理层均依法运作， </w:t>
      </w:r>
      <w:r>
        <w:rPr>
          <w:spacing w:val="-2"/>
        </w:rPr>
        <w:t>切实履行应尽的职责和义务，未出现违法、违规现象，公司治理的实际状况符合《上市公司治理准则》和《深圳证券交易所</w:t>
      </w:r>
      <w:r>
        <w:rPr>
          <w:spacing w:val="-66"/>
        </w:rPr>
        <w:t> </w:t>
      </w:r>
      <w:r>
        <w:rPr>
          <w:spacing w:val="-66"/>
        </w:rPr>
      </w:r>
      <w:r>
        <w:rPr/>
        <w:t>创业板上市公司规范运作指引》的要求。</w:t>
      </w:r>
    </w:p>
    <w:p>
      <w:pPr>
        <w:pStyle w:val="BodyText"/>
        <w:spacing w:line="316" w:lineRule="auto" w:before="19"/>
        <w:ind w:left="472" w:right="1119"/>
        <w:jc w:val="left"/>
      </w:pPr>
      <w:r>
        <w:rPr/>
        <w:t>1、关于股东和股东大会 </w:t>
      </w:r>
      <w:r>
        <w:rPr>
          <w:spacing w:val="-5"/>
        </w:rPr>
        <w:t>公司严格按照《公司法》、《公司章程》和《股东大会议事规则》等法律、法规要求，规范股东大会召集、召开、表决程</w:t>
      </w:r>
    </w:p>
    <w:p>
      <w:pPr>
        <w:pStyle w:val="BodyText"/>
        <w:spacing w:line="316" w:lineRule="auto" w:before="19"/>
        <w:ind w:right="1130"/>
        <w:jc w:val="both"/>
      </w:pPr>
      <w:r>
        <w:rPr>
          <w:spacing w:val="-2"/>
        </w:rPr>
        <w:t>序，确保所有股东享有平等地位、平等权利，充分行使自己的权利，并承担相应的义务。</w:t>
      </w:r>
      <w:r>
        <w:rPr/>
        <w:t> </w:t>
      </w:r>
      <w:r>
        <w:rPr>
          <w:spacing w:val="-1"/>
        </w:rPr>
        <w:t>报告期内，公司共召开了1次年度</w:t>
      </w:r>
      <w:r>
        <w:rPr>
          <w:spacing w:val="-80"/>
        </w:rPr>
        <w:t> </w:t>
      </w:r>
      <w:r>
        <w:rPr>
          <w:spacing w:val="-80"/>
        </w:rPr>
      </w:r>
      <w:r>
        <w:rPr/>
        <w:t>股东大会，2次临时股东大会，会议均由董事会召集、召开。</w:t>
      </w:r>
    </w:p>
    <w:p>
      <w:pPr>
        <w:pStyle w:val="BodyText"/>
        <w:spacing w:line="316" w:lineRule="auto" w:before="19"/>
        <w:ind w:left="472" w:right="915"/>
        <w:jc w:val="left"/>
      </w:pPr>
      <w:r>
        <w:rPr/>
        <w:t>2、关于公司与控股股东 </w:t>
      </w:r>
      <w:r>
        <w:rPr>
          <w:spacing w:val="-2"/>
        </w:rPr>
        <w:t>公司控股股东严格规范自己的行为，没有超越股东大会直接或间接干预公司的决策和经营活动。公司拥有独立完整的业</w:t>
      </w:r>
    </w:p>
    <w:p>
      <w:pPr>
        <w:pStyle w:val="BodyText"/>
        <w:spacing w:line="316" w:lineRule="auto" w:before="19"/>
        <w:ind w:left="472" w:right="1034" w:hanging="360"/>
        <w:jc w:val="left"/>
      </w:pPr>
      <w:r>
        <w:rPr/>
        <w:t>务和自主经营能力，在业务、人员、资产、机构、财务上独立于控股股东，公司董事会、监事会和内部机构独立运作。 3、关于董事和董事会 报告期内，公司董事会设董事9名，其中独立董事3名，董事会人数及人员构成符合法律、法规和《公司章程》的要求。</w:t>
      </w:r>
    </w:p>
    <w:p>
      <w:pPr>
        <w:pStyle w:val="BodyText"/>
        <w:spacing w:line="316" w:lineRule="auto" w:before="19"/>
        <w:ind w:right="1132"/>
        <w:jc w:val="both"/>
      </w:pPr>
      <w:r>
        <w:rPr>
          <w:spacing w:val="-5"/>
        </w:rPr>
        <w:t>各位董事能够依据《深圳证券交易所创业板上市公司规范运作指引》、《董事会议事规则》和《独立董事工作制度》等开展工</w:t>
      </w:r>
      <w:r>
        <w:rPr>
          <w:spacing w:val="-79"/>
        </w:rPr>
        <w:t> </w:t>
      </w:r>
      <w:r>
        <w:rPr>
          <w:spacing w:val="-79"/>
        </w:rPr>
      </w:r>
      <w:r>
        <w:rPr>
          <w:spacing w:val="-2"/>
        </w:rPr>
        <w:t>作，诚信、勤勉地履行职责和义务，同时积极参加有关培训，熟悉有关法律法规。</w:t>
      </w:r>
      <w:r>
        <w:rPr>
          <w:spacing w:val="20"/>
        </w:rPr>
        <w:t> </w:t>
      </w:r>
      <w:r>
        <w:rPr>
          <w:spacing w:val="-2"/>
        </w:rPr>
        <w:t>报告期内，公司共召开5次董事会，均由</w:t>
      </w:r>
      <w:r>
        <w:rPr>
          <w:spacing w:val="-86"/>
        </w:rPr>
        <w:t> </w:t>
      </w:r>
      <w:r>
        <w:rPr>
          <w:spacing w:val="-86"/>
        </w:rPr>
      </w:r>
      <w:r>
        <w:rPr>
          <w:spacing w:val="-2"/>
        </w:rPr>
        <w:t>董事长召集、召开。董事会下设薪酬与考核委员会、战略决策委员会、提名委员会和审计委员会，各委员会中独立董事占比</w:t>
      </w:r>
      <w:r>
        <w:rPr>
          <w:spacing w:val="-65"/>
        </w:rPr>
        <w:t> </w:t>
      </w:r>
      <w:r>
        <w:rPr>
          <w:spacing w:val="-65"/>
        </w:rPr>
      </w:r>
      <w:r>
        <w:rPr/>
        <w:t>均超过1/2，提高了董事会履职能力和专业化程度，保障了董事会决策的科学性和规范性。公司独立董事独立履行职责，不</w:t>
      </w:r>
      <w:r>
        <w:rPr/>
        <w:t> 受公司主要股东、实际控制人以及其他与公司有利害关系的单位或个人影响。</w:t>
      </w:r>
    </w:p>
    <w:p>
      <w:pPr>
        <w:pStyle w:val="BodyText"/>
        <w:spacing w:line="316" w:lineRule="auto" w:before="19"/>
        <w:ind w:left="472" w:right="915"/>
        <w:jc w:val="left"/>
      </w:pPr>
      <w:r>
        <w:rPr/>
        <w:t>4、关于监事和监事会 </w:t>
      </w:r>
      <w:r>
        <w:rPr>
          <w:spacing w:val="-4"/>
        </w:rPr>
        <w:t>公司监事会设监事3名，其中职工监事1名，监事会的人数和构成符合法律、法规的要求。各位监事严格按照《公司法》、</w:t>
      </w:r>
    </w:p>
    <w:p>
      <w:pPr>
        <w:pStyle w:val="BodyText"/>
        <w:spacing w:line="316" w:lineRule="auto" w:before="19"/>
        <w:ind w:right="1132"/>
        <w:jc w:val="both"/>
      </w:pPr>
      <w:r>
        <w:rPr>
          <w:spacing w:val="-2"/>
        </w:rPr>
        <w:t>《公司章程》和《监事会议事规则》的有关规定认真履行职责，对公司财务状况、重大事项以及公司董事及高级管理人员履</w:t>
      </w:r>
      <w:r>
        <w:rPr>
          <w:spacing w:val="-65"/>
        </w:rPr>
        <w:t> </w:t>
      </w:r>
      <w:r>
        <w:rPr>
          <w:spacing w:val="-65"/>
        </w:rPr>
      </w:r>
      <w:r>
        <w:rPr>
          <w:spacing w:val="-1"/>
        </w:rPr>
        <w:t>行职责的合法合规性等进行监督，维护公司及股东的合法权益。</w:t>
      </w:r>
      <w:r>
        <w:rPr>
          <w:spacing w:val="-7"/>
        </w:rPr>
        <w:t> </w:t>
      </w:r>
      <w:r>
        <w:rPr>
          <w:spacing w:val="-2"/>
        </w:rPr>
        <w:t>报告期内，公司共召开5次监事会，会议均由监事会主席召</w:t>
      </w:r>
      <w:r>
        <w:rPr>
          <w:spacing w:val="-88"/>
        </w:rPr>
        <w:t> </w:t>
      </w:r>
      <w:r>
        <w:rPr>
          <w:spacing w:val="-88"/>
        </w:rPr>
      </w:r>
      <w:r>
        <w:rPr/>
        <w:t>集、召开。</w:t>
      </w:r>
    </w:p>
    <w:p>
      <w:pPr>
        <w:pStyle w:val="BodyText"/>
        <w:spacing w:line="316" w:lineRule="auto" w:before="19"/>
        <w:ind w:left="472" w:right="915"/>
        <w:jc w:val="left"/>
      </w:pPr>
      <w:r>
        <w:rPr/>
        <w:t>5、关于绩效评价与激励约束机制 </w:t>
      </w:r>
      <w:r>
        <w:rPr>
          <w:spacing w:val="-2"/>
        </w:rPr>
        <w:t>公司已建立企业绩效激励与评价体系，并不断完善。公司董事、监事和高级管理人员的绩效评价标准和激励约束机制公</w:t>
      </w:r>
    </w:p>
    <w:p>
      <w:pPr>
        <w:pStyle w:val="BodyText"/>
        <w:spacing w:line="316" w:lineRule="auto" w:before="19"/>
        <w:ind w:right="1132"/>
        <w:jc w:val="both"/>
      </w:pPr>
      <w:r>
        <w:rPr>
          <w:spacing w:val="-2"/>
        </w:rPr>
        <w:t>开、透明，符合法律、法规的规定。公司董事会设立了薪酬与考核委员会，负责薪酬政策及方案的制定与审定。公司高级管</w:t>
      </w:r>
      <w:r>
        <w:rPr>
          <w:spacing w:val="-66"/>
        </w:rPr>
        <w:t> </w:t>
      </w:r>
      <w:r>
        <w:rPr>
          <w:spacing w:val="-66"/>
        </w:rPr>
      </w:r>
      <w:r>
        <w:rPr/>
        <w:t>理人员均认真履行工作职责，较好地完成了董事会制定的经营管理任务。</w:t>
      </w:r>
    </w:p>
    <w:p>
      <w:pPr>
        <w:pStyle w:val="BodyText"/>
        <w:spacing w:line="316" w:lineRule="auto" w:before="19"/>
        <w:ind w:left="472" w:right="915"/>
        <w:jc w:val="left"/>
      </w:pPr>
      <w:r>
        <w:rPr/>
        <w:t>6、关于相关利益者 </w:t>
      </w:r>
      <w:r>
        <w:rPr>
          <w:spacing w:val="-4"/>
        </w:rPr>
        <w:t>公司能够充分尊重和维护相关利益者的合法权益，积极与相关利益者合作，加强与各方的沟通和交流，实现社会、股东、</w:t>
      </w:r>
    </w:p>
    <w:p>
      <w:pPr>
        <w:pStyle w:val="BodyText"/>
        <w:spacing w:line="316" w:lineRule="auto" w:before="19"/>
        <w:ind w:left="472" w:right="5174" w:hanging="360"/>
        <w:jc w:val="left"/>
      </w:pPr>
      <w:r>
        <w:rPr/>
        <w:t>公司、员工等各方利益的协调平衡，推动公司持续、稳定、健康发展。 7、关于信息披露与透明度</w:t>
      </w:r>
    </w:p>
    <w:p>
      <w:pPr>
        <w:pStyle w:val="BodyText"/>
        <w:spacing w:line="240" w:lineRule="auto" w:before="59"/>
        <w:ind w:left="472" w:right="915"/>
        <w:jc w:val="left"/>
      </w:pPr>
      <w:r>
        <w:rPr/>
        <w:t>公司严格按照有关法律法规和公司《信息披露管理办法》的规定，加强信息披露事务管理，履行信息披露义务，并指定</w:t>
      </w:r>
    </w:p>
    <w:p>
      <w:pPr>
        <w:pStyle w:val="BodyText"/>
        <w:spacing w:line="316" w:lineRule="auto" w:before="76"/>
        <w:ind w:right="1132"/>
        <w:jc w:val="both"/>
      </w:pPr>
      <w:r>
        <w:rPr/>
        <w:t>《</w:t>
      </w:r>
      <w:r>
        <w:rPr>
          <w:spacing w:val="-73"/>
        </w:rPr>
        <w:t> </w:t>
      </w:r>
      <w:r>
        <w:rPr>
          <w:spacing w:val="11"/>
        </w:rPr>
        <w:t>证券时报</w:t>
      </w:r>
      <w:r>
        <w:rPr>
          <w:spacing w:val="-73"/>
        </w:rPr>
        <w:t> </w:t>
      </w:r>
      <w:r>
        <w:rPr>
          <w:spacing w:val="-50"/>
        </w:rPr>
        <w:t>》、《</w:t>
      </w:r>
      <w:r>
        <w:rPr>
          <w:spacing w:val="-73"/>
        </w:rPr>
        <w:t> </w:t>
      </w:r>
      <w:r>
        <w:rPr>
          <w:spacing w:val="12"/>
        </w:rPr>
        <w:t>中国证券报</w:t>
      </w:r>
      <w:r>
        <w:rPr>
          <w:spacing w:val="-73"/>
        </w:rPr>
        <w:t> </w:t>
      </w:r>
      <w:r>
        <w:rPr>
          <w:spacing w:val="-50"/>
        </w:rPr>
        <w:t>》、《</w:t>
      </w:r>
      <w:r>
        <w:rPr>
          <w:spacing w:val="-73"/>
        </w:rPr>
        <w:t> </w:t>
      </w:r>
      <w:r>
        <w:rPr>
          <w:spacing w:val="12"/>
        </w:rPr>
        <w:t>上海证券报</w:t>
      </w:r>
      <w:r>
        <w:rPr>
          <w:spacing w:val="-73"/>
        </w:rPr>
        <w:t> </w:t>
      </w:r>
      <w:r>
        <w:rPr>
          <w:spacing w:val="-49"/>
        </w:rPr>
        <w:t>》、《</w:t>
      </w:r>
      <w:r>
        <w:rPr>
          <w:spacing w:val="-73"/>
        </w:rPr>
        <w:t> </w:t>
      </w:r>
      <w:r>
        <w:rPr>
          <w:spacing w:val="12"/>
        </w:rPr>
        <w:t>证券日报》</w:t>
      </w:r>
      <w:r>
        <w:rPr>
          <w:spacing w:val="-73"/>
        </w:rPr>
        <w:t> </w:t>
      </w:r>
      <w:r>
        <w:rPr>
          <w:spacing w:val="14"/>
        </w:rPr>
        <w:t>和中国证监会创业板指定信息披露网站（巨潮资讯网</w:t>
      </w:r>
      <w:r>
        <w:rPr>
          <w:spacing w:val="-86"/>
        </w:rPr>
        <w:t> </w:t>
      </w:r>
      <w:hyperlink r:id="rId14">
        <w:r>
          <w:rPr>
            <w:spacing w:val="-86"/>
          </w:rPr>
        </w:r>
        <w:r>
          <w:rPr/>
          <w:t>www.cninfo.com.cn</w:t>
        </w:r>
      </w:hyperlink>
      <w:r>
        <w:rPr/>
        <w:t>）为公司信息披露报纸和网站，真实、准确、及时、完整的披露信息，确保所有投资者公平获取公司信</w:t>
      </w:r>
      <w:r>
        <w:rPr/>
        <w:t> 息。</w:t>
      </w:r>
      <w:r>
        <w:rPr>
          <w:spacing w:val="1"/>
        </w:rPr>
        <w:t> </w:t>
      </w:r>
      <w:r>
        <w:rPr/>
        <w:t>报告期内，公司未发生信息披露不规范而受到监管部门批评的情形。</w:t>
      </w:r>
    </w:p>
    <w:p>
      <w:pPr>
        <w:spacing w:after="0" w:line="316" w:lineRule="auto"/>
        <w:jc w:val="both"/>
        <w:sectPr>
          <w:pgSz w:w="11910" w:h="16840"/>
          <w:pgMar w:header="919" w:footer="1016" w:top="1120" w:bottom="1200" w:left="1020" w:right="0"/>
        </w:sectPr>
      </w:pPr>
    </w:p>
    <w:p>
      <w:pPr>
        <w:spacing w:line="240" w:lineRule="auto" w:before="12"/>
        <w:rPr>
          <w:rFonts w:ascii="宋体" w:hAnsi="宋体" w:cs="宋体" w:eastAsia="宋体" w:hint="default"/>
          <w:sz w:val="20"/>
          <w:szCs w:val="20"/>
        </w:rPr>
      </w:pPr>
    </w:p>
    <w:p>
      <w:pPr>
        <w:pStyle w:val="BodyText"/>
        <w:spacing w:line="240" w:lineRule="auto" w:before="44"/>
        <w:ind w:right="915"/>
        <w:jc w:val="left"/>
      </w:pPr>
      <w:r>
        <w:rPr/>
        <w:t>公司治理的实际状况与中国证监会发布的有关上市公司治理的规范性文件是否存在重大差异</w:t>
      </w:r>
    </w:p>
    <w:p>
      <w:pPr>
        <w:pStyle w:val="BodyText"/>
        <w:spacing w:line="360" w:lineRule="auto" w:before="115"/>
        <w:ind w:right="3554"/>
        <w:jc w:val="left"/>
      </w:pPr>
      <w:r>
        <w:rPr/>
        <w:t>□ 是 √ 否 公司治理的实际状况与中国证监会发布的有关上市公司治理的规范性文件不存在重大差异。</w:t>
      </w:r>
    </w:p>
    <w:p>
      <w:pPr>
        <w:spacing w:line="240" w:lineRule="auto" w:before="2"/>
        <w:rPr>
          <w:rFonts w:ascii="宋体" w:hAnsi="宋体" w:cs="宋体" w:eastAsia="宋体" w:hint="default"/>
          <w:sz w:val="18"/>
          <w:szCs w:val="18"/>
        </w:rPr>
      </w:pPr>
    </w:p>
    <w:p>
      <w:pPr>
        <w:pStyle w:val="Heading2"/>
        <w:spacing w:line="240" w:lineRule="auto"/>
        <w:ind w:right="915"/>
        <w:jc w:val="left"/>
        <w:rPr>
          <w:b w:val="0"/>
          <w:bCs w:val="0"/>
        </w:rPr>
      </w:pPr>
      <w:bookmarkStart w:name="二、公司相对于控股股东在业务、人员、资产、机构、财务等方面的独立情况" w:id="137"/>
      <w:bookmarkEnd w:id="137"/>
      <w:r>
        <w:rPr>
          <w:b w:val="0"/>
          <w:bCs w:val="0"/>
        </w:rPr>
      </w: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045" w:firstLine="360"/>
        <w:jc w:val="both"/>
      </w:pPr>
      <w:r>
        <w:rPr>
          <w:spacing w:val="-7"/>
        </w:rPr>
        <w:t>报告期内，公司严格按照《公司法》、《证券法》等有关法律法规和《公司章程》的要求规范运作，在业务、人员、资产、</w:t>
      </w:r>
      <w:r>
        <w:rPr/>
        <w:t> 机构、财务等方面与公司股东完全分开，具有独立、完整的资产和业务及面向市场、自主经营的能力。</w:t>
      </w:r>
    </w:p>
    <w:p>
      <w:pPr>
        <w:pStyle w:val="BodyText"/>
        <w:spacing w:line="316" w:lineRule="auto" w:before="19"/>
        <w:ind w:left="472" w:right="915"/>
        <w:jc w:val="left"/>
      </w:pPr>
      <w:r>
        <w:rPr/>
        <w:t>1、业务独立情况 </w:t>
      </w:r>
      <w:r>
        <w:rPr>
          <w:spacing w:val="-2"/>
        </w:rPr>
        <w:t>公司业务独立于公司控股股东。公司拥有完整独立的研发、生产、销售和服务系统，具有独立完整的业务体系及面向市</w:t>
      </w:r>
    </w:p>
    <w:p>
      <w:pPr>
        <w:pStyle w:val="BodyText"/>
        <w:spacing w:line="316" w:lineRule="auto" w:before="19"/>
        <w:ind w:left="472" w:right="6434" w:hanging="360"/>
        <w:jc w:val="left"/>
      </w:pPr>
      <w:r>
        <w:rPr/>
        <w:t>场独立经营的能力，不依赖于股东或其它任何关联方。 2、人员独立情况</w:t>
      </w:r>
    </w:p>
    <w:p>
      <w:pPr>
        <w:pStyle w:val="BodyText"/>
        <w:spacing w:line="316" w:lineRule="auto" w:before="19"/>
        <w:ind w:right="1132" w:firstLine="360"/>
        <w:jc w:val="both"/>
      </w:pPr>
      <w:r>
        <w:rPr>
          <w:spacing w:val="-2"/>
        </w:rPr>
        <w:t>公司人员、劳动、人事及工资完全独立。公司总经理、副总经理、董事会秘书、财务负责人等高级管理人员均在公司工</w:t>
      </w:r>
      <w:r>
        <w:rPr/>
        <w:t> </w:t>
      </w:r>
      <w:r>
        <w:rPr>
          <w:spacing w:val="-2"/>
        </w:rPr>
        <w:t>作并领取薪酬，未在控股股东及其下属企业担任除董事、监事以外的任何职务和领取报酬；公司财务人员没有在控股股东及</w:t>
      </w:r>
      <w:r>
        <w:rPr>
          <w:spacing w:val="-65"/>
        </w:rPr>
        <w:t> </w:t>
      </w:r>
      <w:r>
        <w:rPr>
          <w:spacing w:val="-65"/>
        </w:rPr>
      </w:r>
      <w:r>
        <w:rPr/>
        <w:t>下属企业兼职。</w:t>
      </w:r>
    </w:p>
    <w:p>
      <w:pPr>
        <w:pStyle w:val="BodyText"/>
        <w:spacing w:line="316" w:lineRule="auto" w:before="19"/>
        <w:ind w:left="472" w:right="915"/>
        <w:jc w:val="left"/>
      </w:pPr>
      <w:r>
        <w:rPr/>
        <w:t>3、资产完整情况 </w:t>
      </w:r>
      <w:r>
        <w:rPr>
          <w:spacing w:val="-2"/>
        </w:rPr>
        <w:t>公司资产完整，拥有独立于股东单位及其他关联方的机器设备、房屋建筑物，也独立拥有注册商标、非专利技术等无形</w:t>
      </w:r>
    </w:p>
    <w:p>
      <w:pPr>
        <w:pStyle w:val="BodyText"/>
        <w:spacing w:line="240" w:lineRule="auto" w:before="19"/>
        <w:ind w:right="915"/>
        <w:jc w:val="left"/>
      </w:pPr>
      <w:r>
        <w:rPr/>
        <w:t>资产。</w:t>
      </w:r>
    </w:p>
    <w:p>
      <w:pPr>
        <w:pStyle w:val="BodyText"/>
        <w:spacing w:line="316" w:lineRule="auto" w:before="76"/>
        <w:ind w:left="472" w:right="915"/>
        <w:jc w:val="left"/>
      </w:pPr>
      <w:r>
        <w:rPr/>
        <w:t>4、机构独立情况 </w:t>
      </w:r>
      <w:r>
        <w:rPr>
          <w:spacing w:val="-4"/>
        </w:rPr>
        <w:t>公司各部门独立履行其职责，负责公司的生产经营活动，其履行职能不受控股股东、其他有关部门或单位、个人的干预，</w:t>
      </w:r>
    </w:p>
    <w:p>
      <w:pPr>
        <w:pStyle w:val="BodyText"/>
        <w:spacing w:line="316" w:lineRule="auto" w:before="19"/>
        <w:ind w:right="915"/>
        <w:jc w:val="left"/>
      </w:pPr>
      <w:r>
        <w:rPr>
          <w:spacing w:val="-2"/>
        </w:rPr>
        <w:t>并且与控股股东及其职能部门之间不存在隶属关系，公司生产经营和办公场所与股东单位完全分开，不存在混合经营、合署</w:t>
      </w:r>
      <w:r>
        <w:rPr>
          <w:spacing w:val="-65"/>
        </w:rPr>
        <w:t> </w:t>
      </w:r>
      <w:r>
        <w:rPr>
          <w:spacing w:val="-65"/>
        </w:rPr>
      </w:r>
      <w:r>
        <w:rPr/>
        <w:t>办公的情况。</w:t>
      </w:r>
    </w:p>
    <w:p>
      <w:pPr>
        <w:pStyle w:val="BodyText"/>
        <w:spacing w:line="360" w:lineRule="auto" w:before="19"/>
        <w:ind w:left="472" w:right="915"/>
        <w:jc w:val="left"/>
      </w:pPr>
      <w:r>
        <w:rPr/>
        <w:t>5、财务独立情况 </w:t>
      </w:r>
      <w:r>
        <w:rPr>
          <w:spacing w:val="-2"/>
        </w:rPr>
        <w:t>公司设有独立的财务会计部门、财务负责人，建立了独立的财务规章制度，有完整独立的财务核算体系，能够独立出财</w:t>
      </w:r>
    </w:p>
    <w:p>
      <w:pPr>
        <w:pStyle w:val="BodyText"/>
        <w:spacing w:line="222" w:lineRule="exact"/>
        <w:ind w:right="915"/>
        <w:jc w:val="left"/>
      </w:pPr>
      <w:r>
        <w:rPr>
          <w:spacing w:val="-4"/>
        </w:rPr>
        <w:t>务决策，开设了独立的银行账户，并依法独立纳税，公司不存在与股东单位及其关联方共用银行账户的情况，也不存在资金、</w:t>
      </w:r>
    </w:p>
    <w:p>
      <w:pPr>
        <w:pStyle w:val="BodyText"/>
        <w:spacing w:line="240" w:lineRule="auto" w:before="76"/>
        <w:ind w:right="915"/>
        <w:jc w:val="left"/>
      </w:pPr>
      <w:r>
        <w:rPr/>
        <w:t>资产被股东单位及其关联方非法占用的情况。</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6"/>
          <w:szCs w:val="16"/>
        </w:rPr>
      </w:pPr>
    </w:p>
    <w:p>
      <w:pPr>
        <w:pStyle w:val="Heading2"/>
        <w:spacing w:line="240" w:lineRule="auto"/>
        <w:ind w:right="915"/>
        <w:jc w:val="left"/>
        <w:rPr>
          <w:b w:val="0"/>
          <w:bCs w:val="0"/>
        </w:rPr>
      </w:pPr>
      <w:bookmarkStart w:name="三、同业竞争情况" w:id="138"/>
      <w:bookmarkEnd w:id="138"/>
      <w:r>
        <w:rPr>
          <w:b w:val="0"/>
          <w:bCs w:val="0"/>
        </w:rPr>
      </w:r>
      <w:r>
        <w:rPr/>
        <w:t>三、同业竞争情况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15"/>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915"/>
        <w:jc w:val="left"/>
        <w:rPr>
          <w:b w:val="0"/>
          <w:bCs w:val="0"/>
        </w:rPr>
      </w:pPr>
      <w:bookmarkStart w:name="四、报告期内召开的年度股东大会和临时股东大会的有关情况" w:id="139"/>
      <w:bookmarkEnd w:id="139"/>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15"/>
        <w:jc w:val="left"/>
        <w:rPr>
          <w:b w:val="0"/>
          <w:bCs w:val="0"/>
        </w:rPr>
      </w:pPr>
      <w:bookmarkStart w:name="1、本报告期股东大会情况" w:id="140"/>
      <w:bookmarkEnd w:id="140"/>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760"/>
        <w:gridCol w:w="1430"/>
        <w:gridCol w:w="1594"/>
        <w:gridCol w:w="1594"/>
        <w:gridCol w:w="1594"/>
        <w:gridCol w:w="1594"/>
      </w:tblGrid>
      <w:tr>
        <w:trPr>
          <w:trHeight w:val="402"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50"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1"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58" w:hRule="exact"/>
        </w:trPr>
        <w:tc>
          <w:tcPr>
            <w:tcW w:w="1760" w:type="dxa"/>
            <w:tcBorders>
              <w:top w:val="single" w:sz="4" w:space="0" w:color="000000"/>
              <w:left w:val="single" w:sz="4" w:space="0" w:color="000000"/>
              <w:bottom w:val="nil" w:sz="6" w:space="0" w:color="auto"/>
              <w:right w:val="single" w:sz="4" w:space="0" w:color="000000"/>
            </w:tcBorders>
          </w:tcPr>
          <w:p>
            <w:pPr/>
          </w:p>
        </w:tc>
        <w:tc>
          <w:tcPr>
            <w:tcW w:w="1430"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936" w:hRule="exact"/>
        </w:trPr>
        <w:tc>
          <w:tcPr>
            <w:tcW w:w="176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right="5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43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pacing w:val="-1"/>
                <w:sz w:val="18"/>
              </w:rPr>
              <w:t>25.00%</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102" w:right="17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 大会决议公告》</w:t>
            </w:r>
          </w:p>
          <w:p>
            <w:pPr>
              <w:pStyle w:val="TableParagraph"/>
              <w:spacing w:line="240" w:lineRule="auto" w:before="31"/>
              <w:ind w:left="102" w:right="0"/>
              <w:jc w:val="left"/>
              <w:rPr>
                <w:rFonts w:ascii="宋体" w:hAnsi="宋体" w:cs="宋体" w:eastAsia="宋体" w:hint="default"/>
                <w:sz w:val="18"/>
                <w:szCs w:val="18"/>
              </w:rPr>
            </w:pPr>
            <w:r>
              <w:rPr>
                <w:rFonts w:ascii="宋体" w:hAnsi="宋体" w:cs="宋体" w:eastAsia="宋体" w:hint="default"/>
                <w:sz w:val="18"/>
                <w:szCs w:val="18"/>
              </w:rPr>
              <w:t>（公告编码：</w:t>
            </w:r>
          </w:p>
        </w:tc>
      </w:tr>
      <w:tr>
        <w:trPr>
          <w:trHeight w:val="356" w:hRule="exact"/>
        </w:trPr>
        <w:tc>
          <w:tcPr>
            <w:tcW w:w="1760" w:type="dxa"/>
            <w:tcBorders>
              <w:top w:val="nil" w:sz="6" w:space="0" w:color="auto"/>
              <w:left w:val="single" w:sz="4" w:space="0" w:color="000000"/>
              <w:bottom w:val="single" w:sz="4" w:space="0" w:color="000000"/>
              <w:right w:val="single" w:sz="4" w:space="0" w:color="000000"/>
            </w:tcBorders>
          </w:tcPr>
          <w:p>
            <w:pPr/>
          </w:p>
        </w:tc>
        <w:tc>
          <w:tcPr>
            <w:tcW w:w="1430"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2019-026</w:t>
            </w:r>
            <w:r>
              <w:rPr>
                <w:rFonts w:ascii="宋体" w:hAnsi="宋体" w:cs="宋体" w:eastAsia="宋体" w:hint="default"/>
                <w:sz w:val="18"/>
                <w:szCs w:val="18"/>
              </w:rPr>
              <w:t>）</w:t>
            </w:r>
          </w:p>
        </w:tc>
      </w:tr>
      <w:tr>
        <w:trPr>
          <w:trHeight w:val="400" w:hRule="exact"/>
        </w:trPr>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5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62.50%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16"/>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17"/>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after="0" w:line="240" w:lineRule="auto"/>
        <w:jc w:val="left"/>
        <w:rPr>
          <w:rFonts w:ascii="宋体" w:hAnsi="宋体" w:cs="宋体" w:eastAsia="宋体" w:hint="default"/>
          <w:sz w:val="18"/>
          <w:szCs w:val="18"/>
        </w:rPr>
        <w:sectPr>
          <w:pgSz w:w="11910" w:h="16840"/>
          <w:pgMar w:header="919" w:footer="1016" w:top="1120" w:bottom="1200" w:left="1020" w:right="0"/>
        </w:sectPr>
      </w:pPr>
    </w:p>
    <w:p>
      <w:pPr>
        <w:spacing w:line="240" w:lineRule="auto" w:before="5"/>
        <w:rPr>
          <w:rFonts w:ascii="宋体" w:hAnsi="宋体" w:cs="宋体" w:eastAsia="宋体" w:hint="default"/>
          <w:b/>
          <w:bCs/>
          <w:sz w:val="23"/>
          <w:szCs w:val="23"/>
        </w:rPr>
      </w:pPr>
    </w:p>
    <w:tbl>
      <w:tblPr>
        <w:tblW w:w="0" w:type="auto"/>
        <w:jc w:val="left"/>
        <w:tblInd w:w="109" w:type="dxa"/>
        <w:tblLayout w:type="fixed"/>
        <w:tblCellMar>
          <w:top w:w="0" w:type="dxa"/>
          <w:left w:w="0" w:type="dxa"/>
          <w:bottom w:w="0" w:type="dxa"/>
          <w:right w:w="0" w:type="dxa"/>
        </w:tblCellMar>
        <w:tblLook w:val="01E0"/>
      </w:tblPr>
      <w:tblGrid>
        <w:gridCol w:w="1760"/>
        <w:gridCol w:w="1430"/>
        <w:gridCol w:w="1594"/>
        <w:gridCol w:w="1594"/>
        <w:gridCol w:w="1594"/>
        <w:gridCol w:w="1594"/>
      </w:tblGrid>
      <w:tr>
        <w:trPr>
          <w:trHeight w:val="322" w:hRule="exact"/>
        </w:trPr>
        <w:tc>
          <w:tcPr>
            <w:tcW w:w="17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1430" w:type="dxa"/>
            <w:vMerge w:val="restart"/>
            <w:tcBorders>
              <w:top w:val="single" w:sz="4" w:space="0" w:color="000000"/>
              <w:left w:val="single" w:sz="4" w:space="0" w:color="000000"/>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w:t>
            </w:r>
          </w:p>
        </w:tc>
      </w:tr>
      <w:tr>
        <w:trPr>
          <w:trHeight w:val="308" w:hRule="exact"/>
        </w:trPr>
        <w:tc>
          <w:tcPr>
            <w:tcW w:w="1760" w:type="dxa"/>
            <w:tcBorders>
              <w:top w:val="nil" w:sz="6" w:space="0" w:color="auto"/>
              <w:left w:val="single" w:sz="4" w:space="0" w:color="000000"/>
              <w:bottom w:val="nil" w:sz="6" w:space="0" w:color="auto"/>
              <w:right w:val="single" w:sz="4" w:space="0" w:color="000000"/>
            </w:tcBorders>
          </w:tcPr>
          <w:p>
            <w:pPr/>
          </w:p>
        </w:tc>
        <w:tc>
          <w:tcPr>
            <w:tcW w:w="1430"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临时股东大会决</w:t>
            </w:r>
          </w:p>
        </w:tc>
      </w:tr>
      <w:tr>
        <w:trPr>
          <w:trHeight w:val="312" w:hRule="exact"/>
        </w:trPr>
        <w:tc>
          <w:tcPr>
            <w:tcW w:w="1760" w:type="dxa"/>
            <w:tcBorders>
              <w:top w:val="nil" w:sz="6" w:space="0" w:color="auto"/>
              <w:left w:val="single" w:sz="4" w:space="0" w:color="000000"/>
              <w:bottom w:val="nil" w:sz="6" w:space="0" w:color="auto"/>
              <w:right w:val="single" w:sz="4" w:space="0" w:color="000000"/>
            </w:tcBorders>
          </w:tcPr>
          <w:p>
            <w:pPr/>
          </w:p>
        </w:tc>
        <w:tc>
          <w:tcPr>
            <w:tcW w:w="1430"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议公告</w:t>
            </w:r>
            <w:r>
              <w:rPr>
                <w:rFonts w:ascii="宋体" w:hAnsi="宋体" w:cs="宋体" w:eastAsia="宋体" w:hint="default"/>
                <w:spacing w:val="-89"/>
                <w:sz w:val="18"/>
                <w:szCs w:val="18"/>
              </w:rPr>
              <w:t>》</w:t>
            </w:r>
            <w:r>
              <w:rPr>
                <w:rFonts w:ascii="宋体" w:hAnsi="宋体" w:cs="宋体" w:eastAsia="宋体" w:hint="default"/>
                <w:sz w:val="18"/>
                <w:szCs w:val="18"/>
              </w:rPr>
              <w:t>（公告编</w:t>
            </w:r>
          </w:p>
        </w:tc>
      </w:tr>
      <w:tr>
        <w:trPr>
          <w:trHeight w:val="356" w:hRule="exact"/>
        </w:trPr>
        <w:tc>
          <w:tcPr>
            <w:tcW w:w="1760" w:type="dxa"/>
            <w:tcBorders>
              <w:top w:val="nil" w:sz="6" w:space="0" w:color="auto"/>
              <w:left w:val="single" w:sz="4" w:space="0" w:color="000000"/>
              <w:bottom w:val="single" w:sz="4" w:space="0" w:color="000000"/>
              <w:right w:val="single" w:sz="4" w:space="0" w:color="000000"/>
            </w:tcBorders>
          </w:tcPr>
          <w:p>
            <w:pPr/>
          </w:p>
        </w:tc>
        <w:tc>
          <w:tcPr>
            <w:tcW w:w="1430"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码：</w:t>
            </w:r>
            <w:r>
              <w:rPr>
                <w:rFonts w:ascii="Times New Roman" w:hAnsi="Times New Roman" w:cs="Times New Roman" w:eastAsia="Times New Roman" w:hint="default"/>
                <w:sz w:val="18"/>
                <w:szCs w:val="18"/>
              </w:rPr>
              <w:t>2019-046</w:t>
            </w:r>
            <w:r>
              <w:rPr>
                <w:rFonts w:ascii="宋体" w:hAnsi="宋体" w:cs="宋体" w:eastAsia="宋体" w:hint="default"/>
                <w:sz w:val="18"/>
                <w:szCs w:val="18"/>
              </w:rPr>
              <w:t>）</w:t>
            </w:r>
          </w:p>
        </w:tc>
      </w:tr>
      <w:tr>
        <w:trPr>
          <w:trHeight w:val="357" w:hRule="exact"/>
        </w:trPr>
        <w:tc>
          <w:tcPr>
            <w:tcW w:w="1760" w:type="dxa"/>
            <w:tcBorders>
              <w:top w:val="single" w:sz="4" w:space="0" w:color="000000"/>
              <w:left w:val="single" w:sz="4" w:space="0" w:color="000000"/>
              <w:bottom w:val="nil" w:sz="6" w:space="0" w:color="auto"/>
              <w:right w:val="single" w:sz="4" w:space="0" w:color="000000"/>
            </w:tcBorders>
          </w:tcPr>
          <w:p>
            <w:pPr/>
          </w:p>
        </w:tc>
        <w:tc>
          <w:tcPr>
            <w:tcW w:w="1430"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936" w:hRule="exact"/>
        </w:trPr>
        <w:tc>
          <w:tcPr>
            <w:tcW w:w="176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300" w:lineRule="auto"/>
              <w:ind w:left="101" w:right="16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43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927" w:right="0"/>
              <w:jc w:val="left"/>
              <w:rPr>
                <w:rFonts w:ascii="Times New Roman" w:hAnsi="Times New Roman" w:cs="Times New Roman" w:eastAsia="Times New Roman" w:hint="default"/>
                <w:sz w:val="18"/>
                <w:szCs w:val="18"/>
              </w:rPr>
            </w:pPr>
            <w:r>
              <w:rPr>
                <w:rFonts w:ascii="Times New Roman"/>
                <w:sz w:val="18"/>
              </w:rPr>
              <w:t>75.00%</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309" w:lineRule="auto" w:before="10"/>
              <w:ind w:left="102" w:right="128"/>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 临时股东大会决 </w:t>
            </w:r>
            <w:r>
              <w:rPr>
                <w:rFonts w:ascii="宋体" w:hAnsi="宋体" w:cs="宋体" w:eastAsia="宋体" w:hint="default"/>
                <w:spacing w:val="-12"/>
                <w:sz w:val="18"/>
                <w:szCs w:val="18"/>
              </w:rPr>
              <w:t>议公告》（公告编</w:t>
            </w:r>
          </w:p>
        </w:tc>
      </w:tr>
      <w:tr>
        <w:trPr>
          <w:trHeight w:val="357" w:hRule="exact"/>
        </w:trPr>
        <w:tc>
          <w:tcPr>
            <w:tcW w:w="1760" w:type="dxa"/>
            <w:tcBorders>
              <w:top w:val="nil" w:sz="6" w:space="0" w:color="auto"/>
              <w:left w:val="single" w:sz="4" w:space="0" w:color="000000"/>
              <w:bottom w:val="single" w:sz="4" w:space="0" w:color="000000"/>
              <w:right w:val="single" w:sz="4" w:space="0" w:color="000000"/>
            </w:tcBorders>
          </w:tcPr>
          <w:p>
            <w:pPr/>
          </w:p>
        </w:tc>
        <w:tc>
          <w:tcPr>
            <w:tcW w:w="1430"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码：</w:t>
            </w:r>
            <w:r>
              <w:rPr>
                <w:rFonts w:ascii="Times New Roman" w:hAnsi="Times New Roman" w:cs="Times New Roman" w:eastAsia="Times New Roman" w:hint="default"/>
                <w:sz w:val="18"/>
                <w:szCs w:val="18"/>
              </w:rPr>
              <w:t>2019-058</w:t>
            </w:r>
            <w:r>
              <w:rPr>
                <w:rFonts w:ascii="宋体" w:hAnsi="宋体" w:cs="宋体" w:eastAsia="宋体" w:hint="default"/>
                <w:sz w:val="18"/>
                <w:szCs w:val="18"/>
              </w:rPr>
              <w:t>）</w:t>
            </w:r>
          </w:p>
        </w:tc>
      </w:tr>
    </w:tbl>
    <w:p>
      <w:pPr>
        <w:spacing w:line="240" w:lineRule="auto" w:before="5"/>
        <w:rPr>
          <w:rFonts w:ascii="宋体" w:hAnsi="宋体" w:cs="宋体" w:eastAsia="宋体" w:hint="default"/>
          <w:b/>
          <w:bCs/>
          <w:sz w:val="19"/>
          <w:szCs w:val="19"/>
        </w:rPr>
      </w:pPr>
    </w:p>
    <w:p>
      <w:pPr>
        <w:pStyle w:val="Heading3"/>
        <w:spacing w:line="240" w:lineRule="auto" w:before="34"/>
        <w:ind w:right="915"/>
        <w:jc w:val="left"/>
        <w:rPr>
          <w:b w:val="0"/>
          <w:bCs w:val="0"/>
        </w:rPr>
      </w:pPr>
      <w:bookmarkStart w:name="2、表决权恢复的优先股股东请求召开临时股东大会" w:id="141"/>
      <w:bookmarkEnd w:id="141"/>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15"/>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915"/>
        <w:jc w:val="left"/>
        <w:rPr>
          <w:b w:val="0"/>
          <w:bCs w:val="0"/>
        </w:rPr>
      </w:pPr>
      <w:bookmarkStart w:name="五、报告期内独立董事履行职责的情况" w:id="142"/>
      <w:bookmarkEnd w:id="142"/>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15"/>
        <w:jc w:val="left"/>
        <w:rPr>
          <w:b w:val="0"/>
          <w:bCs w:val="0"/>
        </w:rPr>
      </w:pPr>
      <w:bookmarkStart w:name="1、独立董事出席董事会及股东大会的情况" w:id="143"/>
      <w:bookmarkEnd w:id="143"/>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8"/>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427"/>
        <w:gridCol w:w="1164"/>
        <w:gridCol w:w="1164"/>
        <w:gridCol w:w="1163"/>
        <w:gridCol w:w="1163"/>
        <w:gridCol w:w="1163"/>
        <w:gridCol w:w="1163"/>
        <w:gridCol w:w="1163"/>
      </w:tblGrid>
      <w:tr>
        <w:trPr>
          <w:trHeight w:val="402" w:hRule="exact"/>
        </w:trPr>
        <w:tc>
          <w:tcPr>
            <w:tcW w:w="9570"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338"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126" w:right="125"/>
              <w:jc w:val="center"/>
              <w:rPr>
                <w:rFonts w:ascii="宋体" w:hAnsi="宋体" w:cs="宋体" w:eastAsia="宋体" w:hint="default"/>
                <w:sz w:val="18"/>
                <w:szCs w:val="18"/>
              </w:rPr>
            </w:pPr>
            <w:r>
              <w:rPr>
                <w:rFonts w:ascii="宋体" w:hAnsi="宋体" w:cs="宋体" w:eastAsia="宋体" w:hint="default"/>
                <w:sz w:val="18"/>
                <w:szCs w:val="18"/>
              </w:rPr>
              <w:t>本报告期应 参加董事会 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7"/>
              <w:ind w:left="218" w:right="125" w:hanging="92"/>
              <w:jc w:val="left"/>
              <w:rPr>
                <w:rFonts w:ascii="宋体" w:hAnsi="宋体" w:cs="宋体" w:eastAsia="宋体" w:hint="default"/>
                <w:sz w:val="18"/>
                <w:szCs w:val="18"/>
              </w:rPr>
            </w:pPr>
            <w:r>
              <w:rPr>
                <w:rFonts w:ascii="宋体" w:hAnsi="宋体" w:cs="宋体" w:eastAsia="宋体" w:hint="default"/>
                <w:sz w:val="18"/>
                <w:szCs w:val="18"/>
              </w:rPr>
              <w:t>现场出席董 事会次数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126" w:right="124"/>
              <w:jc w:val="center"/>
              <w:rPr>
                <w:rFonts w:ascii="宋体" w:hAnsi="宋体" w:cs="宋体" w:eastAsia="宋体" w:hint="default"/>
                <w:sz w:val="18"/>
                <w:szCs w:val="18"/>
              </w:rPr>
            </w:pPr>
            <w:r>
              <w:rPr>
                <w:rFonts w:ascii="宋体" w:hAnsi="宋体" w:cs="宋体" w:eastAsia="宋体" w:hint="default"/>
                <w:sz w:val="18"/>
                <w:szCs w:val="18"/>
              </w:rPr>
              <w:t>以通讯方式 参加董事会 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7"/>
              <w:ind w:left="216" w:right="125" w:hanging="92"/>
              <w:jc w:val="left"/>
              <w:rPr>
                <w:rFonts w:ascii="宋体" w:hAnsi="宋体" w:cs="宋体" w:eastAsia="宋体" w:hint="default"/>
                <w:sz w:val="18"/>
                <w:szCs w:val="18"/>
              </w:rPr>
            </w:pPr>
            <w:r>
              <w:rPr>
                <w:rFonts w:ascii="宋体" w:hAnsi="宋体" w:cs="宋体" w:eastAsia="宋体" w:hint="default"/>
                <w:sz w:val="18"/>
                <w:szCs w:val="18"/>
              </w:rPr>
              <w:t>委托出席董 事会次数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7"/>
              <w:ind w:left="395" w:right="124" w:hanging="269"/>
              <w:jc w:val="left"/>
              <w:rPr>
                <w:rFonts w:ascii="宋体" w:hAnsi="宋体" w:cs="宋体" w:eastAsia="宋体" w:hint="default"/>
                <w:sz w:val="18"/>
                <w:szCs w:val="18"/>
              </w:rPr>
            </w:pPr>
            <w:r>
              <w:rPr>
                <w:rFonts w:ascii="宋体" w:hAnsi="宋体" w:cs="宋体" w:eastAsia="宋体" w:hint="default"/>
                <w:sz w:val="18"/>
                <w:szCs w:val="18"/>
              </w:rPr>
              <w:t>缺席董事会 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25" w:right="126"/>
              <w:jc w:val="center"/>
              <w:rPr>
                <w:rFonts w:ascii="宋体" w:hAnsi="宋体" w:cs="宋体" w:eastAsia="宋体" w:hint="default"/>
                <w:sz w:val="18"/>
                <w:szCs w:val="18"/>
              </w:rPr>
            </w:pPr>
            <w:r>
              <w:rPr>
                <w:rFonts w:ascii="宋体" w:hAnsi="宋体" w:cs="宋体" w:eastAsia="宋体" w:hint="default"/>
                <w:sz w:val="18"/>
                <w:szCs w:val="18"/>
              </w:rPr>
              <w:t>是否连续两 次未亲自参 加董事会会 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7"/>
              <w:ind w:left="306" w:right="125" w:hanging="180"/>
              <w:jc w:val="left"/>
              <w:rPr>
                <w:rFonts w:ascii="宋体" w:hAnsi="宋体" w:cs="宋体" w:eastAsia="宋体" w:hint="default"/>
                <w:sz w:val="18"/>
                <w:szCs w:val="18"/>
              </w:rPr>
            </w:pPr>
            <w:r>
              <w:rPr>
                <w:rFonts w:ascii="宋体" w:hAnsi="宋体" w:cs="宋体" w:eastAsia="宋体" w:hint="default"/>
                <w:sz w:val="18"/>
                <w:szCs w:val="18"/>
              </w:rPr>
              <w:t>出席股东大 会次数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陈朝琳</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兰邦胜</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5</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胡琴</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李荣林</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4</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z w:val="18"/>
              </w:rPr>
              <w:t>1</w:t>
            </w:r>
          </w:p>
        </w:tc>
      </w:tr>
    </w:tbl>
    <w:p>
      <w:pPr>
        <w:pStyle w:val="BodyText"/>
        <w:spacing w:line="240" w:lineRule="auto" w:before="49"/>
        <w:ind w:right="915"/>
        <w:jc w:val="left"/>
      </w:pPr>
      <w:r>
        <w:rPr/>
        <w:t>连续两次未亲自出席董事会的说明</w:t>
      </w:r>
    </w:p>
    <w:p>
      <w:pPr>
        <w:spacing w:line="240" w:lineRule="auto" w:before="0"/>
        <w:rPr>
          <w:rFonts w:ascii="宋体" w:hAnsi="宋体" w:cs="宋体" w:eastAsia="宋体" w:hint="default"/>
          <w:sz w:val="18"/>
          <w:szCs w:val="18"/>
        </w:rPr>
      </w:pPr>
    </w:p>
    <w:p>
      <w:pPr>
        <w:pStyle w:val="Heading3"/>
        <w:spacing w:line="240" w:lineRule="auto" w:before="118"/>
        <w:ind w:right="915"/>
        <w:jc w:val="left"/>
        <w:rPr>
          <w:b w:val="0"/>
          <w:bCs w:val="0"/>
        </w:rPr>
      </w:pPr>
      <w:bookmarkStart w:name="2、独立董事对公司有关事项提出异议的情况" w:id="144"/>
      <w:bookmarkEnd w:id="144"/>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15"/>
        <w:jc w:val="left"/>
      </w:pPr>
      <w:r>
        <w:rPr/>
        <w:t>独立董事对公司有关事项是否提出异议</w:t>
      </w:r>
    </w:p>
    <w:p>
      <w:pPr>
        <w:pStyle w:val="BodyText"/>
        <w:spacing w:line="357" w:lineRule="auto" w:before="117"/>
        <w:ind w:right="6974"/>
        <w:jc w:val="left"/>
      </w:pPr>
      <w:r>
        <w:rPr/>
        <w:t>□ 是 √ 否 报告期内独立董事对公司有关事项未提出异议。</w:t>
      </w:r>
    </w:p>
    <w:p>
      <w:pPr>
        <w:spacing w:line="240" w:lineRule="auto" w:before="3"/>
        <w:rPr>
          <w:rFonts w:ascii="宋体" w:hAnsi="宋体" w:cs="宋体" w:eastAsia="宋体" w:hint="default"/>
          <w:sz w:val="20"/>
          <w:szCs w:val="20"/>
        </w:rPr>
      </w:pPr>
    </w:p>
    <w:p>
      <w:pPr>
        <w:pStyle w:val="Heading3"/>
        <w:spacing w:line="240" w:lineRule="auto"/>
        <w:ind w:right="915"/>
        <w:jc w:val="left"/>
        <w:rPr>
          <w:b w:val="0"/>
          <w:bCs w:val="0"/>
        </w:rPr>
      </w:pPr>
      <w:bookmarkStart w:name="3、独立董事履行职责的其他说明" w:id="145"/>
      <w:bookmarkEnd w:id="145"/>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15"/>
        <w:jc w:val="left"/>
      </w:pPr>
      <w:r>
        <w:rPr/>
        <w:t>独立董事对公司有关建议是否被采纳</w:t>
      </w:r>
    </w:p>
    <w:p>
      <w:pPr>
        <w:pStyle w:val="BodyText"/>
        <w:spacing w:line="360" w:lineRule="auto" w:before="115"/>
        <w:ind w:right="6794"/>
        <w:jc w:val="left"/>
      </w:pPr>
      <w:r>
        <w:rPr/>
        <w:t>√ 是 □ 否 独立董事对公司有关建议被采纳或未被采纳的说明</w:t>
      </w:r>
    </w:p>
    <w:p>
      <w:pPr>
        <w:pStyle w:val="BodyText"/>
        <w:spacing w:line="316" w:lineRule="auto" w:before="27"/>
        <w:ind w:right="915" w:firstLine="360"/>
        <w:jc w:val="left"/>
      </w:pPr>
      <w:r>
        <w:rPr>
          <w:spacing w:val="-2"/>
        </w:rPr>
        <w:t>报告期内，独立董事秉着对公司及全体股东诚信与勤勉的义务，严格按照相关法律、法规和《公司章程》的要求，认真</w:t>
      </w:r>
      <w:r>
        <w:rPr/>
        <w:t> </w:t>
      </w:r>
      <w:r>
        <w:rPr>
          <w:spacing w:val="-2"/>
        </w:rPr>
        <w:t>履行职责，维护公司整体利益，尤其关注中小股东的合法权益不受侵害。了解公司运作，主动调查、获取做出决策所需要的</w:t>
      </w:r>
    </w:p>
    <w:p>
      <w:pPr>
        <w:spacing w:after="0" w:line="316" w:lineRule="auto"/>
        <w:jc w:val="left"/>
        <w:sectPr>
          <w:pgSz w:w="11910" w:h="16840"/>
          <w:pgMar w:header="919" w:footer="1016" w:top="1120" w:bottom="1200" w:left="1020" w:right="0"/>
        </w:sectPr>
      </w:pPr>
    </w:p>
    <w:p>
      <w:pPr>
        <w:spacing w:line="240" w:lineRule="auto" w:before="12"/>
        <w:rPr>
          <w:rFonts w:ascii="宋体" w:hAnsi="宋体" w:cs="宋体" w:eastAsia="宋体" w:hint="default"/>
          <w:sz w:val="20"/>
          <w:szCs w:val="20"/>
        </w:rPr>
      </w:pPr>
    </w:p>
    <w:p>
      <w:pPr>
        <w:pStyle w:val="BodyText"/>
        <w:spacing w:line="316" w:lineRule="auto" w:before="44"/>
        <w:ind w:right="1132"/>
        <w:jc w:val="both"/>
      </w:pPr>
      <w:r>
        <w:rPr>
          <w:spacing w:val="-2"/>
        </w:rPr>
        <w:t>情况和资料，对公司内部控制建设、管理体系建设、人才建设以及重大决策等方面提出了很多宝贵的专业性建议，对公司财</w:t>
      </w:r>
      <w:r>
        <w:rPr>
          <w:spacing w:val="-66"/>
        </w:rPr>
        <w:t> </w:t>
      </w:r>
      <w:r>
        <w:rPr>
          <w:spacing w:val="-66"/>
        </w:rPr>
      </w:r>
      <w:r>
        <w:rPr>
          <w:spacing w:val="-2"/>
        </w:rPr>
        <w:t>务及生产经营活动进行了有效监督，提高了公司决策的科学性，为完善公司监督机制，维护公司和全体股东的合法权益发挥</w:t>
      </w:r>
      <w:r>
        <w:rPr>
          <w:spacing w:val="-65"/>
        </w:rPr>
        <w:t> </w:t>
      </w:r>
      <w:r>
        <w:rPr>
          <w:spacing w:val="-65"/>
        </w:rPr>
      </w:r>
      <w:r>
        <w:rPr/>
        <w:t>了应有的作用。</w:t>
      </w:r>
    </w:p>
    <w:p>
      <w:pPr>
        <w:spacing w:line="240" w:lineRule="auto" w:before="9"/>
        <w:rPr>
          <w:rFonts w:ascii="宋体" w:hAnsi="宋体" w:cs="宋体" w:eastAsia="宋体" w:hint="default"/>
          <w:sz w:val="20"/>
          <w:szCs w:val="20"/>
        </w:rPr>
      </w:pPr>
    </w:p>
    <w:p>
      <w:pPr>
        <w:pStyle w:val="Heading2"/>
        <w:spacing w:line="240" w:lineRule="auto"/>
        <w:ind w:right="0"/>
        <w:jc w:val="both"/>
        <w:rPr>
          <w:b w:val="0"/>
          <w:bCs w:val="0"/>
        </w:rPr>
      </w:pPr>
      <w:bookmarkStart w:name="六、董事会下设专门委员会在报告期内履行职责情况" w:id="146"/>
      <w:bookmarkEnd w:id="146"/>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472" w:right="915"/>
        <w:jc w:val="left"/>
      </w:pPr>
      <w:r>
        <w:rPr/>
        <w:t>1、董事会审计委员会 </w:t>
      </w:r>
      <w:r>
        <w:rPr>
          <w:spacing w:val="-9"/>
        </w:rPr>
        <w:t>公司董事会审计委员会根据《公司法》、《证券法》、《上市公司治理准则》、公司《董事会审计委员会工作细则》等有关</w:t>
      </w:r>
    </w:p>
    <w:p>
      <w:pPr>
        <w:pStyle w:val="BodyText"/>
        <w:spacing w:line="316" w:lineRule="auto" w:before="19"/>
        <w:ind w:right="1132"/>
        <w:jc w:val="both"/>
      </w:pPr>
      <w:r>
        <w:rPr>
          <w:spacing w:val="-2"/>
        </w:rPr>
        <w:t>规定，积极履行职责，认真审议公司内审部门提交的内审报告及工作计划，指导公司审计部在内部审计过程中应重点关注和</w:t>
      </w:r>
      <w:r>
        <w:rPr>
          <w:spacing w:val="-65"/>
        </w:rPr>
        <w:t> </w:t>
      </w:r>
      <w:r>
        <w:rPr>
          <w:spacing w:val="-65"/>
        </w:rPr>
      </w:r>
      <w:r>
        <w:rPr>
          <w:spacing w:val="-2"/>
        </w:rPr>
        <w:t>检查的事项，督促公司内部控制的有效执行。在2019年度审计报告编制过程中，审计委员会在审计机构进场前与会计师召开</w:t>
      </w:r>
      <w:r>
        <w:rPr>
          <w:spacing w:val="-63"/>
        </w:rPr>
        <w:t> </w:t>
      </w:r>
      <w:r>
        <w:rPr>
          <w:spacing w:val="-63"/>
        </w:rPr>
      </w:r>
      <w:r>
        <w:rPr>
          <w:spacing w:val="-2"/>
        </w:rPr>
        <w:t>了多次沟通会，确定了审计机构进场的时间及相关审计计划，并在审计过程中加强了与会计师的联系，督促其按计划进行审</w:t>
      </w:r>
      <w:r>
        <w:rPr>
          <w:spacing w:val="-65"/>
        </w:rPr>
        <w:t> </w:t>
      </w:r>
      <w:r>
        <w:rPr>
          <w:spacing w:val="-65"/>
        </w:rPr>
      </w:r>
      <w:r>
        <w:rPr>
          <w:spacing w:val="-2"/>
        </w:rPr>
        <w:t>计工作，对发现的问题保持及时有效沟通，积极提出建议，提高审计效率，为公司2019年度报告的高质、高效披露提供了有</w:t>
      </w:r>
      <w:r>
        <w:rPr>
          <w:spacing w:val="-63"/>
        </w:rPr>
        <w:t> </w:t>
      </w:r>
      <w:r>
        <w:rPr>
          <w:spacing w:val="-63"/>
        </w:rPr>
      </w:r>
      <w:r>
        <w:rPr/>
        <w:t>力保障。</w:t>
      </w:r>
    </w:p>
    <w:p>
      <w:pPr>
        <w:pStyle w:val="BodyText"/>
        <w:spacing w:line="316" w:lineRule="auto" w:before="19"/>
        <w:ind w:right="915" w:firstLine="360"/>
        <w:jc w:val="left"/>
      </w:pPr>
      <w:r>
        <w:rPr>
          <w:spacing w:val="-4"/>
        </w:rPr>
        <w:t>报告期内，公司共召开三次审计委员会，对公司定期报告、内部审计工作的开展情况进行了审议，并提出了合理的建议，</w:t>
      </w:r>
      <w:r>
        <w:rPr/>
        <w:t> </w:t>
      </w:r>
      <w:r>
        <w:rPr>
          <w:spacing w:val="-2"/>
        </w:rPr>
        <w:t>监督和促进了公司内部审计工作的开展同时审计委员会认真履行内控指导和监督职责，督促公司建立健全内控制度，促进公</w:t>
      </w:r>
      <w:r>
        <w:rPr>
          <w:spacing w:val="-64"/>
        </w:rPr>
        <w:t> </w:t>
      </w:r>
      <w:r>
        <w:rPr>
          <w:spacing w:val="-64"/>
        </w:rPr>
      </w:r>
      <w:r>
        <w:rPr/>
        <w:t>司持续健康发展。</w:t>
      </w:r>
    </w:p>
    <w:p>
      <w:pPr>
        <w:pStyle w:val="BodyText"/>
        <w:spacing w:line="316" w:lineRule="auto" w:before="19"/>
        <w:ind w:left="472" w:right="1138"/>
        <w:jc w:val="left"/>
      </w:pPr>
      <w:r>
        <w:rPr/>
        <w:t>2、董事会薪酬与考核委员会 </w:t>
      </w:r>
      <w:r>
        <w:rPr>
          <w:spacing w:val="-2"/>
        </w:rPr>
        <w:t>报告期内，公司董事会薪酬与考核委员会严格按照相关法律法规及《公司章程》、公司《董事会薪酬与考核委员会工作</w:t>
      </w:r>
    </w:p>
    <w:p>
      <w:pPr>
        <w:spacing w:line="271" w:lineRule="auto" w:before="0"/>
        <w:ind w:left="112" w:right="1135" w:firstLine="0"/>
        <w:jc w:val="both"/>
        <w:rPr>
          <w:rFonts w:ascii="宋体" w:hAnsi="宋体" w:cs="宋体" w:eastAsia="宋体" w:hint="default"/>
          <w:sz w:val="21"/>
          <w:szCs w:val="21"/>
        </w:rPr>
      </w:pPr>
      <w:r>
        <w:rPr>
          <w:rFonts w:ascii="宋体" w:hAnsi="宋体" w:cs="宋体" w:eastAsia="宋体" w:hint="default"/>
          <w:spacing w:val="-1"/>
          <w:w w:val="95"/>
          <w:sz w:val="18"/>
          <w:szCs w:val="18"/>
        </w:rPr>
        <w:t>细则》的规定开展相关工作，</w:t>
      </w:r>
      <w:r>
        <w:rPr>
          <w:rFonts w:ascii="宋体" w:hAnsi="宋体" w:cs="宋体" w:eastAsia="宋体" w:hint="default"/>
          <w:spacing w:val="-1"/>
          <w:w w:val="95"/>
          <w:sz w:val="21"/>
          <w:szCs w:val="21"/>
        </w:rPr>
        <w:t>根据公司实际情况，对董事及高级管理人员薪酬以及公司股权激励对象是否符合</w:t>
      </w:r>
      <w:r>
        <w:rPr>
          <w:rFonts w:ascii="宋体" w:hAnsi="宋体" w:cs="宋体" w:eastAsia="宋体" w:hint="default"/>
          <w:spacing w:val="61"/>
          <w:w w:val="95"/>
          <w:sz w:val="21"/>
          <w:szCs w:val="21"/>
        </w:rPr>
        <w:t> </w:t>
      </w:r>
      <w:r>
        <w:rPr>
          <w:rFonts w:ascii="宋体" w:hAnsi="宋体" w:cs="宋体" w:eastAsia="宋体" w:hint="default"/>
          <w:spacing w:val="61"/>
          <w:w w:val="95"/>
          <w:sz w:val="21"/>
          <w:szCs w:val="21"/>
        </w:rPr>
      </w:r>
      <w:r>
        <w:rPr>
          <w:rFonts w:ascii="宋体" w:hAnsi="宋体" w:cs="宋体" w:eastAsia="宋体" w:hint="default"/>
          <w:sz w:val="21"/>
          <w:szCs w:val="21"/>
        </w:rPr>
        <w:t>解除限售的条件进行了审核并提出合理建议，切实履行了薪酬与考核委员会委员的责任和义务。</w:t>
      </w:r>
    </w:p>
    <w:p>
      <w:pPr>
        <w:pStyle w:val="BodyText"/>
        <w:spacing w:line="316" w:lineRule="auto" w:before="35"/>
        <w:ind w:left="472" w:right="1119"/>
        <w:jc w:val="left"/>
      </w:pPr>
      <w:r>
        <w:rPr/>
        <w:t>3、董事会战略委员会 </w:t>
      </w:r>
      <w:r>
        <w:rPr>
          <w:spacing w:val="-5"/>
        </w:rPr>
        <w:t>报告期内，公司董事会战略委员会按照《独立董事工作细则》、《董事会战略委员会工作细则》等相关制度的规定，深入</w:t>
      </w:r>
    </w:p>
    <w:p>
      <w:pPr>
        <w:pStyle w:val="BodyText"/>
        <w:spacing w:line="316" w:lineRule="auto" w:before="19"/>
        <w:ind w:right="1051"/>
        <w:jc w:val="both"/>
      </w:pPr>
      <w:r>
        <w:rPr/>
        <w:t>了解公司的经营情况及发展状况，对子公司的战略规划进行审核，积极研究符合公司发展方向的战略布局，为公司的健康、 快速发展出谋划策，对公司重大投融资方案、对外投资等重大事项提出了合理化的建议，促进了公司董事会决策的科学性、 高效性。</w:t>
      </w:r>
    </w:p>
    <w:p>
      <w:pPr>
        <w:pStyle w:val="BodyText"/>
        <w:spacing w:line="316" w:lineRule="auto" w:before="19"/>
        <w:ind w:left="472" w:right="1034"/>
        <w:jc w:val="left"/>
      </w:pPr>
      <w:r>
        <w:rPr/>
        <w:t>4、董事会提名委员会 报告期内，董事会提名委员会均能够按照《公司董事会提名委员会工作细则》的要求，认真履行自己的职责，对董事、</w:t>
      </w:r>
    </w:p>
    <w:p>
      <w:pPr>
        <w:pStyle w:val="BodyText"/>
        <w:spacing w:line="316" w:lineRule="auto" w:before="19"/>
        <w:ind w:right="1132"/>
        <w:jc w:val="both"/>
      </w:pPr>
      <w:r>
        <w:rPr>
          <w:spacing w:val="-2"/>
        </w:rPr>
        <w:t>高级管理人员的提名、聘任提出了建设性建议，并对相关人员的任职资格认真进行了核查，有效保证候选人任职资格符合担</w:t>
      </w:r>
      <w:r>
        <w:rPr>
          <w:spacing w:val="-65"/>
        </w:rPr>
        <w:t> </w:t>
      </w:r>
      <w:r>
        <w:rPr>
          <w:spacing w:val="-65"/>
        </w:rPr>
      </w:r>
      <w:r>
        <w:rPr>
          <w:spacing w:val="-5"/>
        </w:rPr>
        <w:t>任的条件，能够胜任所聘任岗位职责要求，不存在《公司法》、《公司章程》中规定禁止任职的条件及被中国证券监督管理委</w:t>
      </w:r>
      <w:r>
        <w:rPr>
          <w:spacing w:val="-79"/>
        </w:rPr>
        <w:t> </w:t>
      </w:r>
      <w:r>
        <w:rPr>
          <w:spacing w:val="-79"/>
        </w:rPr>
      </w:r>
      <w:r>
        <w:rPr/>
        <w:t>员会处以市场禁入处罚的情况。</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6"/>
          <w:szCs w:val="26"/>
        </w:rPr>
      </w:pPr>
    </w:p>
    <w:p>
      <w:pPr>
        <w:pStyle w:val="Heading2"/>
        <w:spacing w:line="240" w:lineRule="auto"/>
        <w:ind w:right="0"/>
        <w:jc w:val="both"/>
        <w:rPr>
          <w:b w:val="0"/>
          <w:bCs w:val="0"/>
        </w:rPr>
      </w:pPr>
      <w:bookmarkStart w:name="七、监事会工作情况" w:id="147"/>
      <w:bookmarkEnd w:id="147"/>
      <w:r>
        <w:rPr>
          <w:b w:val="0"/>
          <w:bCs w:val="0"/>
        </w:rPr>
      </w:r>
      <w:r>
        <w:rPr/>
        <w:t>七、监事会工作情况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t>监事会在报告期内的监督活动中发现公司是否存在风险</w:t>
      </w:r>
    </w:p>
    <w:p>
      <w:pPr>
        <w:pStyle w:val="BodyText"/>
        <w:spacing w:line="360" w:lineRule="auto" w:before="117"/>
        <w:ind w:right="7334"/>
        <w:jc w:val="left"/>
      </w:pPr>
      <w:r>
        <w:rPr/>
        <w:t>□ 是 √ 否 公司监事会对报告期内的监督事项无异议。</w:t>
      </w:r>
    </w:p>
    <w:p>
      <w:pPr>
        <w:spacing w:line="240" w:lineRule="auto" w:before="2"/>
        <w:rPr>
          <w:rFonts w:ascii="宋体" w:hAnsi="宋体" w:cs="宋体" w:eastAsia="宋体" w:hint="default"/>
          <w:sz w:val="18"/>
          <w:szCs w:val="18"/>
        </w:rPr>
      </w:pPr>
    </w:p>
    <w:p>
      <w:pPr>
        <w:pStyle w:val="Heading2"/>
        <w:spacing w:line="240" w:lineRule="auto"/>
        <w:ind w:right="0"/>
        <w:jc w:val="both"/>
        <w:rPr>
          <w:b w:val="0"/>
          <w:bCs w:val="0"/>
        </w:rPr>
      </w:pPr>
      <w:bookmarkStart w:name="八、高级管理人员的考评及激励情况" w:id="148"/>
      <w:bookmarkEnd w:id="148"/>
      <w:r>
        <w:rPr>
          <w:b w:val="0"/>
          <w:bCs w:val="0"/>
        </w:rPr>
      </w: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915" w:firstLine="360"/>
        <w:jc w:val="left"/>
      </w:pPr>
      <w:r>
        <w:rPr>
          <w:spacing w:val="-2"/>
        </w:rPr>
        <w:t>公司建立了完善的高级管理人员绩效考评体系，明确了高级管理人员考核内容与流程。公司高级管理人员的薪资由由基</w:t>
      </w:r>
      <w:r>
        <w:rPr/>
        <w:t> </w:t>
      </w:r>
      <w:r>
        <w:rPr>
          <w:spacing w:val="-4"/>
        </w:rPr>
        <w:t>本工资、绩效工资、保密津贴及经考核后核定的奖金构成，参考市场同类薪酬标准，结合考虑职位、责任、能力等因素确定，</w:t>
      </w:r>
      <w:r>
        <w:rPr>
          <w:spacing w:val="-43"/>
        </w:rPr>
        <w:t> </w:t>
      </w:r>
      <w:r>
        <w:rPr>
          <w:spacing w:val="-43"/>
        </w:rPr>
      </w:r>
      <w:r>
        <w:rPr>
          <w:spacing w:val="-5"/>
        </w:rPr>
        <w:t>薪资水平与其承担责任、风险和经营业绩挂钩。报告期内，公司高级管理人员能够按照《公司法》、《公司章程》及国家有关</w:t>
      </w:r>
      <w:r>
        <w:rPr>
          <w:spacing w:val="-80"/>
        </w:rPr>
        <w:t> </w:t>
      </w:r>
      <w:r>
        <w:rPr>
          <w:spacing w:val="-80"/>
        </w:rPr>
      </w:r>
      <w:r>
        <w:rPr>
          <w:spacing w:val="-2"/>
        </w:rPr>
        <w:t>法律法规的规定认真履行职责，积极落实公司股东大会和董事会相关决议。高级管理人员薪酬合理，薪酬发放的程序符合有</w:t>
      </w:r>
    </w:p>
    <w:p>
      <w:pPr>
        <w:spacing w:after="0" w:line="316" w:lineRule="auto"/>
        <w:jc w:val="left"/>
        <w:sectPr>
          <w:pgSz w:w="11910" w:h="16840"/>
          <w:pgMar w:header="919" w:footer="1016" w:top="1120" w:bottom="1200" w:left="1020" w:right="0"/>
        </w:sectPr>
      </w:pPr>
    </w:p>
    <w:p>
      <w:pPr>
        <w:spacing w:line="240" w:lineRule="auto" w:before="12"/>
        <w:rPr>
          <w:rFonts w:ascii="宋体" w:hAnsi="宋体" w:cs="宋体" w:eastAsia="宋体" w:hint="default"/>
          <w:sz w:val="20"/>
          <w:szCs w:val="20"/>
        </w:rPr>
      </w:pPr>
    </w:p>
    <w:p>
      <w:pPr>
        <w:pStyle w:val="BodyText"/>
        <w:spacing w:line="316" w:lineRule="auto" w:before="44"/>
        <w:ind w:left="472" w:right="1124" w:hanging="360"/>
        <w:jc w:val="left"/>
      </w:pPr>
      <w:r>
        <w:rPr/>
        <w:t>关法律、法规及《公司章程》的规定。 2019年8月12日公司董事会薪酬与考核委员会审议通过了《关于公司2016年限制性股票激励计划第三个解锁期可解锁的</w:t>
      </w:r>
    </w:p>
    <w:p>
      <w:pPr>
        <w:pStyle w:val="BodyText"/>
        <w:spacing w:line="240" w:lineRule="auto" w:before="19"/>
        <w:ind w:right="915"/>
        <w:jc w:val="left"/>
      </w:pPr>
      <w:r>
        <w:rPr/>
        <w:t>议案</w:t>
      </w:r>
      <w:r>
        <w:rPr>
          <w:spacing w:val="-89"/>
        </w:rPr>
        <w:t>》</w:t>
      </w:r>
      <w:r>
        <w:rPr>
          <w:spacing w:val="-87"/>
        </w:rPr>
        <w:t>，</w:t>
      </w:r>
      <w:r>
        <w:rPr/>
        <w:t>经</w:t>
      </w:r>
      <w:r>
        <w:rPr>
          <w:spacing w:val="1"/>
        </w:rPr>
        <w:t>2</w:t>
      </w:r>
      <w:r>
        <w:rPr>
          <w:spacing w:val="-2"/>
        </w:rPr>
        <w:t>0</w:t>
      </w:r>
      <w:r>
        <w:rPr>
          <w:spacing w:val="1"/>
        </w:rPr>
        <w:t>1</w:t>
      </w:r>
      <w:r>
        <w:rPr>
          <w:spacing w:val="-2"/>
        </w:rPr>
        <w:t>9</w:t>
      </w:r>
      <w:r>
        <w:rPr/>
        <w:t>年</w:t>
      </w:r>
      <w:r>
        <w:rPr>
          <w:spacing w:val="1"/>
        </w:rPr>
        <w:t>8</w:t>
      </w:r>
      <w:r>
        <w:rPr/>
        <w:t>月</w:t>
      </w:r>
      <w:r>
        <w:rPr>
          <w:spacing w:val="1"/>
        </w:rPr>
        <w:t>1</w:t>
      </w:r>
      <w:r>
        <w:rPr>
          <w:spacing w:val="-2"/>
        </w:rPr>
        <w:t>3</w:t>
      </w:r>
      <w:r>
        <w:rPr/>
        <w:t>日召开的第四届董事会第二次会议审议通过</w:t>
      </w:r>
      <w:r>
        <w:rPr>
          <w:spacing w:val="-87"/>
        </w:rPr>
        <w:t>，</w:t>
      </w:r>
      <w:r>
        <w:rPr/>
        <w:t>对符合解锁条件的</w:t>
      </w:r>
      <w:r>
        <w:rPr>
          <w:spacing w:val="1"/>
        </w:rPr>
        <w:t>9</w:t>
      </w:r>
      <w:r>
        <w:rPr>
          <w:spacing w:val="-2"/>
        </w:rPr>
        <w:t>3</w:t>
      </w:r>
      <w:r>
        <w:rPr/>
        <w:t>名激励对象的限制性股票进行解锁。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pStyle w:val="Heading2"/>
        <w:spacing w:line="240" w:lineRule="auto"/>
        <w:ind w:right="915"/>
        <w:jc w:val="left"/>
        <w:rPr>
          <w:b w:val="0"/>
          <w:bCs w:val="0"/>
        </w:rPr>
      </w:pPr>
      <w:bookmarkStart w:name="九、内部控制评价报告" w:id="149"/>
      <w:bookmarkEnd w:id="149"/>
      <w:r>
        <w:rPr>
          <w:b w:val="0"/>
          <w:bCs w:val="0"/>
        </w:rPr>
      </w:r>
      <w:r>
        <w:rPr/>
        <w:t>九、内部控制评价报告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15"/>
        <w:jc w:val="left"/>
        <w:rPr>
          <w:b w:val="0"/>
          <w:bCs w:val="0"/>
        </w:rPr>
      </w:pPr>
      <w:bookmarkStart w:name="1、报告期内发现的内部控制重大缺陷的具体情况" w:id="150"/>
      <w:bookmarkEnd w:id="150"/>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15"/>
        <w:jc w:val="left"/>
      </w:pPr>
      <w:r>
        <w:rPr/>
        <w:t>□ 是 √ 否</w:t>
      </w:r>
    </w:p>
    <w:p>
      <w:pPr>
        <w:spacing w:line="240" w:lineRule="auto" w:before="0"/>
        <w:rPr>
          <w:rFonts w:ascii="宋体" w:hAnsi="宋体" w:cs="宋体" w:eastAsia="宋体" w:hint="default"/>
          <w:sz w:val="18"/>
          <w:szCs w:val="18"/>
        </w:rPr>
      </w:pPr>
    </w:p>
    <w:p>
      <w:pPr>
        <w:pStyle w:val="Heading3"/>
        <w:spacing w:line="240" w:lineRule="auto" w:before="118"/>
        <w:ind w:right="915"/>
        <w:jc w:val="left"/>
        <w:rPr>
          <w:b w:val="0"/>
          <w:bCs w:val="0"/>
        </w:rPr>
      </w:pPr>
      <w:bookmarkStart w:name="2、内控自我评价报告" w:id="151"/>
      <w:bookmarkEnd w:id="151"/>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94"/>
        <w:gridCol w:w="3323"/>
        <w:gridCol w:w="3051"/>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hyperlink r:id="rId14">
              <w:r>
                <w:rPr>
                  <w:rFonts w:ascii="Times New Roman"/>
                  <w:sz w:val="18"/>
                </w:rPr>
                <w:t>http://www.cninfo.com.cn</w:t>
              </w:r>
            </w:hyperlink>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200"/>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 并财务报表资产总额的比例</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 w:right="200"/>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 并财务报表营业收入的比例</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352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0"/>
              <w:ind w:left="102" w:right="12" w:firstLine="81"/>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宋体" w:hAnsi="宋体" w:cs="宋体" w:eastAsia="宋体" w:hint="default"/>
                <w:sz w:val="18"/>
                <w:szCs w:val="18"/>
              </w:rPr>
              <w:t>财务报告重大缺陷的迹象主要包括： 公司董事、监事和高级管理人员舞弊； 公司更正已经公布的财务报告；注册会 计师发现当期财务报告存在重大错报， 而内部控制在运行过程中未能发现该错 报；审计委员会和内部审计机构对内部 控制的监督无效。</w:t>
            </w:r>
            <w:r>
              <w:rPr>
                <w:rFonts w:ascii="Times New Roman" w:hAnsi="Times New Roman" w:cs="Times New Roman" w:eastAsia="Times New Roman" w:hint="default"/>
                <w:sz w:val="18"/>
                <w:szCs w:val="18"/>
              </w:rPr>
              <w:t>B.</w:t>
            </w:r>
            <w:r>
              <w:rPr>
                <w:rFonts w:ascii="宋体" w:hAnsi="宋体" w:cs="宋体" w:eastAsia="宋体" w:hint="default"/>
                <w:sz w:val="18"/>
                <w:szCs w:val="18"/>
              </w:rPr>
              <w:t>重要缺陷：在缺陷 识别的时候，同时考虑缺陷发生的可能 性，缺陷发生可能性为中等则认定为重 </w:t>
            </w:r>
            <w:r>
              <w:rPr>
                <w:rFonts w:ascii="宋体" w:hAnsi="宋体" w:cs="宋体" w:eastAsia="宋体" w:hint="default"/>
                <w:spacing w:val="-2"/>
                <w:sz w:val="18"/>
                <w:szCs w:val="18"/>
              </w:rPr>
              <w:t>要缺陷。</w:t>
            </w:r>
            <w:r>
              <w:rPr>
                <w:rFonts w:ascii="Times New Roman" w:hAnsi="Times New Roman" w:cs="Times New Roman" w:eastAsia="Times New Roman" w:hint="default"/>
                <w:spacing w:val="-2"/>
                <w:sz w:val="18"/>
                <w:szCs w:val="18"/>
              </w:rPr>
              <w:t>C.</w:t>
            </w:r>
            <w:r>
              <w:rPr>
                <w:rFonts w:ascii="宋体" w:hAnsi="宋体" w:cs="宋体" w:eastAsia="宋体" w:hint="default"/>
                <w:spacing w:val="-2"/>
                <w:sz w:val="18"/>
                <w:szCs w:val="18"/>
              </w:rPr>
              <w:t>一般缺陷：未构成重大缺陷、</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重要缺陷标准的其他内部控制缺陷。</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0"/>
              <w:ind w:left="103" w:right="10" w:firstLine="79"/>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A</w:t>
            </w:r>
            <w:r>
              <w:rPr>
                <w:rFonts w:ascii="宋体" w:hAnsi="宋体" w:cs="宋体" w:eastAsia="宋体" w:hint="default"/>
                <w:spacing w:val="-5"/>
                <w:sz w:val="18"/>
                <w:szCs w:val="18"/>
              </w:rPr>
              <w:t>、重大缺陷：如果缺陷发生的可能</w:t>
            </w:r>
            <w:r>
              <w:rPr>
                <w:rFonts w:ascii="宋体" w:hAnsi="宋体" w:cs="宋体" w:eastAsia="宋体" w:hint="default"/>
                <w:sz w:val="18"/>
                <w:szCs w:val="18"/>
              </w:rPr>
              <w:t> 性高，会严重降低工作效率或效果、 </w:t>
            </w:r>
            <w:r>
              <w:rPr>
                <w:rFonts w:ascii="宋体" w:hAnsi="宋体" w:cs="宋体" w:eastAsia="宋体" w:hint="default"/>
                <w:spacing w:val="-3"/>
                <w:sz w:val="18"/>
                <w:szCs w:val="18"/>
              </w:rPr>
              <w:t>或严重加大效果的不确定性，或使之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w w:val="99"/>
                <w:sz w:val="18"/>
                <w:szCs w:val="18"/>
              </w:rPr>
              <w:t>严重偏离预期目标的。</w:t>
            </w:r>
            <w:r>
              <w:rPr>
                <w:rFonts w:ascii="Times New Roman" w:hAnsi="Times New Roman" w:cs="Times New Roman" w:eastAsia="Times New Roman" w:hint="default"/>
                <w:spacing w:val="-5"/>
                <w:w w:val="99"/>
                <w:sz w:val="18"/>
                <w:szCs w:val="18"/>
              </w:rPr>
              <w:t>B</w:t>
            </w:r>
            <w:r>
              <w:rPr>
                <w:rFonts w:ascii="宋体" w:hAnsi="宋体" w:cs="宋体" w:eastAsia="宋体" w:hint="default"/>
                <w:spacing w:val="-5"/>
                <w:w w:val="99"/>
                <w:sz w:val="18"/>
                <w:szCs w:val="18"/>
              </w:rPr>
              <w:t>、重要缺陷：</w:t>
            </w:r>
            <w:r>
              <w:rPr>
                <w:rFonts w:ascii="宋体" w:hAnsi="宋体" w:cs="宋体" w:eastAsia="宋体" w:hint="default"/>
                <w:spacing w:val="-80"/>
                <w:w w:val="99"/>
                <w:sz w:val="18"/>
                <w:szCs w:val="18"/>
              </w:rPr>
              <w:t> </w:t>
            </w:r>
            <w:r>
              <w:rPr>
                <w:rFonts w:ascii="宋体" w:hAnsi="宋体" w:cs="宋体" w:eastAsia="宋体" w:hint="default"/>
                <w:spacing w:val="-80"/>
                <w:w w:val="99"/>
                <w:sz w:val="18"/>
                <w:szCs w:val="18"/>
              </w:rPr>
            </w:r>
            <w:r>
              <w:rPr>
                <w:rFonts w:ascii="宋体" w:hAnsi="宋体" w:cs="宋体" w:eastAsia="宋体" w:hint="default"/>
                <w:spacing w:val="-3"/>
                <w:sz w:val="18"/>
                <w:szCs w:val="18"/>
              </w:rPr>
              <w:t>如果缺陷发生的可能性较高，会显著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降低工作效率或效果、或显著加大效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果的不确定性，或使之显著偏离预期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目标的。</w:t>
            </w:r>
            <w:r>
              <w:rPr>
                <w:rFonts w:ascii="宋体" w:hAnsi="宋体" w:cs="宋体" w:eastAsia="宋体" w:hint="default"/>
                <w:spacing w:val="-23"/>
                <w:sz w:val="18"/>
                <w:szCs w:val="18"/>
              </w:rPr>
              <w:t> </w:t>
            </w:r>
            <w:r>
              <w:rPr>
                <w:rFonts w:ascii="Times New Roman" w:hAnsi="Times New Roman" w:cs="Times New Roman" w:eastAsia="Times New Roman" w:hint="default"/>
                <w:spacing w:val="-5"/>
                <w:sz w:val="18"/>
                <w:szCs w:val="18"/>
              </w:rPr>
              <w:t>C</w:t>
            </w:r>
            <w:r>
              <w:rPr>
                <w:rFonts w:ascii="宋体" w:hAnsi="宋体" w:cs="宋体" w:eastAsia="宋体" w:hint="default"/>
                <w:spacing w:val="-5"/>
                <w:sz w:val="18"/>
                <w:szCs w:val="18"/>
              </w:rPr>
              <w:t>、一般缺陷：如果缺陷发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生的可能性较小，会降低工作效率或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效果、或加大效果的不确定性，或使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之偏离预期目标的。</w:t>
            </w:r>
          </w:p>
        </w:tc>
      </w:tr>
      <w:tr>
        <w:trPr>
          <w:trHeight w:val="2586"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3" w:type="dxa"/>
            <w:tcBorders>
              <w:top w:val="single" w:sz="4" w:space="0" w:color="000000"/>
              <w:left w:val="single" w:sz="4" w:space="0" w:color="000000"/>
              <w:bottom w:val="single" w:sz="4" w:space="0" w:color="000000"/>
              <w:right w:val="single" w:sz="4" w:space="0" w:color="000000"/>
            </w:tcBorders>
          </w:tcPr>
          <w:p>
            <w:pPr>
              <w:pStyle w:val="TableParagraph"/>
              <w:tabs>
                <w:tab w:pos="913" w:val="left" w:leader="none"/>
                <w:tab w:pos="2262" w:val="left" w:leader="none"/>
              </w:tabs>
              <w:spacing w:line="304" w:lineRule="auto" w:before="49"/>
              <w:ind w:left="102" w:right="14"/>
              <w:jc w:val="left"/>
              <w:rPr>
                <w:rFonts w:ascii="宋体" w:hAnsi="宋体" w:cs="宋体" w:eastAsia="宋体" w:hint="default"/>
                <w:sz w:val="18"/>
                <w:szCs w:val="18"/>
              </w:rPr>
            </w:pPr>
            <w:r>
              <w:rPr>
                <w:rFonts w:ascii="宋体" w:hAnsi="宋体" w:cs="宋体" w:eastAsia="宋体" w:hint="default"/>
                <w:sz w:val="18"/>
                <w:szCs w:val="18"/>
              </w:rPr>
              <w:t>一、营业收入潜在错报</w:t>
              <w:tab/>
              <w:t>重大缺陷： 错报</w:t>
            </w:r>
            <w:r>
              <w:rPr>
                <w:rFonts w:ascii="Times New Roman" w:hAnsi="Times New Roman" w:cs="Times New Roman" w:eastAsia="Times New Roman" w:hint="default"/>
                <w:sz w:val="18"/>
                <w:szCs w:val="18"/>
              </w:rPr>
              <w:t>&gt;</w:t>
            </w:r>
            <w:r>
              <w:rPr>
                <w:rFonts w:ascii="宋体" w:hAnsi="宋体" w:cs="宋体" w:eastAsia="宋体" w:hint="default"/>
                <w:sz w:val="18"/>
                <w:szCs w:val="18"/>
              </w:rPr>
              <w:t>营业收入的</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；重要缺陷：错 报介于营业收入的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5%-10%</w:t>
            </w:r>
            <w:r>
              <w:rPr>
                <w:rFonts w:ascii="宋体" w:hAnsi="宋体" w:cs="宋体" w:eastAsia="宋体" w:hint="default"/>
                <w:sz w:val="18"/>
                <w:szCs w:val="18"/>
              </w:rPr>
              <w:t>；一般缺陷： 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宋体" w:hAnsi="宋体" w:cs="宋体" w:eastAsia="宋体" w:hint="default"/>
                <w:spacing w:val="-36"/>
                <w:sz w:val="18"/>
                <w:szCs w:val="18"/>
              </w:rPr>
              <w:t> </w:t>
            </w:r>
            <w:r>
              <w:rPr>
                <w:rFonts w:ascii="宋体" w:hAnsi="宋体" w:cs="宋体" w:eastAsia="宋体" w:hint="default"/>
                <w:spacing w:val="-5"/>
                <w:sz w:val="18"/>
                <w:szCs w:val="18"/>
              </w:rPr>
              <w:t>二、资产总额潜</w:t>
            </w:r>
            <w:r>
              <w:rPr>
                <w:rFonts w:ascii="宋体" w:hAnsi="宋体" w:cs="宋体" w:eastAsia="宋体" w:hint="default"/>
                <w:sz w:val="18"/>
                <w:szCs w:val="18"/>
              </w:rPr>
              <w:t> 在错报</w:t>
              <w:tab/>
              <w:t>重大缺陷：错报</w:t>
            </w:r>
            <w:r>
              <w:rPr>
                <w:rFonts w:ascii="Times New Roman" w:hAnsi="Times New Roman" w:cs="Times New Roman" w:eastAsia="Times New Roman" w:hint="default"/>
                <w:sz w:val="18"/>
                <w:szCs w:val="18"/>
              </w:rPr>
              <w:t>&gt;</w:t>
            </w:r>
            <w:r>
              <w:rPr>
                <w:rFonts w:ascii="宋体" w:hAnsi="宋体" w:cs="宋体" w:eastAsia="宋体" w:hint="default"/>
                <w:sz w:val="18"/>
                <w:szCs w:val="18"/>
              </w:rPr>
              <w:t>资产总额的 </w:t>
            </w:r>
            <w:r>
              <w:rPr>
                <w:rFonts w:ascii="Times New Roman" w:hAnsi="Times New Roman" w:cs="Times New Roman" w:eastAsia="Times New Roman" w:hint="default"/>
                <w:sz w:val="18"/>
                <w:szCs w:val="18"/>
              </w:rPr>
              <w:t>10%</w:t>
            </w:r>
            <w:r>
              <w:rPr>
                <w:rFonts w:ascii="宋体" w:hAnsi="宋体" w:cs="宋体" w:eastAsia="宋体" w:hint="default"/>
                <w:sz w:val="18"/>
                <w:szCs w:val="18"/>
              </w:rPr>
              <w:t>；重要缺陷：错报介于资产总额的</w:t>
            </w:r>
          </w:p>
          <w:p>
            <w:pPr>
              <w:pStyle w:val="TableParagraph"/>
              <w:spacing w:line="240" w:lineRule="auto" w:before="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5%-10%</w:t>
            </w:r>
            <w:r>
              <w:rPr>
                <w:rFonts w:ascii="宋体" w:hAnsi="宋体" w:cs="宋体" w:eastAsia="宋体" w:hint="default"/>
                <w:sz w:val="18"/>
                <w:szCs w:val="18"/>
              </w:rPr>
              <w:t>：一般缺陷：错报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资产总额的</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5%</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2" w:lineRule="auto" w:before="126"/>
              <w:ind w:left="103" w:right="101"/>
              <w:jc w:val="left"/>
              <w:rPr>
                <w:rFonts w:ascii="Times New Roman" w:hAnsi="Times New Roman" w:cs="Times New Roman" w:eastAsia="Times New Roman" w:hint="default"/>
                <w:sz w:val="18"/>
                <w:szCs w:val="18"/>
              </w:rPr>
            </w:pPr>
            <w:r>
              <w:rPr>
                <w:rFonts w:ascii="宋体" w:hAnsi="宋体" w:cs="宋体" w:eastAsia="宋体" w:hint="default"/>
                <w:sz w:val="18"/>
                <w:szCs w:val="18"/>
              </w:rPr>
              <w:t>直接财产损失金额</w:t>
            </w:r>
            <w:r>
              <w:rPr>
                <w:rFonts w:ascii="宋体" w:hAnsi="宋体" w:cs="宋体" w:eastAsia="宋体" w:hint="default"/>
                <w:spacing w:val="2"/>
                <w:sz w:val="18"/>
                <w:szCs w:val="18"/>
              </w:rPr>
              <w:t> </w:t>
            </w:r>
            <w:r>
              <w:rPr>
                <w:rFonts w:ascii="宋体" w:hAnsi="宋体" w:cs="宋体" w:eastAsia="宋体" w:hint="default"/>
                <w:spacing w:val="-7"/>
                <w:sz w:val="18"/>
                <w:szCs w:val="18"/>
              </w:rPr>
              <w:t>重大缺陷定：上</w:t>
            </w:r>
            <w:r>
              <w:rPr>
                <w:rFonts w:ascii="宋体" w:hAnsi="宋体" w:cs="宋体" w:eastAsia="宋体" w:hint="default"/>
                <w:sz w:val="18"/>
                <w:szCs w:val="18"/>
              </w:rPr>
              <w:t> 一会计年度净资产的</w:t>
            </w:r>
            <w:r>
              <w:rPr>
                <w:rFonts w:ascii="宋体" w:hAnsi="宋体" w:cs="宋体" w:eastAsia="宋体" w:hint="default"/>
                <w:spacing w:val="-45"/>
                <w:sz w:val="18"/>
                <w:szCs w:val="18"/>
              </w:rPr>
              <w:t> </w:t>
            </w:r>
            <w:r>
              <w:rPr>
                <w:rFonts w:ascii="Times New Roman" w:hAnsi="Times New Roman" w:cs="Times New Roman" w:eastAsia="Times New Roman" w:hint="default"/>
                <w:spacing w:val="-8"/>
                <w:sz w:val="18"/>
                <w:szCs w:val="18"/>
              </w:rPr>
              <w:t>10%</w:t>
            </w:r>
            <w:r>
              <w:rPr>
                <w:rFonts w:ascii="宋体" w:hAnsi="宋体" w:cs="宋体" w:eastAsia="宋体" w:hint="default"/>
                <w:spacing w:val="-8"/>
                <w:sz w:val="18"/>
                <w:szCs w:val="18"/>
              </w:rPr>
              <w:t>及以上；重</w:t>
            </w:r>
            <w:r>
              <w:rPr>
                <w:rFonts w:ascii="宋体" w:hAnsi="宋体" w:cs="宋体" w:eastAsia="宋体" w:hint="default"/>
                <w:sz w:val="18"/>
                <w:szCs w:val="18"/>
              </w:rPr>
              <w:t> 要缺陷：上一会计年度净资产的 </w:t>
            </w:r>
            <w:r>
              <w:rPr>
                <w:rFonts w:ascii="Times New Roman" w:hAnsi="Times New Roman" w:cs="Times New Roman" w:eastAsia="Times New Roman" w:hint="default"/>
                <w:sz w:val="18"/>
                <w:szCs w:val="18"/>
              </w:rPr>
              <w:t>2.5%-</w:t>
            </w:r>
            <w:r>
              <w:rPr>
                <w:rFonts w:ascii="宋体" w:hAnsi="宋体" w:cs="宋体" w:eastAsia="宋体" w:hint="default"/>
                <w:sz w:val="18"/>
                <w:szCs w:val="18"/>
              </w:rPr>
              <w:t>上一会计年度净资产的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 </w:t>
            </w:r>
            <w:r>
              <w:rPr>
                <w:rFonts w:ascii="宋体" w:hAnsi="宋体" w:cs="宋体" w:eastAsia="宋体" w:hint="default"/>
                <w:spacing w:val="-3"/>
                <w:sz w:val="18"/>
                <w:szCs w:val="18"/>
              </w:rPr>
              <w:t>一般缺陷：小于上一会计年度净资产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0</w:t>
            </w:r>
          </w:p>
        </w:tc>
      </w:tr>
      <w:tr>
        <w:trPr>
          <w:trHeight w:val="400"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919" w:footer="1016" w:top="1120" w:bottom="1200" w:left="1020" w:right="0"/>
        </w:sectPr>
      </w:pPr>
    </w:p>
    <w:p>
      <w:pPr>
        <w:spacing w:line="240" w:lineRule="auto" w:before="5"/>
        <w:rPr>
          <w:rFonts w:ascii="宋体" w:hAnsi="宋体" w:cs="宋体" w:eastAsia="宋体" w:hint="default"/>
          <w:b/>
          <w:bCs/>
          <w:sz w:val="23"/>
          <w:szCs w:val="23"/>
        </w:rPr>
      </w:pPr>
    </w:p>
    <w:tbl>
      <w:tblPr>
        <w:tblW w:w="0" w:type="auto"/>
        <w:jc w:val="left"/>
        <w:tblInd w:w="109" w:type="dxa"/>
        <w:tblLayout w:type="fixed"/>
        <w:tblCellMar>
          <w:top w:w="0" w:type="dxa"/>
          <w:left w:w="0" w:type="dxa"/>
          <w:bottom w:w="0" w:type="dxa"/>
          <w:right w:w="0" w:type="dxa"/>
        </w:tblCellMar>
        <w:tblLook w:val="01E0"/>
      </w:tblPr>
      <w:tblGrid>
        <w:gridCol w:w="3194"/>
        <w:gridCol w:w="6374"/>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right="915"/>
        <w:jc w:val="left"/>
        <w:rPr>
          <w:b w:val="0"/>
          <w:bCs w:val="0"/>
        </w:rPr>
      </w:pPr>
      <w:bookmarkStart w:name="十、内部控制审计报告或鉴证报告" w:id="152"/>
      <w:bookmarkEnd w:id="152"/>
      <w:r>
        <w:rPr>
          <w:b w:val="0"/>
          <w:bCs w:val="0"/>
        </w:rPr>
      </w:r>
      <w:r>
        <w:rPr/>
        <w:t>十、内部控制审计报告或鉴证报告</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15"/>
        <w:jc w:val="left"/>
      </w:pPr>
      <w:r>
        <w:rPr/>
        <w:t>不适用</w:t>
      </w:r>
    </w:p>
    <w:p>
      <w:pPr>
        <w:spacing w:after="0" w:line="240" w:lineRule="auto"/>
        <w:jc w:val="left"/>
        <w:sectPr>
          <w:pgSz w:w="11910" w:h="16840"/>
          <w:pgMar w:header="919" w:footer="1016" w:top="112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1"/>
        <w:spacing w:line="240" w:lineRule="auto"/>
        <w:ind w:left="3007" w:right="915"/>
        <w:jc w:val="left"/>
        <w:rPr>
          <w:b w:val="0"/>
          <w:bCs w:val="0"/>
        </w:rPr>
      </w:pPr>
      <w:bookmarkStart w:name="第十一节公司债券相关情况" w:id="153"/>
      <w:bookmarkEnd w:id="153"/>
      <w:r>
        <w:rPr>
          <w:b w:val="0"/>
          <w:bCs w:val="0"/>
        </w:rPr>
      </w:r>
      <w:bookmarkStart w:name="_bookmark10" w:id="154"/>
      <w:bookmarkEnd w:id="154"/>
      <w:r>
        <w:rPr>
          <w:b w:val="0"/>
          <w:bCs w:val="0"/>
        </w:rPr>
      </w:r>
      <w:r>
        <w:rPr/>
        <w:t>第十一节公司债券相关情况</w:t>
      </w:r>
      <w:r>
        <w:rPr>
          <w:b w:val="0"/>
          <w:bCs w:val="0"/>
        </w:rPr>
      </w:r>
    </w:p>
    <w:p>
      <w:pPr>
        <w:spacing w:line="240" w:lineRule="auto" w:before="6"/>
        <w:rPr>
          <w:rFonts w:ascii="宋体" w:hAnsi="宋体" w:cs="宋体" w:eastAsia="宋体" w:hint="default"/>
          <w:b/>
          <w:bCs/>
          <w:sz w:val="42"/>
          <w:szCs w:val="42"/>
        </w:rPr>
      </w:pPr>
    </w:p>
    <w:p>
      <w:pPr>
        <w:pStyle w:val="BodyText"/>
        <w:spacing w:line="360" w:lineRule="auto"/>
        <w:ind w:right="2114"/>
        <w:jc w:val="left"/>
      </w:pPr>
      <w:r>
        <w:rPr/>
        <w:t>公司是否存在公开发行并在证券交易所上市，且在年度报告批准报出日未到期或到期未能全额兑付的公司债券 否</w:t>
      </w:r>
    </w:p>
    <w:p>
      <w:pPr>
        <w:spacing w:after="0" w:line="360" w:lineRule="auto"/>
        <w:jc w:val="left"/>
        <w:sectPr>
          <w:footerReference w:type="default" r:id="rId24"/>
          <w:pgSz w:w="11910" w:h="16840"/>
          <w:pgMar w:footer="1016" w:header="919" w:top="1120" w:bottom="1200" w:left="1020" w:right="0"/>
          <w:pgNumType w:start="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1"/>
        <w:spacing w:line="240" w:lineRule="auto"/>
        <w:ind w:left="114" w:right="1114"/>
        <w:jc w:val="center"/>
        <w:rPr>
          <w:b w:val="0"/>
          <w:bCs w:val="0"/>
        </w:rPr>
      </w:pPr>
      <w:bookmarkStart w:name="第十二节财务报告" w:id="155"/>
      <w:bookmarkEnd w:id="155"/>
      <w:r>
        <w:rPr>
          <w:b w:val="0"/>
          <w:bCs w:val="0"/>
        </w:rPr>
      </w:r>
      <w:bookmarkStart w:name="_bookmark11" w:id="156"/>
      <w:bookmarkEnd w:id="156"/>
      <w:r>
        <w:rPr>
          <w:b w:val="0"/>
          <w:bCs w:val="0"/>
        </w:rPr>
      </w:r>
      <w:r>
        <w:rPr/>
        <w:t>第十二节财务报告</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left="132" w:right="1124"/>
        <w:jc w:val="left"/>
        <w:rPr>
          <w:b w:val="0"/>
          <w:bCs w:val="0"/>
        </w:rPr>
      </w:pPr>
      <w:bookmarkStart w:name="一、审计报告" w:id="157"/>
      <w:bookmarkEnd w:id="157"/>
      <w:r>
        <w:rPr>
          <w:b w:val="0"/>
          <w:bCs w:val="0"/>
        </w:rPr>
      </w:r>
      <w:r>
        <w:rPr/>
        <w:t>一、审计报告</w:t>
      </w:r>
      <w:r>
        <w:rPr>
          <w:b w:val="0"/>
          <w:bCs w:val="0"/>
        </w:rPr>
      </w:r>
    </w:p>
    <w:p>
      <w:pPr>
        <w:spacing w:line="240" w:lineRule="auto" w:before="11"/>
        <w:rPr>
          <w:rFonts w:ascii="宋体" w:hAnsi="宋体" w:cs="宋体" w:eastAsia="宋体" w:hint="default"/>
          <w:b/>
          <w:bCs/>
          <w:sz w:val="25"/>
          <w:szCs w:val="25"/>
        </w:rPr>
      </w:pPr>
    </w:p>
    <w:tbl>
      <w:tblPr>
        <w:tblW w:w="0" w:type="auto"/>
        <w:jc w:val="left"/>
        <w:tblInd w:w="129" w:type="dxa"/>
        <w:tblLayout w:type="fixed"/>
        <w:tblCellMar>
          <w:top w:w="0" w:type="dxa"/>
          <w:left w:w="0" w:type="dxa"/>
          <w:bottom w:w="0" w:type="dxa"/>
          <w:right w:w="0" w:type="dxa"/>
        </w:tblCellMar>
        <w:tblLook w:val="01E0"/>
      </w:tblPr>
      <w:tblGrid>
        <w:gridCol w:w="4783"/>
        <w:gridCol w:w="4785"/>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天职国际会计师事务所（特殊普通合伙）</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天职业字</w:t>
            </w:r>
            <w:r>
              <w:rPr>
                <w:rFonts w:ascii="Times New Roman" w:hAnsi="Times New Roman" w:cs="Times New Roman" w:eastAsia="Times New Roman" w:hint="default"/>
                <w:sz w:val="18"/>
                <w:szCs w:val="18"/>
              </w:rPr>
              <w:t>[2020]24175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黎明、徐平</w:t>
            </w:r>
          </w:p>
        </w:tc>
      </w:tr>
    </w:tbl>
    <w:p>
      <w:pPr>
        <w:pStyle w:val="BodyText"/>
        <w:spacing w:line="240" w:lineRule="auto" w:before="50"/>
        <w:ind w:left="114" w:right="1115"/>
        <w:jc w:val="center"/>
      </w:pPr>
      <w:r>
        <w:rPr/>
        <w:t>审计报告正文</w:t>
      </w:r>
    </w:p>
    <w:p>
      <w:pPr>
        <w:spacing w:line="240" w:lineRule="auto" w:before="4"/>
        <w:rPr>
          <w:rFonts w:ascii="宋体" w:hAnsi="宋体" w:cs="宋体" w:eastAsia="宋体" w:hint="default"/>
          <w:sz w:val="26"/>
          <w:szCs w:val="26"/>
        </w:rPr>
      </w:pPr>
    </w:p>
    <w:p>
      <w:pPr>
        <w:pStyle w:val="BodyText"/>
        <w:spacing w:line="240" w:lineRule="auto" w:before="44"/>
        <w:ind w:left="114" w:right="6972"/>
        <w:jc w:val="center"/>
      </w:pPr>
      <w:r>
        <w:rPr/>
        <w:t>深圳市赢时胜信息技术股份有限公司全体股东：</w:t>
      </w:r>
    </w:p>
    <w:p>
      <w:pPr>
        <w:spacing w:line="240" w:lineRule="auto" w:before="13"/>
        <w:rPr>
          <w:rFonts w:ascii="宋体" w:hAnsi="宋体" w:cs="宋体" w:eastAsia="宋体" w:hint="default"/>
          <w:sz w:val="25"/>
          <w:szCs w:val="25"/>
        </w:rPr>
      </w:pPr>
    </w:p>
    <w:p>
      <w:pPr>
        <w:pStyle w:val="Heading2"/>
        <w:spacing w:line="240" w:lineRule="auto"/>
        <w:ind w:left="615" w:right="1124"/>
        <w:jc w:val="left"/>
        <w:rPr>
          <w:b w:val="0"/>
          <w:bCs w:val="0"/>
        </w:rPr>
      </w:pPr>
      <w:r>
        <w:rPr/>
        <w:t>一、审计意见</w:t>
      </w:r>
      <w:r>
        <w:rPr>
          <w:b w:val="0"/>
          <w:bCs w:val="0"/>
        </w:rPr>
      </w:r>
    </w:p>
    <w:p>
      <w:pPr>
        <w:spacing w:line="240" w:lineRule="auto" w:before="5"/>
        <w:rPr>
          <w:rFonts w:ascii="宋体" w:hAnsi="宋体" w:cs="宋体" w:eastAsia="宋体" w:hint="default"/>
          <w:b/>
          <w:bCs/>
          <w:sz w:val="27"/>
          <w:szCs w:val="27"/>
        </w:rPr>
      </w:pPr>
    </w:p>
    <w:p>
      <w:pPr>
        <w:pStyle w:val="BodyText"/>
        <w:spacing w:line="316" w:lineRule="auto"/>
        <w:ind w:left="132" w:right="1130" w:firstLine="420"/>
        <w:jc w:val="both"/>
      </w:pPr>
      <w:r>
        <w:rPr>
          <w:spacing w:val="-3"/>
        </w:rPr>
        <w:t>我们审计了深圳市赢时胜信息技术股份有限公司（以下简称“赢时胜公司”）财务报表，包括2019年12月31日的合并及</w:t>
      </w:r>
      <w:r>
        <w:rPr/>
        <w:t> </w:t>
      </w:r>
      <w:r>
        <w:rPr>
          <w:spacing w:val="-2"/>
        </w:rPr>
        <w:t>母公司资产负债表，2019年度的合并及母公司利润表、合并及母公司现金流量表、合并及母公司股东权益变动表，以及相关</w:t>
      </w:r>
      <w:r>
        <w:rPr>
          <w:spacing w:val="-62"/>
        </w:rPr>
        <w:t> </w:t>
      </w:r>
      <w:r>
        <w:rPr>
          <w:spacing w:val="-62"/>
        </w:rPr>
      </w:r>
      <w:r>
        <w:rPr/>
        <w:t>财务报表附注。</w:t>
      </w:r>
    </w:p>
    <w:p>
      <w:pPr>
        <w:spacing w:line="240" w:lineRule="auto" w:before="5"/>
        <w:rPr>
          <w:rFonts w:ascii="宋体" w:hAnsi="宋体" w:cs="宋体" w:eastAsia="宋体" w:hint="default"/>
          <w:sz w:val="13"/>
          <w:szCs w:val="13"/>
        </w:rPr>
      </w:pPr>
    </w:p>
    <w:p>
      <w:pPr>
        <w:pStyle w:val="BodyText"/>
        <w:spacing w:line="316" w:lineRule="auto"/>
        <w:ind w:left="132" w:right="1132" w:firstLine="420"/>
        <w:jc w:val="both"/>
      </w:pPr>
      <w:r>
        <w:rPr/>
        <w:t>我们认为，后附的财务报表在所有重大方面按照企业会计准则的规定编制，公允反映了赢时胜公司2019年12月31日的 合并及母公司财务状况以及2019年度的合并及母公司经营成果和现金流量。</w:t>
      </w:r>
    </w:p>
    <w:p>
      <w:pPr>
        <w:spacing w:line="240" w:lineRule="auto" w:before="8"/>
        <w:rPr>
          <w:rFonts w:ascii="宋体" w:hAnsi="宋体" w:cs="宋体" w:eastAsia="宋体" w:hint="default"/>
          <w:sz w:val="21"/>
          <w:szCs w:val="21"/>
        </w:rPr>
      </w:pPr>
    </w:p>
    <w:p>
      <w:pPr>
        <w:pStyle w:val="Heading2"/>
        <w:spacing w:line="240" w:lineRule="auto"/>
        <w:ind w:left="615" w:right="1124"/>
        <w:jc w:val="left"/>
        <w:rPr>
          <w:b w:val="0"/>
          <w:bCs w:val="0"/>
        </w:rPr>
      </w:pPr>
      <w:r>
        <w:rPr/>
        <w:t>二、形成审计意见的基础</w:t>
      </w:r>
      <w:r>
        <w:rPr>
          <w:b w:val="0"/>
          <w:bCs w:val="0"/>
        </w:rPr>
      </w:r>
    </w:p>
    <w:p>
      <w:pPr>
        <w:spacing w:line="240" w:lineRule="auto" w:before="5"/>
        <w:rPr>
          <w:rFonts w:ascii="宋体" w:hAnsi="宋体" w:cs="宋体" w:eastAsia="宋体" w:hint="default"/>
          <w:b/>
          <w:bCs/>
          <w:sz w:val="27"/>
          <w:szCs w:val="27"/>
        </w:rPr>
      </w:pPr>
    </w:p>
    <w:p>
      <w:pPr>
        <w:pStyle w:val="BodyText"/>
        <w:spacing w:line="316" w:lineRule="auto"/>
        <w:ind w:left="132" w:right="1130" w:firstLine="420"/>
        <w:jc w:val="both"/>
      </w:pPr>
      <w:r>
        <w:rPr/>
        <w:t>我们按照中国注册会计师审计准则的规定执行了审计工作。审计报告的“注册会计师对财务报表审计的责任”部分进 </w:t>
      </w:r>
      <w:r>
        <w:rPr>
          <w:spacing w:val="-2"/>
        </w:rPr>
        <w:t>一步阐述了我们在这些准则下的责任。按照中国注册会计师职业道德守则，我们独立于赢时胜公司，并履行了职业道德方面</w:t>
      </w:r>
      <w:r>
        <w:rPr>
          <w:spacing w:val="-63"/>
        </w:rPr>
        <w:t> </w:t>
      </w:r>
      <w:r>
        <w:rPr>
          <w:spacing w:val="-63"/>
        </w:rPr>
      </w:r>
      <w:r>
        <w:rPr/>
        <w:t>的其他责任。我们相信，我们获取的审计证据是充分、适当的，为发表审计意见提供了基础。</w:t>
      </w:r>
    </w:p>
    <w:p>
      <w:pPr>
        <w:spacing w:line="240" w:lineRule="auto" w:before="8"/>
        <w:rPr>
          <w:rFonts w:ascii="宋体" w:hAnsi="宋体" w:cs="宋体" w:eastAsia="宋体" w:hint="default"/>
          <w:sz w:val="21"/>
          <w:szCs w:val="21"/>
        </w:rPr>
      </w:pPr>
    </w:p>
    <w:p>
      <w:pPr>
        <w:pStyle w:val="Heading2"/>
        <w:spacing w:line="240" w:lineRule="auto"/>
        <w:ind w:left="615" w:right="1124"/>
        <w:jc w:val="left"/>
        <w:rPr>
          <w:b w:val="0"/>
          <w:bCs w:val="0"/>
        </w:rPr>
      </w:pPr>
      <w:r>
        <w:rPr/>
        <w:t>三、关键审计事项</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tbl>
      <w:tblPr>
        <w:tblW w:w="0" w:type="auto"/>
        <w:jc w:val="left"/>
        <w:tblInd w:w="103" w:type="dxa"/>
        <w:tblLayout w:type="fixed"/>
        <w:tblCellMar>
          <w:top w:w="0" w:type="dxa"/>
          <w:left w:w="0" w:type="dxa"/>
          <w:bottom w:w="0" w:type="dxa"/>
          <w:right w:w="0" w:type="dxa"/>
        </w:tblCellMar>
        <w:tblLook w:val="01E0"/>
      </w:tblPr>
      <w:tblGrid>
        <w:gridCol w:w="4673"/>
        <w:gridCol w:w="4678"/>
      </w:tblGrid>
      <w:tr>
        <w:trPr>
          <w:trHeight w:val="347" w:hRule="exact"/>
        </w:trPr>
        <w:tc>
          <w:tcPr>
            <w:tcW w:w="4673"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关键审计事项</w:t>
            </w:r>
            <w:r>
              <w:rPr>
                <w:rFonts w:ascii="宋体" w:hAnsi="宋体" w:cs="宋体" w:eastAsia="宋体" w:hint="default"/>
                <w:sz w:val="18"/>
                <w:szCs w:val="18"/>
              </w:rPr>
            </w:r>
          </w:p>
        </w:tc>
        <w:tc>
          <w:tcPr>
            <w:tcW w:w="4678"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2"/>
              <w:ind w:left="1161" w:right="0"/>
              <w:jc w:val="left"/>
              <w:rPr>
                <w:rFonts w:ascii="宋体" w:hAnsi="宋体" w:cs="宋体" w:eastAsia="宋体" w:hint="default"/>
                <w:sz w:val="18"/>
                <w:szCs w:val="18"/>
              </w:rPr>
            </w:pPr>
            <w:r>
              <w:rPr>
                <w:rFonts w:ascii="宋体" w:hAnsi="宋体" w:cs="宋体" w:eastAsia="宋体" w:hint="default"/>
                <w:b/>
                <w:bCs/>
                <w:sz w:val="18"/>
                <w:szCs w:val="18"/>
              </w:rPr>
              <w:t>该事项在审计中是如何应对的</w:t>
            </w:r>
            <w:r>
              <w:rPr>
                <w:rFonts w:ascii="宋体" w:hAnsi="宋体" w:cs="宋体" w:eastAsia="宋体" w:hint="default"/>
                <w:sz w:val="18"/>
                <w:szCs w:val="18"/>
              </w:rPr>
            </w:r>
          </w:p>
        </w:tc>
      </w:tr>
      <w:tr>
        <w:trPr>
          <w:trHeight w:val="347" w:hRule="exact"/>
        </w:trPr>
        <w:tc>
          <w:tcPr>
            <w:tcW w:w="9351" w:type="dxa"/>
            <w:gridSpan w:val="2"/>
            <w:tcBorders>
              <w:top w:val="single" w:sz="6" w:space="0" w:color="000000"/>
              <w:left w:val="single" w:sz="6" w:space="0" w:color="000000"/>
              <w:bottom w:val="single" w:sz="6" w:space="0" w:color="000000"/>
              <w:right w:val="single" w:sz="6" w:space="0" w:color="000000"/>
            </w:tcBorders>
            <w:shd w:val="clear" w:color="auto" w:fill="F0F0F0"/>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b/>
                <w:bCs/>
                <w:sz w:val="18"/>
                <w:szCs w:val="18"/>
              </w:rPr>
              <w:t>1、软件业务相关收入的确认与计量</w:t>
            </w:r>
            <w:r>
              <w:rPr>
                <w:rFonts w:ascii="宋体" w:hAnsi="宋体" w:cs="宋体" w:eastAsia="宋体" w:hint="default"/>
                <w:sz w:val="18"/>
                <w:szCs w:val="18"/>
              </w:rPr>
            </w:r>
          </w:p>
        </w:tc>
      </w:tr>
      <w:tr>
        <w:trPr>
          <w:trHeight w:val="331" w:hRule="exact"/>
        </w:trPr>
        <w:tc>
          <w:tcPr>
            <w:tcW w:w="467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hAnsi="宋体" w:cs="宋体" w:eastAsia="宋体" w:hint="default"/>
                <w:sz w:val="18"/>
                <w:szCs w:val="18"/>
              </w:rPr>
              <w:t>赢时胜公司收入主要来源于标准化软件产品</w:t>
            </w:r>
            <w:r>
              <w:rPr>
                <w:rFonts w:ascii="宋体" w:hAnsi="宋体" w:cs="宋体" w:eastAsia="宋体" w:hint="default"/>
                <w:spacing w:val="-87"/>
                <w:sz w:val="18"/>
                <w:szCs w:val="18"/>
              </w:rPr>
              <w:t>、</w:t>
            </w:r>
            <w:r>
              <w:rPr>
                <w:rFonts w:ascii="宋体" w:hAnsi="宋体" w:cs="宋体" w:eastAsia="宋体" w:hint="default"/>
                <w:sz w:val="18"/>
                <w:szCs w:val="18"/>
              </w:rPr>
              <w:t>定制软件</w:t>
            </w:r>
          </w:p>
        </w:tc>
        <w:tc>
          <w:tcPr>
            <w:tcW w:w="467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hAnsi="宋体" w:cs="宋体" w:eastAsia="宋体" w:hint="default"/>
                <w:sz w:val="18"/>
                <w:szCs w:val="18"/>
              </w:rPr>
              <w:t>我们针对这一关键审计事项实施的审计程序主要包括：</w:t>
            </w:r>
          </w:p>
        </w:tc>
      </w:tr>
      <w:tr>
        <w:trPr>
          <w:trHeight w:val="312" w:hRule="exact"/>
        </w:trPr>
        <w:tc>
          <w:tcPr>
            <w:tcW w:w="46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hAnsi="宋体" w:cs="宋体" w:eastAsia="宋体" w:hint="default"/>
                <w:spacing w:val="-2"/>
                <w:sz w:val="18"/>
                <w:szCs w:val="18"/>
              </w:rPr>
              <w:t>产品的销售及开发收入，以及技术服务收入。2019年度，赢</w:t>
            </w:r>
          </w:p>
        </w:tc>
        <w:tc>
          <w:tcPr>
            <w:tcW w:w="467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3"/>
              <w:jc w:val="right"/>
              <w:rPr>
                <w:rFonts w:ascii="宋体" w:hAnsi="宋体" w:cs="宋体" w:eastAsia="宋体" w:hint="default"/>
                <w:sz w:val="18"/>
                <w:szCs w:val="18"/>
              </w:rPr>
            </w:pPr>
            <w:r>
              <w:rPr>
                <w:rFonts w:ascii="宋体" w:hAnsi="宋体" w:cs="宋体" w:eastAsia="宋体" w:hint="default"/>
                <w:spacing w:val="2"/>
                <w:sz w:val="18"/>
                <w:szCs w:val="18"/>
              </w:rPr>
              <w:t>1、评估和测试了与软件业务相关的关键内部控制措施</w:t>
            </w:r>
          </w:p>
        </w:tc>
      </w:tr>
      <w:tr>
        <w:trPr>
          <w:trHeight w:val="312" w:hRule="exact"/>
        </w:trPr>
        <w:tc>
          <w:tcPr>
            <w:tcW w:w="46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hAnsi="宋体" w:cs="宋体" w:eastAsia="宋体" w:hint="default"/>
                <w:sz w:val="18"/>
                <w:szCs w:val="18"/>
              </w:rPr>
              <w:t>时胜公司软件业务相关收入为61,108.99万元，占合并营业</w:t>
            </w:r>
          </w:p>
        </w:tc>
        <w:tc>
          <w:tcPr>
            <w:tcW w:w="467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设计的合理性和执行的有效性。</w:t>
            </w:r>
          </w:p>
        </w:tc>
      </w:tr>
      <w:tr>
        <w:trPr>
          <w:trHeight w:val="1262" w:hRule="exact"/>
        </w:trPr>
        <w:tc>
          <w:tcPr>
            <w:tcW w:w="4673" w:type="dxa"/>
            <w:tcBorders>
              <w:top w:val="nil" w:sz="6" w:space="0" w:color="auto"/>
              <w:left w:val="single" w:sz="6" w:space="0" w:color="000000"/>
              <w:bottom w:val="single" w:sz="6" w:space="0" w:color="000000"/>
              <w:right w:val="single" w:sz="6" w:space="0" w:color="000000"/>
            </w:tcBorders>
          </w:tcPr>
          <w:p>
            <w:pPr>
              <w:pStyle w:val="TableParagraph"/>
              <w:spacing w:line="316" w:lineRule="auto" w:before="10"/>
              <w:ind w:left="2" w:right="0"/>
              <w:jc w:val="both"/>
              <w:rPr>
                <w:rFonts w:ascii="宋体" w:hAnsi="宋体" w:cs="宋体" w:eastAsia="宋体" w:hint="default"/>
                <w:sz w:val="18"/>
                <w:szCs w:val="18"/>
              </w:rPr>
            </w:pPr>
            <w:r>
              <w:rPr>
                <w:rFonts w:ascii="宋体" w:hAnsi="宋体" w:cs="宋体" w:eastAsia="宋体" w:hint="default"/>
                <w:spacing w:val="-2"/>
                <w:sz w:val="18"/>
                <w:szCs w:val="18"/>
              </w:rPr>
              <w:t>收入总额的比例为93.21%，公司对于不同的软件业务相关收</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入制订了不同的收入确认原则。其中自行开发研制、定制的</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5"/>
                <w:sz w:val="18"/>
                <w:szCs w:val="18"/>
              </w:rPr>
              <w:t>软件产品销售及开发收入按照通过客户最终验收后确认收</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入，技术服务收入按照合同约定的经客户确认的工作量或者</w:t>
            </w:r>
          </w:p>
        </w:tc>
        <w:tc>
          <w:tcPr>
            <w:tcW w:w="467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316" w:lineRule="auto"/>
              <w:ind w:left="2" w:right="0" w:firstLine="360"/>
              <w:jc w:val="both"/>
              <w:rPr>
                <w:rFonts w:ascii="宋体" w:hAnsi="宋体" w:cs="宋体" w:eastAsia="宋体" w:hint="default"/>
                <w:sz w:val="18"/>
                <w:szCs w:val="18"/>
              </w:rPr>
            </w:pPr>
            <w:r>
              <w:rPr>
                <w:rFonts w:ascii="宋体" w:hAnsi="宋体" w:cs="宋体" w:eastAsia="宋体" w:hint="default"/>
                <w:spacing w:val="2"/>
                <w:sz w:val="18"/>
                <w:szCs w:val="18"/>
              </w:rPr>
              <w:t>2、分析软件业务合同或协议的主要条款，并与管理层</w:t>
            </w:r>
            <w:r>
              <w:rPr>
                <w:rFonts w:ascii="宋体" w:hAnsi="宋体" w:cs="宋体" w:eastAsia="宋体" w:hint="default"/>
                <w:sz w:val="18"/>
                <w:szCs w:val="18"/>
              </w:rPr>
              <w:t> </w:t>
            </w:r>
            <w:r>
              <w:rPr>
                <w:rFonts w:ascii="宋体" w:hAnsi="宋体" w:cs="宋体" w:eastAsia="宋体" w:hint="default"/>
                <w:spacing w:val="-1"/>
                <w:sz w:val="18"/>
                <w:szCs w:val="18"/>
              </w:rPr>
              <w:t>讨论软件业务相关收入确认原则的合理性，并检查其在报告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期内执行的一贯性。</w:t>
            </w:r>
          </w:p>
        </w:tc>
      </w:tr>
    </w:tbl>
    <w:p>
      <w:pPr>
        <w:spacing w:after="0" w:line="316" w:lineRule="auto"/>
        <w:jc w:val="both"/>
        <w:rPr>
          <w:rFonts w:ascii="宋体" w:hAnsi="宋体" w:cs="宋体" w:eastAsia="宋体" w:hint="default"/>
          <w:sz w:val="18"/>
          <w:szCs w:val="18"/>
        </w:rPr>
        <w:sectPr>
          <w:pgSz w:w="11910" w:h="16840"/>
          <w:pgMar w:header="919" w:footer="1016" w:top="1120" w:bottom="1200" w:left="1000" w:right="0"/>
        </w:sectPr>
      </w:pPr>
    </w:p>
    <w:p>
      <w:pPr>
        <w:spacing w:line="240" w:lineRule="auto" w:before="5"/>
        <w:rPr>
          <w:rFonts w:ascii="宋体" w:hAnsi="宋体" w:cs="宋体" w:eastAsia="宋体" w:hint="default"/>
          <w:b/>
          <w:bCs/>
          <w:sz w:val="23"/>
          <w:szCs w:val="23"/>
        </w:rPr>
      </w:pPr>
    </w:p>
    <w:tbl>
      <w:tblPr>
        <w:tblW w:w="0" w:type="auto"/>
        <w:jc w:val="left"/>
        <w:tblInd w:w="103" w:type="dxa"/>
        <w:tblLayout w:type="fixed"/>
        <w:tblCellMar>
          <w:top w:w="0" w:type="dxa"/>
          <w:left w:w="0" w:type="dxa"/>
          <w:bottom w:w="0" w:type="dxa"/>
          <w:right w:w="0" w:type="dxa"/>
        </w:tblCellMar>
        <w:tblLook w:val="01E0"/>
      </w:tblPr>
      <w:tblGrid>
        <w:gridCol w:w="4673"/>
        <w:gridCol w:w="4678"/>
      </w:tblGrid>
      <w:tr>
        <w:trPr>
          <w:trHeight w:val="330" w:hRule="exact"/>
        </w:trPr>
        <w:tc>
          <w:tcPr>
            <w:tcW w:w="467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服务期限确认收入。</w:t>
            </w:r>
          </w:p>
        </w:tc>
        <w:tc>
          <w:tcPr>
            <w:tcW w:w="467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3、针对自行开发研制、定制的软件产品销售及开发收</w:t>
            </w:r>
          </w:p>
        </w:tc>
      </w:tr>
      <w:tr>
        <w:trPr>
          <w:trHeight w:val="936" w:hRule="exact"/>
        </w:trPr>
        <w:tc>
          <w:tcPr>
            <w:tcW w:w="4673"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316" w:lineRule="auto"/>
              <w:ind w:left="2" w:right="0" w:firstLine="420"/>
              <w:jc w:val="left"/>
              <w:rPr>
                <w:rFonts w:ascii="宋体" w:hAnsi="宋体" w:cs="宋体" w:eastAsia="宋体" w:hint="default"/>
                <w:sz w:val="18"/>
                <w:szCs w:val="18"/>
              </w:rPr>
            </w:pPr>
            <w:r>
              <w:rPr>
                <w:rFonts w:ascii="宋体" w:hAnsi="宋体" w:cs="宋体" w:eastAsia="宋体" w:hint="default"/>
                <w:spacing w:val="3"/>
                <w:sz w:val="18"/>
                <w:szCs w:val="18"/>
              </w:rPr>
              <w:t>有关软件业务相关收入的会计政策及详情参阅财务报</w:t>
            </w:r>
            <w:r>
              <w:rPr>
                <w:rFonts w:ascii="宋体" w:hAnsi="宋体" w:cs="宋体" w:eastAsia="宋体" w:hint="default"/>
                <w:sz w:val="18"/>
                <w:szCs w:val="18"/>
              </w:rPr>
              <w:t> </w:t>
            </w:r>
            <w:r>
              <w:rPr>
                <w:rFonts w:ascii="宋体" w:hAnsi="宋体" w:cs="宋体" w:eastAsia="宋体" w:hint="default"/>
                <w:spacing w:val="-11"/>
                <w:sz w:val="18"/>
                <w:szCs w:val="18"/>
              </w:rPr>
              <w:t>表附注三（二十六）、六（三十五）。</w:t>
            </w:r>
          </w:p>
        </w:tc>
        <w:tc>
          <w:tcPr>
            <w:tcW w:w="4678" w:type="dxa"/>
            <w:tcBorders>
              <w:top w:val="nil" w:sz="6" w:space="0" w:color="auto"/>
              <w:left w:val="single" w:sz="6" w:space="0" w:color="000000"/>
              <w:bottom w:val="nil" w:sz="6" w:space="0" w:color="auto"/>
              <w:right w:val="single" w:sz="6" w:space="0" w:color="000000"/>
            </w:tcBorders>
          </w:tcPr>
          <w:p>
            <w:pPr>
              <w:pStyle w:val="TableParagraph"/>
              <w:spacing w:line="316" w:lineRule="auto" w:before="10"/>
              <w:ind w:left="2" w:right="0"/>
              <w:jc w:val="both"/>
              <w:rPr>
                <w:rFonts w:ascii="宋体" w:hAnsi="宋体" w:cs="宋体" w:eastAsia="宋体" w:hint="default"/>
                <w:sz w:val="18"/>
                <w:szCs w:val="18"/>
              </w:rPr>
            </w:pPr>
            <w:r>
              <w:rPr>
                <w:rFonts w:ascii="宋体" w:hAnsi="宋体" w:cs="宋体" w:eastAsia="宋体" w:hint="default"/>
                <w:spacing w:val="-1"/>
                <w:sz w:val="18"/>
                <w:szCs w:val="18"/>
              </w:rPr>
              <w:t>入，获取验收报告、开票与结算情况等资料；针对技术服务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收入，获取工作量结算单、开票与结算情况等资料，检查相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关收入确认依据的真实性、充分性及合理性。</w:t>
            </w:r>
          </w:p>
        </w:tc>
      </w:tr>
      <w:tr>
        <w:trPr>
          <w:trHeight w:val="936" w:hRule="exact"/>
        </w:trPr>
        <w:tc>
          <w:tcPr>
            <w:tcW w:w="4673" w:type="dxa"/>
            <w:tcBorders>
              <w:top w:val="nil" w:sz="6" w:space="0" w:color="auto"/>
              <w:left w:val="single" w:sz="6" w:space="0" w:color="000000"/>
              <w:bottom w:val="nil" w:sz="6" w:space="0" w:color="auto"/>
              <w:right w:val="single" w:sz="6" w:space="0" w:color="000000"/>
            </w:tcBorders>
          </w:tcPr>
          <w:p>
            <w:pPr>
              <w:pStyle w:val="TableParagraph"/>
              <w:spacing w:line="316" w:lineRule="auto" w:before="10"/>
              <w:ind w:left="2" w:right="0" w:firstLine="420"/>
              <w:jc w:val="both"/>
              <w:rPr>
                <w:rFonts w:ascii="宋体" w:hAnsi="宋体" w:cs="宋体" w:eastAsia="宋体" w:hint="default"/>
                <w:sz w:val="18"/>
                <w:szCs w:val="18"/>
              </w:rPr>
            </w:pPr>
            <w:r>
              <w:rPr>
                <w:rFonts w:ascii="宋体" w:hAnsi="宋体" w:cs="宋体" w:eastAsia="宋体" w:hint="default"/>
                <w:spacing w:val="3"/>
                <w:sz w:val="18"/>
                <w:szCs w:val="18"/>
              </w:rPr>
              <w:t>软件业务相关收入的确认与计量对赢时胜公司经营成</w:t>
            </w:r>
            <w:r>
              <w:rPr>
                <w:rFonts w:ascii="宋体" w:hAnsi="宋体" w:cs="宋体" w:eastAsia="宋体" w:hint="default"/>
                <w:sz w:val="18"/>
                <w:szCs w:val="18"/>
              </w:rPr>
              <w:t> </w:t>
            </w:r>
            <w:r>
              <w:rPr>
                <w:rFonts w:ascii="宋体" w:hAnsi="宋体" w:cs="宋体" w:eastAsia="宋体" w:hint="default"/>
                <w:spacing w:val="-2"/>
                <w:sz w:val="18"/>
                <w:szCs w:val="18"/>
              </w:rPr>
              <w:t>果有重大影响且涉及管理层的重大判断，可能计量不准确或</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可能被确认在不恰当的会计期间，因此我们将软件业务相关</w:t>
            </w:r>
          </w:p>
        </w:tc>
        <w:tc>
          <w:tcPr>
            <w:tcW w:w="4678"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316" w:lineRule="auto"/>
              <w:ind w:left="2" w:right="0" w:firstLine="420"/>
              <w:jc w:val="left"/>
              <w:rPr>
                <w:rFonts w:ascii="宋体" w:hAnsi="宋体" w:cs="宋体" w:eastAsia="宋体" w:hint="default"/>
                <w:sz w:val="18"/>
                <w:szCs w:val="18"/>
              </w:rPr>
            </w:pPr>
            <w:r>
              <w:rPr>
                <w:rFonts w:ascii="宋体" w:hAnsi="宋体" w:cs="宋体" w:eastAsia="宋体" w:hint="default"/>
                <w:sz w:val="18"/>
                <w:szCs w:val="18"/>
              </w:rPr>
              <w:t>4、对重要客户实施函证程序，以评估报告期软件业务 相关收入金额的准确性。</w:t>
            </w:r>
          </w:p>
        </w:tc>
      </w:tr>
      <w:tr>
        <w:trPr>
          <w:trHeight w:val="312" w:hRule="exact"/>
        </w:trPr>
        <w:tc>
          <w:tcPr>
            <w:tcW w:w="46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收入的确认与计量作为关键审计事项。</w:t>
            </w:r>
          </w:p>
        </w:tc>
        <w:tc>
          <w:tcPr>
            <w:tcW w:w="467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hAnsi="宋体" w:cs="宋体" w:eastAsia="宋体" w:hint="default"/>
                <w:sz w:val="18"/>
                <w:szCs w:val="18"/>
              </w:rPr>
              <w:t>5、针对资产负债表日前后记录的收入交易，选取样本</w:t>
            </w:r>
          </w:p>
        </w:tc>
      </w:tr>
      <w:tr>
        <w:trPr>
          <w:trHeight w:val="312" w:hRule="exact"/>
        </w:trPr>
        <w:tc>
          <w:tcPr>
            <w:tcW w:w="4673" w:type="dxa"/>
            <w:tcBorders>
              <w:top w:val="nil" w:sz="6" w:space="0" w:color="auto"/>
              <w:left w:val="single" w:sz="6" w:space="0" w:color="000000"/>
              <w:bottom w:val="nil" w:sz="6" w:space="0" w:color="auto"/>
              <w:right w:val="single" w:sz="6" w:space="0" w:color="000000"/>
            </w:tcBorders>
          </w:tcPr>
          <w:p>
            <w:pPr/>
          </w:p>
        </w:tc>
        <w:tc>
          <w:tcPr>
            <w:tcW w:w="467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pacing w:val="-1"/>
                <w:sz w:val="18"/>
                <w:szCs w:val="18"/>
              </w:rPr>
              <w:t>核对至各模式下收入确认的支持性凭证，评估收入确认是否</w:t>
            </w:r>
          </w:p>
        </w:tc>
      </w:tr>
      <w:tr>
        <w:trPr>
          <w:trHeight w:val="390" w:hRule="exact"/>
        </w:trPr>
        <w:tc>
          <w:tcPr>
            <w:tcW w:w="4673" w:type="dxa"/>
            <w:tcBorders>
              <w:top w:val="nil" w:sz="6" w:space="0" w:color="auto"/>
              <w:left w:val="single" w:sz="6" w:space="0" w:color="000000"/>
              <w:bottom w:val="nil" w:sz="6" w:space="0" w:color="auto"/>
              <w:right w:val="single" w:sz="6" w:space="0" w:color="000000"/>
            </w:tcBorders>
          </w:tcPr>
          <w:p>
            <w:pPr/>
          </w:p>
        </w:tc>
        <w:tc>
          <w:tcPr>
            <w:tcW w:w="467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记录在恰当的会计期间。</w:t>
            </w:r>
          </w:p>
        </w:tc>
      </w:tr>
      <w:tr>
        <w:trPr>
          <w:trHeight w:val="390" w:hRule="exact"/>
        </w:trPr>
        <w:tc>
          <w:tcPr>
            <w:tcW w:w="4673" w:type="dxa"/>
            <w:tcBorders>
              <w:top w:val="nil" w:sz="6" w:space="0" w:color="auto"/>
              <w:left w:val="single" w:sz="6" w:space="0" w:color="000000"/>
              <w:bottom w:val="nil" w:sz="6" w:space="0" w:color="auto"/>
              <w:right w:val="single" w:sz="6" w:space="0" w:color="000000"/>
            </w:tcBorders>
          </w:tcPr>
          <w:p>
            <w:pPr/>
          </w:p>
        </w:tc>
        <w:tc>
          <w:tcPr>
            <w:tcW w:w="4678" w:type="dxa"/>
            <w:tcBorders>
              <w:top w:val="nil" w:sz="6" w:space="0" w:color="auto"/>
              <w:left w:val="single" w:sz="6" w:space="0" w:color="000000"/>
              <w:bottom w:val="nil" w:sz="6" w:space="0" w:color="auto"/>
              <w:right w:val="single" w:sz="6" w:space="0" w:color="000000"/>
            </w:tcBorders>
          </w:tcPr>
          <w:p>
            <w:pPr>
              <w:pStyle w:val="TableParagraph"/>
              <w:spacing w:line="240" w:lineRule="auto" w:before="88"/>
              <w:ind w:right="0"/>
              <w:jc w:val="right"/>
              <w:rPr>
                <w:rFonts w:ascii="宋体" w:hAnsi="宋体" w:cs="宋体" w:eastAsia="宋体" w:hint="default"/>
                <w:sz w:val="18"/>
                <w:szCs w:val="18"/>
              </w:rPr>
            </w:pPr>
            <w:r>
              <w:rPr>
                <w:rFonts w:ascii="宋体" w:hAnsi="宋体" w:cs="宋体" w:eastAsia="宋体" w:hint="default"/>
                <w:spacing w:val="-1"/>
                <w:sz w:val="18"/>
                <w:szCs w:val="18"/>
              </w:rPr>
              <w:t>6、检查了赢时胜公司新增客户和销售变动较大的客户</w:t>
            </w:r>
          </w:p>
        </w:tc>
      </w:tr>
      <w:tr>
        <w:trPr>
          <w:trHeight w:val="312" w:hRule="exact"/>
        </w:trPr>
        <w:tc>
          <w:tcPr>
            <w:tcW w:w="4673" w:type="dxa"/>
            <w:tcBorders>
              <w:top w:val="nil" w:sz="6" w:space="0" w:color="auto"/>
              <w:left w:val="single" w:sz="6" w:space="0" w:color="000000"/>
              <w:bottom w:val="nil" w:sz="6" w:space="0" w:color="auto"/>
              <w:right w:val="single" w:sz="6" w:space="0" w:color="000000"/>
            </w:tcBorders>
          </w:tcPr>
          <w:p>
            <w:pPr/>
          </w:p>
        </w:tc>
        <w:tc>
          <w:tcPr>
            <w:tcW w:w="467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pacing w:val="-1"/>
                <w:sz w:val="18"/>
                <w:szCs w:val="18"/>
              </w:rPr>
              <w:t>及其关联方的工商信息，以评估是否存在未识别潜在关联方</w:t>
            </w:r>
          </w:p>
        </w:tc>
      </w:tr>
      <w:tr>
        <w:trPr>
          <w:trHeight w:val="485" w:hRule="exact"/>
        </w:trPr>
        <w:tc>
          <w:tcPr>
            <w:tcW w:w="4673" w:type="dxa"/>
            <w:tcBorders>
              <w:top w:val="nil" w:sz="6" w:space="0" w:color="auto"/>
              <w:left w:val="single" w:sz="6" w:space="0" w:color="000000"/>
              <w:bottom w:val="single" w:sz="6" w:space="0" w:color="000000"/>
              <w:right w:val="single" w:sz="6" w:space="0" w:color="000000"/>
            </w:tcBorders>
          </w:tcPr>
          <w:p>
            <w:pPr/>
          </w:p>
        </w:tc>
        <w:tc>
          <w:tcPr>
            <w:tcW w:w="467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2" w:right="-19"/>
              <w:jc w:val="left"/>
              <w:rPr>
                <w:rFonts w:ascii="宋体" w:hAnsi="宋体" w:cs="宋体" w:eastAsia="宋体" w:hint="default"/>
                <w:sz w:val="18"/>
                <w:szCs w:val="18"/>
              </w:rPr>
            </w:pPr>
            <w:r>
              <w:rPr>
                <w:rFonts w:ascii="宋体" w:hAnsi="宋体" w:cs="宋体" w:eastAsia="宋体" w:hint="default"/>
                <w:sz w:val="18"/>
                <w:szCs w:val="18"/>
              </w:rPr>
              <w:t>关系和交易。复核财务报告中与软件业务相关收入的披露。</w:t>
            </w:r>
          </w:p>
        </w:tc>
      </w:tr>
      <w:tr>
        <w:trPr>
          <w:trHeight w:val="347" w:hRule="exact"/>
        </w:trPr>
        <w:tc>
          <w:tcPr>
            <w:tcW w:w="4673" w:type="dxa"/>
            <w:tcBorders>
              <w:top w:val="single" w:sz="6" w:space="0" w:color="000000"/>
              <w:left w:val="single" w:sz="6" w:space="0" w:color="000000"/>
              <w:bottom w:val="single" w:sz="6" w:space="0" w:color="000000"/>
              <w:right w:val="single" w:sz="6" w:space="0" w:color="000000"/>
            </w:tcBorders>
          </w:tcPr>
          <w:p>
            <w:pPr/>
          </w:p>
        </w:tc>
        <w:tc>
          <w:tcPr>
            <w:tcW w:w="4678"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4673" w:type="dxa"/>
            <w:tcBorders>
              <w:top w:val="single" w:sz="6" w:space="0" w:color="000000"/>
              <w:left w:val="single" w:sz="6" w:space="0" w:color="000000"/>
              <w:bottom w:val="single" w:sz="6" w:space="0" w:color="000000"/>
              <w:right w:val="single" w:sz="6" w:space="0" w:color="000000"/>
            </w:tcBorders>
            <w:shd w:val="clear" w:color="auto" w:fill="A4A4A4"/>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关键审计事项</w:t>
            </w:r>
            <w:r>
              <w:rPr>
                <w:rFonts w:ascii="宋体" w:hAnsi="宋体" w:cs="宋体" w:eastAsia="宋体" w:hint="default"/>
                <w:sz w:val="18"/>
                <w:szCs w:val="18"/>
              </w:rPr>
            </w:r>
          </w:p>
        </w:tc>
        <w:tc>
          <w:tcPr>
            <w:tcW w:w="4678" w:type="dxa"/>
            <w:tcBorders>
              <w:top w:val="single" w:sz="6" w:space="0" w:color="000000"/>
              <w:left w:val="single" w:sz="6" w:space="0" w:color="000000"/>
              <w:bottom w:val="single" w:sz="6" w:space="0" w:color="000000"/>
              <w:right w:val="single" w:sz="6" w:space="0" w:color="000000"/>
            </w:tcBorders>
            <w:shd w:val="clear" w:color="auto" w:fill="A4A4A4"/>
          </w:tcPr>
          <w:p>
            <w:pPr>
              <w:pStyle w:val="TableParagraph"/>
              <w:spacing w:line="240" w:lineRule="auto" w:before="20"/>
              <w:ind w:left="1161" w:right="0"/>
              <w:jc w:val="left"/>
              <w:rPr>
                <w:rFonts w:ascii="宋体" w:hAnsi="宋体" w:cs="宋体" w:eastAsia="宋体" w:hint="default"/>
                <w:sz w:val="18"/>
                <w:szCs w:val="18"/>
              </w:rPr>
            </w:pPr>
            <w:r>
              <w:rPr>
                <w:rFonts w:ascii="宋体" w:hAnsi="宋体" w:cs="宋体" w:eastAsia="宋体" w:hint="default"/>
                <w:b/>
                <w:bCs/>
                <w:sz w:val="18"/>
                <w:szCs w:val="18"/>
              </w:rPr>
              <w:t>该事项在审计中是如何应对的</w:t>
            </w:r>
            <w:r>
              <w:rPr>
                <w:rFonts w:ascii="宋体" w:hAnsi="宋体" w:cs="宋体" w:eastAsia="宋体" w:hint="default"/>
                <w:sz w:val="18"/>
                <w:szCs w:val="18"/>
              </w:rPr>
            </w:r>
          </w:p>
        </w:tc>
      </w:tr>
      <w:tr>
        <w:trPr>
          <w:trHeight w:val="347" w:hRule="exact"/>
        </w:trPr>
        <w:tc>
          <w:tcPr>
            <w:tcW w:w="9351" w:type="dxa"/>
            <w:gridSpan w:val="2"/>
            <w:tcBorders>
              <w:top w:val="single" w:sz="6" w:space="0" w:color="000000"/>
              <w:left w:val="single" w:sz="6" w:space="0" w:color="000000"/>
              <w:bottom w:val="single" w:sz="6" w:space="0" w:color="000000"/>
              <w:right w:val="single" w:sz="6" w:space="0" w:color="000000"/>
            </w:tcBorders>
            <w:shd w:val="clear" w:color="auto" w:fill="F0F0F0"/>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b/>
                <w:bCs/>
                <w:sz w:val="18"/>
                <w:szCs w:val="18"/>
              </w:rPr>
              <w:t>2、长期股权投资的减值判断</w:t>
            </w:r>
            <w:r>
              <w:rPr>
                <w:rFonts w:ascii="宋体" w:hAnsi="宋体" w:cs="宋体" w:eastAsia="宋体" w:hint="default"/>
                <w:sz w:val="18"/>
                <w:szCs w:val="18"/>
              </w:rPr>
            </w:r>
          </w:p>
        </w:tc>
      </w:tr>
      <w:tr>
        <w:trPr>
          <w:trHeight w:val="329" w:hRule="exact"/>
        </w:trPr>
        <w:tc>
          <w:tcPr>
            <w:tcW w:w="467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pacing w:val="-4"/>
                <w:sz w:val="18"/>
                <w:szCs w:val="18"/>
              </w:rPr>
              <w:t>截止2019年12月31日，赢时胜公司对东吴（苏州）金融</w:t>
            </w:r>
          </w:p>
        </w:tc>
        <w:tc>
          <w:tcPr>
            <w:tcW w:w="467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hAnsi="宋体" w:cs="宋体" w:eastAsia="宋体" w:hint="default"/>
                <w:sz w:val="18"/>
                <w:szCs w:val="18"/>
              </w:rPr>
              <w:t>我们针对这一关键审计事项实施的审计程序主要包括：</w:t>
            </w:r>
          </w:p>
        </w:tc>
      </w:tr>
      <w:tr>
        <w:trPr>
          <w:trHeight w:val="312" w:hRule="exact"/>
        </w:trPr>
        <w:tc>
          <w:tcPr>
            <w:tcW w:w="46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pacing w:val="2"/>
                <w:sz w:val="18"/>
                <w:szCs w:val="18"/>
              </w:rPr>
              <w:t>科技服务有限公司（简称</w:t>
            </w:r>
            <w:r>
              <w:rPr>
                <w:rFonts w:ascii="宋体" w:hAnsi="宋体" w:cs="宋体" w:eastAsia="宋体" w:hint="default"/>
                <w:spacing w:val="4"/>
                <w:sz w:val="18"/>
                <w:szCs w:val="18"/>
              </w:rPr>
              <w:t>“</w:t>
            </w:r>
            <w:r>
              <w:rPr>
                <w:rFonts w:ascii="宋体" w:hAnsi="宋体" w:cs="宋体" w:eastAsia="宋体" w:hint="default"/>
                <w:spacing w:val="2"/>
                <w:sz w:val="18"/>
                <w:szCs w:val="18"/>
              </w:rPr>
              <w:t>东吴金融科技</w:t>
            </w:r>
            <w:r>
              <w:rPr>
                <w:rFonts w:ascii="宋体" w:hAnsi="宋体" w:cs="宋体" w:eastAsia="宋体" w:hint="default"/>
                <w:spacing w:val="-89"/>
                <w:sz w:val="18"/>
                <w:szCs w:val="18"/>
              </w:rPr>
              <w:t>”</w:t>
            </w:r>
            <w:r>
              <w:rPr>
                <w:rFonts w:ascii="宋体" w:hAnsi="宋体" w:cs="宋体" w:eastAsia="宋体" w:hint="default"/>
                <w:spacing w:val="2"/>
                <w:sz w:val="18"/>
                <w:szCs w:val="18"/>
              </w:rPr>
              <w:t>）股权投资的</w:t>
            </w:r>
            <w:r>
              <w:rPr>
                <w:rFonts w:ascii="宋体" w:hAnsi="宋体" w:cs="宋体" w:eastAsia="宋体" w:hint="default"/>
                <w:sz w:val="18"/>
                <w:szCs w:val="18"/>
              </w:rPr>
              <w:t>账</w:t>
            </w:r>
          </w:p>
        </w:tc>
        <w:tc>
          <w:tcPr>
            <w:tcW w:w="467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hAnsi="宋体" w:cs="宋体" w:eastAsia="宋体" w:hint="default"/>
                <w:sz w:val="18"/>
                <w:szCs w:val="18"/>
              </w:rPr>
              <w:t>1、评估并测试了与识别长期股权投资减值迹象和减值</w:t>
            </w:r>
          </w:p>
        </w:tc>
      </w:tr>
      <w:tr>
        <w:trPr>
          <w:trHeight w:val="312" w:hRule="exact"/>
        </w:trPr>
        <w:tc>
          <w:tcPr>
            <w:tcW w:w="46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pacing w:val="-2"/>
                <w:sz w:val="18"/>
                <w:szCs w:val="18"/>
              </w:rPr>
              <w:t>面价值为52,647.58万元，持股比例为32%。有关长期股权投</w:t>
            </w:r>
          </w:p>
        </w:tc>
        <w:tc>
          <w:tcPr>
            <w:tcW w:w="467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评估相关的内部控制措施设计的合理性和执行的有效性。</w:t>
            </w:r>
          </w:p>
        </w:tc>
      </w:tr>
      <w:tr>
        <w:trPr>
          <w:trHeight w:val="468" w:hRule="exact"/>
        </w:trPr>
        <w:tc>
          <w:tcPr>
            <w:tcW w:w="46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资的详情请参阅财务报表附注六（八</w:t>
            </w:r>
            <w:r>
              <w:rPr>
                <w:rFonts w:ascii="宋体" w:hAnsi="宋体" w:cs="宋体" w:eastAsia="宋体" w:hint="default"/>
                <w:spacing w:val="-89"/>
                <w:sz w:val="18"/>
                <w:szCs w:val="18"/>
              </w:rPr>
              <w:t>）</w:t>
            </w:r>
            <w:r>
              <w:rPr>
                <w:rFonts w:ascii="宋体" w:hAnsi="宋体" w:cs="宋体" w:eastAsia="宋体" w:hint="default"/>
                <w:sz w:val="18"/>
                <w:szCs w:val="18"/>
              </w:rPr>
              <w:t>。</w:t>
            </w:r>
          </w:p>
        </w:tc>
        <w:tc>
          <w:tcPr>
            <w:tcW w:w="4678"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0"/>
              <w:jc w:val="right"/>
              <w:rPr>
                <w:rFonts w:ascii="宋体" w:hAnsi="宋体" w:cs="宋体" w:eastAsia="宋体" w:hint="default"/>
                <w:sz w:val="18"/>
                <w:szCs w:val="18"/>
              </w:rPr>
            </w:pPr>
            <w:r>
              <w:rPr>
                <w:rFonts w:ascii="宋体" w:hAnsi="宋体" w:cs="宋体" w:eastAsia="宋体" w:hint="default"/>
                <w:sz w:val="18"/>
                <w:szCs w:val="18"/>
              </w:rPr>
              <w:t>2、与管理层讨论减值评估政策和相关重要判断标准，</w:t>
            </w:r>
          </w:p>
        </w:tc>
      </w:tr>
      <w:tr>
        <w:trPr>
          <w:trHeight w:val="312" w:hRule="exact"/>
        </w:trPr>
        <w:tc>
          <w:tcPr>
            <w:tcW w:w="46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17"/>
              <w:jc w:val="right"/>
              <w:rPr>
                <w:rFonts w:ascii="宋体" w:hAnsi="宋体" w:cs="宋体" w:eastAsia="宋体" w:hint="default"/>
                <w:sz w:val="18"/>
                <w:szCs w:val="18"/>
              </w:rPr>
            </w:pPr>
            <w:r>
              <w:rPr>
                <w:rFonts w:ascii="宋体" w:hAnsi="宋体" w:cs="宋体" w:eastAsia="宋体" w:hint="default"/>
                <w:spacing w:val="-3"/>
                <w:sz w:val="18"/>
                <w:szCs w:val="18"/>
              </w:rPr>
              <w:t>管理层对该项股权投资是否存在减值迹象进行了评估，</w:t>
            </w:r>
            <w:r>
              <w:rPr>
                <w:rFonts w:ascii="宋体" w:hAnsi="宋体" w:cs="宋体" w:eastAsia="宋体" w:hint="default"/>
                <w:sz w:val="18"/>
                <w:szCs w:val="18"/>
              </w:rPr>
            </w:r>
          </w:p>
        </w:tc>
        <w:tc>
          <w:tcPr>
            <w:tcW w:w="467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pacing w:val="-1"/>
                <w:sz w:val="18"/>
                <w:szCs w:val="18"/>
              </w:rPr>
              <w:t>检查是否存在减值政策的改变，评估管理层制订的减值政策</w:t>
            </w:r>
          </w:p>
        </w:tc>
      </w:tr>
      <w:tr>
        <w:trPr>
          <w:trHeight w:val="312" w:hRule="exact"/>
        </w:trPr>
        <w:tc>
          <w:tcPr>
            <w:tcW w:w="46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pacing w:val="-2"/>
                <w:sz w:val="18"/>
                <w:szCs w:val="18"/>
              </w:rPr>
              <w:t>并通过计算可收回金额进行减值测试。预计可收回金额根据</w:t>
            </w:r>
          </w:p>
        </w:tc>
        <w:tc>
          <w:tcPr>
            <w:tcW w:w="467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合理性，检查其在报告期内执行的一贯性。</w:t>
            </w:r>
          </w:p>
        </w:tc>
      </w:tr>
      <w:tr>
        <w:trPr>
          <w:trHeight w:val="780" w:hRule="exact"/>
        </w:trPr>
        <w:tc>
          <w:tcPr>
            <w:tcW w:w="4673" w:type="dxa"/>
            <w:tcBorders>
              <w:top w:val="nil" w:sz="6" w:space="0" w:color="auto"/>
              <w:left w:val="single" w:sz="6" w:space="0" w:color="000000"/>
              <w:bottom w:val="nil" w:sz="6" w:space="0" w:color="auto"/>
              <w:right w:val="single" w:sz="6" w:space="0" w:color="000000"/>
            </w:tcBorders>
          </w:tcPr>
          <w:p>
            <w:pPr>
              <w:pStyle w:val="TableParagraph"/>
              <w:spacing w:line="316" w:lineRule="auto" w:before="10"/>
              <w:ind w:left="2" w:right="0"/>
              <w:jc w:val="left"/>
              <w:rPr>
                <w:rFonts w:ascii="宋体" w:hAnsi="宋体" w:cs="宋体" w:eastAsia="宋体" w:hint="default"/>
                <w:sz w:val="18"/>
                <w:szCs w:val="18"/>
              </w:rPr>
            </w:pPr>
            <w:r>
              <w:rPr>
                <w:rFonts w:ascii="宋体" w:hAnsi="宋体" w:cs="宋体" w:eastAsia="宋体" w:hint="default"/>
                <w:spacing w:val="5"/>
                <w:sz w:val="18"/>
                <w:szCs w:val="18"/>
              </w:rPr>
              <w:t>资产的公允价值减去处置费用后的净额与资产预计未来现</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金流量的现值两者之间较高者确定。</w:t>
            </w:r>
          </w:p>
        </w:tc>
        <w:tc>
          <w:tcPr>
            <w:tcW w:w="4678"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316" w:lineRule="auto"/>
              <w:ind w:left="2" w:right="0" w:firstLine="420"/>
              <w:jc w:val="left"/>
              <w:rPr>
                <w:rFonts w:ascii="宋体" w:hAnsi="宋体" w:cs="宋体" w:eastAsia="宋体" w:hint="default"/>
                <w:sz w:val="18"/>
                <w:szCs w:val="18"/>
              </w:rPr>
            </w:pPr>
            <w:r>
              <w:rPr>
                <w:rFonts w:ascii="宋体" w:hAnsi="宋体" w:cs="宋体" w:eastAsia="宋体" w:hint="default"/>
                <w:sz w:val="18"/>
                <w:szCs w:val="18"/>
              </w:rPr>
              <w:t>3、获取了管理层聘请的外部估值专家出具的相关评估 </w:t>
            </w:r>
            <w:r>
              <w:rPr>
                <w:rFonts w:ascii="宋体" w:hAnsi="宋体" w:cs="宋体" w:eastAsia="宋体" w:hint="default"/>
                <w:spacing w:val="-1"/>
                <w:sz w:val="18"/>
                <w:szCs w:val="18"/>
              </w:rPr>
              <w:t>报告，评价由管理层聘请的外部评估机构的胜任能力、专业</w:t>
            </w:r>
          </w:p>
        </w:tc>
      </w:tr>
      <w:tr>
        <w:trPr>
          <w:trHeight w:val="312" w:hRule="exact"/>
        </w:trPr>
        <w:tc>
          <w:tcPr>
            <w:tcW w:w="46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hAnsi="宋体" w:cs="宋体" w:eastAsia="宋体" w:hint="default"/>
                <w:sz w:val="18"/>
                <w:szCs w:val="18"/>
              </w:rPr>
              <w:t>由于东吴金融科技的账面价值对财务报表的重要性</w:t>
            </w:r>
            <w:r>
              <w:rPr>
                <w:rFonts w:ascii="宋体" w:hAnsi="宋体" w:cs="宋体" w:eastAsia="宋体" w:hint="default"/>
                <w:spacing w:val="-87"/>
                <w:sz w:val="18"/>
                <w:szCs w:val="18"/>
              </w:rPr>
              <w:t>，</w:t>
            </w:r>
            <w:r>
              <w:rPr>
                <w:rFonts w:ascii="宋体" w:hAnsi="宋体" w:cs="宋体" w:eastAsia="宋体" w:hint="default"/>
                <w:sz w:val="18"/>
                <w:szCs w:val="18"/>
              </w:rPr>
              <w:t>同</w:t>
            </w:r>
          </w:p>
        </w:tc>
        <w:tc>
          <w:tcPr>
            <w:tcW w:w="467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pacing w:val="-1"/>
                <w:sz w:val="18"/>
                <w:szCs w:val="18"/>
              </w:rPr>
              <w:t>素质和客观性，复核评估了外部估值专家用于减值测试所采</w:t>
            </w:r>
          </w:p>
        </w:tc>
      </w:tr>
      <w:tr>
        <w:trPr>
          <w:trHeight w:val="312" w:hRule="exact"/>
        </w:trPr>
        <w:tc>
          <w:tcPr>
            <w:tcW w:w="46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pacing w:val="-2"/>
                <w:sz w:val="18"/>
                <w:szCs w:val="18"/>
              </w:rPr>
              <w:t>时减值评估涉及管理层的重大判断和估计，可能存在错误或</w:t>
            </w:r>
          </w:p>
        </w:tc>
        <w:tc>
          <w:tcPr>
            <w:tcW w:w="467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pacing w:val="-1"/>
                <w:sz w:val="18"/>
                <w:szCs w:val="18"/>
              </w:rPr>
              <w:t>用的关键假设和重要参数是否恰当、合理，复核了管理层对</w:t>
            </w:r>
          </w:p>
        </w:tc>
      </w:tr>
      <w:tr>
        <w:trPr>
          <w:trHeight w:val="312" w:hRule="exact"/>
        </w:trPr>
        <w:tc>
          <w:tcPr>
            <w:tcW w:w="46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pacing w:val="-2"/>
                <w:sz w:val="18"/>
                <w:szCs w:val="18"/>
              </w:rPr>
              <w:t>潜在的管理层偏向的情况，因此我们将对东吴金融科技长期</w:t>
            </w:r>
          </w:p>
        </w:tc>
        <w:tc>
          <w:tcPr>
            <w:tcW w:w="467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该项股权投资可收回金额的测试过程。</w:t>
            </w:r>
          </w:p>
        </w:tc>
      </w:tr>
      <w:tr>
        <w:trPr>
          <w:trHeight w:val="954" w:hRule="exact"/>
        </w:trPr>
        <w:tc>
          <w:tcPr>
            <w:tcW w:w="4673"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股权投资的减值判断作为关键审计事项。</w:t>
            </w:r>
          </w:p>
        </w:tc>
        <w:tc>
          <w:tcPr>
            <w:tcW w:w="4678" w:type="dxa"/>
            <w:tcBorders>
              <w:top w:val="nil" w:sz="6" w:space="0" w:color="auto"/>
              <w:left w:val="single" w:sz="6" w:space="0" w:color="000000"/>
              <w:bottom w:val="single" w:sz="6" w:space="0" w:color="000000"/>
              <w:right w:val="single" w:sz="6" w:space="0" w:color="000000"/>
            </w:tcBorders>
          </w:tcPr>
          <w:p>
            <w:pPr/>
          </w:p>
        </w:tc>
      </w:tr>
    </w:tbl>
    <w:p>
      <w:pPr>
        <w:pStyle w:val="BodyText"/>
        <w:spacing w:line="316" w:lineRule="auto" w:before="11"/>
        <w:ind w:left="132" w:right="1124" w:firstLine="420"/>
        <w:jc w:val="left"/>
      </w:pPr>
      <w:r>
        <w:rPr/>
        <w:t>关键审计事项是我们根据职业判断，认为对本期财务报表审计最为重要的事项。这些事项的应对以对财务报表整体进 行审计并形成审计意见为背景，我们不对这些事项单独发表意见。</w:t>
      </w:r>
    </w:p>
    <w:p>
      <w:pPr>
        <w:pStyle w:val="Heading2"/>
        <w:spacing w:line="240" w:lineRule="auto" w:before="126"/>
        <w:ind w:left="615" w:right="1124"/>
        <w:jc w:val="left"/>
        <w:rPr>
          <w:b w:val="0"/>
          <w:bCs w:val="0"/>
        </w:rPr>
      </w:pPr>
      <w:r>
        <w:rPr/>
        <w:t>四、其他信息</w:t>
      </w:r>
      <w:r>
        <w:rPr>
          <w:b w:val="0"/>
          <w:bCs w:val="0"/>
        </w:rPr>
      </w:r>
    </w:p>
    <w:p>
      <w:pPr>
        <w:pStyle w:val="BodyText"/>
        <w:spacing w:line="316" w:lineRule="auto" w:before="202"/>
        <w:ind w:left="132" w:right="1124" w:firstLine="420"/>
        <w:jc w:val="left"/>
      </w:pPr>
      <w:r>
        <w:rPr/>
        <w:t>赢时胜公司管理层（以下简称管理层）对其他信息负责。其他信息包括2019年度报告中涵盖的信息，但不包括财务报 表和我们的审计报告。</w:t>
      </w:r>
    </w:p>
    <w:p>
      <w:pPr>
        <w:pStyle w:val="BodyText"/>
        <w:spacing w:line="468" w:lineRule="exact" w:before="10"/>
        <w:ind w:left="552" w:right="1124"/>
        <w:jc w:val="left"/>
      </w:pPr>
      <w:r>
        <w:rPr/>
        <w:t>我们对财务报表发表的审计意见不涵盖其他信息，我们也不对其他信息发表任何形式的鉴证结论。 结合我们对财务报表的审计，我们的责任是阅读其他信息，在此过程中，考虑其他信息是否与财务报表或我们在审计</w:t>
      </w:r>
    </w:p>
    <w:p>
      <w:pPr>
        <w:pStyle w:val="BodyText"/>
        <w:spacing w:line="477" w:lineRule="auto" w:before="8"/>
        <w:ind w:left="552" w:right="1124" w:hanging="420"/>
        <w:jc w:val="left"/>
      </w:pPr>
      <w:r>
        <w:rPr/>
        <w:t>过程中了解到的情况存在重大不一致或者似乎存在重大错报。 基于我们已执行的工作，如果我们确定其他信息存在重大错报，我们应当报告该事实。在这方面，我们无任何事项需</w:t>
      </w:r>
    </w:p>
    <w:p>
      <w:pPr>
        <w:spacing w:after="0" w:line="477" w:lineRule="auto"/>
        <w:jc w:val="left"/>
        <w:sectPr>
          <w:pgSz w:w="11910" w:h="16840"/>
          <w:pgMar w:header="919" w:footer="1016" w:top="1120" w:bottom="1200" w:left="1000" w:right="0"/>
        </w:sectPr>
      </w:pPr>
    </w:p>
    <w:p>
      <w:pPr>
        <w:spacing w:line="240" w:lineRule="auto" w:before="12"/>
        <w:rPr>
          <w:rFonts w:ascii="宋体" w:hAnsi="宋体" w:cs="宋体" w:eastAsia="宋体" w:hint="default"/>
          <w:sz w:val="20"/>
          <w:szCs w:val="20"/>
        </w:rPr>
      </w:pPr>
    </w:p>
    <w:p>
      <w:pPr>
        <w:pStyle w:val="BodyText"/>
        <w:spacing w:line="240" w:lineRule="auto" w:before="44"/>
        <w:ind w:right="915"/>
        <w:jc w:val="left"/>
      </w:pPr>
      <w:r>
        <w:rPr/>
        <w:t>要报告。</w:t>
      </w:r>
    </w:p>
    <w:p>
      <w:pPr>
        <w:spacing w:line="240" w:lineRule="auto" w:before="13"/>
        <w:rPr>
          <w:rFonts w:ascii="宋体" w:hAnsi="宋体" w:cs="宋体" w:eastAsia="宋体" w:hint="default"/>
          <w:sz w:val="25"/>
          <w:szCs w:val="25"/>
        </w:rPr>
      </w:pPr>
    </w:p>
    <w:p>
      <w:pPr>
        <w:pStyle w:val="Heading2"/>
        <w:spacing w:line="240" w:lineRule="auto"/>
        <w:ind w:left="595" w:right="915"/>
        <w:jc w:val="left"/>
        <w:rPr>
          <w:b w:val="0"/>
          <w:bCs w:val="0"/>
        </w:rPr>
      </w:pPr>
      <w:r>
        <w:rPr/>
        <w:t>五、管理层和治理层对财务报表的责任</w:t>
      </w:r>
      <w:r>
        <w:rPr>
          <w:b w:val="0"/>
          <w:bCs w:val="0"/>
        </w:rPr>
      </w:r>
    </w:p>
    <w:p>
      <w:pPr>
        <w:spacing w:line="240" w:lineRule="auto" w:before="5"/>
        <w:rPr>
          <w:rFonts w:ascii="宋体" w:hAnsi="宋体" w:cs="宋体" w:eastAsia="宋体" w:hint="default"/>
          <w:b/>
          <w:bCs/>
          <w:sz w:val="27"/>
          <w:szCs w:val="27"/>
        </w:rPr>
      </w:pPr>
    </w:p>
    <w:p>
      <w:pPr>
        <w:pStyle w:val="BodyText"/>
        <w:spacing w:line="316" w:lineRule="auto"/>
        <w:ind w:right="1132" w:firstLine="420"/>
        <w:jc w:val="both"/>
      </w:pPr>
      <w:r>
        <w:rPr/>
        <w:t>管理层负责按照企业会计准则的规定编制财务报表，使其实现公允反映，并设计、执行和维护必要的内部控制，以使 财务报表不存在由于舞弊或错误导致的重大错报。</w:t>
      </w:r>
    </w:p>
    <w:p>
      <w:pPr>
        <w:spacing w:line="240" w:lineRule="auto" w:before="5"/>
        <w:rPr>
          <w:rFonts w:ascii="宋体" w:hAnsi="宋体" w:cs="宋体" w:eastAsia="宋体" w:hint="default"/>
          <w:sz w:val="13"/>
          <w:szCs w:val="13"/>
        </w:rPr>
      </w:pPr>
    </w:p>
    <w:p>
      <w:pPr>
        <w:pStyle w:val="BodyText"/>
        <w:spacing w:line="316" w:lineRule="auto"/>
        <w:ind w:right="1132" w:firstLine="420"/>
        <w:jc w:val="both"/>
      </w:pPr>
      <w:r>
        <w:rPr>
          <w:spacing w:val="-3"/>
        </w:rPr>
        <w:t>在编制财务报表时，管理层负责评估赢时胜公司的持续经营能力，披露与持续经营相关的事项（如适用），并运用持续</w:t>
      </w:r>
      <w:r>
        <w:rPr/>
        <w:t> 经营假设，除非计划进行清算、终止运营或别无其他现实的选择。</w:t>
      </w:r>
    </w:p>
    <w:p>
      <w:pPr>
        <w:spacing w:line="240" w:lineRule="auto" w:before="5"/>
        <w:rPr>
          <w:rFonts w:ascii="宋体" w:hAnsi="宋体" w:cs="宋体" w:eastAsia="宋体" w:hint="default"/>
          <w:sz w:val="13"/>
          <w:szCs w:val="13"/>
        </w:rPr>
      </w:pPr>
    </w:p>
    <w:p>
      <w:pPr>
        <w:pStyle w:val="BodyText"/>
        <w:spacing w:line="240" w:lineRule="auto"/>
        <w:ind w:left="532" w:right="915"/>
        <w:jc w:val="left"/>
      </w:pPr>
      <w:r>
        <w:rPr/>
        <w:t>治理层负责监督赢时胜公司的财务报告过程。</w:t>
      </w:r>
    </w:p>
    <w:p>
      <w:pPr>
        <w:spacing w:line="240" w:lineRule="auto" w:before="13"/>
        <w:rPr>
          <w:rFonts w:ascii="宋体" w:hAnsi="宋体" w:cs="宋体" w:eastAsia="宋体" w:hint="default"/>
          <w:sz w:val="25"/>
          <w:szCs w:val="25"/>
        </w:rPr>
      </w:pPr>
    </w:p>
    <w:p>
      <w:pPr>
        <w:pStyle w:val="Heading2"/>
        <w:spacing w:line="240" w:lineRule="auto"/>
        <w:ind w:left="595" w:right="915"/>
        <w:jc w:val="left"/>
        <w:rPr>
          <w:b w:val="0"/>
          <w:bCs w:val="0"/>
        </w:rPr>
      </w:pPr>
      <w:r>
        <w:rPr/>
        <w:t>六、注册会计师对财务报表审计的责任</w:t>
      </w:r>
      <w:r>
        <w:rPr>
          <w:b w:val="0"/>
          <w:bCs w:val="0"/>
        </w:rPr>
      </w:r>
    </w:p>
    <w:p>
      <w:pPr>
        <w:spacing w:line="240" w:lineRule="auto" w:before="5"/>
        <w:rPr>
          <w:rFonts w:ascii="宋体" w:hAnsi="宋体" w:cs="宋体" w:eastAsia="宋体" w:hint="default"/>
          <w:b/>
          <w:bCs/>
          <w:sz w:val="27"/>
          <w:szCs w:val="27"/>
        </w:rPr>
      </w:pPr>
    </w:p>
    <w:p>
      <w:pPr>
        <w:pStyle w:val="BodyText"/>
        <w:spacing w:line="316" w:lineRule="auto"/>
        <w:ind w:right="1130" w:firstLine="420"/>
        <w:jc w:val="both"/>
      </w:pPr>
      <w:r>
        <w:rPr/>
        <w:t>我们的目标是对财务报表整体是否不存在由于舞弊或错误导致的重大错报获取合理保证，并出具包含审计意见的审计 </w:t>
      </w:r>
      <w:r>
        <w:rPr>
          <w:spacing w:val="-2"/>
        </w:rPr>
        <w:t>报告。合理保证是高水平的保证，但并不能保证按照审计准则执行的审计在某一重大错报存在时总能发现。错报可能由于舞</w:t>
      </w:r>
      <w:r>
        <w:rPr>
          <w:spacing w:val="-63"/>
        </w:rPr>
        <w:t> </w:t>
      </w:r>
      <w:r>
        <w:rPr>
          <w:spacing w:val="-63"/>
        </w:rPr>
      </w:r>
      <w:r>
        <w:rPr>
          <w:spacing w:val="-2"/>
        </w:rPr>
        <w:t>弊或错误导致，如果合理预期错报单独或汇总起来可能影响财务报表使用者依据财务报表作出的经济决策，则通常认为错报</w:t>
      </w:r>
      <w:r>
        <w:rPr>
          <w:spacing w:val="-64"/>
        </w:rPr>
        <w:t> </w:t>
      </w:r>
      <w:r>
        <w:rPr>
          <w:spacing w:val="-64"/>
        </w:rPr>
      </w:r>
      <w:r>
        <w:rPr/>
        <w:t>是重大的。</w:t>
      </w:r>
    </w:p>
    <w:p>
      <w:pPr>
        <w:spacing w:line="240" w:lineRule="auto" w:before="5"/>
        <w:rPr>
          <w:rFonts w:ascii="宋体" w:hAnsi="宋体" w:cs="宋体" w:eastAsia="宋体" w:hint="default"/>
          <w:sz w:val="13"/>
          <w:szCs w:val="13"/>
        </w:rPr>
      </w:pPr>
    </w:p>
    <w:p>
      <w:pPr>
        <w:pStyle w:val="BodyText"/>
        <w:spacing w:line="240" w:lineRule="auto"/>
        <w:ind w:left="532" w:right="915"/>
        <w:jc w:val="left"/>
      </w:pPr>
      <w:r>
        <w:rPr/>
        <w:t>在按照审计准则执行审计工作的过程中，我们运用职业判断，并保持职业怀疑。同时，我们也执行以下工作：</w:t>
      </w:r>
    </w:p>
    <w:p>
      <w:pPr>
        <w:spacing w:line="240" w:lineRule="auto" w:before="10"/>
        <w:rPr>
          <w:rFonts w:ascii="宋体" w:hAnsi="宋体" w:cs="宋体" w:eastAsia="宋体" w:hint="default"/>
          <w:sz w:val="17"/>
          <w:szCs w:val="17"/>
        </w:rPr>
      </w:pPr>
    </w:p>
    <w:p>
      <w:pPr>
        <w:pStyle w:val="BodyText"/>
        <w:spacing w:line="316" w:lineRule="auto"/>
        <w:ind w:right="1051" w:firstLine="420"/>
        <w:jc w:val="both"/>
      </w:pPr>
      <w:r>
        <w:rPr/>
        <w:t>（1）识别和评估由于舞弊或错误导致的财务报表重大错报风险，设计和实施审计程序以应对这些风险，并获取充分、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spacing w:line="240" w:lineRule="auto" w:before="5"/>
        <w:rPr>
          <w:rFonts w:ascii="宋体" w:hAnsi="宋体" w:cs="宋体" w:eastAsia="宋体" w:hint="default"/>
          <w:sz w:val="13"/>
          <w:szCs w:val="13"/>
        </w:rPr>
      </w:pPr>
    </w:p>
    <w:p>
      <w:pPr>
        <w:pStyle w:val="BodyText"/>
        <w:spacing w:line="240" w:lineRule="auto"/>
        <w:ind w:left="532" w:right="915"/>
        <w:jc w:val="left"/>
      </w:pPr>
      <w:r>
        <w:rPr/>
        <w:t>（2）了解与审计相关的内部控制，以设计恰当的审计程序，但目的并非对内部控制的有效性发表意见。</w:t>
      </w:r>
    </w:p>
    <w:p>
      <w:pPr>
        <w:spacing w:line="240" w:lineRule="auto" w:before="10"/>
        <w:rPr>
          <w:rFonts w:ascii="宋体" w:hAnsi="宋体" w:cs="宋体" w:eastAsia="宋体" w:hint="default"/>
          <w:sz w:val="17"/>
          <w:szCs w:val="17"/>
        </w:rPr>
      </w:pPr>
    </w:p>
    <w:p>
      <w:pPr>
        <w:pStyle w:val="BodyText"/>
        <w:spacing w:line="240" w:lineRule="auto"/>
        <w:ind w:left="532" w:right="915"/>
        <w:jc w:val="left"/>
      </w:pPr>
      <w:r>
        <w:rPr/>
        <w:t>（3）评价管理层选用会计政策的恰当性和作出会计估计及相关披露的合理性。</w:t>
      </w:r>
    </w:p>
    <w:p>
      <w:pPr>
        <w:spacing w:line="240" w:lineRule="auto" w:before="10"/>
        <w:rPr>
          <w:rFonts w:ascii="宋体" w:hAnsi="宋体" w:cs="宋体" w:eastAsia="宋体" w:hint="default"/>
          <w:sz w:val="17"/>
          <w:szCs w:val="17"/>
        </w:rPr>
      </w:pPr>
    </w:p>
    <w:p>
      <w:pPr>
        <w:pStyle w:val="BodyText"/>
        <w:spacing w:line="316" w:lineRule="auto"/>
        <w:ind w:right="1130" w:firstLine="420"/>
        <w:jc w:val="both"/>
      </w:pPr>
      <w:r>
        <w:rPr>
          <w:spacing w:val="-1"/>
        </w:rPr>
        <w:t>（4）对管理层使用持续经营假设的恰当性得出结论。同时，根据获取的审计证据，就可能导致对赢时胜公司持续经营</w:t>
      </w:r>
      <w:r>
        <w:rPr/>
        <w:t> </w:t>
      </w:r>
      <w:r>
        <w:rPr>
          <w:spacing w:val="-2"/>
        </w:rPr>
        <w:t>能力产生重大疑虑的事项或情况是否存在重大不确定性得出结论。如果我们得出结论认为存在重大不确定性，审计准则要求</w:t>
      </w:r>
      <w:r>
        <w:rPr>
          <w:spacing w:val="-64"/>
        </w:rPr>
        <w:t> </w:t>
      </w:r>
      <w:r>
        <w:rPr>
          <w:spacing w:val="-64"/>
        </w:rPr>
      </w:r>
      <w:r>
        <w:rPr>
          <w:spacing w:val="-2"/>
        </w:rPr>
        <w:t>我们在审计报告中提请报表使用者注意财务报表中的相关披露；如果披露不充分，我们应当发表非无保留意见。我们的结论</w:t>
      </w:r>
      <w:r>
        <w:rPr>
          <w:spacing w:val="-63"/>
        </w:rPr>
        <w:t> </w:t>
      </w:r>
      <w:r>
        <w:rPr>
          <w:spacing w:val="-63"/>
        </w:rPr>
      </w:r>
      <w:r>
        <w:rPr/>
        <w:t>基于截至审计报告日可获得的信息。然而，未来的事项或情况可能导致赢时胜公司不能持续经营。</w:t>
      </w:r>
    </w:p>
    <w:p>
      <w:pPr>
        <w:spacing w:line="240" w:lineRule="auto" w:before="5"/>
        <w:rPr>
          <w:rFonts w:ascii="宋体" w:hAnsi="宋体" w:cs="宋体" w:eastAsia="宋体" w:hint="default"/>
          <w:sz w:val="13"/>
          <w:szCs w:val="13"/>
        </w:rPr>
      </w:pPr>
    </w:p>
    <w:p>
      <w:pPr>
        <w:pStyle w:val="BodyText"/>
        <w:spacing w:line="240" w:lineRule="auto"/>
        <w:ind w:left="532" w:right="915"/>
        <w:jc w:val="left"/>
      </w:pPr>
      <w:r>
        <w:rPr/>
        <w:t>（5）评价财务报表的总体列报、结构和内容，并评价财务报表是否公允反映相关交易和事项。</w:t>
      </w:r>
    </w:p>
    <w:p>
      <w:pPr>
        <w:spacing w:line="240" w:lineRule="auto" w:before="10"/>
        <w:rPr>
          <w:rFonts w:ascii="宋体" w:hAnsi="宋体" w:cs="宋体" w:eastAsia="宋体" w:hint="default"/>
          <w:sz w:val="17"/>
          <w:szCs w:val="17"/>
        </w:rPr>
      </w:pPr>
    </w:p>
    <w:p>
      <w:pPr>
        <w:pStyle w:val="BodyText"/>
        <w:spacing w:line="316" w:lineRule="auto"/>
        <w:ind w:right="1132" w:firstLine="420"/>
        <w:jc w:val="both"/>
      </w:pPr>
      <w:r>
        <w:rPr>
          <w:spacing w:val="-1"/>
        </w:rPr>
        <w:t>（6）就赢时胜公司中实体或业务活动的财务信息获取充分、适当的审计证据，以对财务报表发表审计意见。我们负责</w:t>
      </w:r>
      <w:r>
        <w:rPr/>
        <w:t> 指导、监督和执行集团审计，并对审计意见承担全部责任。</w:t>
      </w:r>
    </w:p>
    <w:p>
      <w:pPr>
        <w:spacing w:line="240" w:lineRule="auto" w:before="5"/>
        <w:rPr>
          <w:rFonts w:ascii="宋体" w:hAnsi="宋体" w:cs="宋体" w:eastAsia="宋体" w:hint="default"/>
          <w:sz w:val="13"/>
          <w:szCs w:val="13"/>
        </w:rPr>
      </w:pPr>
    </w:p>
    <w:p>
      <w:pPr>
        <w:pStyle w:val="BodyText"/>
        <w:spacing w:line="316" w:lineRule="auto"/>
        <w:ind w:right="1132" w:firstLine="420"/>
        <w:jc w:val="both"/>
      </w:pPr>
      <w:r>
        <w:rPr/>
        <w:t>我们与治理层就计划的审计范围、时间安排和重大审计发现等事项进行沟通，包括沟通我们在审计中识别出的值得关 注的内部控制缺陷。</w:t>
      </w:r>
    </w:p>
    <w:p>
      <w:pPr>
        <w:spacing w:line="240" w:lineRule="auto" w:before="5"/>
        <w:rPr>
          <w:rFonts w:ascii="宋体" w:hAnsi="宋体" w:cs="宋体" w:eastAsia="宋体" w:hint="default"/>
          <w:sz w:val="13"/>
          <w:szCs w:val="13"/>
        </w:rPr>
      </w:pPr>
    </w:p>
    <w:p>
      <w:pPr>
        <w:pStyle w:val="BodyText"/>
        <w:spacing w:line="316" w:lineRule="auto"/>
        <w:ind w:right="1132" w:firstLine="420"/>
        <w:jc w:val="both"/>
      </w:pPr>
      <w:r>
        <w:rPr/>
        <w:t>我们还就已遵守与独立性相关的职业道德要求向治理层提供声明，并与治理层沟通可能被合理认为影响我们独立性的 </w:t>
      </w:r>
      <w:r>
        <w:rPr>
          <w:spacing w:val="-4"/>
        </w:rPr>
        <w:t>所有关系和其他事项，以及相关的防范措施（如适用）。</w:t>
      </w:r>
    </w:p>
    <w:p>
      <w:pPr>
        <w:spacing w:line="240" w:lineRule="auto" w:before="5"/>
        <w:rPr>
          <w:rFonts w:ascii="宋体" w:hAnsi="宋体" w:cs="宋体" w:eastAsia="宋体" w:hint="default"/>
          <w:sz w:val="13"/>
          <w:szCs w:val="13"/>
        </w:rPr>
      </w:pPr>
    </w:p>
    <w:p>
      <w:pPr>
        <w:pStyle w:val="BodyText"/>
        <w:spacing w:line="316" w:lineRule="auto"/>
        <w:ind w:right="1130" w:firstLine="420"/>
        <w:jc w:val="both"/>
      </w:pPr>
      <w:r>
        <w:rPr/>
        <w:t>从与治理层沟通过的事项中，我们确定哪些事项对本期合并财务报表审计最为重要，因而构成关键审计事项。我们在 </w:t>
      </w:r>
      <w:r>
        <w:rPr>
          <w:spacing w:val="-2"/>
        </w:rPr>
        <w:t>审计报告中描述这些事项，除非法律法规禁止公开披露这些事项，或在极少数情形下，如果合理预期在审计报告中沟通某事</w:t>
      </w:r>
      <w:r>
        <w:rPr>
          <w:spacing w:val="-63"/>
        </w:rPr>
        <w:t> </w:t>
      </w:r>
      <w:r>
        <w:rPr>
          <w:spacing w:val="-63"/>
        </w:rPr>
      </w:r>
      <w:r>
        <w:rPr/>
        <w:t>项造成的负面后果超过在公众利益方面产生的益处，我们确定不应在审计报告中沟通该事项。</w:t>
      </w:r>
    </w:p>
    <w:p>
      <w:pPr>
        <w:spacing w:after="0" w:line="316" w:lineRule="auto"/>
        <w:jc w:val="both"/>
        <w:sectPr>
          <w:pgSz w:w="11910" w:h="16840"/>
          <w:pgMar w:header="919" w:footer="1016" w:top="1120" w:bottom="1200" w:left="1020" w:right="0"/>
        </w:sectPr>
      </w:pPr>
    </w:p>
    <w:p>
      <w:pPr>
        <w:spacing w:line="240" w:lineRule="auto" w:before="8"/>
        <w:rPr>
          <w:rFonts w:ascii="宋体" w:hAnsi="宋体" w:cs="宋体" w:eastAsia="宋体" w:hint="default"/>
          <w:sz w:val="18"/>
          <w:szCs w:val="18"/>
        </w:rPr>
      </w:pPr>
    </w:p>
    <w:p>
      <w:pPr>
        <w:pStyle w:val="Heading2"/>
        <w:spacing w:line="240" w:lineRule="auto" w:before="26"/>
        <w:ind w:right="915"/>
        <w:jc w:val="left"/>
        <w:rPr>
          <w:b w:val="0"/>
          <w:bCs w:val="0"/>
        </w:rPr>
      </w:pPr>
      <w:bookmarkStart w:name="二、财务报表" w:id="158"/>
      <w:bookmarkEnd w:id="158"/>
      <w:r>
        <w:rPr>
          <w:b w:val="0"/>
          <w:bCs w:val="0"/>
        </w:rPr>
      </w:r>
      <w:r>
        <w:rPr/>
        <w:t>二、财务报表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15"/>
        <w:jc w:val="left"/>
      </w:pPr>
      <w:r>
        <w:rPr/>
        <w:t>财务附注中报表的单位为：元</w:t>
      </w:r>
    </w:p>
    <w:p>
      <w:pPr>
        <w:spacing w:line="240" w:lineRule="auto" w:before="0"/>
        <w:rPr>
          <w:rFonts w:ascii="宋体" w:hAnsi="宋体" w:cs="宋体" w:eastAsia="宋体" w:hint="default"/>
          <w:sz w:val="18"/>
          <w:szCs w:val="18"/>
        </w:rPr>
      </w:pPr>
    </w:p>
    <w:p>
      <w:pPr>
        <w:pStyle w:val="Heading3"/>
        <w:spacing w:line="240" w:lineRule="auto" w:before="118"/>
        <w:ind w:right="915"/>
        <w:jc w:val="left"/>
        <w:rPr>
          <w:b w:val="0"/>
          <w:bCs w:val="0"/>
        </w:rPr>
      </w:pPr>
      <w:bookmarkStart w:name="1、合并资产负债表" w:id="159"/>
      <w:bookmarkEnd w:id="159"/>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915"/>
        <w:jc w:val="left"/>
      </w:pPr>
      <w:r>
        <w:rPr/>
        <w:t>编制单位：深圳市赢时胜信息技术股份有限公司</w:t>
      </w:r>
    </w:p>
    <w:p>
      <w:pPr>
        <w:pStyle w:val="BodyText"/>
        <w:spacing w:line="240" w:lineRule="auto" w:before="117"/>
        <w:ind w:left="0" w:right="113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2"/>
                <w:sz w:val="18"/>
              </w:rPr>
              <w:t>492,111,995.84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372,220,940.35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148,557,329.88</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731,177,305.49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538,306,992.52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5,619,521.42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7,012,059.67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113,003,755.46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366,451,052.71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573,333.66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299,547.71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6" w:right="0"/>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152,182.64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1,668,540.09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1,479,086.59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347,588,175.23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1,492,101,177.32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1,633,247,760.57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9" w:footer="1016"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35,425,700.00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589,669,593.04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618,739,687.62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20,000,000.00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186,746,280.00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84,888,077.50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87,297,329.92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795,068,521.24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815,844,646.64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4,710,850.17</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1,855,671.48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1,326,568.00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1,504,511.33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1,827,614.58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561,918.11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8,580,712.54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7,826,810.66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8,139,400.17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1,693,347,320.55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1,576,666,572.45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3,185,448,497.87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3,209,914,333.02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150,207,833.26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235,000,000.00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936,410.51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2,031,543.16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10,251,795.09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6,579,148.01</w:t>
            </w: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9" w:footer="1016"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42,253,456.87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27,294,615.03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58,236,098.52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57,449,816.12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26,465,946.74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39,668,160.21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380,107.47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6" w:right="0"/>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717,965.33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288,351,540.99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368,741,247.86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4,248,919.98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4,243,144.59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2,200,000.00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13,173,798.30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17,422,718.28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6,443,144.59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305,774,259.27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375,184,392.45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742,092,080.00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742,214,580.00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9" w:footer="1016"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1,557,048,333.87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1,540,992,220.53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19,293,350.00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35,277,742.50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-1,042,634.10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-6,129,536.47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91,240,872.26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72,193,645.96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1,990,055.32</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436,611,754.47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399,658,743.99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2"/>
                <w:sz w:val="18"/>
              </w:rPr>
              <w:t>2,808,647,111.82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2,713,651,911.51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71,027,126.78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121,078,029.06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2,879,674,238.60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2,834,729,940.57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3,185,448,497.87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3,209,914,333.02</w:t>
            </w:r>
          </w:p>
        </w:tc>
      </w:tr>
    </w:tbl>
    <w:p>
      <w:pPr>
        <w:spacing w:line="240" w:lineRule="auto" w:before="3"/>
        <w:rPr>
          <w:rFonts w:ascii="Times New Roman" w:hAnsi="Times New Roman" w:cs="Times New Roman" w:eastAsia="Times New Roman" w:hint="default"/>
          <w:sz w:val="23"/>
          <w:szCs w:val="23"/>
        </w:rPr>
      </w:pPr>
    </w:p>
    <w:p>
      <w:pPr>
        <w:pStyle w:val="BodyText"/>
        <w:tabs>
          <w:tab w:pos="3331" w:val="left" w:leader="none"/>
          <w:tab w:pos="7559" w:val="left" w:leader="none"/>
        </w:tabs>
        <w:spacing w:line="240" w:lineRule="auto" w:before="44"/>
        <w:ind w:left="0" w:right="1231"/>
        <w:jc w:val="right"/>
      </w:pPr>
      <w:r>
        <w:rPr/>
        <w:t>法定代表人：唐球</w:t>
        <w:tab/>
        <w:t>主管会计工作负责人：伍国安</w:t>
        <w:tab/>
        <w:t>会计机构负责人：廖拾秀</w:t>
      </w:r>
    </w:p>
    <w:p>
      <w:pPr>
        <w:spacing w:line="240" w:lineRule="auto" w:before="11"/>
        <w:rPr>
          <w:rFonts w:ascii="宋体" w:hAnsi="宋体" w:cs="宋体" w:eastAsia="宋体" w:hint="default"/>
          <w:sz w:val="26"/>
          <w:szCs w:val="26"/>
        </w:rPr>
      </w:pPr>
    </w:p>
    <w:p>
      <w:pPr>
        <w:pStyle w:val="Heading3"/>
        <w:spacing w:line="240" w:lineRule="auto"/>
        <w:ind w:right="915"/>
        <w:jc w:val="left"/>
        <w:rPr>
          <w:b w:val="0"/>
          <w:bCs w:val="0"/>
        </w:rPr>
      </w:pPr>
      <w:bookmarkStart w:name="2、母公司资产负债表" w:id="160"/>
      <w:bookmarkEnd w:id="160"/>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0" w:right="113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480,998,098.61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349,922,956.66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7"/>
              <w:jc w:val="right"/>
              <w:rPr>
                <w:rFonts w:ascii="Times New Roman" w:hAnsi="Times New Roman" w:cs="Times New Roman" w:eastAsia="Times New Roman" w:hint="default"/>
                <w:sz w:val="18"/>
                <w:szCs w:val="18"/>
              </w:rPr>
            </w:pPr>
            <w:r>
              <w:rPr>
                <w:rFonts w:ascii="Times New Roman"/>
                <w:spacing w:val="-1"/>
                <w:sz w:val="18"/>
              </w:rPr>
              <w:t>130,469,436.11</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484,491,203.45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395,938,215.90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5,574,800.92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5,793,878.73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20,449,283.64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15,061,725.42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4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6" w:right="0"/>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9" w:footer="1016"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1,474,267.87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327,587,894.37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1,123,457,090.60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1,094,304,671.08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868,669,593.04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877,739,687.62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20,000,000.00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176,796,000.00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84,888,077.50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87,297,329.92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794,517,253.21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815,176,089.53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4,710,850.17</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1,850,430.60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1,317,108.64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1,827,614.58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561,918.11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4,329,041.50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3,508,107.10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8,139,400.17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1,957,588,860.60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1,813,739,641.09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3,081,045,951.20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2,908,044,312.17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50,062,954.09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1,259,202.47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1,877,552.31</w:t>
            </w: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6,317,922.76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4,760,277.02</w:t>
            </w:r>
          </w:p>
        </w:tc>
      </w:tr>
    </w:tbl>
    <w:p>
      <w:pPr>
        <w:spacing w:after="0" w:line="240" w:lineRule="auto"/>
        <w:jc w:val="right"/>
        <w:rPr>
          <w:rFonts w:ascii="Times New Roman" w:hAnsi="Times New Roman" w:cs="Times New Roman" w:eastAsia="Times New Roman" w:hint="default"/>
          <w:sz w:val="18"/>
          <w:szCs w:val="18"/>
        </w:rPr>
        <w:sectPr>
          <w:pgSz w:w="11910" w:h="16840"/>
          <w:pgMar w:header="919" w:footer="1016"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39,936,359.57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26,295,442.28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48,716,804.16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43,730,853.59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43,914,146.74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37,831,508.50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4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91,755.76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6" w:right="0"/>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717,965.33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190,207,389.79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165,213,599.03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4,248,919.98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4,243,144.59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2,200,000.00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13,169,403.61</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17,418,323.59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6,443,144.59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207,625,713.38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171,656,743.62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742,092,080.00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742,214,580.00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1,596,784,488.46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1,596,996,744.15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19,293,350.00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35,277,742.50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-1,042,634.10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-6,129,536.47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91,240,872.26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72,193,645.96</w:t>
            </w:r>
          </w:p>
        </w:tc>
      </w:tr>
    </w:tbl>
    <w:p>
      <w:pPr>
        <w:spacing w:after="0" w:line="240" w:lineRule="auto"/>
        <w:jc w:val="right"/>
        <w:rPr>
          <w:rFonts w:ascii="Times New Roman" w:hAnsi="Times New Roman" w:cs="Times New Roman" w:eastAsia="Times New Roman" w:hint="default"/>
          <w:sz w:val="18"/>
          <w:szCs w:val="18"/>
        </w:rPr>
        <w:sectPr>
          <w:pgSz w:w="11910" w:h="16840"/>
          <w:pgMar w:header="919" w:footer="1016"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463,638,781.20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366,389,877.41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2,873,420,237.82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2,736,387,568.55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3,081,045,951.20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2,908,044,312.17</w:t>
            </w:r>
          </w:p>
        </w:tc>
      </w:tr>
    </w:tbl>
    <w:p>
      <w:pPr>
        <w:spacing w:line="240" w:lineRule="auto" w:before="11"/>
        <w:rPr>
          <w:rFonts w:ascii="Times New Roman" w:hAnsi="Times New Roman" w:cs="Times New Roman" w:eastAsia="Times New Roman" w:hint="default"/>
          <w:sz w:val="21"/>
          <w:szCs w:val="21"/>
        </w:rPr>
      </w:pPr>
    </w:p>
    <w:p>
      <w:pPr>
        <w:pStyle w:val="Heading3"/>
        <w:spacing w:line="240" w:lineRule="auto" w:before="34"/>
        <w:ind w:right="915"/>
        <w:jc w:val="left"/>
        <w:rPr>
          <w:b w:val="0"/>
          <w:bCs w:val="0"/>
        </w:rPr>
      </w:pPr>
      <w:bookmarkStart w:name="3、合并利润表" w:id="161"/>
      <w:bookmarkEnd w:id="161"/>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080"/>
        <w:gridCol w:w="3210"/>
        <w:gridCol w:w="3277"/>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655,579,978.11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639,100,493.81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655,579,978.11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639,100,493.81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571,069,365.97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461,948,725.55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176,858,866.95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128,194,401.18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宋体" w:hAnsi="宋体" w:cs="宋体" w:eastAsia="宋体" w:hint="default"/>
                <w:sz w:val="18"/>
                <w:szCs w:val="18"/>
              </w:rPr>
              <w:t>提取保险责任合同准备</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8,315,234.42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4,591,307.75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24,790,133.21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21,545,758.35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70,902,340.55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82,687,709.72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288,913,967.42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230,379,106.38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1,288,823.42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-5,449,557.83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82"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8,824,474.17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5,716,525.04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7,585,371.39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11,219,653.60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29,155,040.16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39,332,975.01</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投资收益（损失以“－”号</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128,265,842.55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4,658,447.37</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00" w:firstLine="720"/>
              <w:jc w:val="left"/>
              <w:rPr>
                <w:rFonts w:ascii="宋体" w:hAnsi="宋体" w:cs="宋体" w:eastAsia="宋体" w:hint="default"/>
                <w:sz w:val="18"/>
                <w:szCs w:val="18"/>
              </w:rPr>
            </w:pPr>
            <w:r>
              <w:rPr>
                <w:rFonts w:ascii="宋体" w:hAnsi="宋体" w:cs="宋体" w:eastAsia="宋体" w:hint="default"/>
                <w:spacing w:val="-2"/>
                <w:sz w:val="18"/>
                <w:szCs w:val="18"/>
              </w:rPr>
              <w:t>其中：对联营企业和合营企</w:t>
            </w:r>
            <w:r>
              <w:rPr>
                <w:rFonts w:ascii="宋体" w:hAnsi="宋体" w:cs="宋体" w:eastAsia="宋体" w:hint="default"/>
                <w:sz w:val="18"/>
                <w:szCs w:val="18"/>
              </w:rPr>
              <w:t> 业的投资收益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8,947,576.06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-1,121,088.99</w:t>
            </w:r>
          </w:p>
        </w:tc>
      </w:tr>
      <w:tr>
        <w:trPr>
          <w:trHeight w:val="400"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82" w:right="0"/>
              <w:jc w:val="left"/>
              <w:rPr>
                <w:rFonts w:ascii="宋体" w:hAnsi="宋体" w:cs="宋体" w:eastAsia="宋体" w:hint="default"/>
                <w:sz w:val="18"/>
                <w:szCs w:val="18"/>
              </w:rPr>
            </w:pPr>
            <w:r>
              <w:rPr>
                <w:rFonts w:ascii="宋体" w:hAnsi="宋体" w:cs="宋体" w:eastAsia="宋体" w:hint="default"/>
                <w:sz w:val="18"/>
                <w:szCs w:val="18"/>
              </w:rPr>
              <w:t>以摊余成本计量的金</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5"/>
          <w:pgSz w:w="11910" w:h="16840"/>
          <w:pgMar w:footer="1016" w:header="919" w:top="1120" w:bottom="1200" w:left="1020" w:right="0"/>
          <w:pgNumType w:start="9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3080"/>
        <w:gridCol w:w="3210"/>
        <w:gridCol w:w="3277"/>
      </w:tblGrid>
      <w:tr>
        <w:trPr>
          <w:trHeight w:val="36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融资产终止确认收益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2" w:right="0"/>
              <w:jc w:val="left"/>
              <w:rPr>
                <w:rFonts w:ascii="宋体" w:hAnsi="宋体" w:cs="宋体" w:eastAsia="宋体" w:hint="default"/>
                <w:sz w:val="18"/>
                <w:szCs w:val="18"/>
              </w:rPr>
            </w:pPr>
            <w:r>
              <w:rPr>
                <w:rFonts w:ascii="宋体" w:hAnsi="宋体" w:cs="宋体" w:eastAsia="宋体" w:hint="default"/>
                <w:spacing w:val="-6"/>
                <w:sz w:val="18"/>
                <w:szCs w:val="18"/>
              </w:rPr>
              <w:t>汇兑收益（损失以“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266" w:firstLine="720"/>
              <w:jc w:val="left"/>
              <w:rPr>
                <w:rFonts w:ascii="宋体" w:hAnsi="宋体" w:cs="宋体" w:eastAsia="宋体" w:hint="default"/>
                <w:sz w:val="18"/>
                <w:szCs w:val="18"/>
              </w:rPr>
            </w:pPr>
            <w:r>
              <w:rPr>
                <w:rFonts w:ascii="宋体" w:hAnsi="宋体" w:cs="宋体" w:eastAsia="宋体" w:hint="default"/>
                <w:sz w:val="18"/>
                <w:szCs w:val="18"/>
              </w:rPr>
              <w:t>净敞口套期收益（损失以 “－”号填列）</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00" w:firstLine="720"/>
              <w:jc w:val="left"/>
              <w:rPr>
                <w:rFonts w:ascii="宋体" w:hAnsi="宋体" w:cs="宋体" w:eastAsia="宋体" w:hint="default"/>
                <w:sz w:val="18"/>
                <w:szCs w:val="18"/>
              </w:rPr>
            </w:pPr>
            <w:r>
              <w:rPr>
                <w:rFonts w:ascii="宋体" w:hAnsi="宋体" w:cs="宋体" w:eastAsia="宋体" w:hint="default"/>
                <w:spacing w:val="-2"/>
                <w:sz w:val="18"/>
                <w:szCs w:val="18"/>
              </w:rPr>
              <w:t>公允价值变动收益（损失以</w:t>
            </w:r>
            <w:r>
              <w:rPr>
                <w:rFonts w:ascii="宋体" w:hAnsi="宋体" w:cs="宋体" w:eastAsia="宋体" w:hint="default"/>
                <w:sz w:val="18"/>
                <w:szCs w:val="18"/>
              </w:rPr>
              <w:t> “－”号填列）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-6,339,725.32</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26" w:firstLine="72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 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-101,889,642.68</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26" w:firstLine="72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 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-12,114,668.43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-28,411,722.39</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26" w:firstLine="72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 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-5,681.41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-52,015.37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2"/>
              <w:jc w:val="right"/>
              <w:rPr>
                <w:rFonts w:ascii="宋体" w:hAnsi="宋体" w:cs="宋体" w:eastAsia="宋体" w:hint="default"/>
                <w:sz w:val="18"/>
                <w:szCs w:val="18"/>
              </w:rPr>
            </w:pPr>
            <w:r>
              <w:rPr>
                <w:rFonts w:ascii="宋体" w:hAnsi="宋体" w:cs="宋体" w:eastAsia="宋体" w:hint="default"/>
                <w:spacing w:val="-7"/>
                <w:sz w:val="18"/>
                <w:szCs w:val="18"/>
              </w:rPr>
              <w:t>三、营业利润（亏损以“－”号填列）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121,581,777.01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192,679,452.88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109,301.93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545,151.15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101,258.19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20,263.46</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00"/>
              <w:jc w:val="left"/>
              <w:rPr>
                <w:rFonts w:ascii="宋体" w:hAnsi="宋体" w:cs="宋体" w:eastAsia="宋体" w:hint="default"/>
                <w:sz w:val="18"/>
                <w:szCs w:val="18"/>
              </w:rPr>
            </w:pPr>
            <w:r>
              <w:rPr>
                <w:rFonts w:ascii="宋体" w:hAnsi="宋体" w:cs="宋体" w:eastAsia="宋体" w:hint="default"/>
                <w:spacing w:val="-1"/>
                <w:sz w:val="18"/>
                <w:szCs w:val="18"/>
              </w:rPr>
              <w:t>四、利润总额（亏损总额以“－”号</w:t>
            </w:r>
            <w:r>
              <w:rPr>
                <w:rFonts w:ascii="宋体" w:hAnsi="宋体" w:cs="宋体" w:eastAsia="宋体" w:hint="default"/>
                <w:sz w:val="18"/>
                <w:szCs w:val="18"/>
              </w:rPr>
              <w:t> 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121,589,820.75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193,204,340.57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19,399,796.84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11,843,248.77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
              <w:jc w:val="right"/>
              <w:rPr>
                <w:rFonts w:ascii="宋体" w:hAnsi="宋体" w:cs="宋体" w:eastAsia="宋体" w:hint="default"/>
                <w:sz w:val="18"/>
                <w:szCs w:val="18"/>
              </w:rPr>
            </w:pPr>
            <w:r>
              <w:rPr>
                <w:rFonts w:ascii="宋体" w:hAnsi="宋体" w:cs="宋体" w:eastAsia="宋体" w:hint="default"/>
                <w:spacing w:val="-7"/>
                <w:sz w:val="18"/>
                <w:szCs w:val="18"/>
              </w:rPr>
              <w:t>五、净利润（净亏损以“－”号填列）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102,190,023.91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181,361,091.80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宋体" w:hAnsi="宋体" w:cs="宋体" w:eastAsia="宋体" w:hint="default"/>
                <w:sz w:val="18"/>
                <w:szCs w:val="18"/>
              </w:rPr>
              <w:t>（一）按经营持续性分类</w:t>
            </w:r>
          </w:p>
        </w:tc>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309"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持续经营净利润（净亏损以 “－”号填列）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102,190,023.91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181,361,091.80</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309"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终止经营净利润（净亏损以 “－”号填列）</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宋体" w:hAnsi="宋体" w:cs="宋体" w:eastAsia="宋体" w:hint="default"/>
                <w:sz w:val="18"/>
                <w:szCs w:val="18"/>
              </w:rPr>
              <w:t>（二）按所有权归属分类</w:t>
            </w:r>
          </w:p>
        </w:tc>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29"/>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归属于母公司所有者的净利润</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136,436,981.53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177,780,372.07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-34,246,957.62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3,580,719.73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-8,234,975.12</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266"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 益的税后净额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-8,234,975.12</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00" w:firstLine="352"/>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2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9" w:footer="1016"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3080"/>
        <w:gridCol w:w="3210"/>
        <w:gridCol w:w="3277"/>
      </w:tblGrid>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00" w:firstLine="352"/>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-8,234,975.12</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2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 他综合收益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-8,234,975.12</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2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 价值变动损益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2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 他综合收益的金额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2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 为可供出售金融资产损益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266"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 的税后净额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102,190,023.91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173,126,116.68</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266"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 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136,436,981.53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169,545,396.95</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-34,246,957.62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3,580,719.73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0.1838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0.2395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0.1838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0.2395</w:t>
            </w:r>
          </w:p>
        </w:tc>
      </w:tr>
    </w:tbl>
    <w:p>
      <w:pPr>
        <w:pStyle w:val="BodyText"/>
        <w:tabs>
          <w:tab w:pos="3443" w:val="left" w:leader="none"/>
          <w:tab w:pos="7672" w:val="left" w:leader="none"/>
        </w:tabs>
        <w:spacing w:line="595" w:lineRule="auto" w:before="50"/>
        <w:ind w:right="1231"/>
        <w:jc w:val="both"/>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4"/>
        </w:rPr>
        <w:t> </w:t>
      </w:r>
      <w:r>
        <w:rPr/>
        <w:t>元。 法定代表人：唐球</w:t>
        <w:tab/>
        <w:t>主管会计工作负责人：伍国安</w:t>
        <w:tab/>
        <w:t>会计机构负责人：廖拾秀 </w:t>
      </w:r>
      <w:bookmarkStart w:name="4、母公司利润表" w:id="162"/>
      <w:bookmarkEnd w:id="162"/>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before="2"/>
        <w:ind w:left="0" w:right="1132"/>
        <w:jc w:val="right"/>
      </w:pPr>
      <w:r>
        <w:rPr/>
        <w:t>单位：元</w:t>
      </w:r>
    </w:p>
    <w:p>
      <w:pPr>
        <w:spacing w:after="0" w:line="240" w:lineRule="auto"/>
        <w:jc w:val="right"/>
        <w:sectPr>
          <w:pgSz w:w="11910" w:h="16840"/>
          <w:pgMar w:header="919" w:footer="1016"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617,170,960.28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593,683,831.85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173,147,599.09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125,103,128.32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8,206,694.80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4,004,144.78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20,637,019.36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16,406,919.28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67,136,366.14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79,425,105.47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277,450,153.78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223,636,839.69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-5,000,144.68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-4,751,486.29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693"/>
              <w:jc w:val="right"/>
              <w:rPr>
                <w:rFonts w:ascii="宋体" w:hAnsi="宋体" w:cs="宋体" w:eastAsia="宋体" w:hint="default"/>
                <w:sz w:val="18"/>
                <w:szCs w:val="18"/>
              </w:rPr>
            </w:pPr>
            <w:r>
              <w:rPr>
                <w:rFonts w:ascii="宋体" w:hAnsi="宋体" w:cs="宋体" w:eastAsia="宋体" w:hint="default"/>
                <w:sz w:val="18"/>
                <w:szCs w:val="18"/>
              </w:rPr>
              <w:t>其中：利息费用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2,501,650.67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2,759,565.57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93"/>
              <w:jc w:val="righ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7,525,375.16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7,529,187.23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28,799,083.87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38,448,553.42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3" w:firstLine="720"/>
              <w:jc w:val="left"/>
              <w:rPr>
                <w:rFonts w:ascii="宋体" w:hAnsi="宋体" w:cs="宋体" w:eastAsia="宋体" w:hint="default"/>
                <w:sz w:val="18"/>
                <w:szCs w:val="18"/>
              </w:rPr>
            </w:pPr>
            <w:r>
              <w:rPr>
                <w:rFonts w:ascii="宋体" w:hAnsi="宋体" w:cs="宋体" w:eastAsia="宋体" w:hint="default"/>
                <w:sz w:val="18"/>
                <w:szCs w:val="18"/>
              </w:rPr>
              <w:t>投资收益（损失以“－” 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127,186,083.01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2,359,014.25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3"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8,947,576.06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-1,121,088.99</w:t>
            </w: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1" w:right="93" w:firstLine="1080"/>
              <w:jc w:val="both"/>
              <w:rPr>
                <w:rFonts w:ascii="宋体" w:hAnsi="宋体" w:cs="宋体" w:eastAsia="宋体" w:hint="default"/>
                <w:sz w:val="18"/>
                <w:szCs w:val="18"/>
              </w:rPr>
            </w:pPr>
            <w:r>
              <w:rPr>
                <w:rFonts w:ascii="宋体" w:hAnsi="宋体" w:cs="宋体" w:eastAsia="宋体" w:hint="default"/>
                <w:sz w:val="18"/>
                <w:szCs w:val="18"/>
              </w:rPr>
              <w:t>以摊余成本计量的金 融资产终止确认收益（损失以“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 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3" w:firstLine="720"/>
              <w:jc w:val="left"/>
              <w:rPr>
                <w:rFonts w:ascii="宋体" w:hAnsi="宋体" w:cs="宋体" w:eastAsia="宋体" w:hint="default"/>
                <w:sz w:val="18"/>
                <w:szCs w:val="18"/>
              </w:rPr>
            </w:pPr>
            <w:r>
              <w:rPr>
                <w:rFonts w:ascii="宋体" w:hAnsi="宋体" w:cs="宋体" w:eastAsia="宋体" w:hint="default"/>
                <w:sz w:val="18"/>
                <w:szCs w:val="18"/>
              </w:rPr>
              <w:t>净敞口套期收益（损失以 “－”号填列）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3" w:firstLine="720"/>
              <w:jc w:val="left"/>
              <w:rPr>
                <w:rFonts w:ascii="宋体" w:hAnsi="宋体" w:cs="宋体" w:eastAsia="宋体" w:hint="default"/>
                <w:sz w:val="18"/>
                <w:szCs w:val="18"/>
              </w:rPr>
            </w:pPr>
            <w:r>
              <w:rPr>
                <w:rFonts w:ascii="宋体" w:hAnsi="宋体" w:cs="宋体" w:eastAsia="宋体" w:hint="default"/>
                <w:sz w:val="18"/>
                <w:szCs w:val="18"/>
              </w:rPr>
              <w:t>公允价值变动收益（损失 以“－”号填列）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-926,226.49</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1" w:firstLine="720"/>
              <w:jc w:val="left"/>
              <w:rPr>
                <w:rFonts w:ascii="宋体" w:hAnsi="宋体" w:cs="宋体" w:eastAsia="宋体" w:hint="default"/>
                <w:sz w:val="18"/>
                <w:szCs w:val="18"/>
              </w:rPr>
            </w:pPr>
            <w:r>
              <w:rPr>
                <w:rFonts w:ascii="宋体" w:hAnsi="宋体" w:cs="宋体" w:eastAsia="宋体" w:hint="default"/>
                <w:spacing w:val="-8"/>
                <w:sz w:val="18"/>
                <w:szCs w:val="18"/>
              </w:rPr>
              <w:t>信用减值损失（损失以“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宋体" w:hAnsi="宋体" w:cs="宋体" w:eastAsia="宋体" w:hint="default"/>
                <w:sz w:val="18"/>
                <w:szCs w:val="18"/>
              </w:rPr>
              <w:t> 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-8,973,257.22</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1" w:firstLine="720"/>
              <w:jc w:val="left"/>
              <w:rPr>
                <w:rFonts w:ascii="宋体" w:hAnsi="宋体" w:cs="宋体" w:eastAsia="宋体" w:hint="default"/>
                <w:sz w:val="18"/>
                <w:szCs w:val="18"/>
              </w:rPr>
            </w:pPr>
            <w:r>
              <w:rPr>
                <w:rFonts w:ascii="宋体" w:hAnsi="宋体" w:cs="宋体" w:eastAsia="宋体" w:hint="default"/>
                <w:spacing w:val="-8"/>
                <w:sz w:val="18"/>
                <w:szCs w:val="18"/>
              </w:rPr>
              <w:t>资产减值损失（损失以“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宋体" w:hAnsi="宋体" w:cs="宋体" w:eastAsia="宋体" w:hint="default"/>
                <w:sz w:val="18"/>
                <w:szCs w:val="18"/>
              </w:rPr>
              <w:t> 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-10,755,507.64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-10,391,460.69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1" w:firstLine="720"/>
              <w:jc w:val="left"/>
              <w:rPr>
                <w:rFonts w:ascii="宋体" w:hAnsi="宋体" w:cs="宋体" w:eastAsia="宋体" w:hint="default"/>
                <w:sz w:val="18"/>
                <w:szCs w:val="18"/>
              </w:rPr>
            </w:pPr>
            <w:r>
              <w:rPr>
                <w:rFonts w:ascii="宋体" w:hAnsi="宋体" w:cs="宋体" w:eastAsia="宋体" w:hint="default"/>
                <w:spacing w:val="-8"/>
                <w:sz w:val="18"/>
                <w:szCs w:val="18"/>
              </w:rPr>
              <w:t>资产处置收益（损失以“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宋体" w:hAnsi="宋体" w:cs="宋体" w:eastAsia="宋体" w:hint="default"/>
                <w:sz w:val="18"/>
                <w:szCs w:val="18"/>
              </w:rPr>
              <w:t> 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-14,838.45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3"/>
              <w:jc w:val="left"/>
              <w:rPr>
                <w:rFonts w:ascii="宋体" w:hAnsi="宋体" w:cs="宋体" w:eastAsia="宋体" w:hint="default"/>
                <w:sz w:val="18"/>
                <w:szCs w:val="18"/>
              </w:rPr>
            </w:pPr>
            <w:r>
              <w:rPr>
                <w:rFonts w:ascii="宋体" w:hAnsi="宋体" w:cs="宋体" w:eastAsia="宋体" w:hint="default"/>
                <w:sz w:val="18"/>
                <w:szCs w:val="18"/>
              </w:rPr>
              <w:t>二、营业利润（亏损以“－”号填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210,923,447.32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180,260,449.13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106,464.20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45,145.16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95,166.19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12,881.46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3"/>
              <w:jc w:val="left"/>
              <w:rPr>
                <w:rFonts w:ascii="宋体" w:hAnsi="宋体" w:cs="宋体" w:eastAsia="宋体" w:hint="default"/>
                <w:sz w:val="18"/>
                <w:szCs w:val="18"/>
              </w:rPr>
            </w:pPr>
            <w:r>
              <w:rPr>
                <w:rFonts w:ascii="宋体" w:hAnsi="宋体" w:cs="宋体" w:eastAsia="宋体" w:hint="default"/>
                <w:sz w:val="18"/>
                <w:szCs w:val="18"/>
              </w:rPr>
              <w:t>三、利润总额（亏损总额以“－” 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210,934,745.33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180,292,712.83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16,631,676.21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10,605,793.68</w:t>
            </w:r>
          </w:p>
        </w:tc>
      </w:tr>
      <w:tr>
        <w:trPr>
          <w:trHeight w:val="71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3"/>
              <w:jc w:val="left"/>
              <w:rPr>
                <w:rFonts w:ascii="宋体" w:hAnsi="宋体" w:cs="宋体" w:eastAsia="宋体" w:hint="default"/>
                <w:sz w:val="18"/>
                <w:szCs w:val="18"/>
              </w:rPr>
            </w:pPr>
            <w:r>
              <w:rPr>
                <w:rFonts w:ascii="宋体" w:hAnsi="宋体" w:cs="宋体" w:eastAsia="宋体" w:hint="default"/>
                <w:sz w:val="18"/>
                <w:szCs w:val="18"/>
              </w:rPr>
              <w:t>四、净利润（净亏损以“－”号填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194,303,069.12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169,686,919.15</w:t>
            </w:r>
          </w:p>
        </w:tc>
      </w:tr>
    </w:tbl>
    <w:p>
      <w:pPr>
        <w:spacing w:after="0" w:line="240" w:lineRule="auto"/>
        <w:jc w:val="right"/>
        <w:rPr>
          <w:rFonts w:ascii="Times New Roman" w:hAnsi="Times New Roman" w:cs="Times New Roman" w:eastAsia="Times New Roman" w:hint="default"/>
          <w:sz w:val="18"/>
          <w:szCs w:val="18"/>
        </w:rPr>
        <w:sectPr>
          <w:pgSz w:w="11910" w:h="16840"/>
          <w:pgMar w:header="919" w:footer="1016"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3"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 损以“－”号填列）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194,303,069.12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169,686,919.15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3"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 损以“－”号填列）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-8,234,975.12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3"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 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划变动额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 的其他综合收益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 允价值变动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 允价值变动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54"/>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3"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 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-8,234,975.12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-8,234,975.12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 允价值变动损益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 其他综合收益的金额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 类为可供出售金融资产损益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值准备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54"/>
              <w:jc w:val="center"/>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194,303,069.12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161,451,944.03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9" w:footer="1016" w:top="1120" w:bottom="1200" w:left="1020" w:right="0"/>
        </w:sectPr>
      </w:pPr>
    </w:p>
    <w:p>
      <w:pPr>
        <w:spacing w:line="240" w:lineRule="auto" w:before="5"/>
        <w:rPr>
          <w:rFonts w:ascii="Times New Roman" w:hAnsi="Times New Roman" w:cs="Times New Roman" w:eastAsia="Times New Roman" w:hint="default"/>
          <w:sz w:val="22"/>
          <w:szCs w:val="22"/>
        </w:rPr>
      </w:pPr>
    </w:p>
    <w:p>
      <w:pPr>
        <w:pStyle w:val="Heading3"/>
        <w:spacing w:line="240" w:lineRule="auto" w:before="34"/>
        <w:ind w:right="915"/>
        <w:jc w:val="left"/>
        <w:rPr>
          <w:b w:val="0"/>
          <w:bCs w:val="0"/>
        </w:rPr>
      </w:pPr>
      <w:bookmarkStart w:name="5、合并现金流量表" w:id="163"/>
      <w:bookmarkEnd w:id="163"/>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612,838,947.16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505,454,949.97</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2" w:firstLine="360"/>
              <w:jc w:val="left"/>
              <w:rPr>
                <w:rFonts w:ascii="宋体" w:hAnsi="宋体" w:cs="宋体" w:eastAsia="宋体" w:hint="default"/>
                <w:sz w:val="18"/>
                <w:szCs w:val="18"/>
              </w:rPr>
            </w:pPr>
            <w:r>
              <w:rPr>
                <w:rFonts w:ascii="宋体" w:hAnsi="宋体" w:cs="宋体" w:eastAsia="宋体" w:hint="default"/>
                <w:sz w:val="18"/>
                <w:szCs w:val="18"/>
              </w:rPr>
              <w:t>客户存款和同业存放款项净增 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2" w:firstLine="360"/>
              <w:jc w:val="left"/>
              <w:rPr>
                <w:rFonts w:ascii="宋体" w:hAnsi="宋体" w:cs="宋体" w:eastAsia="宋体" w:hint="default"/>
                <w:sz w:val="18"/>
                <w:szCs w:val="18"/>
              </w:rPr>
            </w:pPr>
            <w:r>
              <w:rPr>
                <w:rFonts w:ascii="宋体" w:hAnsi="宋体" w:cs="宋体" w:eastAsia="宋体" w:hint="default"/>
                <w:sz w:val="18"/>
                <w:szCs w:val="18"/>
              </w:rPr>
              <w:t>向其他金融机构拆入资金净增 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2"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2"/>
              <w:jc w:val="right"/>
              <w:rPr>
                <w:rFonts w:ascii="宋体" w:hAnsi="宋体" w:cs="宋体" w:eastAsia="宋体" w:hint="default"/>
                <w:sz w:val="18"/>
                <w:szCs w:val="18"/>
              </w:rPr>
            </w:pPr>
            <w:r>
              <w:rPr>
                <w:rFonts w:ascii="宋体" w:hAnsi="宋体" w:cs="宋体" w:eastAsia="宋体" w:hint="default"/>
                <w:sz w:val="18"/>
                <w:szCs w:val="18"/>
              </w:rPr>
              <w:t>代理买卖证券收到的现金净额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14,103,567.67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15,987,372.48</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193,370,304.19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106,285,720.21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820,312,819.02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627,728,042.66</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11,714,580.52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15,525,344.90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 w:right="152" w:firstLine="360"/>
              <w:jc w:val="left"/>
              <w:rPr>
                <w:rFonts w:ascii="宋体" w:hAnsi="宋体" w:cs="宋体" w:eastAsia="宋体" w:hint="default"/>
                <w:sz w:val="18"/>
                <w:szCs w:val="18"/>
              </w:rPr>
            </w:pPr>
            <w:r>
              <w:rPr>
                <w:rFonts w:ascii="宋体" w:hAnsi="宋体" w:cs="宋体" w:eastAsia="宋体" w:hint="default"/>
                <w:sz w:val="18"/>
                <w:szCs w:val="18"/>
              </w:rPr>
              <w:t>存放中央银行和同业款项净增 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2"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152"/>
              <w:jc w:val="right"/>
              <w:rPr>
                <w:rFonts w:ascii="宋体" w:hAnsi="宋体" w:cs="宋体" w:eastAsia="宋体" w:hint="default"/>
                <w:sz w:val="18"/>
                <w:szCs w:val="18"/>
              </w:rPr>
            </w:pPr>
            <w:r>
              <w:rPr>
                <w:rFonts w:ascii="宋体" w:hAnsi="宋体" w:cs="宋体" w:eastAsia="宋体" w:hint="default"/>
                <w:sz w:val="18"/>
                <w:szCs w:val="18"/>
              </w:rPr>
              <w:t>支付给职工以及为职工支付的</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428,244,197.54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373,747,412.58</w:t>
            </w:r>
          </w:p>
        </w:tc>
      </w:tr>
    </w:tbl>
    <w:p>
      <w:pPr>
        <w:spacing w:after="0" w:line="240" w:lineRule="auto"/>
        <w:jc w:val="right"/>
        <w:rPr>
          <w:rFonts w:ascii="Times New Roman" w:hAnsi="Times New Roman" w:cs="Times New Roman" w:eastAsia="Times New Roman" w:hint="default"/>
          <w:sz w:val="18"/>
          <w:szCs w:val="18"/>
        </w:rPr>
        <w:sectPr>
          <w:pgSz w:w="11910" w:h="16840"/>
          <w:pgMar w:header="919" w:footer="1016"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36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61,339,760.76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48,002,034.97</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194,427,361.88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239,498,138.55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695,725,900.70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676,772,931.00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124,586,918.32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-49,044,888.34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667,543,714.47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189,325,336.30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2"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 他长期资产收回的现金净额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35,550.00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50,500.00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2"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 到的现金净额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215,526,105.02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122,152,830.19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883,105,369.49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311,528,666.49</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2"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 他长期资产支付的现金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25,692,843.27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114,987,516.56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496,947,700.00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557,198,580.13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2"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 付的现金净额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215,009,140.00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120,000,000.00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737,649,683.27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792,186,096.69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145,455,686.22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-480,657,430.20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2"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 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330,000,000.00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235,520,000.00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330,000,000.00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235,520,000.00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415,717,965.33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2,581,758.55</w:t>
            </w:r>
          </w:p>
        </w:tc>
      </w:tr>
      <w:tr>
        <w:trPr>
          <w:trHeight w:val="71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 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83,061,253.74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116,551,532.22</w:t>
            </w:r>
          </w:p>
        </w:tc>
      </w:tr>
    </w:tbl>
    <w:p>
      <w:pPr>
        <w:spacing w:after="0" w:line="240" w:lineRule="auto"/>
        <w:jc w:val="right"/>
        <w:rPr>
          <w:rFonts w:ascii="Times New Roman" w:hAnsi="Times New Roman" w:cs="Times New Roman" w:eastAsia="Times New Roman" w:hint="default"/>
          <w:sz w:val="18"/>
          <w:szCs w:val="18"/>
        </w:rPr>
        <w:sectPr>
          <w:pgSz w:w="11910" w:h="16840"/>
          <w:pgMar w:header="919" w:footer="1016"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2"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 的股利、利润</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1,184,330.00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1,631,475.00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499,963,549.07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120,764,765.77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-169,963,549.07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114,755,234.23</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 的影响</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0.02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100,079,055.49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-414,947,084.25</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372,002,940.35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786,950,024.60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472,081,995.84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372,002,940.35</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4"/>
        <w:ind w:right="915"/>
        <w:jc w:val="left"/>
        <w:rPr>
          <w:b w:val="0"/>
          <w:bCs w:val="0"/>
        </w:rPr>
      </w:pPr>
      <w:bookmarkStart w:name="6、母公司现金流量表" w:id="164"/>
      <w:bookmarkEnd w:id="164"/>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572,450,962.99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482,468,989.47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14,103,567.67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15,987,372.48</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21,054,154.64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20,598,320.90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607,608,685.30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519,054,682.85</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13,003,450.48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10,891,741.00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2" w:firstLine="360"/>
              <w:jc w:val="left"/>
              <w:rPr>
                <w:rFonts w:ascii="宋体" w:hAnsi="宋体" w:cs="宋体" w:eastAsia="宋体" w:hint="default"/>
                <w:sz w:val="18"/>
                <w:szCs w:val="18"/>
              </w:rPr>
            </w:pPr>
            <w:r>
              <w:rPr>
                <w:rFonts w:ascii="宋体" w:hAnsi="宋体" w:cs="宋体" w:eastAsia="宋体" w:hint="default"/>
                <w:sz w:val="18"/>
                <w:szCs w:val="18"/>
              </w:rPr>
              <w:t>支付给职工以及为职工支付的 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414,200,851.52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362,232,947.71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53,786,956.96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36,738,673.83</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79,284,500.59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67,979,700.85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560,275,759.55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477,843,063.39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47,332,925.75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41,211,619.46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606,980,919.95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257,278,733.37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2"/>
              <w:ind w:left="46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31,800.00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50,500.00</w:t>
            </w:r>
          </w:p>
        </w:tc>
      </w:tr>
    </w:tbl>
    <w:p>
      <w:pPr>
        <w:spacing w:after="0" w:line="240" w:lineRule="auto"/>
        <w:jc w:val="right"/>
        <w:rPr>
          <w:rFonts w:ascii="Times New Roman" w:hAnsi="Times New Roman" w:cs="Times New Roman" w:eastAsia="Times New Roman" w:hint="default"/>
          <w:sz w:val="18"/>
          <w:szCs w:val="18"/>
        </w:rPr>
        <w:sectPr>
          <w:pgSz w:w="11910" w:h="16840"/>
          <w:pgMar w:header="919" w:footer="1016"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36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他长期资产收回的现金净额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2"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 到的现金净额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607,012,719.95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257,329,233.37</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2"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 他长期资产支付的现金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25,528,843.27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114,862,671.06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438,947,700.00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537,198,580.13</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2"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 付的现金净额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464,476,543.27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652,061,251.19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142,536,176.68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-394,732,017.82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50,717,965.33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2,061,758.55</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 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76,703,665.17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114,059,217.70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1,184,330.00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1,631,475.00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128,605,960.50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117,752,451.25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-78,605,960.50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-67,752,451.25</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 的影响</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0.02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2"/>
                <w:sz w:val="18"/>
              </w:rPr>
              <w:t>111,263,141.95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-421,272,849.55</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349,704,956.66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770,977,806.21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460,968,098.61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349,704,956.66</w:t>
            </w:r>
          </w:p>
        </w:tc>
      </w:tr>
    </w:tbl>
    <w:p>
      <w:pPr>
        <w:spacing w:line="240" w:lineRule="auto" w:before="5"/>
        <w:rPr>
          <w:rFonts w:ascii="宋体" w:hAnsi="宋体" w:cs="宋体" w:eastAsia="宋体" w:hint="default"/>
          <w:sz w:val="19"/>
          <w:szCs w:val="19"/>
        </w:rPr>
      </w:pPr>
    </w:p>
    <w:p>
      <w:pPr>
        <w:pStyle w:val="Heading3"/>
        <w:spacing w:line="240" w:lineRule="auto" w:before="34"/>
        <w:ind w:right="915"/>
        <w:jc w:val="left"/>
        <w:rPr>
          <w:b w:val="0"/>
          <w:bCs w:val="0"/>
        </w:rPr>
      </w:pPr>
      <w:bookmarkStart w:name="7、合并所有者权益变动表" w:id="165"/>
      <w:bookmarkEnd w:id="165"/>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15"/>
        <w:jc w:val="left"/>
      </w:pPr>
      <w:r>
        <w:rPr/>
        <w:t>本期金额</w:t>
      </w:r>
    </w:p>
    <w:p>
      <w:pPr>
        <w:spacing w:after="0" w:line="240" w:lineRule="auto"/>
        <w:jc w:val="left"/>
        <w:sectPr>
          <w:pgSz w:w="11910" w:h="16840"/>
          <w:pgMar w:header="919" w:footer="1016" w:top="1120" w:bottom="1200" w:left="1020" w:right="0"/>
        </w:sectPr>
      </w:pPr>
    </w:p>
    <w:p>
      <w:pPr>
        <w:spacing w:line="240" w:lineRule="auto" w:before="12"/>
        <w:rPr>
          <w:rFonts w:ascii="宋体" w:hAnsi="宋体" w:cs="宋体" w:eastAsia="宋体" w:hint="default"/>
          <w:sz w:val="20"/>
          <w:szCs w:val="20"/>
        </w:rPr>
      </w:pPr>
    </w:p>
    <w:p>
      <w:pPr>
        <w:pStyle w:val="BodyText"/>
        <w:spacing w:line="240" w:lineRule="auto" w:before="44"/>
        <w:ind w:left="0" w:right="1132"/>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53"/>
        <w:gridCol w:w="493"/>
        <w:gridCol w:w="466"/>
        <w:gridCol w:w="467"/>
        <w:gridCol w:w="468"/>
        <w:gridCol w:w="583"/>
        <w:gridCol w:w="584"/>
        <w:gridCol w:w="584"/>
        <w:gridCol w:w="584"/>
        <w:gridCol w:w="583"/>
        <w:gridCol w:w="584"/>
        <w:gridCol w:w="584"/>
        <w:gridCol w:w="584"/>
        <w:gridCol w:w="584"/>
        <w:gridCol w:w="584"/>
        <w:gridCol w:w="578"/>
      </w:tblGrid>
      <w:tr>
        <w:trPr>
          <w:trHeight w:val="402" w:hRule="exact"/>
        </w:trPr>
        <w:tc>
          <w:tcPr>
            <w:tcW w:w="12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10"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02" w:hRule="exact"/>
        </w:trPr>
        <w:tc>
          <w:tcPr>
            <w:tcW w:w="1253" w:type="dxa"/>
            <w:vMerge/>
            <w:tcBorders>
              <w:left w:val="single" w:sz="4" w:space="0" w:color="000000"/>
              <w:right w:val="single" w:sz="4" w:space="0" w:color="000000"/>
            </w:tcBorders>
            <w:shd w:val="clear" w:color="auto" w:fill="D2D2D2"/>
          </w:tcPr>
          <w:p>
            <w:pPr/>
          </w:p>
        </w:tc>
        <w:tc>
          <w:tcPr>
            <w:tcW w:w="7148"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316" w:lineRule="auto"/>
              <w:ind w:left="108" w:right="104"/>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105" w:right="101"/>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402" w:hRule="exact"/>
        </w:trPr>
        <w:tc>
          <w:tcPr>
            <w:tcW w:w="1253" w:type="dxa"/>
            <w:vMerge/>
            <w:tcBorders>
              <w:left w:val="single" w:sz="4" w:space="0" w:color="000000"/>
              <w:right w:val="single" w:sz="4" w:space="0" w:color="000000"/>
            </w:tcBorders>
            <w:shd w:val="clear" w:color="auto" w:fill="D2D2D2"/>
          </w:tcPr>
          <w:p>
            <w:pPr/>
          </w:p>
        </w:tc>
        <w:tc>
          <w:tcPr>
            <w:tcW w:w="4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52" w:right="149"/>
              <w:jc w:val="left"/>
              <w:rPr>
                <w:rFonts w:ascii="宋体" w:hAnsi="宋体" w:cs="宋体" w:eastAsia="宋体" w:hint="default"/>
                <w:sz w:val="18"/>
                <w:szCs w:val="18"/>
              </w:rPr>
            </w:pPr>
            <w:r>
              <w:rPr>
                <w:rFonts w:ascii="宋体" w:hAnsi="宋体" w:cs="宋体" w:eastAsia="宋体" w:hint="default"/>
                <w:sz w:val="18"/>
                <w:szCs w:val="18"/>
              </w:rPr>
              <w:t>股 本</w:t>
            </w:r>
          </w:p>
        </w:tc>
        <w:tc>
          <w:tcPr>
            <w:tcW w:w="14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06" w:right="105"/>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06" w:right="106"/>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08" w:right="104"/>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07" w:right="10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06" w:right="105"/>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06" w:right="105"/>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08" w:right="104"/>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4"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026" w:hRule="exact"/>
        </w:trPr>
        <w:tc>
          <w:tcPr>
            <w:tcW w:w="1253" w:type="dxa"/>
            <w:vMerge/>
            <w:tcBorders>
              <w:left w:val="single" w:sz="4" w:space="0" w:color="000000"/>
              <w:bottom w:val="single" w:sz="4" w:space="0" w:color="000000"/>
              <w:right w:val="single" w:sz="4" w:space="0" w:color="000000"/>
            </w:tcBorders>
            <w:shd w:val="clear" w:color="auto" w:fill="D2D2D2"/>
          </w:tcPr>
          <w:p>
            <w:pPr/>
          </w:p>
        </w:tc>
        <w:tc>
          <w:tcPr>
            <w:tcW w:w="493" w:type="dxa"/>
            <w:vMerge/>
            <w:tcBorders>
              <w:left w:val="single" w:sz="4" w:space="0" w:color="000000"/>
              <w:bottom w:val="single" w:sz="4" w:space="0" w:color="000000"/>
              <w:right w:val="single" w:sz="4" w:space="0" w:color="000000"/>
            </w:tcBorders>
            <w:shd w:val="clear" w:color="auto" w:fill="D2D2D2"/>
          </w:tcPr>
          <w:p>
            <w:pPr/>
          </w:p>
        </w:tc>
        <w:tc>
          <w:tcPr>
            <w:tcW w:w="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39" w:right="135"/>
              <w:jc w:val="both"/>
              <w:rPr>
                <w:rFonts w:ascii="宋体" w:hAnsi="宋体" w:cs="宋体" w:eastAsia="宋体" w:hint="default"/>
                <w:sz w:val="18"/>
                <w:szCs w:val="18"/>
              </w:rPr>
            </w:pPr>
            <w:r>
              <w:rPr>
                <w:rFonts w:ascii="宋体" w:hAnsi="宋体" w:cs="宋体" w:eastAsia="宋体" w:hint="default"/>
                <w:sz w:val="18"/>
                <w:szCs w:val="18"/>
              </w:rPr>
              <w:t>优 先 股</w:t>
            </w:r>
          </w:p>
        </w:tc>
        <w:tc>
          <w:tcPr>
            <w:tcW w:w="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38" w:right="136"/>
              <w:jc w:val="both"/>
              <w:rPr>
                <w:rFonts w:ascii="宋体" w:hAnsi="宋体" w:cs="宋体" w:eastAsia="宋体" w:hint="default"/>
                <w:sz w:val="18"/>
                <w:szCs w:val="18"/>
              </w:rPr>
            </w:pPr>
            <w:r>
              <w:rPr>
                <w:rFonts w:ascii="宋体" w:hAnsi="宋体" w:cs="宋体" w:eastAsia="宋体" w:hint="default"/>
                <w:sz w:val="18"/>
                <w:szCs w:val="18"/>
              </w:rPr>
              <w:t>永 续 债</w:t>
            </w:r>
          </w:p>
        </w:tc>
        <w:tc>
          <w:tcPr>
            <w:tcW w:w="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39" w:right="136"/>
              <w:jc w:val="left"/>
              <w:rPr>
                <w:rFonts w:ascii="宋体" w:hAnsi="宋体" w:cs="宋体" w:eastAsia="宋体" w:hint="default"/>
                <w:sz w:val="18"/>
                <w:szCs w:val="18"/>
              </w:rPr>
            </w:pPr>
            <w:r>
              <w:rPr>
                <w:rFonts w:ascii="宋体" w:hAnsi="宋体" w:cs="宋体" w:eastAsia="宋体" w:hint="default"/>
                <w:sz w:val="18"/>
                <w:szCs w:val="18"/>
              </w:rPr>
              <w:t>其 他</w:t>
            </w:r>
          </w:p>
        </w:tc>
        <w:tc>
          <w:tcPr>
            <w:tcW w:w="583"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r>
      <w:tr>
        <w:trPr>
          <w:trHeight w:val="1650"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101" w:right="100"/>
              <w:jc w:val="left"/>
              <w:rPr>
                <w:rFonts w:ascii="宋体" w:hAnsi="宋体" w:cs="宋体" w:eastAsia="宋体" w:hint="default"/>
                <w:sz w:val="18"/>
                <w:szCs w:val="18"/>
              </w:rPr>
            </w:pPr>
            <w:r>
              <w:rPr>
                <w:rFonts w:ascii="宋体" w:hAnsi="宋体" w:cs="宋体" w:eastAsia="宋体" w:hint="default"/>
                <w:spacing w:val="-7"/>
                <w:sz w:val="18"/>
                <w:szCs w:val="18"/>
              </w:rPr>
              <w:t>一、上年期末</w:t>
            </w:r>
            <w:r>
              <w:rPr>
                <w:rFonts w:ascii="宋体" w:hAnsi="宋体" w:cs="宋体" w:eastAsia="宋体" w:hint="default"/>
                <w:sz w:val="18"/>
                <w:szCs w:val="18"/>
              </w:rPr>
              <w:t> 余额</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9" w:right="0"/>
              <w:jc w:val="left"/>
              <w:rPr>
                <w:rFonts w:ascii="Times New Roman" w:hAnsi="Times New Roman" w:cs="Times New Roman" w:eastAsia="Times New Roman" w:hint="default"/>
                <w:sz w:val="18"/>
                <w:szCs w:val="18"/>
              </w:rPr>
            </w:pPr>
            <w:r>
              <w:rPr>
                <w:rFonts w:ascii="Times New Roman"/>
                <w:sz w:val="18"/>
              </w:rPr>
              <w:t>742</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,21</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4,5</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80.</w:t>
            </w:r>
          </w:p>
          <w:p>
            <w:pPr>
              <w:pStyle w:val="TableParagraph"/>
              <w:spacing w:line="240" w:lineRule="auto" w:before="105"/>
              <w:ind w:left="200" w:right="0"/>
              <w:jc w:val="left"/>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1,54</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0,99</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2,22</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0.53</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35,2</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77,7</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42.5</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0</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-6,1</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29,5</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36.4</w:t>
            </w:r>
          </w:p>
          <w:p>
            <w:pPr>
              <w:pStyle w:val="TableParagraph"/>
              <w:spacing w:line="240" w:lineRule="auto" w:before="105"/>
              <w:ind w:left="278" w:right="0"/>
              <w:jc w:val="center"/>
              <w:rPr>
                <w:rFonts w:ascii="Times New Roman" w:hAnsi="Times New Roman" w:cs="Times New Roman" w:eastAsia="Times New Roman" w:hint="default"/>
                <w:sz w:val="18"/>
                <w:szCs w:val="18"/>
              </w:rPr>
            </w:pPr>
            <w:r>
              <w:rPr>
                <w:rFonts w:ascii="Times New Roman"/>
                <w:sz w:val="18"/>
              </w:rPr>
              <w:t>7</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72,1</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93,6</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45.9</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6</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399,</w:t>
            </w:r>
          </w:p>
          <w:p>
            <w:pPr>
              <w:pStyle w:val="TableParagraph"/>
              <w:spacing w:line="240" w:lineRule="auto" w:before="105"/>
              <w:ind w:left="54" w:right="0"/>
              <w:jc w:val="center"/>
              <w:rPr>
                <w:rFonts w:ascii="Times New Roman" w:hAnsi="Times New Roman" w:cs="Times New Roman" w:eastAsia="Times New Roman" w:hint="default"/>
                <w:sz w:val="18"/>
                <w:szCs w:val="18"/>
              </w:rPr>
            </w:pPr>
            <w:r>
              <w:rPr>
                <w:rFonts w:ascii="Times New Roman"/>
                <w:sz w:val="18"/>
              </w:rPr>
              <w:t>658,</w:t>
            </w:r>
          </w:p>
          <w:p>
            <w:pPr>
              <w:pStyle w:val="TableParagraph"/>
              <w:spacing w:line="240" w:lineRule="auto" w:before="105"/>
              <w:ind w:left="54" w:right="0"/>
              <w:jc w:val="center"/>
              <w:rPr>
                <w:rFonts w:ascii="Times New Roman" w:hAnsi="Times New Roman" w:cs="Times New Roman" w:eastAsia="Times New Roman" w:hint="default"/>
                <w:sz w:val="18"/>
                <w:szCs w:val="18"/>
              </w:rPr>
            </w:pPr>
            <w:r>
              <w:rPr>
                <w:rFonts w:ascii="Times New Roman"/>
                <w:sz w:val="18"/>
              </w:rPr>
              <w:t>743.</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99</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2,71</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3,65</w:t>
            </w:r>
          </w:p>
          <w:p>
            <w:pPr>
              <w:pStyle w:val="TableParagraph"/>
              <w:spacing w:line="240" w:lineRule="auto" w:before="105"/>
              <w:ind w:left="164" w:right="0"/>
              <w:jc w:val="left"/>
              <w:rPr>
                <w:rFonts w:ascii="Times New Roman" w:hAnsi="Times New Roman" w:cs="Times New Roman" w:eastAsia="Times New Roman" w:hint="default"/>
                <w:sz w:val="18"/>
                <w:szCs w:val="18"/>
              </w:rPr>
            </w:pPr>
            <w:r>
              <w:rPr>
                <w:rFonts w:ascii="Times New Roman"/>
                <w:sz w:val="18"/>
              </w:rPr>
              <w:t>1,91</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1.51</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121,</w:t>
            </w:r>
          </w:p>
          <w:p>
            <w:pPr>
              <w:pStyle w:val="TableParagraph"/>
              <w:spacing w:line="240" w:lineRule="auto" w:before="105"/>
              <w:ind w:left="54" w:right="0"/>
              <w:jc w:val="center"/>
              <w:rPr>
                <w:rFonts w:ascii="Times New Roman" w:hAnsi="Times New Roman" w:cs="Times New Roman" w:eastAsia="Times New Roman" w:hint="default"/>
                <w:sz w:val="18"/>
                <w:szCs w:val="18"/>
              </w:rPr>
            </w:pPr>
            <w:r>
              <w:rPr>
                <w:rFonts w:ascii="Times New Roman"/>
                <w:sz w:val="18"/>
              </w:rPr>
              <w:t>078,</w:t>
            </w:r>
          </w:p>
          <w:p>
            <w:pPr>
              <w:pStyle w:val="TableParagraph"/>
              <w:spacing w:line="240" w:lineRule="auto" w:before="105"/>
              <w:ind w:left="54" w:right="0"/>
              <w:jc w:val="center"/>
              <w:rPr>
                <w:rFonts w:ascii="Times New Roman" w:hAnsi="Times New Roman" w:cs="Times New Roman" w:eastAsia="Times New Roman" w:hint="default"/>
                <w:sz w:val="18"/>
                <w:szCs w:val="18"/>
              </w:rPr>
            </w:pPr>
            <w:r>
              <w:rPr>
                <w:rFonts w:ascii="Times New Roman"/>
                <w:sz w:val="18"/>
              </w:rPr>
              <w:t>029.</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06</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2,83</w:t>
            </w:r>
          </w:p>
          <w:p>
            <w:pPr>
              <w:pStyle w:val="TableParagraph"/>
              <w:spacing w:line="240" w:lineRule="auto" w:before="105"/>
              <w:ind w:left="150" w:right="0"/>
              <w:jc w:val="left"/>
              <w:rPr>
                <w:rFonts w:ascii="Times New Roman" w:hAnsi="Times New Roman" w:cs="Times New Roman" w:eastAsia="Times New Roman" w:hint="default"/>
                <w:sz w:val="18"/>
                <w:szCs w:val="18"/>
              </w:rPr>
            </w:pPr>
            <w:r>
              <w:rPr>
                <w:rFonts w:ascii="Times New Roman"/>
                <w:sz w:val="18"/>
              </w:rPr>
              <w:t>4,72</w:t>
            </w:r>
          </w:p>
          <w:p>
            <w:pPr>
              <w:pStyle w:val="TableParagraph"/>
              <w:spacing w:line="240" w:lineRule="auto" w:before="105"/>
              <w:ind w:left="150" w:right="0"/>
              <w:jc w:val="left"/>
              <w:rPr>
                <w:rFonts w:ascii="Times New Roman" w:hAnsi="Times New Roman" w:cs="Times New Roman" w:eastAsia="Times New Roman" w:hint="default"/>
                <w:sz w:val="18"/>
                <w:szCs w:val="18"/>
              </w:rPr>
            </w:pPr>
            <w:r>
              <w:rPr>
                <w:rFonts w:ascii="Times New Roman"/>
                <w:sz w:val="18"/>
              </w:rPr>
              <w:t>9,94</w:t>
            </w:r>
          </w:p>
          <w:p>
            <w:pPr>
              <w:pStyle w:val="TableParagraph"/>
              <w:spacing w:line="240" w:lineRule="auto" w:before="105"/>
              <w:ind w:left="150" w:right="0"/>
              <w:jc w:val="left"/>
              <w:rPr>
                <w:rFonts w:ascii="Times New Roman" w:hAnsi="Times New Roman" w:cs="Times New Roman" w:eastAsia="Times New Roman" w:hint="default"/>
                <w:sz w:val="18"/>
                <w:szCs w:val="18"/>
              </w:rPr>
            </w:pPr>
            <w:r>
              <w:rPr>
                <w:rFonts w:ascii="Times New Roman"/>
                <w:sz w:val="18"/>
              </w:rPr>
              <w:t>0.57</w:t>
            </w:r>
          </w:p>
        </w:tc>
      </w:tr>
      <w:tr>
        <w:trPr>
          <w:trHeight w:val="133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1" w:right="100" w:firstLine="360"/>
              <w:jc w:val="left"/>
              <w:rPr>
                <w:rFonts w:ascii="宋体" w:hAnsi="宋体" w:cs="宋体" w:eastAsia="宋体" w:hint="default"/>
                <w:sz w:val="18"/>
                <w:szCs w:val="18"/>
              </w:rPr>
            </w:pPr>
            <w:r>
              <w:rPr>
                <w:rFonts w:ascii="宋体" w:hAnsi="宋体" w:cs="宋体" w:eastAsia="宋体" w:hint="default"/>
                <w:spacing w:val="-11"/>
                <w:sz w:val="18"/>
                <w:szCs w:val="18"/>
              </w:rPr>
              <w:t>加：会计</w:t>
            </w:r>
            <w:r>
              <w:rPr>
                <w:rFonts w:ascii="宋体" w:hAnsi="宋体" w:cs="宋体" w:eastAsia="宋体" w:hint="default"/>
                <w:sz w:val="18"/>
                <w:szCs w:val="18"/>
              </w:rPr>
              <w:t> 政策变更</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5,08</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6,90</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2.37</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-383</w:t>
            </w:r>
          </w:p>
          <w:p>
            <w:pPr>
              <w:pStyle w:val="TableParagraph"/>
              <w:spacing w:line="240" w:lineRule="auto" w:before="105"/>
              <w:ind w:left="8" w:right="0"/>
              <w:jc w:val="center"/>
              <w:rPr>
                <w:rFonts w:ascii="Times New Roman" w:hAnsi="Times New Roman" w:cs="Times New Roman" w:eastAsia="Times New Roman" w:hint="default"/>
                <w:sz w:val="18"/>
                <w:szCs w:val="18"/>
              </w:rPr>
            </w:pPr>
            <w:r>
              <w:rPr>
                <w:rFonts w:ascii="Times New Roman"/>
                <w:sz w:val="18"/>
              </w:rPr>
              <w:t>,080.</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61</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-3,4</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34,4</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38.4</w:t>
            </w:r>
          </w:p>
          <w:p>
            <w:pPr>
              <w:pStyle w:val="TableParagraph"/>
              <w:spacing w:line="240" w:lineRule="auto" w:before="105"/>
              <w:ind w:left="279" w:right="0"/>
              <w:jc w:val="center"/>
              <w:rPr>
                <w:rFonts w:ascii="Times New Roman" w:hAnsi="Times New Roman" w:cs="Times New Roman" w:eastAsia="Times New Roman" w:hint="default"/>
                <w:sz w:val="18"/>
                <w:szCs w:val="18"/>
              </w:rPr>
            </w:pPr>
            <w:r>
              <w:rPr>
                <w:rFonts w:ascii="Times New Roman"/>
                <w:sz w:val="18"/>
              </w:rPr>
              <w:t>9</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1,26</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9,38</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3.27</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11,3</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87.0</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4</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1,28</w:t>
            </w:r>
          </w:p>
          <w:p>
            <w:pPr>
              <w:pStyle w:val="TableParagraph"/>
              <w:spacing w:line="240" w:lineRule="auto" w:before="105"/>
              <w:ind w:left="150" w:right="0"/>
              <w:jc w:val="left"/>
              <w:rPr>
                <w:rFonts w:ascii="Times New Roman" w:hAnsi="Times New Roman" w:cs="Times New Roman" w:eastAsia="Times New Roman" w:hint="default"/>
                <w:sz w:val="18"/>
                <w:szCs w:val="18"/>
              </w:rPr>
            </w:pPr>
            <w:r>
              <w:rPr>
                <w:rFonts w:ascii="Times New Roman"/>
                <w:sz w:val="18"/>
              </w:rPr>
              <w:t>0,77</w:t>
            </w:r>
          </w:p>
          <w:p>
            <w:pPr>
              <w:pStyle w:val="TableParagraph"/>
              <w:spacing w:line="240" w:lineRule="auto" w:before="105"/>
              <w:ind w:left="150" w:right="0"/>
              <w:jc w:val="left"/>
              <w:rPr>
                <w:rFonts w:ascii="Times New Roman" w:hAnsi="Times New Roman" w:cs="Times New Roman" w:eastAsia="Times New Roman" w:hint="default"/>
                <w:sz w:val="18"/>
                <w:szCs w:val="18"/>
              </w:rPr>
            </w:pPr>
            <w:r>
              <w:rPr>
                <w:rFonts w:ascii="Times New Roman"/>
                <w:sz w:val="18"/>
              </w:rPr>
              <w:t>0.31</w:t>
            </w:r>
          </w:p>
        </w:tc>
      </w:tr>
      <w:tr>
        <w:trPr>
          <w:trHeight w:val="714"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239" w:firstLine="720"/>
              <w:jc w:val="left"/>
              <w:rPr>
                <w:rFonts w:ascii="宋体" w:hAnsi="宋体" w:cs="宋体" w:eastAsia="宋体" w:hint="default"/>
                <w:sz w:val="18"/>
                <w:szCs w:val="18"/>
              </w:rPr>
            </w:pPr>
            <w:r>
              <w:rPr>
                <w:rFonts w:ascii="宋体" w:hAnsi="宋体" w:cs="宋体" w:eastAsia="宋体" w:hint="default"/>
                <w:sz w:val="18"/>
                <w:szCs w:val="18"/>
              </w:rPr>
              <w:t>前 期差错更正</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 w:right="239" w:firstLine="720"/>
              <w:jc w:val="both"/>
              <w:rPr>
                <w:rFonts w:ascii="宋体" w:hAnsi="宋体" w:cs="宋体" w:eastAsia="宋体" w:hint="default"/>
                <w:sz w:val="18"/>
                <w:szCs w:val="18"/>
              </w:rPr>
            </w:pPr>
            <w:r>
              <w:rPr>
                <w:rFonts w:ascii="宋体" w:hAnsi="宋体" w:cs="宋体" w:eastAsia="宋体" w:hint="default"/>
                <w:sz w:val="18"/>
                <w:szCs w:val="18"/>
              </w:rPr>
              <w:t>同 一控制下企 业合并</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2" w:right="0"/>
              <w:jc w:val="left"/>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他</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101" w:right="100"/>
              <w:jc w:val="left"/>
              <w:rPr>
                <w:rFonts w:ascii="宋体" w:hAnsi="宋体" w:cs="宋体" w:eastAsia="宋体" w:hint="default"/>
                <w:sz w:val="18"/>
                <w:szCs w:val="18"/>
              </w:rPr>
            </w:pPr>
            <w:r>
              <w:rPr>
                <w:rFonts w:ascii="宋体" w:hAnsi="宋体" w:cs="宋体" w:eastAsia="宋体" w:hint="default"/>
                <w:spacing w:val="-7"/>
                <w:sz w:val="18"/>
                <w:szCs w:val="18"/>
              </w:rPr>
              <w:t>二、本年期初</w:t>
            </w:r>
            <w:r>
              <w:rPr>
                <w:rFonts w:ascii="宋体" w:hAnsi="宋体" w:cs="宋体" w:eastAsia="宋体" w:hint="default"/>
                <w:sz w:val="18"/>
                <w:szCs w:val="18"/>
              </w:rPr>
              <w:t> 余额</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742</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,21</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4,5</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80.</w:t>
            </w:r>
          </w:p>
          <w:p>
            <w:pPr>
              <w:pStyle w:val="TableParagraph"/>
              <w:spacing w:line="240" w:lineRule="auto" w:before="105"/>
              <w:ind w:left="200" w:right="0"/>
              <w:jc w:val="left"/>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1,54</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0,99</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2,22</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0.53</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35,2</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77,7</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42.5</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0</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-1,0</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42,6</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34.1</w:t>
            </w:r>
          </w:p>
          <w:p>
            <w:pPr>
              <w:pStyle w:val="TableParagraph"/>
              <w:spacing w:line="240" w:lineRule="auto" w:before="105"/>
              <w:ind w:left="278" w:right="0"/>
              <w:jc w:val="center"/>
              <w:rPr>
                <w:rFonts w:ascii="Times New Roman" w:hAnsi="Times New Roman" w:cs="Times New Roman" w:eastAsia="Times New Roman" w:hint="default"/>
                <w:sz w:val="18"/>
                <w:szCs w:val="18"/>
              </w:rPr>
            </w:pPr>
            <w:r>
              <w:rPr>
                <w:rFonts w:ascii="Times New Roman"/>
                <w:sz w:val="18"/>
              </w:rPr>
              <w:t>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71,8</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10,5</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65.3</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5</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396,</w:t>
            </w:r>
          </w:p>
          <w:p>
            <w:pPr>
              <w:pStyle w:val="TableParagraph"/>
              <w:spacing w:line="240" w:lineRule="auto" w:before="105"/>
              <w:ind w:left="54" w:right="0"/>
              <w:jc w:val="center"/>
              <w:rPr>
                <w:rFonts w:ascii="Times New Roman" w:hAnsi="Times New Roman" w:cs="Times New Roman" w:eastAsia="Times New Roman" w:hint="default"/>
                <w:sz w:val="18"/>
                <w:szCs w:val="18"/>
              </w:rPr>
            </w:pPr>
            <w:r>
              <w:rPr>
                <w:rFonts w:ascii="Times New Roman"/>
                <w:sz w:val="18"/>
              </w:rPr>
              <w:t>224,</w:t>
            </w:r>
          </w:p>
          <w:p>
            <w:pPr>
              <w:pStyle w:val="TableParagraph"/>
              <w:spacing w:line="240" w:lineRule="auto" w:before="105"/>
              <w:ind w:left="54" w:right="0"/>
              <w:jc w:val="center"/>
              <w:rPr>
                <w:rFonts w:ascii="Times New Roman" w:hAnsi="Times New Roman" w:cs="Times New Roman" w:eastAsia="Times New Roman" w:hint="default"/>
                <w:sz w:val="18"/>
                <w:szCs w:val="18"/>
              </w:rPr>
            </w:pPr>
            <w:r>
              <w:rPr>
                <w:rFonts w:ascii="Times New Roman"/>
                <w:sz w:val="18"/>
              </w:rPr>
              <w:t>305.</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50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2,71</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4,92</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1,29</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4.78</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121,</w:t>
            </w:r>
          </w:p>
          <w:p>
            <w:pPr>
              <w:pStyle w:val="TableParagraph"/>
              <w:spacing w:line="240" w:lineRule="auto" w:before="105"/>
              <w:ind w:left="54" w:right="0"/>
              <w:jc w:val="center"/>
              <w:rPr>
                <w:rFonts w:ascii="Times New Roman" w:hAnsi="Times New Roman" w:cs="Times New Roman" w:eastAsia="Times New Roman" w:hint="default"/>
                <w:sz w:val="18"/>
                <w:szCs w:val="18"/>
              </w:rPr>
            </w:pPr>
            <w:r>
              <w:rPr>
                <w:rFonts w:ascii="Times New Roman"/>
                <w:sz w:val="18"/>
              </w:rPr>
              <w:t>089,</w:t>
            </w:r>
          </w:p>
          <w:p>
            <w:pPr>
              <w:pStyle w:val="TableParagraph"/>
              <w:spacing w:line="240" w:lineRule="auto" w:before="105"/>
              <w:ind w:left="54" w:right="0"/>
              <w:jc w:val="center"/>
              <w:rPr>
                <w:rFonts w:ascii="Times New Roman" w:hAnsi="Times New Roman" w:cs="Times New Roman" w:eastAsia="Times New Roman" w:hint="default"/>
                <w:sz w:val="18"/>
                <w:szCs w:val="18"/>
              </w:rPr>
            </w:pPr>
            <w:r>
              <w:rPr>
                <w:rFonts w:ascii="Times New Roman"/>
                <w:sz w:val="18"/>
              </w:rPr>
              <w:t>416.</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10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2,83</w:t>
            </w:r>
          </w:p>
          <w:p>
            <w:pPr>
              <w:pStyle w:val="TableParagraph"/>
              <w:spacing w:line="240" w:lineRule="auto" w:before="105"/>
              <w:ind w:left="150" w:right="0"/>
              <w:jc w:val="left"/>
              <w:rPr>
                <w:rFonts w:ascii="Times New Roman" w:hAnsi="Times New Roman" w:cs="Times New Roman" w:eastAsia="Times New Roman" w:hint="default"/>
                <w:sz w:val="18"/>
                <w:szCs w:val="18"/>
              </w:rPr>
            </w:pPr>
            <w:r>
              <w:rPr>
                <w:rFonts w:ascii="Times New Roman"/>
                <w:sz w:val="18"/>
              </w:rPr>
              <w:t>6,01</w:t>
            </w:r>
          </w:p>
          <w:p>
            <w:pPr>
              <w:pStyle w:val="TableParagraph"/>
              <w:spacing w:line="240" w:lineRule="auto" w:before="105"/>
              <w:ind w:left="150" w:right="0"/>
              <w:jc w:val="left"/>
              <w:rPr>
                <w:rFonts w:ascii="Times New Roman" w:hAnsi="Times New Roman" w:cs="Times New Roman" w:eastAsia="Times New Roman" w:hint="default"/>
                <w:sz w:val="18"/>
                <w:szCs w:val="18"/>
              </w:rPr>
            </w:pPr>
            <w:r>
              <w:rPr>
                <w:rFonts w:ascii="Times New Roman"/>
                <w:sz w:val="18"/>
              </w:rPr>
              <w:t>0,71</w:t>
            </w:r>
          </w:p>
          <w:p>
            <w:pPr>
              <w:pStyle w:val="TableParagraph"/>
              <w:spacing w:line="240" w:lineRule="auto" w:before="105"/>
              <w:ind w:left="150" w:right="0"/>
              <w:jc w:val="left"/>
              <w:rPr>
                <w:rFonts w:ascii="Times New Roman" w:hAnsi="Times New Roman" w:cs="Times New Roman" w:eastAsia="Times New Roman" w:hint="default"/>
                <w:sz w:val="18"/>
                <w:szCs w:val="18"/>
              </w:rPr>
            </w:pPr>
            <w:r>
              <w:rPr>
                <w:rFonts w:ascii="Times New Roman"/>
                <w:sz w:val="18"/>
              </w:rPr>
              <w:t>0.88</w:t>
            </w:r>
          </w:p>
        </w:tc>
      </w:tr>
      <w:tr>
        <w:trPr>
          <w:trHeight w:val="133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00"/>
              <w:jc w:val="both"/>
              <w:rPr>
                <w:rFonts w:ascii="宋体" w:hAnsi="宋体" w:cs="宋体" w:eastAsia="宋体" w:hint="default"/>
                <w:sz w:val="18"/>
                <w:szCs w:val="18"/>
              </w:rPr>
            </w:pPr>
            <w:r>
              <w:rPr>
                <w:rFonts w:ascii="宋体" w:hAnsi="宋体" w:cs="宋体" w:eastAsia="宋体" w:hint="default"/>
                <w:spacing w:val="-7"/>
                <w:sz w:val="18"/>
                <w:szCs w:val="18"/>
              </w:rPr>
              <w:t>三、本期增减</w:t>
            </w:r>
            <w:r>
              <w:rPr>
                <w:rFonts w:ascii="宋体" w:hAnsi="宋体" w:cs="宋体" w:eastAsia="宋体" w:hint="default"/>
                <w:sz w:val="18"/>
                <w:szCs w:val="18"/>
              </w:rPr>
              <w:t> </w:t>
            </w:r>
            <w:r>
              <w:rPr>
                <w:rFonts w:ascii="宋体" w:hAnsi="宋体" w:cs="宋体" w:eastAsia="宋体" w:hint="default"/>
                <w:spacing w:val="-7"/>
                <w:sz w:val="18"/>
                <w:szCs w:val="18"/>
              </w:rPr>
              <w:t>变动金额（减</w:t>
            </w:r>
            <w:r>
              <w:rPr>
                <w:rFonts w:ascii="宋体" w:hAnsi="宋体" w:cs="宋体" w:eastAsia="宋体" w:hint="default"/>
                <w:sz w:val="18"/>
                <w:szCs w:val="18"/>
              </w:rPr>
              <w:t> </w:t>
            </w:r>
            <w:r>
              <w:rPr>
                <w:rFonts w:ascii="宋体" w:hAnsi="宋体" w:cs="宋体" w:eastAsia="宋体" w:hint="default"/>
                <w:spacing w:val="-8"/>
                <w:sz w:val="18"/>
                <w:szCs w:val="18"/>
              </w:rPr>
              <w:t>少以“－”号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填列）</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0" w:right="0"/>
              <w:jc w:val="left"/>
              <w:rPr>
                <w:rFonts w:ascii="Times New Roman" w:hAnsi="Times New Roman" w:cs="Times New Roman" w:eastAsia="Times New Roman" w:hint="default"/>
                <w:sz w:val="18"/>
                <w:szCs w:val="18"/>
              </w:rPr>
            </w:pPr>
            <w:r>
              <w:rPr>
                <w:rFonts w:ascii="Times New Roman"/>
                <w:sz w:val="18"/>
              </w:rPr>
              <w:t>-12</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2,5</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200" w:right="0"/>
              <w:jc w:val="left"/>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4" w:right="0"/>
              <w:jc w:val="left"/>
              <w:rPr>
                <w:rFonts w:ascii="Times New Roman" w:hAnsi="Times New Roman" w:cs="Times New Roman" w:eastAsia="Times New Roman" w:hint="default"/>
                <w:sz w:val="18"/>
                <w:szCs w:val="18"/>
              </w:rPr>
            </w:pPr>
            <w:r>
              <w:rPr>
                <w:rFonts w:ascii="Times New Roman"/>
                <w:sz w:val="18"/>
              </w:rPr>
              <w:t>16,0</w:t>
            </w:r>
          </w:p>
          <w:p>
            <w:pPr>
              <w:pStyle w:val="TableParagraph"/>
              <w:spacing w:line="240" w:lineRule="auto" w:before="105"/>
              <w:ind w:left="161" w:right="0"/>
              <w:jc w:val="left"/>
              <w:rPr>
                <w:rFonts w:ascii="Times New Roman" w:hAnsi="Times New Roman" w:cs="Times New Roman" w:eastAsia="Times New Roman" w:hint="default"/>
                <w:sz w:val="18"/>
                <w:szCs w:val="18"/>
              </w:rPr>
            </w:pPr>
            <w:r>
              <w:rPr>
                <w:rFonts w:ascii="Times New Roman"/>
                <w:sz w:val="18"/>
              </w:rPr>
              <w:t>56,1</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13.3</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4</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center"/>
              <w:rPr>
                <w:rFonts w:ascii="Times New Roman" w:hAnsi="Times New Roman" w:cs="Times New Roman" w:eastAsia="Times New Roman" w:hint="default"/>
                <w:sz w:val="18"/>
                <w:szCs w:val="18"/>
              </w:rPr>
            </w:pPr>
            <w:r>
              <w:rPr>
                <w:rFonts w:ascii="Times New Roman"/>
                <w:sz w:val="18"/>
              </w:rPr>
              <w:t>-15,</w:t>
            </w:r>
          </w:p>
          <w:p>
            <w:pPr>
              <w:pStyle w:val="TableParagraph"/>
              <w:spacing w:line="240" w:lineRule="auto" w:before="105"/>
              <w:ind w:left="55" w:right="0"/>
              <w:jc w:val="center"/>
              <w:rPr>
                <w:rFonts w:ascii="Times New Roman" w:hAnsi="Times New Roman" w:cs="Times New Roman" w:eastAsia="Times New Roman" w:hint="default"/>
                <w:sz w:val="18"/>
                <w:szCs w:val="18"/>
              </w:rPr>
            </w:pPr>
            <w:r>
              <w:rPr>
                <w:rFonts w:ascii="Times New Roman"/>
                <w:sz w:val="18"/>
              </w:rPr>
              <w:t>984,</w:t>
            </w:r>
          </w:p>
          <w:p>
            <w:pPr>
              <w:pStyle w:val="TableParagraph"/>
              <w:spacing w:line="240" w:lineRule="auto" w:before="105"/>
              <w:ind w:left="55" w:right="0"/>
              <w:jc w:val="center"/>
              <w:rPr>
                <w:rFonts w:ascii="Times New Roman" w:hAnsi="Times New Roman" w:cs="Times New Roman" w:eastAsia="Times New Roman" w:hint="default"/>
                <w:sz w:val="18"/>
                <w:szCs w:val="18"/>
              </w:rPr>
            </w:pPr>
            <w:r>
              <w:rPr>
                <w:rFonts w:ascii="Times New Roman"/>
                <w:sz w:val="18"/>
              </w:rPr>
              <w:t>392.</w:t>
            </w:r>
          </w:p>
          <w:p>
            <w:pPr>
              <w:pStyle w:val="TableParagraph"/>
              <w:spacing w:line="240" w:lineRule="auto" w:before="105"/>
              <w:ind w:left="189" w:right="0"/>
              <w:jc w:val="center"/>
              <w:rPr>
                <w:rFonts w:ascii="Times New Roman" w:hAnsi="Times New Roman" w:cs="Times New Roman" w:eastAsia="Times New Roman" w:hint="default"/>
                <w:sz w:val="18"/>
                <w:szCs w:val="18"/>
              </w:rPr>
            </w:pPr>
            <w:r>
              <w:rPr>
                <w:rFonts w:ascii="Times New Roman"/>
                <w:sz w:val="18"/>
              </w:rPr>
              <w:t>50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4" w:right="0"/>
              <w:jc w:val="left"/>
              <w:rPr>
                <w:rFonts w:ascii="Times New Roman" w:hAnsi="Times New Roman" w:cs="Times New Roman" w:eastAsia="Times New Roman" w:hint="default"/>
                <w:sz w:val="18"/>
                <w:szCs w:val="18"/>
              </w:rPr>
            </w:pPr>
            <w:r>
              <w:rPr>
                <w:rFonts w:ascii="Times New Roman"/>
                <w:sz w:val="18"/>
              </w:rPr>
              <w:t>19,4</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30,3</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06.9</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1</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57" w:right="0"/>
              <w:jc w:val="left"/>
              <w:rPr>
                <w:rFonts w:ascii="Times New Roman" w:hAnsi="Times New Roman" w:cs="Times New Roman" w:eastAsia="Times New Roman" w:hint="default"/>
                <w:sz w:val="18"/>
                <w:szCs w:val="18"/>
              </w:rPr>
            </w:pPr>
            <w:r>
              <w:rPr>
                <w:rFonts w:ascii="Times New Roman"/>
                <w:sz w:val="18"/>
              </w:rPr>
              <w:t>1,99</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0,05</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5.32</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6" w:right="0"/>
              <w:jc w:val="left"/>
              <w:rPr>
                <w:rFonts w:ascii="Times New Roman" w:hAnsi="Times New Roman" w:cs="Times New Roman" w:eastAsia="Times New Roman" w:hint="default"/>
                <w:sz w:val="18"/>
                <w:szCs w:val="18"/>
              </w:rPr>
            </w:pPr>
            <w:r>
              <w:rPr>
                <w:rFonts w:ascii="Times New Roman"/>
                <w:sz w:val="18"/>
              </w:rPr>
              <w:t>40,3</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87,4</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48.9</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7</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6" w:right="0"/>
              <w:jc w:val="left"/>
              <w:rPr>
                <w:rFonts w:ascii="Times New Roman" w:hAnsi="Times New Roman" w:cs="Times New Roman" w:eastAsia="Times New Roman" w:hint="default"/>
                <w:sz w:val="18"/>
                <w:szCs w:val="18"/>
              </w:rPr>
            </w:pPr>
            <w:r>
              <w:rPr>
                <w:rFonts w:ascii="Times New Roman"/>
                <w:sz w:val="18"/>
              </w:rPr>
              <w:t>93,7</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25,8</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17.0</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4</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5" w:right="0"/>
              <w:jc w:val="center"/>
              <w:rPr>
                <w:rFonts w:ascii="Times New Roman" w:hAnsi="Times New Roman" w:cs="Times New Roman" w:eastAsia="Times New Roman" w:hint="default"/>
                <w:sz w:val="18"/>
                <w:szCs w:val="18"/>
              </w:rPr>
            </w:pPr>
            <w:r>
              <w:rPr>
                <w:rFonts w:ascii="Times New Roman"/>
                <w:sz w:val="18"/>
              </w:rPr>
              <w:t>-50,</w:t>
            </w:r>
          </w:p>
          <w:p>
            <w:pPr>
              <w:pStyle w:val="TableParagraph"/>
              <w:spacing w:line="240" w:lineRule="auto" w:before="105"/>
              <w:ind w:left="54" w:right="0"/>
              <w:jc w:val="center"/>
              <w:rPr>
                <w:rFonts w:ascii="Times New Roman" w:hAnsi="Times New Roman" w:cs="Times New Roman" w:eastAsia="Times New Roman" w:hint="default"/>
                <w:sz w:val="18"/>
                <w:szCs w:val="18"/>
              </w:rPr>
            </w:pPr>
            <w:r>
              <w:rPr>
                <w:rFonts w:ascii="Times New Roman"/>
                <w:sz w:val="18"/>
              </w:rPr>
              <w:t>062,</w:t>
            </w:r>
          </w:p>
          <w:p>
            <w:pPr>
              <w:pStyle w:val="TableParagraph"/>
              <w:spacing w:line="240" w:lineRule="auto" w:before="105"/>
              <w:ind w:left="54" w:right="0"/>
              <w:jc w:val="center"/>
              <w:rPr>
                <w:rFonts w:ascii="Times New Roman" w:hAnsi="Times New Roman" w:cs="Times New Roman" w:eastAsia="Times New Roman" w:hint="default"/>
                <w:sz w:val="18"/>
                <w:szCs w:val="18"/>
              </w:rPr>
            </w:pPr>
            <w:r>
              <w:rPr>
                <w:rFonts w:ascii="Times New Roman"/>
                <w:sz w:val="18"/>
              </w:rPr>
              <w:t>289.</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32</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0" w:right="0"/>
              <w:jc w:val="left"/>
              <w:rPr>
                <w:rFonts w:ascii="Times New Roman" w:hAnsi="Times New Roman" w:cs="Times New Roman" w:eastAsia="Times New Roman" w:hint="default"/>
                <w:sz w:val="18"/>
                <w:szCs w:val="18"/>
              </w:rPr>
            </w:pPr>
            <w:r>
              <w:rPr>
                <w:rFonts w:ascii="Times New Roman"/>
                <w:sz w:val="18"/>
              </w:rPr>
              <w:t>43,6</w:t>
            </w:r>
          </w:p>
          <w:p>
            <w:pPr>
              <w:pStyle w:val="TableParagraph"/>
              <w:spacing w:line="240" w:lineRule="auto" w:before="105"/>
              <w:ind w:left="150" w:right="0"/>
              <w:jc w:val="left"/>
              <w:rPr>
                <w:rFonts w:ascii="Times New Roman" w:hAnsi="Times New Roman" w:cs="Times New Roman" w:eastAsia="Times New Roman" w:hint="default"/>
                <w:sz w:val="18"/>
                <w:szCs w:val="18"/>
              </w:rPr>
            </w:pPr>
            <w:r>
              <w:rPr>
                <w:rFonts w:ascii="Times New Roman"/>
                <w:sz w:val="18"/>
              </w:rPr>
              <w:t>63,5</w:t>
            </w:r>
          </w:p>
          <w:p>
            <w:pPr>
              <w:pStyle w:val="TableParagraph"/>
              <w:spacing w:line="240" w:lineRule="auto" w:before="105"/>
              <w:ind w:left="150" w:right="0"/>
              <w:jc w:val="left"/>
              <w:rPr>
                <w:rFonts w:ascii="Times New Roman" w:hAnsi="Times New Roman" w:cs="Times New Roman" w:eastAsia="Times New Roman" w:hint="default"/>
                <w:sz w:val="18"/>
                <w:szCs w:val="18"/>
              </w:rPr>
            </w:pPr>
            <w:r>
              <w:rPr>
                <w:rFonts w:ascii="Times New Roman"/>
                <w:sz w:val="18"/>
              </w:rPr>
              <w:t>27.7</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2</w:t>
            </w:r>
          </w:p>
        </w:tc>
      </w:tr>
      <w:tr>
        <w:trPr>
          <w:trHeight w:val="133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1" w:right="100"/>
              <w:jc w:val="left"/>
              <w:rPr>
                <w:rFonts w:ascii="宋体" w:hAnsi="宋体" w:cs="宋体" w:eastAsia="宋体" w:hint="default"/>
                <w:sz w:val="18"/>
                <w:szCs w:val="18"/>
              </w:rPr>
            </w:pPr>
            <w:r>
              <w:rPr>
                <w:rFonts w:ascii="宋体" w:hAnsi="宋体" w:cs="宋体" w:eastAsia="宋体" w:hint="default"/>
                <w:spacing w:val="-7"/>
                <w:sz w:val="18"/>
                <w:szCs w:val="18"/>
              </w:rPr>
              <w:t>（一）综合收</w:t>
            </w:r>
            <w:r>
              <w:rPr>
                <w:rFonts w:ascii="宋体" w:hAnsi="宋体" w:cs="宋体" w:eastAsia="宋体" w:hint="default"/>
                <w:sz w:val="18"/>
                <w:szCs w:val="18"/>
              </w:rPr>
              <w:t> 益总额</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 w:right="0"/>
              <w:jc w:val="center"/>
              <w:rPr>
                <w:rFonts w:ascii="Times New Roman" w:hAnsi="Times New Roman" w:cs="Times New Roman" w:eastAsia="Times New Roman" w:hint="default"/>
                <w:sz w:val="18"/>
                <w:szCs w:val="18"/>
              </w:rPr>
            </w:pPr>
            <w:r>
              <w:rPr>
                <w:rFonts w:ascii="Times New Roman"/>
                <w:sz w:val="18"/>
              </w:rPr>
              <w:t>136,</w:t>
            </w:r>
          </w:p>
          <w:p>
            <w:pPr>
              <w:pStyle w:val="TableParagraph"/>
              <w:spacing w:line="240" w:lineRule="auto" w:before="105"/>
              <w:ind w:left="54" w:right="0"/>
              <w:jc w:val="center"/>
              <w:rPr>
                <w:rFonts w:ascii="Times New Roman" w:hAnsi="Times New Roman" w:cs="Times New Roman" w:eastAsia="Times New Roman" w:hint="default"/>
                <w:sz w:val="18"/>
                <w:szCs w:val="18"/>
              </w:rPr>
            </w:pPr>
            <w:r>
              <w:rPr>
                <w:rFonts w:ascii="Times New Roman"/>
                <w:sz w:val="18"/>
              </w:rPr>
              <w:t>436,</w:t>
            </w:r>
          </w:p>
          <w:p>
            <w:pPr>
              <w:pStyle w:val="TableParagraph"/>
              <w:spacing w:line="240" w:lineRule="auto" w:before="105"/>
              <w:ind w:left="54" w:right="0"/>
              <w:jc w:val="center"/>
              <w:rPr>
                <w:rFonts w:ascii="Times New Roman" w:hAnsi="Times New Roman" w:cs="Times New Roman" w:eastAsia="Times New Roman" w:hint="default"/>
                <w:sz w:val="18"/>
                <w:szCs w:val="18"/>
              </w:rPr>
            </w:pPr>
            <w:r>
              <w:rPr>
                <w:rFonts w:ascii="Times New Roman"/>
                <w:sz w:val="18"/>
              </w:rPr>
              <w:t>981.</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53</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center"/>
              <w:rPr>
                <w:rFonts w:ascii="Times New Roman" w:hAnsi="Times New Roman" w:cs="Times New Roman" w:eastAsia="Times New Roman" w:hint="default"/>
                <w:sz w:val="18"/>
                <w:szCs w:val="18"/>
              </w:rPr>
            </w:pPr>
            <w:r>
              <w:rPr>
                <w:rFonts w:ascii="Times New Roman"/>
                <w:sz w:val="18"/>
              </w:rPr>
              <w:t>136,</w:t>
            </w:r>
          </w:p>
          <w:p>
            <w:pPr>
              <w:pStyle w:val="TableParagraph"/>
              <w:spacing w:line="240" w:lineRule="auto" w:before="105"/>
              <w:ind w:left="55" w:right="0"/>
              <w:jc w:val="center"/>
              <w:rPr>
                <w:rFonts w:ascii="Times New Roman" w:hAnsi="Times New Roman" w:cs="Times New Roman" w:eastAsia="Times New Roman" w:hint="default"/>
                <w:sz w:val="18"/>
                <w:szCs w:val="18"/>
              </w:rPr>
            </w:pPr>
            <w:r>
              <w:rPr>
                <w:rFonts w:ascii="Times New Roman"/>
                <w:sz w:val="18"/>
              </w:rPr>
              <w:t>436,</w:t>
            </w:r>
          </w:p>
          <w:p>
            <w:pPr>
              <w:pStyle w:val="TableParagraph"/>
              <w:spacing w:line="240" w:lineRule="auto" w:before="105"/>
              <w:ind w:left="55" w:right="0"/>
              <w:jc w:val="center"/>
              <w:rPr>
                <w:rFonts w:ascii="Times New Roman" w:hAnsi="Times New Roman" w:cs="Times New Roman" w:eastAsia="Times New Roman" w:hint="default"/>
                <w:sz w:val="18"/>
                <w:szCs w:val="18"/>
              </w:rPr>
            </w:pPr>
            <w:r>
              <w:rPr>
                <w:rFonts w:ascii="Times New Roman"/>
                <w:sz w:val="18"/>
              </w:rPr>
              <w:t>981.</w:t>
            </w:r>
          </w:p>
          <w:p>
            <w:pPr>
              <w:pStyle w:val="TableParagraph"/>
              <w:spacing w:line="240" w:lineRule="auto" w:before="105"/>
              <w:ind w:left="189" w:right="0"/>
              <w:jc w:val="center"/>
              <w:rPr>
                <w:rFonts w:ascii="Times New Roman" w:hAnsi="Times New Roman" w:cs="Times New Roman" w:eastAsia="Times New Roman" w:hint="default"/>
                <w:sz w:val="18"/>
                <w:szCs w:val="18"/>
              </w:rPr>
            </w:pPr>
            <w:r>
              <w:rPr>
                <w:rFonts w:ascii="Times New Roman"/>
                <w:sz w:val="18"/>
              </w:rPr>
              <w:t>53</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center"/>
              <w:rPr>
                <w:rFonts w:ascii="Times New Roman" w:hAnsi="Times New Roman" w:cs="Times New Roman" w:eastAsia="Times New Roman" w:hint="default"/>
                <w:sz w:val="18"/>
                <w:szCs w:val="18"/>
              </w:rPr>
            </w:pPr>
            <w:r>
              <w:rPr>
                <w:rFonts w:ascii="Times New Roman"/>
                <w:sz w:val="18"/>
              </w:rPr>
              <w:t>-34,</w:t>
            </w:r>
          </w:p>
          <w:p>
            <w:pPr>
              <w:pStyle w:val="TableParagraph"/>
              <w:spacing w:line="240" w:lineRule="auto" w:before="105"/>
              <w:ind w:left="54" w:right="0"/>
              <w:jc w:val="center"/>
              <w:rPr>
                <w:rFonts w:ascii="Times New Roman" w:hAnsi="Times New Roman" w:cs="Times New Roman" w:eastAsia="Times New Roman" w:hint="default"/>
                <w:sz w:val="18"/>
                <w:szCs w:val="18"/>
              </w:rPr>
            </w:pPr>
            <w:r>
              <w:rPr>
                <w:rFonts w:ascii="Times New Roman"/>
                <w:sz w:val="18"/>
              </w:rPr>
              <w:t>246,</w:t>
            </w:r>
          </w:p>
          <w:p>
            <w:pPr>
              <w:pStyle w:val="TableParagraph"/>
              <w:spacing w:line="240" w:lineRule="auto" w:before="105"/>
              <w:ind w:left="54" w:right="0"/>
              <w:jc w:val="center"/>
              <w:rPr>
                <w:rFonts w:ascii="Times New Roman" w:hAnsi="Times New Roman" w:cs="Times New Roman" w:eastAsia="Times New Roman" w:hint="default"/>
                <w:sz w:val="18"/>
                <w:szCs w:val="18"/>
              </w:rPr>
            </w:pPr>
            <w:r>
              <w:rPr>
                <w:rFonts w:ascii="Times New Roman"/>
                <w:sz w:val="18"/>
              </w:rPr>
              <w:t>957.</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62</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102,</w:t>
            </w:r>
          </w:p>
          <w:p>
            <w:pPr>
              <w:pStyle w:val="TableParagraph"/>
              <w:spacing w:line="240" w:lineRule="auto" w:before="105"/>
              <w:ind w:left="48" w:right="0"/>
              <w:jc w:val="center"/>
              <w:rPr>
                <w:rFonts w:ascii="Times New Roman" w:hAnsi="Times New Roman" w:cs="Times New Roman" w:eastAsia="Times New Roman" w:hint="default"/>
                <w:sz w:val="18"/>
                <w:szCs w:val="18"/>
              </w:rPr>
            </w:pPr>
            <w:r>
              <w:rPr>
                <w:rFonts w:ascii="Times New Roman"/>
                <w:sz w:val="18"/>
              </w:rPr>
              <w:t>190,</w:t>
            </w:r>
          </w:p>
          <w:p>
            <w:pPr>
              <w:pStyle w:val="TableParagraph"/>
              <w:spacing w:line="240" w:lineRule="auto" w:before="105"/>
              <w:ind w:left="48" w:right="0"/>
              <w:jc w:val="center"/>
              <w:rPr>
                <w:rFonts w:ascii="Times New Roman" w:hAnsi="Times New Roman" w:cs="Times New Roman" w:eastAsia="Times New Roman" w:hint="default"/>
                <w:sz w:val="18"/>
                <w:szCs w:val="18"/>
              </w:rPr>
            </w:pPr>
            <w:r>
              <w:rPr>
                <w:rFonts w:ascii="Times New Roman"/>
                <w:sz w:val="18"/>
              </w:rPr>
              <w:t>023.</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91</w:t>
            </w:r>
          </w:p>
        </w:tc>
      </w:tr>
      <w:tr>
        <w:trPr>
          <w:trHeight w:val="133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1" w:right="100"/>
              <w:jc w:val="left"/>
              <w:rPr>
                <w:rFonts w:ascii="宋体" w:hAnsi="宋体" w:cs="宋体" w:eastAsia="宋体" w:hint="default"/>
                <w:sz w:val="18"/>
                <w:szCs w:val="18"/>
              </w:rPr>
            </w:pPr>
            <w:r>
              <w:rPr>
                <w:rFonts w:ascii="宋体" w:hAnsi="宋体" w:cs="宋体" w:eastAsia="宋体" w:hint="default"/>
                <w:spacing w:val="-7"/>
                <w:sz w:val="18"/>
                <w:szCs w:val="18"/>
              </w:rPr>
              <w:t>（二）所有者</w:t>
            </w:r>
            <w:r>
              <w:rPr>
                <w:rFonts w:ascii="宋体" w:hAnsi="宋体" w:cs="宋体" w:eastAsia="宋体" w:hint="default"/>
                <w:sz w:val="18"/>
                <w:szCs w:val="18"/>
              </w:rPr>
              <w:t> 投入和减少 资本</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0" w:right="0"/>
              <w:jc w:val="left"/>
              <w:rPr>
                <w:rFonts w:ascii="Times New Roman" w:hAnsi="Times New Roman" w:cs="Times New Roman" w:eastAsia="Times New Roman" w:hint="default"/>
                <w:sz w:val="18"/>
                <w:szCs w:val="18"/>
              </w:rPr>
            </w:pPr>
            <w:r>
              <w:rPr>
                <w:rFonts w:ascii="Times New Roman"/>
                <w:sz w:val="18"/>
              </w:rPr>
              <w:t>-12</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2,5</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200" w:right="0"/>
              <w:jc w:val="left"/>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-212</w:t>
            </w:r>
          </w:p>
          <w:p>
            <w:pPr>
              <w:pStyle w:val="TableParagraph"/>
              <w:spacing w:line="240" w:lineRule="auto" w:before="105"/>
              <w:ind w:left="7" w:right="0"/>
              <w:jc w:val="center"/>
              <w:rPr>
                <w:rFonts w:ascii="Times New Roman" w:hAnsi="Times New Roman" w:cs="Times New Roman" w:eastAsia="Times New Roman" w:hint="default"/>
                <w:sz w:val="18"/>
                <w:szCs w:val="18"/>
              </w:rPr>
            </w:pPr>
            <w:r>
              <w:rPr>
                <w:rFonts w:ascii="Times New Roman"/>
                <w:sz w:val="18"/>
              </w:rPr>
              <w:t>,255.</w:t>
            </w:r>
          </w:p>
          <w:p>
            <w:pPr>
              <w:pStyle w:val="TableParagraph"/>
              <w:spacing w:line="240" w:lineRule="auto" w:before="105"/>
              <w:ind w:left="189" w:right="0"/>
              <w:jc w:val="center"/>
              <w:rPr>
                <w:rFonts w:ascii="Times New Roman" w:hAnsi="Times New Roman" w:cs="Times New Roman" w:eastAsia="Times New Roman" w:hint="default"/>
                <w:sz w:val="18"/>
                <w:szCs w:val="18"/>
              </w:rPr>
            </w:pPr>
            <w:r>
              <w:rPr>
                <w:rFonts w:ascii="Times New Roman"/>
                <w:sz w:val="18"/>
              </w:rPr>
              <w:t>69</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center"/>
              <w:rPr>
                <w:rFonts w:ascii="Times New Roman" w:hAnsi="Times New Roman" w:cs="Times New Roman" w:eastAsia="Times New Roman" w:hint="default"/>
                <w:sz w:val="18"/>
                <w:szCs w:val="18"/>
              </w:rPr>
            </w:pPr>
            <w:r>
              <w:rPr>
                <w:rFonts w:ascii="Times New Roman"/>
                <w:sz w:val="18"/>
              </w:rPr>
              <w:t>-15,</w:t>
            </w:r>
          </w:p>
          <w:p>
            <w:pPr>
              <w:pStyle w:val="TableParagraph"/>
              <w:spacing w:line="240" w:lineRule="auto" w:before="105"/>
              <w:ind w:left="55" w:right="0"/>
              <w:jc w:val="center"/>
              <w:rPr>
                <w:rFonts w:ascii="Times New Roman" w:hAnsi="Times New Roman" w:cs="Times New Roman" w:eastAsia="Times New Roman" w:hint="default"/>
                <w:sz w:val="18"/>
                <w:szCs w:val="18"/>
              </w:rPr>
            </w:pPr>
            <w:r>
              <w:rPr>
                <w:rFonts w:ascii="Times New Roman"/>
                <w:sz w:val="18"/>
              </w:rPr>
              <w:t>984,</w:t>
            </w:r>
          </w:p>
          <w:p>
            <w:pPr>
              <w:pStyle w:val="TableParagraph"/>
              <w:spacing w:line="240" w:lineRule="auto" w:before="105"/>
              <w:ind w:left="55" w:right="0"/>
              <w:jc w:val="center"/>
              <w:rPr>
                <w:rFonts w:ascii="Times New Roman" w:hAnsi="Times New Roman" w:cs="Times New Roman" w:eastAsia="Times New Roman" w:hint="default"/>
                <w:sz w:val="18"/>
                <w:szCs w:val="18"/>
              </w:rPr>
            </w:pPr>
            <w:r>
              <w:rPr>
                <w:rFonts w:ascii="Times New Roman"/>
                <w:sz w:val="18"/>
              </w:rPr>
              <w:t>392.</w:t>
            </w:r>
          </w:p>
          <w:p>
            <w:pPr>
              <w:pStyle w:val="TableParagraph"/>
              <w:spacing w:line="240" w:lineRule="auto" w:before="105"/>
              <w:ind w:left="189" w:right="0"/>
              <w:jc w:val="center"/>
              <w:rPr>
                <w:rFonts w:ascii="Times New Roman" w:hAnsi="Times New Roman" w:cs="Times New Roman" w:eastAsia="Times New Roman" w:hint="default"/>
                <w:sz w:val="18"/>
                <w:szCs w:val="18"/>
              </w:rPr>
            </w:pPr>
            <w:r>
              <w:rPr>
                <w:rFonts w:ascii="Times New Roman"/>
                <w:sz w:val="18"/>
              </w:rPr>
              <w:t>50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6" w:right="0"/>
              <w:jc w:val="left"/>
              <w:rPr>
                <w:rFonts w:ascii="Times New Roman" w:hAnsi="Times New Roman" w:cs="Times New Roman" w:eastAsia="Times New Roman" w:hint="default"/>
                <w:sz w:val="18"/>
                <w:szCs w:val="18"/>
              </w:rPr>
            </w:pPr>
            <w:r>
              <w:rPr>
                <w:rFonts w:ascii="Times New Roman"/>
                <w:sz w:val="18"/>
              </w:rPr>
              <w:t>15,6</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49,6</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36.8</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1</w:t>
            </w: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0" w:right="0"/>
              <w:jc w:val="left"/>
              <w:rPr>
                <w:rFonts w:ascii="Times New Roman" w:hAnsi="Times New Roman" w:cs="Times New Roman" w:eastAsia="Times New Roman" w:hint="default"/>
                <w:sz w:val="18"/>
                <w:szCs w:val="18"/>
              </w:rPr>
            </w:pPr>
            <w:r>
              <w:rPr>
                <w:rFonts w:ascii="Times New Roman"/>
                <w:sz w:val="18"/>
              </w:rPr>
              <w:t>15,6</w:t>
            </w:r>
          </w:p>
          <w:p>
            <w:pPr>
              <w:pStyle w:val="TableParagraph"/>
              <w:spacing w:line="240" w:lineRule="auto" w:before="105"/>
              <w:ind w:left="150" w:right="0"/>
              <w:jc w:val="left"/>
              <w:rPr>
                <w:rFonts w:ascii="Times New Roman" w:hAnsi="Times New Roman" w:cs="Times New Roman" w:eastAsia="Times New Roman" w:hint="default"/>
                <w:sz w:val="18"/>
                <w:szCs w:val="18"/>
              </w:rPr>
            </w:pPr>
            <w:r>
              <w:rPr>
                <w:rFonts w:ascii="Times New Roman"/>
                <w:sz w:val="18"/>
              </w:rPr>
              <w:t>49,6</w:t>
            </w:r>
          </w:p>
          <w:p>
            <w:pPr>
              <w:pStyle w:val="TableParagraph"/>
              <w:spacing w:line="240" w:lineRule="auto" w:before="105"/>
              <w:ind w:left="150" w:right="0"/>
              <w:jc w:val="left"/>
              <w:rPr>
                <w:rFonts w:ascii="Times New Roman" w:hAnsi="Times New Roman" w:cs="Times New Roman" w:eastAsia="Times New Roman" w:hint="default"/>
                <w:sz w:val="18"/>
                <w:szCs w:val="18"/>
              </w:rPr>
            </w:pPr>
            <w:r>
              <w:rPr>
                <w:rFonts w:ascii="Times New Roman"/>
                <w:sz w:val="18"/>
              </w:rPr>
              <w:t>36.8</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1</w:t>
            </w:r>
          </w:p>
        </w:tc>
      </w:tr>
    </w:tbl>
    <w:p>
      <w:pPr>
        <w:spacing w:after="0" w:line="240" w:lineRule="auto"/>
        <w:jc w:val="left"/>
        <w:rPr>
          <w:rFonts w:ascii="Times New Roman" w:hAnsi="Times New Roman" w:cs="Times New Roman" w:eastAsia="Times New Roman" w:hint="default"/>
          <w:sz w:val="18"/>
          <w:szCs w:val="18"/>
        </w:rPr>
        <w:sectPr>
          <w:pgSz w:w="11910" w:h="16840"/>
          <w:pgMar w:header="919" w:footer="1016"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1253"/>
        <w:gridCol w:w="493"/>
        <w:gridCol w:w="466"/>
        <w:gridCol w:w="467"/>
        <w:gridCol w:w="468"/>
        <w:gridCol w:w="583"/>
        <w:gridCol w:w="584"/>
        <w:gridCol w:w="584"/>
        <w:gridCol w:w="584"/>
        <w:gridCol w:w="583"/>
        <w:gridCol w:w="584"/>
        <w:gridCol w:w="584"/>
        <w:gridCol w:w="584"/>
        <w:gridCol w:w="584"/>
        <w:gridCol w:w="584"/>
        <w:gridCol w:w="578"/>
      </w:tblGrid>
      <w:tr>
        <w:trPr>
          <w:trHeight w:val="133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5"/>
              <w:ind w:left="101" w:right="14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 入的普通股</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0" w:right="0"/>
              <w:jc w:val="left"/>
              <w:rPr>
                <w:rFonts w:ascii="Times New Roman" w:hAnsi="Times New Roman" w:cs="Times New Roman" w:eastAsia="Times New Roman" w:hint="default"/>
                <w:sz w:val="18"/>
                <w:szCs w:val="18"/>
              </w:rPr>
            </w:pPr>
            <w:r>
              <w:rPr>
                <w:rFonts w:ascii="Times New Roman"/>
                <w:sz w:val="18"/>
              </w:rPr>
              <w:t>-12</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2,5</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200" w:right="0"/>
              <w:jc w:val="left"/>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 w:right="0"/>
              <w:jc w:val="center"/>
              <w:rPr>
                <w:rFonts w:ascii="Times New Roman" w:hAnsi="Times New Roman" w:cs="Times New Roman" w:eastAsia="Times New Roman" w:hint="default"/>
                <w:sz w:val="18"/>
                <w:szCs w:val="18"/>
              </w:rPr>
            </w:pPr>
            <w:r>
              <w:rPr>
                <w:rFonts w:ascii="Times New Roman"/>
                <w:sz w:val="18"/>
              </w:rPr>
              <w:t>-1,0</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61,8</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30.0</w:t>
            </w:r>
          </w:p>
          <w:p>
            <w:pPr>
              <w:pStyle w:val="TableParagraph"/>
              <w:spacing w:line="240" w:lineRule="auto" w:before="105"/>
              <w:ind w:left="276" w:right="0"/>
              <w:jc w:val="center"/>
              <w:rPr>
                <w:rFonts w:ascii="Times New Roman" w:hAnsi="Times New Roman" w:cs="Times New Roman" w:eastAsia="Times New Roman" w:hint="default"/>
                <w:sz w:val="18"/>
                <w:szCs w:val="18"/>
              </w:rPr>
            </w:pPr>
            <w:r>
              <w:rPr>
                <w:rFonts w:ascii="Times New Roman"/>
                <w:sz w:val="18"/>
              </w:rPr>
              <w:t>0</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6" w:right="0"/>
              <w:jc w:val="center"/>
              <w:rPr>
                <w:rFonts w:ascii="Times New Roman" w:hAnsi="Times New Roman" w:cs="Times New Roman" w:eastAsia="Times New Roman" w:hint="default"/>
                <w:sz w:val="18"/>
                <w:szCs w:val="18"/>
              </w:rPr>
            </w:pPr>
            <w:r>
              <w:rPr>
                <w:rFonts w:ascii="Times New Roman"/>
                <w:sz w:val="18"/>
              </w:rPr>
              <w:t>-15,</w:t>
            </w:r>
          </w:p>
          <w:p>
            <w:pPr>
              <w:pStyle w:val="TableParagraph"/>
              <w:spacing w:line="240" w:lineRule="auto" w:before="105"/>
              <w:ind w:left="55" w:right="0"/>
              <w:jc w:val="center"/>
              <w:rPr>
                <w:rFonts w:ascii="Times New Roman" w:hAnsi="Times New Roman" w:cs="Times New Roman" w:eastAsia="Times New Roman" w:hint="default"/>
                <w:sz w:val="18"/>
                <w:szCs w:val="18"/>
              </w:rPr>
            </w:pPr>
            <w:r>
              <w:rPr>
                <w:rFonts w:ascii="Times New Roman"/>
                <w:sz w:val="18"/>
              </w:rPr>
              <w:t>984,</w:t>
            </w:r>
          </w:p>
          <w:p>
            <w:pPr>
              <w:pStyle w:val="TableParagraph"/>
              <w:spacing w:line="240" w:lineRule="auto" w:before="105"/>
              <w:ind w:left="55" w:right="0"/>
              <w:jc w:val="center"/>
              <w:rPr>
                <w:rFonts w:ascii="Times New Roman" w:hAnsi="Times New Roman" w:cs="Times New Roman" w:eastAsia="Times New Roman" w:hint="default"/>
                <w:sz w:val="18"/>
                <w:szCs w:val="18"/>
              </w:rPr>
            </w:pPr>
            <w:r>
              <w:rPr>
                <w:rFonts w:ascii="Times New Roman"/>
                <w:sz w:val="18"/>
              </w:rPr>
              <w:t>392.</w:t>
            </w:r>
          </w:p>
          <w:p>
            <w:pPr>
              <w:pStyle w:val="TableParagraph"/>
              <w:spacing w:line="240" w:lineRule="auto" w:before="105"/>
              <w:ind w:left="189" w:right="0"/>
              <w:jc w:val="center"/>
              <w:rPr>
                <w:rFonts w:ascii="Times New Roman" w:hAnsi="Times New Roman" w:cs="Times New Roman" w:eastAsia="Times New Roman" w:hint="default"/>
                <w:sz w:val="18"/>
                <w:szCs w:val="18"/>
              </w:rPr>
            </w:pPr>
            <w:r>
              <w:rPr>
                <w:rFonts w:ascii="Times New Roman"/>
                <w:sz w:val="18"/>
              </w:rPr>
              <w:t>50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6" w:right="0"/>
              <w:jc w:val="left"/>
              <w:rPr>
                <w:rFonts w:ascii="Times New Roman" w:hAnsi="Times New Roman" w:cs="Times New Roman" w:eastAsia="Times New Roman" w:hint="default"/>
                <w:sz w:val="18"/>
                <w:szCs w:val="18"/>
              </w:rPr>
            </w:pPr>
            <w:r>
              <w:rPr>
                <w:rFonts w:ascii="Times New Roman"/>
                <w:sz w:val="18"/>
              </w:rPr>
              <w:t>14,8</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62.5</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0</w:t>
            </w: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0" w:right="0"/>
              <w:jc w:val="left"/>
              <w:rPr>
                <w:rFonts w:ascii="Times New Roman" w:hAnsi="Times New Roman" w:cs="Times New Roman" w:eastAsia="Times New Roman" w:hint="default"/>
                <w:sz w:val="18"/>
                <w:szCs w:val="18"/>
              </w:rPr>
            </w:pPr>
            <w:r>
              <w:rPr>
                <w:rFonts w:ascii="Times New Roman"/>
                <w:sz w:val="18"/>
              </w:rPr>
              <w:t>14,8</w:t>
            </w:r>
          </w:p>
          <w:p>
            <w:pPr>
              <w:pStyle w:val="TableParagraph"/>
              <w:spacing w:line="240" w:lineRule="auto" w:before="105"/>
              <w:ind w:left="150"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150" w:right="0"/>
              <w:jc w:val="left"/>
              <w:rPr>
                <w:rFonts w:ascii="Times New Roman" w:hAnsi="Times New Roman" w:cs="Times New Roman" w:eastAsia="Times New Roman" w:hint="default"/>
                <w:sz w:val="18"/>
                <w:szCs w:val="18"/>
              </w:rPr>
            </w:pPr>
            <w:r>
              <w:rPr>
                <w:rFonts w:ascii="Times New Roman"/>
                <w:sz w:val="18"/>
              </w:rPr>
              <w:t>62.5</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1" w:right="14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 工具持有者 投入资本</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101" w:right="14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 计入所有者 权益的金额</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 w:right="0"/>
              <w:jc w:val="center"/>
              <w:rPr>
                <w:rFonts w:ascii="Times New Roman" w:hAnsi="Times New Roman" w:cs="Times New Roman" w:eastAsia="Times New Roman" w:hint="default"/>
                <w:sz w:val="18"/>
                <w:szCs w:val="18"/>
              </w:rPr>
            </w:pPr>
            <w:r>
              <w:rPr>
                <w:rFonts w:ascii="Times New Roman"/>
                <w:sz w:val="18"/>
              </w:rPr>
              <w:t>849,</w:t>
            </w:r>
          </w:p>
          <w:p>
            <w:pPr>
              <w:pStyle w:val="TableParagraph"/>
              <w:spacing w:line="240" w:lineRule="auto" w:before="105"/>
              <w:ind w:left="51" w:right="0"/>
              <w:jc w:val="center"/>
              <w:rPr>
                <w:rFonts w:ascii="Times New Roman" w:hAnsi="Times New Roman" w:cs="Times New Roman" w:eastAsia="Times New Roman" w:hint="default"/>
                <w:sz w:val="18"/>
                <w:szCs w:val="18"/>
              </w:rPr>
            </w:pPr>
            <w:r>
              <w:rPr>
                <w:rFonts w:ascii="Times New Roman"/>
                <w:sz w:val="18"/>
              </w:rPr>
              <w:t>574.</w:t>
            </w:r>
          </w:p>
          <w:p>
            <w:pPr>
              <w:pStyle w:val="TableParagraph"/>
              <w:spacing w:line="240" w:lineRule="auto" w:before="105"/>
              <w:ind w:left="189" w:right="0"/>
              <w:jc w:val="center"/>
              <w:rPr>
                <w:rFonts w:ascii="Times New Roman" w:hAnsi="Times New Roman" w:cs="Times New Roman" w:eastAsia="Times New Roman" w:hint="default"/>
                <w:sz w:val="18"/>
                <w:szCs w:val="18"/>
              </w:rPr>
            </w:pPr>
            <w:r>
              <w:rPr>
                <w:rFonts w:ascii="Times New Roman"/>
                <w:sz w:val="18"/>
              </w:rPr>
              <w:t>31</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5" w:right="0"/>
              <w:jc w:val="center"/>
              <w:rPr>
                <w:rFonts w:ascii="Times New Roman" w:hAnsi="Times New Roman" w:cs="Times New Roman" w:eastAsia="Times New Roman" w:hint="default"/>
                <w:sz w:val="18"/>
                <w:szCs w:val="18"/>
              </w:rPr>
            </w:pPr>
            <w:r>
              <w:rPr>
                <w:rFonts w:ascii="Times New Roman"/>
                <w:sz w:val="18"/>
              </w:rPr>
              <w:t>849,</w:t>
            </w:r>
          </w:p>
          <w:p>
            <w:pPr>
              <w:pStyle w:val="TableParagraph"/>
              <w:spacing w:line="240" w:lineRule="auto" w:before="105"/>
              <w:ind w:left="55" w:right="0"/>
              <w:jc w:val="center"/>
              <w:rPr>
                <w:rFonts w:ascii="Times New Roman" w:hAnsi="Times New Roman" w:cs="Times New Roman" w:eastAsia="Times New Roman" w:hint="default"/>
                <w:sz w:val="18"/>
                <w:szCs w:val="18"/>
              </w:rPr>
            </w:pPr>
            <w:r>
              <w:rPr>
                <w:rFonts w:ascii="Times New Roman"/>
                <w:sz w:val="18"/>
              </w:rPr>
              <w:t>574.</w:t>
            </w:r>
          </w:p>
          <w:p>
            <w:pPr>
              <w:pStyle w:val="TableParagraph"/>
              <w:spacing w:line="240" w:lineRule="auto" w:before="105"/>
              <w:ind w:left="189" w:right="0"/>
              <w:jc w:val="center"/>
              <w:rPr>
                <w:rFonts w:ascii="Times New Roman" w:hAnsi="Times New Roman" w:cs="Times New Roman" w:eastAsia="Times New Roman" w:hint="default"/>
                <w:sz w:val="18"/>
                <w:szCs w:val="18"/>
              </w:rPr>
            </w:pPr>
            <w:r>
              <w:rPr>
                <w:rFonts w:ascii="Times New Roman"/>
                <w:sz w:val="18"/>
              </w:rPr>
              <w:t>31</w:t>
            </w: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 w:right="0"/>
              <w:jc w:val="center"/>
              <w:rPr>
                <w:rFonts w:ascii="Times New Roman" w:hAnsi="Times New Roman" w:cs="Times New Roman" w:eastAsia="Times New Roman" w:hint="default"/>
                <w:sz w:val="18"/>
                <w:szCs w:val="18"/>
              </w:rPr>
            </w:pPr>
            <w:r>
              <w:rPr>
                <w:rFonts w:ascii="Times New Roman"/>
                <w:sz w:val="18"/>
              </w:rPr>
              <w:t>849,</w:t>
            </w:r>
          </w:p>
          <w:p>
            <w:pPr>
              <w:pStyle w:val="TableParagraph"/>
              <w:spacing w:line="240" w:lineRule="auto" w:before="105"/>
              <w:ind w:left="48" w:right="0"/>
              <w:jc w:val="center"/>
              <w:rPr>
                <w:rFonts w:ascii="Times New Roman" w:hAnsi="Times New Roman" w:cs="Times New Roman" w:eastAsia="Times New Roman" w:hint="default"/>
                <w:sz w:val="18"/>
                <w:szCs w:val="18"/>
              </w:rPr>
            </w:pPr>
            <w:r>
              <w:rPr>
                <w:rFonts w:ascii="Times New Roman"/>
                <w:sz w:val="18"/>
              </w:rPr>
              <w:t>574.</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31</w:t>
            </w: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5"/>
              <w:ind w:left="101" w:right="100"/>
              <w:jc w:val="left"/>
              <w:rPr>
                <w:rFonts w:ascii="宋体" w:hAnsi="宋体" w:cs="宋体" w:eastAsia="宋体" w:hint="default"/>
                <w:sz w:val="18"/>
                <w:szCs w:val="18"/>
              </w:rPr>
            </w:pPr>
            <w:r>
              <w:rPr>
                <w:rFonts w:ascii="宋体" w:hAnsi="宋体" w:cs="宋体" w:eastAsia="宋体" w:hint="default"/>
                <w:spacing w:val="-7"/>
                <w:sz w:val="18"/>
                <w:szCs w:val="18"/>
              </w:rPr>
              <w:t>（三）利润分</w:t>
            </w:r>
            <w:r>
              <w:rPr>
                <w:rFonts w:ascii="宋体" w:hAnsi="宋体" w:cs="宋体" w:eastAsia="宋体" w:hint="default"/>
                <w:sz w:val="18"/>
                <w:szCs w:val="18"/>
              </w:rPr>
              <w:t> 配</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4" w:right="0"/>
              <w:jc w:val="left"/>
              <w:rPr>
                <w:rFonts w:ascii="Times New Roman" w:hAnsi="Times New Roman" w:cs="Times New Roman" w:eastAsia="Times New Roman" w:hint="default"/>
                <w:sz w:val="18"/>
                <w:szCs w:val="18"/>
              </w:rPr>
            </w:pPr>
            <w:r>
              <w:rPr>
                <w:rFonts w:ascii="Times New Roman"/>
                <w:sz w:val="18"/>
              </w:rPr>
              <w:t>19,4</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30,3</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06.9</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1</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57" w:right="0"/>
              <w:jc w:val="left"/>
              <w:rPr>
                <w:rFonts w:ascii="Times New Roman" w:hAnsi="Times New Roman" w:cs="Times New Roman" w:eastAsia="Times New Roman" w:hint="default"/>
                <w:sz w:val="18"/>
                <w:szCs w:val="18"/>
              </w:rPr>
            </w:pPr>
            <w:r>
              <w:rPr>
                <w:rFonts w:ascii="Times New Roman"/>
                <w:sz w:val="18"/>
              </w:rPr>
              <w:t>1,99</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0,05</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5.32</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 w:right="0"/>
              <w:jc w:val="center"/>
              <w:rPr>
                <w:rFonts w:ascii="Times New Roman" w:hAnsi="Times New Roman" w:cs="Times New Roman" w:eastAsia="Times New Roman" w:hint="default"/>
                <w:sz w:val="18"/>
                <w:szCs w:val="18"/>
              </w:rPr>
            </w:pPr>
            <w:r>
              <w:rPr>
                <w:rFonts w:ascii="Times New Roman"/>
                <w:sz w:val="18"/>
              </w:rPr>
              <w:t>-96,</w:t>
            </w:r>
          </w:p>
          <w:p>
            <w:pPr>
              <w:pStyle w:val="TableParagraph"/>
              <w:spacing w:line="240" w:lineRule="auto" w:before="105"/>
              <w:ind w:left="54" w:right="0"/>
              <w:jc w:val="center"/>
              <w:rPr>
                <w:rFonts w:ascii="Times New Roman" w:hAnsi="Times New Roman" w:cs="Times New Roman" w:eastAsia="Times New Roman" w:hint="default"/>
                <w:sz w:val="18"/>
                <w:szCs w:val="18"/>
              </w:rPr>
            </w:pPr>
            <w:r>
              <w:rPr>
                <w:rFonts w:ascii="Times New Roman"/>
                <w:sz w:val="18"/>
              </w:rPr>
              <w:t>049,</w:t>
            </w:r>
          </w:p>
          <w:p>
            <w:pPr>
              <w:pStyle w:val="TableParagraph"/>
              <w:spacing w:line="240" w:lineRule="auto" w:before="105"/>
              <w:ind w:left="54" w:right="0"/>
              <w:jc w:val="center"/>
              <w:rPr>
                <w:rFonts w:ascii="Times New Roman" w:hAnsi="Times New Roman" w:cs="Times New Roman" w:eastAsia="Times New Roman" w:hint="default"/>
                <w:sz w:val="18"/>
                <w:szCs w:val="18"/>
              </w:rPr>
            </w:pPr>
            <w:r>
              <w:rPr>
                <w:rFonts w:ascii="Times New Roman"/>
                <w:sz w:val="18"/>
              </w:rPr>
              <w:t>532.</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56</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6" w:right="0"/>
              <w:jc w:val="center"/>
              <w:rPr>
                <w:rFonts w:ascii="Times New Roman" w:hAnsi="Times New Roman" w:cs="Times New Roman" w:eastAsia="Times New Roman" w:hint="default"/>
                <w:sz w:val="18"/>
                <w:szCs w:val="18"/>
              </w:rPr>
            </w:pPr>
            <w:r>
              <w:rPr>
                <w:rFonts w:ascii="Times New Roman"/>
                <w:sz w:val="18"/>
              </w:rPr>
              <w:t>-74,</w:t>
            </w:r>
          </w:p>
          <w:p>
            <w:pPr>
              <w:pStyle w:val="TableParagraph"/>
              <w:spacing w:line="240" w:lineRule="auto" w:before="105"/>
              <w:ind w:left="55" w:right="0"/>
              <w:jc w:val="center"/>
              <w:rPr>
                <w:rFonts w:ascii="Times New Roman" w:hAnsi="Times New Roman" w:cs="Times New Roman" w:eastAsia="Times New Roman" w:hint="default"/>
                <w:sz w:val="18"/>
                <w:szCs w:val="18"/>
              </w:rPr>
            </w:pPr>
            <w:r>
              <w:rPr>
                <w:rFonts w:ascii="Times New Roman"/>
                <w:sz w:val="18"/>
              </w:rPr>
              <w:t>629,</w:t>
            </w:r>
          </w:p>
          <w:p>
            <w:pPr>
              <w:pStyle w:val="TableParagraph"/>
              <w:spacing w:line="240" w:lineRule="auto" w:before="105"/>
              <w:ind w:left="55" w:right="0"/>
              <w:jc w:val="center"/>
              <w:rPr>
                <w:rFonts w:ascii="Times New Roman" w:hAnsi="Times New Roman" w:cs="Times New Roman" w:eastAsia="Times New Roman" w:hint="default"/>
                <w:sz w:val="18"/>
                <w:szCs w:val="18"/>
              </w:rPr>
            </w:pPr>
            <w:r>
              <w:rPr>
                <w:rFonts w:ascii="Times New Roman"/>
                <w:sz w:val="18"/>
              </w:rPr>
              <w:t>170.</w:t>
            </w:r>
          </w:p>
          <w:p>
            <w:pPr>
              <w:pStyle w:val="TableParagraph"/>
              <w:spacing w:line="240" w:lineRule="auto" w:before="105"/>
              <w:ind w:left="189" w:right="0"/>
              <w:jc w:val="center"/>
              <w:rPr>
                <w:rFonts w:ascii="Times New Roman" w:hAnsi="Times New Roman" w:cs="Times New Roman" w:eastAsia="Times New Roman" w:hint="default"/>
                <w:sz w:val="18"/>
                <w:szCs w:val="18"/>
              </w:rPr>
            </w:pPr>
            <w:r>
              <w:rPr>
                <w:rFonts w:ascii="Times New Roman"/>
                <w:sz w:val="18"/>
              </w:rPr>
              <w:t>33</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453,</w:t>
            </w:r>
          </w:p>
          <w:p>
            <w:pPr>
              <w:pStyle w:val="TableParagraph"/>
              <w:spacing w:line="240" w:lineRule="auto" w:before="105"/>
              <w:ind w:left="54" w:right="0"/>
              <w:jc w:val="center"/>
              <w:rPr>
                <w:rFonts w:ascii="Times New Roman" w:hAnsi="Times New Roman" w:cs="Times New Roman" w:eastAsia="Times New Roman" w:hint="default"/>
                <w:sz w:val="18"/>
                <w:szCs w:val="18"/>
              </w:rPr>
            </w:pPr>
            <w:r>
              <w:rPr>
                <w:rFonts w:ascii="Times New Roman"/>
                <w:sz w:val="18"/>
              </w:rPr>
              <w:t>037.</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33</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0" w:right="0"/>
              <w:jc w:val="center"/>
              <w:rPr>
                <w:rFonts w:ascii="Times New Roman" w:hAnsi="Times New Roman" w:cs="Times New Roman" w:eastAsia="Times New Roman" w:hint="default"/>
                <w:sz w:val="18"/>
                <w:szCs w:val="18"/>
              </w:rPr>
            </w:pPr>
            <w:r>
              <w:rPr>
                <w:rFonts w:ascii="Times New Roman"/>
                <w:sz w:val="18"/>
              </w:rPr>
              <w:t>-74,</w:t>
            </w:r>
          </w:p>
          <w:p>
            <w:pPr>
              <w:pStyle w:val="TableParagraph"/>
              <w:spacing w:line="240" w:lineRule="auto" w:before="105"/>
              <w:ind w:left="48" w:right="0"/>
              <w:jc w:val="center"/>
              <w:rPr>
                <w:rFonts w:ascii="Times New Roman" w:hAnsi="Times New Roman" w:cs="Times New Roman" w:eastAsia="Times New Roman" w:hint="default"/>
                <w:sz w:val="18"/>
                <w:szCs w:val="18"/>
              </w:rPr>
            </w:pPr>
            <w:r>
              <w:rPr>
                <w:rFonts w:ascii="Times New Roman"/>
                <w:sz w:val="18"/>
              </w:rPr>
              <w:t>176,</w:t>
            </w:r>
          </w:p>
          <w:p>
            <w:pPr>
              <w:pStyle w:val="TableParagraph"/>
              <w:spacing w:line="240" w:lineRule="auto" w:before="105"/>
              <w:ind w:left="48" w:right="0"/>
              <w:jc w:val="center"/>
              <w:rPr>
                <w:rFonts w:ascii="Times New Roman" w:hAnsi="Times New Roman" w:cs="Times New Roman" w:eastAsia="Times New Roman" w:hint="default"/>
                <w:sz w:val="18"/>
                <w:szCs w:val="18"/>
              </w:rPr>
            </w:pPr>
            <w:r>
              <w:rPr>
                <w:rFonts w:ascii="Times New Roman"/>
                <w:sz w:val="18"/>
              </w:rPr>
              <w:t>133.</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00</w:t>
            </w:r>
          </w:p>
        </w:tc>
      </w:tr>
      <w:tr>
        <w:trPr>
          <w:trHeight w:val="133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6"/>
              <w:ind w:left="101" w:right="14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 公积</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4" w:right="0"/>
              <w:jc w:val="left"/>
              <w:rPr>
                <w:rFonts w:ascii="Times New Roman" w:hAnsi="Times New Roman" w:cs="Times New Roman" w:eastAsia="Times New Roman" w:hint="default"/>
                <w:sz w:val="18"/>
                <w:szCs w:val="18"/>
              </w:rPr>
            </w:pPr>
            <w:r>
              <w:rPr>
                <w:rFonts w:ascii="Times New Roman"/>
                <w:sz w:val="18"/>
              </w:rPr>
              <w:t>19,4</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30,3</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06.9</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1</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5" w:right="0"/>
              <w:jc w:val="center"/>
              <w:rPr>
                <w:rFonts w:ascii="Times New Roman" w:hAnsi="Times New Roman" w:cs="Times New Roman" w:eastAsia="Times New Roman" w:hint="default"/>
                <w:sz w:val="18"/>
                <w:szCs w:val="18"/>
              </w:rPr>
            </w:pPr>
            <w:r>
              <w:rPr>
                <w:rFonts w:ascii="Times New Roman"/>
                <w:sz w:val="18"/>
              </w:rPr>
              <w:t>-19,</w:t>
            </w:r>
          </w:p>
          <w:p>
            <w:pPr>
              <w:pStyle w:val="TableParagraph"/>
              <w:spacing w:line="240" w:lineRule="auto" w:before="105"/>
              <w:ind w:left="54" w:right="0"/>
              <w:jc w:val="center"/>
              <w:rPr>
                <w:rFonts w:ascii="Times New Roman" w:hAnsi="Times New Roman" w:cs="Times New Roman" w:eastAsia="Times New Roman" w:hint="default"/>
                <w:sz w:val="18"/>
                <w:szCs w:val="18"/>
              </w:rPr>
            </w:pPr>
            <w:r>
              <w:rPr>
                <w:rFonts w:ascii="Times New Roman"/>
                <w:sz w:val="18"/>
              </w:rPr>
              <w:t>430,</w:t>
            </w:r>
          </w:p>
          <w:p>
            <w:pPr>
              <w:pStyle w:val="TableParagraph"/>
              <w:spacing w:line="240" w:lineRule="auto" w:before="105"/>
              <w:ind w:left="54" w:right="0"/>
              <w:jc w:val="center"/>
              <w:rPr>
                <w:rFonts w:ascii="Times New Roman" w:hAnsi="Times New Roman" w:cs="Times New Roman" w:eastAsia="Times New Roman" w:hint="default"/>
                <w:sz w:val="18"/>
                <w:szCs w:val="18"/>
              </w:rPr>
            </w:pPr>
            <w:r>
              <w:rPr>
                <w:rFonts w:ascii="Times New Roman"/>
                <w:sz w:val="18"/>
              </w:rPr>
              <w:t>306.</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91</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5"/>
              <w:ind w:left="101" w:right="14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 风险准备</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57" w:right="0"/>
              <w:jc w:val="left"/>
              <w:rPr>
                <w:rFonts w:ascii="Times New Roman" w:hAnsi="Times New Roman" w:cs="Times New Roman" w:eastAsia="Times New Roman" w:hint="default"/>
                <w:sz w:val="18"/>
                <w:szCs w:val="18"/>
              </w:rPr>
            </w:pPr>
            <w:r>
              <w:rPr>
                <w:rFonts w:ascii="Times New Roman"/>
                <w:sz w:val="18"/>
              </w:rPr>
              <w:t>1,99</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0,05</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5.32</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7" w:right="0"/>
              <w:jc w:val="center"/>
              <w:rPr>
                <w:rFonts w:ascii="Times New Roman" w:hAnsi="Times New Roman" w:cs="Times New Roman" w:eastAsia="Times New Roman" w:hint="default"/>
                <w:sz w:val="18"/>
                <w:szCs w:val="18"/>
              </w:rPr>
            </w:pPr>
            <w:r>
              <w:rPr>
                <w:rFonts w:ascii="Times New Roman"/>
                <w:sz w:val="18"/>
              </w:rPr>
              <w:t>-2,4</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43,0</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92.6</w:t>
            </w:r>
          </w:p>
          <w:p>
            <w:pPr>
              <w:pStyle w:val="TableParagraph"/>
              <w:spacing w:line="240" w:lineRule="auto" w:before="105"/>
              <w:ind w:left="279" w:right="0"/>
              <w:jc w:val="center"/>
              <w:rPr>
                <w:rFonts w:ascii="Times New Roman" w:hAnsi="Times New Roman" w:cs="Times New Roman" w:eastAsia="Times New Roman" w:hint="default"/>
                <w:sz w:val="18"/>
                <w:szCs w:val="18"/>
              </w:rPr>
            </w:pPr>
            <w:r>
              <w:rPr>
                <w:rFonts w:ascii="Times New Roman"/>
                <w:sz w:val="18"/>
              </w:rPr>
              <w:t>5</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-453</w:t>
            </w:r>
          </w:p>
          <w:p>
            <w:pPr>
              <w:pStyle w:val="TableParagraph"/>
              <w:spacing w:line="240" w:lineRule="auto" w:before="105"/>
              <w:ind w:left="10" w:right="0"/>
              <w:jc w:val="center"/>
              <w:rPr>
                <w:rFonts w:ascii="Times New Roman" w:hAnsi="Times New Roman" w:cs="Times New Roman" w:eastAsia="Times New Roman" w:hint="default"/>
                <w:sz w:val="18"/>
                <w:szCs w:val="18"/>
              </w:rPr>
            </w:pPr>
            <w:r>
              <w:rPr>
                <w:rFonts w:ascii="Times New Roman"/>
                <w:sz w:val="18"/>
              </w:rPr>
              <w:t>,037.</w:t>
            </w:r>
          </w:p>
          <w:p>
            <w:pPr>
              <w:pStyle w:val="TableParagraph"/>
              <w:spacing w:line="240" w:lineRule="auto" w:before="105"/>
              <w:ind w:left="189" w:right="0"/>
              <w:jc w:val="center"/>
              <w:rPr>
                <w:rFonts w:ascii="Times New Roman" w:hAnsi="Times New Roman" w:cs="Times New Roman" w:eastAsia="Times New Roman" w:hint="default"/>
                <w:sz w:val="18"/>
                <w:szCs w:val="18"/>
              </w:rPr>
            </w:pPr>
            <w:r>
              <w:rPr>
                <w:rFonts w:ascii="Times New Roman"/>
                <w:sz w:val="18"/>
              </w:rPr>
              <w:t>33</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453,</w:t>
            </w:r>
          </w:p>
          <w:p>
            <w:pPr>
              <w:pStyle w:val="TableParagraph"/>
              <w:spacing w:line="240" w:lineRule="auto" w:before="105"/>
              <w:ind w:left="54" w:right="0"/>
              <w:jc w:val="center"/>
              <w:rPr>
                <w:rFonts w:ascii="Times New Roman" w:hAnsi="Times New Roman" w:cs="Times New Roman" w:eastAsia="Times New Roman" w:hint="default"/>
                <w:sz w:val="18"/>
                <w:szCs w:val="18"/>
              </w:rPr>
            </w:pPr>
            <w:r>
              <w:rPr>
                <w:rFonts w:ascii="Times New Roman"/>
                <w:sz w:val="18"/>
              </w:rPr>
              <w:t>037.</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33</w:t>
            </w: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16" w:lineRule="auto" w:before="63"/>
              <w:ind w:left="101" w:right="100"/>
              <w:jc w:val="left"/>
              <w:rPr>
                <w:rFonts w:ascii="宋体" w:hAnsi="宋体" w:cs="宋体" w:eastAsia="宋体" w:hint="default"/>
                <w:sz w:val="18"/>
                <w:szCs w:val="18"/>
              </w:rPr>
            </w:pPr>
            <w:r>
              <w:rPr>
                <w:rFonts w:ascii="宋体" w:hAnsi="宋体" w:cs="宋体" w:eastAsia="宋体" w:hint="default"/>
                <w:spacing w:val="-7"/>
                <w:sz w:val="18"/>
                <w:szCs w:val="18"/>
              </w:rPr>
              <w:t>（或股东）的</w:t>
            </w:r>
            <w:r>
              <w:rPr>
                <w:rFonts w:ascii="宋体" w:hAnsi="宋体" w:cs="宋体" w:eastAsia="宋体" w:hint="default"/>
                <w:sz w:val="18"/>
                <w:szCs w:val="18"/>
              </w:rPr>
              <w:t> 分配</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5" w:right="0"/>
              <w:jc w:val="center"/>
              <w:rPr>
                <w:rFonts w:ascii="Times New Roman" w:hAnsi="Times New Roman" w:cs="Times New Roman" w:eastAsia="Times New Roman" w:hint="default"/>
                <w:sz w:val="18"/>
                <w:szCs w:val="18"/>
              </w:rPr>
            </w:pPr>
            <w:r>
              <w:rPr>
                <w:rFonts w:ascii="Times New Roman"/>
                <w:sz w:val="18"/>
              </w:rPr>
              <w:t>-74,</w:t>
            </w:r>
          </w:p>
          <w:p>
            <w:pPr>
              <w:pStyle w:val="TableParagraph"/>
              <w:spacing w:line="240" w:lineRule="auto" w:before="105"/>
              <w:ind w:left="54" w:right="0"/>
              <w:jc w:val="center"/>
              <w:rPr>
                <w:rFonts w:ascii="Times New Roman" w:hAnsi="Times New Roman" w:cs="Times New Roman" w:eastAsia="Times New Roman" w:hint="default"/>
                <w:sz w:val="18"/>
                <w:szCs w:val="18"/>
              </w:rPr>
            </w:pPr>
            <w:r>
              <w:rPr>
                <w:rFonts w:ascii="Times New Roman"/>
                <w:sz w:val="18"/>
              </w:rPr>
              <w:t>176,</w:t>
            </w:r>
          </w:p>
          <w:p>
            <w:pPr>
              <w:pStyle w:val="TableParagraph"/>
              <w:spacing w:line="240" w:lineRule="auto" w:before="105"/>
              <w:ind w:left="54" w:right="0"/>
              <w:jc w:val="center"/>
              <w:rPr>
                <w:rFonts w:ascii="Times New Roman" w:hAnsi="Times New Roman" w:cs="Times New Roman" w:eastAsia="Times New Roman" w:hint="default"/>
                <w:sz w:val="18"/>
                <w:szCs w:val="18"/>
              </w:rPr>
            </w:pPr>
            <w:r>
              <w:rPr>
                <w:rFonts w:ascii="Times New Roman"/>
                <w:sz w:val="18"/>
              </w:rPr>
              <w:t>133.</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center"/>
              <w:rPr>
                <w:rFonts w:ascii="Times New Roman" w:hAnsi="Times New Roman" w:cs="Times New Roman" w:eastAsia="Times New Roman" w:hint="default"/>
                <w:sz w:val="18"/>
                <w:szCs w:val="18"/>
              </w:rPr>
            </w:pPr>
            <w:r>
              <w:rPr>
                <w:rFonts w:ascii="Times New Roman"/>
                <w:sz w:val="18"/>
              </w:rPr>
              <w:t>-74,</w:t>
            </w:r>
          </w:p>
          <w:p>
            <w:pPr>
              <w:pStyle w:val="TableParagraph"/>
              <w:spacing w:line="240" w:lineRule="auto" w:before="105"/>
              <w:ind w:left="55" w:right="0"/>
              <w:jc w:val="center"/>
              <w:rPr>
                <w:rFonts w:ascii="Times New Roman" w:hAnsi="Times New Roman" w:cs="Times New Roman" w:eastAsia="Times New Roman" w:hint="default"/>
                <w:sz w:val="18"/>
                <w:szCs w:val="18"/>
              </w:rPr>
            </w:pPr>
            <w:r>
              <w:rPr>
                <w:rFonts w:ascii="Times New Roman"/>
                <w:sz w:val="18"/>
              </w:rPr>
              <w:t>176,</w:t>
            </w:r>
          </w:p>
          <w:p>
            <w:pPr>
              <w:pStyle w:val="TableParagraph"/>
              <w:spacing w:line="240" w:lineRule="auto" w:before="105"/>
              <w:ind w:left="55" w:right="0"/>
              <w:jc w:val="center"/>
              <w:rPr>
                <w:rFonts w:ascii="Times New Roman" w:hAnsi="Times New Roman" w:cs="Times New Roman" w:eastAsia="Times New Roman" w:hint="default"/>
                <w:sz w:val="18"/>
                <w:szCs w:val="18"/>
              </w:rPr>
            </w:pPr>
            <w:r>
              <w:rPr>
                <w:rFonts w:ascii="Times New Roman"/>
                <w:sz w:val="18"/>
              </w:rPr>
              <w:t>133.</w:t>
            </w:r>
          </w:p>
          <w:p>
            <w:pPr>
              <w:pStyle w:val="TableParagraph"/>
              <w:spacing w:line="240" w:lineRule="auto" w:before="105"/>
              <w:ind w:left="189" w:right="0"/>
              <w:jc w:val="center"/>
              <w:rPr>
                <w:rFonts w:ascii="Times New Roman" w:hAnsi="Times New Roman" w:cs="Times New Roman" w:eastAsia="Times New Roman" w:hint="default"/>
                <w:sz w:val="18"/>
                <w:szCs w:val="18"/>
              </w:rPr>
            </w:pPr>
            <w:r>
              <w:rPr>
                <w:rFonts w:ascii="Times New Roman"/>
                <w:sz w:val="18"/>
              </w:rPr>
              <w:t>00</w:t>
            </w: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0" w:right="0"/>
              <w:jc w:val="center"/>
              <w:rPr>
                <w:rFonts w:ascii="Times New Roman" w:hAnsi="Times New Roman" w:cs="Times New Roman" w:eastAsia="Times New Roman" w:hint="default"/>
                <w:sz w:val="18"/>
                <w:szCs w:val="18"/>
              </w:rPr>
            </w:pPr>
            <w:r>
              <w:rPr>
                <w:rFonts w:ascii="Times New Roman"/>
                <w:sz w:val="18"/>
              </w:rPr>
              <w:t>-74,</w:t>
            </w:r>
          </w:p>
          <w:p>
            <w:pPr>
              <w:pStyle w:val="TableParagraph"/>
              <w:spacing w:line="240" w:lineRule="auto" w:before="105"/>
              <w:ind w:left="48" w:right="0"/>
              <w:jc w:val="center"/>
              <w:rPr>
                <w:rFonts w:ascii="Times New Roman" w:hAnsi="Times New Roman" w:cs="Times New Roman" w:eastAsia="Times New Roman" w:hint="default"/>
                <w:sz w:val="18"/>
                <w:szCs w:val="18"/>
              </w:rPr>
            </w:pPr>
            <w:r>
              <w:rPr>
                <w:rFonts w:ascii="Times New Roman"/>
                <w:sz w:val="18"/>
              </w:rPr>
              <w:t>176,</w:t>
            </w:r>
          </w:p>
          <w:p>
            <w:pPr>
              <w:pStyle w:val="TableParagraph"/>
              <w:spacing w:line="240" w:lineRule="auto" w:before="105"/>
              <w:ind w:left="48" w:right="0"/>
              <w:jc w:val="center"/>
              <w:rPr>
                <w:rFonts w:ascii="Times New Roman" w:hAnsi="Times New Roman" w:cs="Times New Roman" w:eastAsia="Times New Roman" w:hint="default"/>
                <w:sz w:val="18"/>
                <w:szCs w:val="18"/>
              </w:rPr>
            </w:pPr>
            <w:r>
              <w:rPr>
                <w:rFonts w:ascii="Times New Roman"/>
                <w:sz w:val="18"/>
              </w:rPr>
              <w:t>133.</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00</w:t>
            </w: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ind w:left="101" w:right="100"/>
              <w:jc w:val="left"/>
              <w:rPr>
                <w:rFonts w:ascii="宋体" w:hAnsi="宋体" w:cs="宋体" w:eastAsia="宋体" w:hint="default"/>
                <w:sz w:val="18"/>
                <w:szCs w:val="18"/>
              </w:rPr>
            </w:pPr>
            <w:r>
              <w:rPr>
                <w:rFonts w:ascii="宋体" w:hAnsi="宋体" w:cs="宋体" w:eastAsia="宋体" w:hint="default"/>
                <w:spacing w:val="-7"/>
                <w:sz w:val="18"/>
                <w:szCs w:val="18"/>
              </w:rPr>
              <w:t>（四）所有者</w:t>
            </w:r>
            <w:r>
              <w:rPr>
                <w:rFonts w:ascii="宋体" w:hAnsi="宋体" w:cs="宋体" w:eastAsia="宋体" w:hint="default"/>
                <w:sz w:val="18"/>
                <w:szCs w:val="18"/>
              </w:rPr>
              <w:t> 权益内部结 转</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4" w:right="0"/>
              <w:jc w:val="left"/>
              <w:rPr>
                <w:rFonts w:ascii="Times New Roman" w:hAnsi="Times New Roman" w:cs="Times New Roman" w:eastAsia="Times New Roman" w:hint="default"/>
                <w:sz w:val="18"/>
                <w:szCs w:val="18"/>
              </w:rPr>
            </w:pPr>
            <w:r>
              <w:rPr>
                <w:rFonts w:ascii="Times New Roman"/>
                <w:sz w:val="18"/>
              </w:rPr>
              <w:t>16,2</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68,3</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69.0</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3</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6" w:right="0"/>
              <w:jc w:val="left"/>
              <w:rPr>
                <w:rFonts w:ascii="Times New Roman" w:hAnsi="Times New Roman" w:cs="Times New Roman" w:eastAsia="Times New Roman" w:hint="default"/>
                <w:sz w:val="18"/>
                <w:szCs w:val="18"/>
              </w:rPr>
            </w:pPr>
            <w:r>
              <w:rPr>
                <w:rFonts w:ascii="Times New Roman"/>
                <w:sz w:val="18"/>
              </w:rPr>
              <w:t>16,2</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68,3</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69.0</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3</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5" w:right="0"/>
              <w:jc w:val="center"/>
              <w:rPr>
                <w:rFonts w:ascii="Times New Roman" w:hAnsi="Times New Roman" w:cs="Times New Roman" w:eastAsia="Times New Roman" w:hint="default"/>
                <w:sz w:val="18"/>
                <w:szCs w:val="18"/>
              </w:rPr>
            </w:pPr>
            <w:r>
              <w:rPr>
                <w:rFonts w:ascii="Times New Roman"/>
                <w:sz w:val="18"/>
              </w:rPr>
              <w:t>-16,</w:t>
            </w:r>
          </w:p>
          <w:p>
            <w:pPr>
              <w:pStyle w:val="TableParagraph"/>
              <w:spacing w:line="240" w:lineRule="auto" w:before="105"/>
              <w:ind w:left="54" w:right="0"/>
              <w:jc w:val="center"/>
              <w:rPr>
                <w:rFonts w:ascii="Times New Roman" w:hAnsi="Times New Roman" w:cs="Times New Roman" w:eastAsia="Times New Roman" w:hint="default"/>
                <w:sz w:val="18"/>
                <w:szCs w:val="18"/>
              </w:rPr>
            </w:pPr>
            <w:r>
              <w:rPr>
                <w:rFonts w:ascii="Times New Roman"/>
                <w:sz w:val="18"/>
              </w:rPr>
              <w:t>268,</w:t>
            </w:r>
          </w:p>
          <w:p>
            <w:pPr>
              <w:pStyle w:val="TableParagraph"/>
              <w:spacing w:line="240" w:lineRule="auto" w:before="105"/>
              <w:ind w:left="54" w:right="0"/>
              <w:jc w:val="center"/>
              <w:rPr>
                <w:rFonts w:ascii="Times New Roman" w:hAnsi="Times New Roman" w:cs="Times New Roman" w:eastAsia="Times New Roman" w:hint="default"/>
                <w:sz w:val="18"/>
                <w:szCs w:val="18"/>
              </w:rPr>
            </w:pPr>
            <w:r>
              <w:rPr>
                <w:rFonts w:ascii="Times New Roman"/>
                <w:sz w:val="18"/>
              </w:rPr>
              <w:t>369.</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03</w:t>
            </w: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101" w:right="1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 </w:t>
            </w:r>
            <w:r>
              <w:rPr>
                <w:rFonts w:ascii="宋体" w:hAnsi="宋体" w:cs="宋体" w:eastAsia="宋体" w:hint="default"/>
                <w:spacing w:val="-7"/>
                <w:sz w:val="18"/>
                <w:szCs w:val="18"/>
              </w:rPr>
              <w:t>转增资本（或</w:t>
            </w:r>
            <w:r>
              <w:rPr>
                <w:rFonts w:ascii="宋体" w:hAnsi="宋体" w:cs="宋体" w:eastAsia="宋体" w:hint="default"/>
                <w:sz w:val="18"/>
                <w:szCs w:val="18"/>
              </w:rPr>
              <w:t> 股本）</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1" w:right="1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 </w:t>
            </w:r>
            <w:r>
              <w:rPr>
                <w:rFonts w:ascii="宋体" w:hAnsi="宋体" w:cs="宋体" w:eastAsia="宋体" w:hint="default"/>
                <w:spacing w:val="-7"/>
                <w:sz w:val="18"/>
                <w:szCs w:val="18"/>
              </w:rPr>
              <w:t>转增资本（或</w:t>
            </w:r>
            <w:r>
              <w:rPr>
                <w:rFonts w:ascii="宋体" w:hAnsi="宋体" w:cs="宋体" w:eastAsia="宋体" w:hint="default"/>
                <w:sz w:val="18"/>
                <w:szCs w:val="18"/>
              </w:rPr>
              <w:t> 股本）</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4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 弥补亏损</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6"/>
          <w:pgSz w:w="11910" w:h="16840"/>
          <w:pgMar w:footer="1016" w:header="919" w:top="1120" w:bottom="1200" w:left="1020" w:right="0"/>
          <w:pgNumType w:start="10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1253"/>
        <w:gridCol w:w="493"/>
        <w:gridCol w:w="466"/>
        <w:gridCol w:w="467"/>
        <w:gridCol w:w="468"/>
        <w:gridCol w:w="583"/>
        <w:gridCol w:w="584"/>
        <w:gridCol w:w="584"/>
        <w:gridCol w:w="584"/>
        <w:gridCol w:w="583"/>
        <w:gridCol w:w="584"/>
        <w:gridCol w:w="584"/>
        <w:gridCol w:w="584"/>
        <w:gridCol w:w="584"/>
        <w:gridCol w:w="584"/>
        <w:gridCol w:w="578"/>
      </w:tblGrid>
      <w:tr>
        <w:trPr>
          <w:trHeight w:val="133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0"/>
              <w:ind w:left="101" w:right="148"/>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 计划变动额 结转留存收 益</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1" w:right="148"/>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 收益结转留 存收益</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4" w:right="0"/>
              <w:jc w:val="left"/>
              <w:rPr>
                <w:rFonts w:ascii="Times New Roman" w:hAnsi="Times New Roman" w:cs="Times New Roman" w:eastAsia="Times New Roman" w:hint="default"/>
                <w:sz w:val="18"/>
                <w:szCs w:val="18"/>
              </w:rPr>
            </w:pPr>
            <w:r>
              <w:rPr>
                <w:rFonts w:ascii="Times New Roman"/>
                <w:sz w:val="18"/>
              </w:rPr>
              <w:t>16,2</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68,3</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69.0</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3</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6" w:right="0"/>
              <w:jc w:val="left"/>
              <w:rPr>
                <w:rFonts w:ascii="Times New Roman" w:hAnsi="Times New Roman" w:cs="Times New Roman" w:eastAsia="Times New Roman" w:hint="default"/>
                <w:sz w:val="18"/>
                <w:szCs w:val="18"/>
              </w:rPr>
            </w:pPr>
            <w:r>
              <w:rPr>
                <w:rFonts w:ascii="Times New Roman"/>
                <w:sz w:val="18"/>
              </w:rPr>
              <w:t>16,2</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68,3</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69.0</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3</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 w:right="0"/>
              <w:jc w:val="center"/>
              <w:rPr>
                <w:rFonts w:ascii="Times New Roman" w:hAnsi="Times New Roman" w:cs="Times New Roman" w:eastAsia="Times New Roman" w:hint="default"/>
                <w:sz w:val="18"/>
                <w:szCs w:val="18"/>
              </w:rPr>
            </w:pPr>
            <w:r>
              <w:rPr>
                <w:rFonts w:ascii="Times New Roman"/>
                <w:sz w:val="18"/>
              </w:rPr>
              <w:t>-16,</w:t>
            </w:r>
          </w:p>
          <w:p>
            <w:pPr>
              <w:pStyle w:val="TableParagraph"/>
              <w:spacing w:line="240" w:lineRule="auto" w:before="105"/>
              <w:ind w:left="54" w:right="0"/>
              <w:jc w:val="center"/>
              <w:rPr>
                <w:rFonts w:ascii="Times New Roman" w:hAnsi="Times New Roman" w:cs="Times New Roman" w:eastAsia="Times New Roman" w:hint="default"/>
                <w:sz w:val="18"/>
                <w:szCs w:val="18"/>
              </w:rPr>
            </w:pPr>
            <w:r>
              <w:rPr>
                <w:rFonts w:ascii="Times New Roman"/>
                <w:sz w:val="18"/>
              </w:rPr>
              <w:t>268,</w:t>
            </w:r>
          </w:p>
          <w:p>
            <w:pPr>
              <w:pStyle w:val="TableParagraph"/>
              <w:spacing w:line="240" w:lineRule="auto" w:before="105"/>
              <w:ind w:left="54" w:right="0"/>
              <w:jc w:val="center"/>
              <w:rPr>
                <w:rFonts w:ascii="Times New Roman" w:hAnsi="Times New Roman" w:cs="Times New Roman" w:eastAsia="Times New Roman" w:hint="default"/>
                <w:sz w:val="18"/>
                <w:szCs w:val="18"/>
              </w:rPr>
            </w:pPr>
            <w:r>
              <w:rPr>
                <w:rFonts w:ascii="Times New Roman"/>
                <w:sz w:val="18"/>
              </w:rPr>
              <w:t>369.</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03</w:t>
            </w: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00"/>
              <w:jc w:val="left"/>
              <w:rPr>
                <w:rFonts w:ascii="宋体" w:hAnsi="宋体" w:cs="宋体" w:eastAsia="宋体" w:hint="default"/>
                <w:sz w:val="18"/>
                <w:szCs w:val="18"/>
              </w:rPr>
            </w:pPr>
            <w:r>
              <w:rPr>
                <w:rFonts w:ascii="宋体" w:hAnsi="宋体" w:cs="宋体" w:eastAsia="宋体" w:hint="default"/>
                <w:spacing w:val="-7"/>
                <w:sz w:val="18"/>
                <w:szCs w:val="18"/>
              </w:rPr>
              <w:t>（五）专项储</w:t>
            </w:r>
            <w:r>
              <w:rPr>
                <w:rFonts w:ascii="宋体" w:hAnsi="宋体" w:cs="宋体" w:eastAsia="宋体" w:hint="default"/>
                <w:sz w:val="18"/>
                <w:szCs w:val="18"/>
              </w:rPr>
              <w:t> 备</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1" w:right="100"/>
              <w:jc w:val="left"/>
              <w:rPr>
                <w:rFonts w:ascii="宋体" w:hAnsi="宋体" w:cs="宋体" w:eastAsia="宋体" w:hint="default"/>
                <w:sz w:val="18"/>
                <w:szCs w:val="18"/>
              </w:rPr>
            </w:pPr>
            <w:r>
              <w:rPr>
                <w:rFonts w:ascii="宋体" w:hAnsi="宋体" w:cs="宋体" w:eastAsia="宋体" w:hint="default"/>
                <w:spacing w:val="-7"/>
                <w:sz w:val="18"/>
                <w:szCs w:val="18"/>
              </w:rPr>
              <w:t>四、本期期末</w:t>
            </w:r>
            <w:r>
              <w:rPr>
                <w:rFonts w:ascii="宋体" w:hAnsi="宋体" w:cs="宋体" w:eastAsia="宋体" w:hint="default"/>
                <w:sz w:val="18"/>
                <w:szCs w:val="18"/>
              </w:rPr>
              <w:t> 余额</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9" w:right="0"/>
              <w:jc w:val="left"/>
              <w:rPr>
                <w:rFonts w:ascii="Times New Roman" w:hAnsi="Times New Roman" w:cs="Times New Roman" w:eastAsia="Times New Roman" w:hint="default"/>
                <w:sz w:val="18"/>
                <w:szCs w:val="18"/>
              </w:rPr>
            </w:pPr>
            <w:r>
              <w:rPr>
                <w:rFonts w:ascii="Times New Roman"/>
                <w:sz w:val="18"/>
              </w:rPr>
              <w:t>742</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,09</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2,0</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80.</w:t>
            </w:r>
          </w:p>
          <w:p>
            <w:pPr>
              <w:pStyle w:val="TableParagraph"/>
              <w:spacing w:line="240" w:lineRule="auto" w:before="105"/>
              <w:ind w:left="200" w:right="0"/>
              <w:jc w:val="left"/>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1,55</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7,04</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8,33</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3.87</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19,2</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93,3</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50.0</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0</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-1,0</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42,6</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34.1</w:t>
            </w:r>
          </w:p>
          <w:p>
            <w:pPr>
              <w:pStyle w:val="TableParagraph"/>
              <w:spacing w:line="240" w:lineRule="auto" w:before="105"/>
              <w:ind w:left="278" w:right="0"/>
              <w:jc w:val="center"/>
              <w:rPr>
                <w:rFonts w:ascii="Times New Roman" w:hAnsi="Times New Roman" w:cs="Times New Roman" w:eastAsia="Times New Roman" w:hint="default"/>
                <w:sz w:val="18"/>
                <w:szCs w:val="18"/>
              </w:rPr>
            </w:pPr>
            <w:r>
              <w:rPr>
                <w:rFonts w:ascii="Times New Roman"/>
                <w:sz w:val="18"/>
              </w:rPr>
              <w:t>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91,2</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40,8</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72.2</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6</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57" w:right="0"/>
              <w:jc w:val="left"/>
              <w:rPr>
                <w:rFonts w:ascii="Times New Roman" w:hAnsi="Times New Roman" w:cs="Times New Roman" w:eastAsia="Times New Roman" w:hint="default"/>
                <w:sz w:val="18"/>
                <w:szCs w:val="18"/>
              </w:rPr>
            </w:pPr>
            <w:r>
              <w:rPr>
                <w:rFonts w:ascii="Times New Roman"/>
                <w:sz w:val="18"/>
              </w:rPr>
              <w:t>1,99</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0,05</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5.32</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436,</w:t>
            </w:r>
          </w:p>
          <w:p>
            <w:pPr>
              <w:pStyle w:val="TableParagraph"/>
              <w:spacing w:line="240" w:lineRule="auto" w:before="105"/>
              <w:ind w:left="63" w:right="0"/>
              <w:jc w:val="center"/>
              <w:rPr>
                <w:rFonts w:ascii="Times New Roman" w:hAnsi="Times New Roman" w:cs="Times New Roman" w:eastAsia="Times New Roman" w:hint="default"/>
                <w:sz w:val="18"/>
                <w:szCs w:val="18"/>
              </w:rPr>
            </w:pPr>
            <w:r>
              <w:rPr>
                <w:rFonts w:ascii="Times New Roman"/>
                <w:sz w:val="18"/>
              </w:rPr>
              <w:t>611,</w:t>
            </w:r>
          </w:p>
          <w:p>
            <w:pPr>
              <w:pStyle w:val="TableParagraph"/>
              <w:spacing w:line="240" w:lineRule="auto" w:before="105"/>
              <w:ind w:left="54" w:right="0"/>
              <w:jc w:val="center"/>
              <w:rPr>
                <w:rFonts w:ascii="Times New Roman" w:hAnsi="Times New Roman" w:cs="Times New Roman" w:eastAsia="Times New Roman" w:hint="default"/>
                <w:sz w:val="18"/>
                <w:szCs w:val="18"/>
              </w:rPr>
            </w:pPr>
            <w:r>
              <w:rPr>
                <w:rFonts w:ascii="Times New Roman"/>
                <w:sz w:val="18"/>
              </w:rPr>
              <w:t>754.</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47</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2,80</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8,64</w:t>
            </w:r>
          </w:p>
          <w:p>
            <w:pPr>
              <w:pStyle w:val="TableParagraph"/>
              <w:spacing w:line="240" w:lineRule="auto" w:before="105"/>
              <w:ind w:left="168" w:right="0"/>
              <w:jc w:val="left"/>
              <w:rPr>
                <w:rFonts w:ascii="Times New Roman" w:hAnsi="Times New Roman" w:cs="Times New Roman" w:eastAsia="Times New Roman" w:hint="default"/>
                <w:sz w:val="18"/>
                <w:szCs w:val="18"/>
              </w:rPr>
            </w:pPr>
            <w:r>
              <w:rPr>
                <w:rFonts w:ascii="Times New Roman"/>
                <w:sz w:val="18"/>
              </w:rPr>
              <w:t>7,11</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1.82</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71,0</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27,1</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26.7</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8</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2,87</w:t>
            </w:r>
          </w:p>
          <w:p>
            <w:pPr>
              <w:pStyle w:val="TableParagraph"/>
              <w:spacing w:line="240" w:lineRule="auto" w:before="105"/>
              <w:ind w:left="150" w:right="0"/>
              <w:jc w:val="left"/>
              <w:rPr>
                <w:rFonts w:ascii="Times New Roman" w:hAnsi="Times New Roman" w:cs="Times New Roman" w:eastAsia="Times New Roman" w:hint="default"/>
                <w:sz w:val="18"/>
                <w:szCs w:val="18"/>
              </w:rPr>
            </w:pPr>
            <w:r>
              <w:rPr>
                <w:rFonts w:ascii="Times New Roman"/>
                <w:sz w:val="18"/>
              </w:rPr>
              <w:t>9,67</w:t>
            </w:r>
          </w:p>
          <w:p>
            <w:pPr>
              <w:pStyle w:val="TableParagraph"/>
              <w:spacing w:line="240" w:lineRule="auto" w:before="105"/>
              <w:ind w:left="150" w:right="0"/>
              <w:jc w:val="left"/>
              <w:rPr>
                <w:rFonts w:ascii="Times New Roman" w:hAnsi="Times New Roman" w:cs="Times New Roman" w:eastAsia="Times New Roman" w:hint="default"/>
                <w:sz w:val="18"/>
                <w:szCs w:val="18"/>
              </w:rPr>
            </w:pPr>
            <w:r>
              <w:rPr>
                <w:rFonts w:ascii="Times New Roman"/>
                <w:sz w:val="18"/>
              </w:rPr>
              <w:t>4,23</w:t>
            </w:r>
          </w:p>
          <w:p>
            <w:pPr>
              <w:pStyle w:val="TableParagraph"/>
              <w:spacing w:line="240" w:lineRule="auto" w:before="105"/>
              <w:ind w:left="150" w:right="0"/>
              <w:jc w:val="left"/>
              <w:rPr>
                <w:rFonts w:ascii="Times New Roman" w:hAnsi="Times New Roman" w:cs="Times New Roman" w:eastAsia="Times New Roman" w:hint="default"/>
                <w:sz w:val="18"/>
                <w:szCs w:val="18"/>
              </w:rPr>
            </w:pPr>
            <w:r>
              <w:rPr>
                <w:rFonts w:ascii="Times New Roman"/>
                <w:sz w:val="18"/>
              </w:rPr>
              <w:t>8.60</w:t>
            </w:r>
          </w:p>
        </w:tc>
      </w:tr>
    </w:tbl>
    <w:p>
      <w:pPr>
        <w:pStyle w:val="BodyText"/>
        <w:spacing w:line="240" w:lineRule="auto" w:before="50"/>
        <w:ind w:right="915"/>
        <w:jc w:val="left"/>
      </w:pPr>
      <w:r>
        <w:rPr/>
        <w:t>上期金额</w:t>
      </w:r>
    </w:p>
    <w:p>
      <w:pPr>
        <w:pStyle w:val="BodyText"/>
        <w:spacing w:line="240" w:lineRule="auto" w:before="117"/>
        <w:ind w:left="0" w:right="113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12"/>
        <w:gridCol w:w="490"/>
        <w:gridCol w:w="449"/>
        <w:gridCol w:w="449"/>
        <w:gridCol w:w="491"/>
        <w:gridCol w:w="576"/>
        <w:gridCol w:w="577"/>
        <w:gridCol w:w="577"/>
        <w:gridCol w:w="577"/>
        <w:gridCol w:w="576"/>
        <w:gridCol w:w="577"/>
        <w:gridCol w:w="589"/>
        <w:gridCol w:w="567"/>
        <w:gridCol w:w="567"/>
        <w:gridCol w:w="643"/>
        <w:gridCol w:w="651"/>
      </w:tblGrid>
      <w:tr>
        <w:trPr>
          <w:trHeight w:val="402" w:hRule="exact"/>
        </w:trPr>
        <w:tc>
          <w:tcPr>
            <w:tcW w:w="12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56"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w:t>
            </w:r>
          </w:p>
        </w:tc>
      </w:tr>
      <w:tr>
        <w:trPr>
          <w:trHeight w:val="402" w:hRule="exact"/>
        </w:trPr>
        <w:tc>
          <w:tcPr>
            <w:tcW w:w="1212" w:type="dxa"/>
            <w:vMerge/>
            <w:tcBorders>
              <w:left w:val="single" w:sz="4" w:space="0" w:color="000000"/>
              <w:right w:val="single" w:sz="4" w:space="0" w:color="000000"/>
            </w:tcBorders>
            <w:shd w:val="clear" w:color="auto" w:fill="D2D2D2"/>
          </w:tcPr>
          <w:p>
            <w:pPr/>
          </w:p>
        </w:tc>
        <w:tc>
          <w:tcPr>
            <w:tcW w:w="706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316" w:lineRule="auto"/>
              <w:ind w:left="136" w:right="134"/>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6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2"/>
                <w:szCs w:val="22"/>
              </w:rPr>
            </w:pPr>
          </w:p>
          <w:p>
            <w:pPr>
              <w:pStyle w:val="TableParagraph"/>
              <w:spacing w:line="316" w:lineRule="auto"/>
              <w:ind w:left="139" w:right="140"/>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402" w:hRule="exact"/>
        </w:trPr>
        <w:tc>
          <w:tcPr>
            <w:tcW w:w="1212" w:type="dxa"/>
            <w:vMerge/>
            <w:tcBorders>
              <w:left w:val="single" w:sz="4" w:space="0" w:color="000000"/>
              <w:right w:val="single" w:sz="4" w:space="0" w:color="000000"/>
            </w:tcBorders>
            <w:shd w:val="clear" w:color="auto" w:fill="D2D2D2"/>
          </w:tcPr>
          <w:p>
            <w:pPr/>
          </w:p>
        </w:tc>
        <w:tc>
          <w:tcPr>
            <w:tcW w:w="4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150" w:right="148"/>
              <w:jc w:val="left"/>
              <w:rPr>
                <w:rFonts w:ascii="宋体" w:hAnsi="宋体" w:cs="宋体" w:eastAsia="宋体" w:hint="default"/>
                <w:sz w:val="18"/>
                <w:szCs w:val="18"/>
              </w:rPr>
            </w:pPr>
            <w:r>
              <w:rPr>
                <w:rFonts w:ascii="宋体" w:hAnsi="宋体" w:cs="宋体" w:eastAsia="宋体" w:hint="default"/>
                <w:sz w:val="18"/>
                <w:szCs w:val="18"/>
              </w:rPr>
              <w:t>股 本</w:t>
            </w:r>
          </w:p>
        </w:tc>
        <w:tc>
          <w:tcPr>
            <w:tcW w:w="13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49"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102" w:right="102"/>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102" w:right="103"/>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5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103" w:right="101"/>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102" w:right="102"/>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103" w:right="100"/>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103" w:right="101"/>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110" w:right="107"/>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188" w:right="187"/>
              <w:jc w:val="center"/>
              <w:rPr>
                <w:rFonts w:ascii="宋体" w:hAnsi="宋体" w:cs="宋体" w:eastAsia="宋体" w:hint="default"/>
                <w:sz w:val="18"/>
                <w:szCs w:val="18"/>
              </w:rPr>
            </w:pPr>
            <w:r>
              <w:rPr>
                <w:rFonts w:ascii="宋体" w:hAnsi="宋体" w:cs="宋体" w:eastAsia="宋体" w:hint="default"/>
                <w:sz w:val="18"/>
                <w:szCs w:val="18"/>
              </w:rPr>
              <w:t>其 他</w:t>
            </w:r>
          </w:p>
        </w:tc>
        <w:tc>
          <w:tcPr>
            <w:tcW w:w="5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187" w:right="187"/>
              <w:jc w:val="center"/>
              <w:rPr>
                <w:rFonts w:ascii="宋体" w:hAnsi="宋体" w:cs="宋体" w:eastAsia="宋体" w:hint="default"/>
                <w:sz w:val="18"/>
                <w:szCs w:val="18"/>
              </w:rPr>
            </w:pPr>
            <w:r>
              <w:rPr>
                <w:rFonts w:ascii="宋体" w:hAnsi="宋体" w:cs="宋体" w:eastAsia="宋体" w:hint="default"/>
                <w:sz w:val="18"/>
                <w:szCs w:val="18"/>
              </w:rPr>
              <w:t>小 计</w:t>
            </w:r>
          </w:p>
        </w:tc>
        <w:tc>
          <w:tcPr>
            <w:tcW w:w="643" w:type="dxa"/>
            <w:vMerge/>
            <w:tcBorders>
              <w:left w:val="single" w:sz="4" w:space="0" w:color="000000"/>
              <w:right w:val="single" w:sz="4" w:space="0" w:color="000000"/>
            </w:tcBorders>
            <w:shd w:val="clear" w:color="auto" w:fill="D2D2D2"/>
          </w:tcPr>
          <w:p>
            <w:pPr/>
          </w:p>
        </w:tc>
        <w:tc>
          <w:tcPr>
            <w:tcW w:w="651" w:type="dxa"/>
            <w:vMerge/>
            <w:tcBorders>
              <w:left w:val="single" w:sz="4" w:space="0" w:color="000000"/>
              <w:right w:val="single" w:sz="4" w:space="0" w:color="000000"/>
            </w:tcBorders>
            <w:shd w:val="clear" w:color="auto" w:fill="D2D2D2"/>
          </w:tcPr>
          <w:p>
            <w:pPr/>
          </w:p>
        </w:tc>
      </w:tr>
      <w:tr>
        <w:trPr>
          <w:trHeight w:val="1026" w:hRule="exact"/>
        </w:trPr>
        <w:tc>
          <w:tcPr>
            <w:tcW w:w="1212" w:type="dxa"/>
            <w:vMerge/>
            <w:tcBorders>
              <w:left w:val="single" w:sz="4" w:space="0" w:color="000000"/>
              <w:bottom w:val="single" w:sz="4" w:space="0" w:color="000000"/>
              <w:right w:val="single" w:sz="4" w:space="0" w:color="000000"/>
            </w:tcBorders>
            <w:shd w:val="clear" w:color="auto" w:fill="D2D2D2"/>
          </w:tcPr>
          <w:p>
            <w:pPr/>
          </w:p>
        </w:tc>
        <w:tc>
          <w:tcPr>
            <w:tcW w:w="490" w:type="dxa"/>
            <w:vMerge/>
            <w:tcBorders>
              <w:left w:val="single" w:sz="4" w:space="0" w:color="000000"/>
              <w:bottom w:val="single" w:sz="4" w:space="0" w:color="000000"/>
              <w:right w:val="single" w:sz="4" w:space="0" w:color="000000"/>
            </w:tcBorders>
            <w:shd w:val="clear" w:color="auto" w:fill="D2D2D2"/>
          </w:tcPr>
          <w:p>
            <w:pPr/>
          </w:p>
        </w:tc>
        <w:tc>
          <w:tcPr>
            <w:tcW w:w="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27" w:right="129"/>
              <w:jc w:val="both"/>
              <w:rPr>
                <w:rFonts w:ascii="宋体" w:hAnsi="宋体" w:cs="宋体" w:eastAsia="宋体" w:hint="default"/>
                <w:sz w:val="18"/>
                <w:szCs w:val="18"/>
              </w:rPr>
            </w:pPr>
            <w:r>
              <w:rPr>
                <w:rFonts w:ascii="宋体" w:hAnsi="宋体" w:cs="宋体" w:eastAsia="宋体" w:hint="default"/>
                <w:sz w:val="18"/>
                <w:szCs w:val="18"/>
              </w:rPr>
              <w:t>优 先 股</w:t>
            </w:r>
          </w:p>
        </w:tc>
        <w:tc>
          <w:tcPr>
            <w:tcW w:w="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30" w:right="127"/>
              <w:jc w:val="both"/>
              <w:rPr>
                <w:rFonts w:ascii="宋体" w:hAnsi="宋体" w:cs="宋体" w:eastAsia="宋体" w:hint="default"/>
                <w:sz w:val="18"/>
                <w:szCs w:val="18"/>
              </w:rPr>
            </w:pPr>
            <w:r>
              <w:rPr>
                <w:rFonts w:ascii="宋体" w:hAnsi="宋体" w:cs="宋体" w:eastAsia="宋体" w:hint="default"/>
                <w:sz w:val="18"/>
                <w:szCs w:val="18"/>
              </w:rPr>
              <w:t>永 续 债</w:t>
            </w:r>
          </w:p>
        </w:tc>
        <w:tc>
          <w:tcPr>
            <w:tcW w:w="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49" w:right="150"/>
              <w:jc w:val="left"/>
              <w:rPr>
                <w:rFonts w:ascii="宋体" w:hAnsi="宋体" w:cs="宋体" w:eastAsia="宋体" w:hint="default"/>
                <w:sz w:val="18"/>
                <w:szCs w:val="18"/>
              </w:rPr>
            </w:pPr>
            <w:r>
              <w:rPr>
                <w:rFonts w:ascii="宋体" w:hAnsi="宋体" w:cs="宋体" w:eastAsia="宋体" w:hint="default"/>
                <w:sz w:val="18"/>
                <w:szCs w:val="18"/>
              </w:rPr>
              <w:t>其 他</w:t>
            </w:r>
          </w:p>
        </w:tc>
        <w:tc>
          <w:tcPr>
            <w:tcW w:w="576" w:type="dxa"/>
            <w:vMerge/>
            <w:tcBorders>
              <w:left w:val="single" w:sz="4" w:space="0" w:color="000000"/>
              <w:bottom w:val="single" w:sz="4" w:space="0" w:color="000000"/>
              <w:right w:val="single" w:sz="4" w:space="0" w:color="000000"/>
            </w:tcBorders>
            <w:shd w:val="clear" w:color="auto" w:fill="D2D2D2"/>
          </w:tcPr>
          <w:p>
            <w:pPr/>
          </w:p>
        </w:tc>
        <w:tc>
          <w:tcPr>
            <w:tcW w:w="577" w:type="dxa"/>
            <w:vMerge/>
            <w:tcBorders>
              <w:left w:val="single" w:sz="4" w:space="0" w:color="000000"/>
              <w:bottom w:val="single" w:sz="4" w:space="0" w:color="000000"/>
              <w:right w:val="single" w:sz="4" w:space="0" w:color="000000"/>
            </w:tcBorders>
            <w:shd w:val="clear" w:color="auto" w:fill="D2D2D2"/>
          </w:tcPr>
          <w:p>
            <w:pPr/>
          </w:p>
        </w:tc>
        <w:tc>
          <w:tcPr>
            <w:tcW w:w="577" w:type="dxa"/>
            <w:vMerge/>
            <w:tcBorders>
              <w:left w:val="single" w:sz="4" w:space="0" w:color="000000"/>
              <w:bottom w:val="single" w:sz="4" w:space="0" w:color="000000"/>
              <w:right w:val="single" w:sz="4" w:space="0" w:color="000000"/>
            </w:tcBorders>
            <w:shd w:val="clear" w:color="auto" w:fill="D2D2D2"/>
          </w:tcPr>
          <w:p>
            <w:pPr/>
          </w:p>
        </w:tc>
        <w:tc>
          <w:tcPr>
            <w:tcW w:w="577"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7" w:type="dxa"/>
            <w:vMerge/>
            <w:tcBorders>
              <w:left w:val="single" w:sz="4" w:space="0" w:color="000000"/>
              <w:bottom w:val="single" w:sz="4" w:space="0" w:color="000000"/>
              <w:right w:val="single" w:sz="4" w:space="0" w:color="000000"/>
            </w:tcBorders>
            <w:shd w:val="clear" w:color="auto" w:fill="D2D2D2"/>
          </w:tcPr>
          <w:p>
            <w:pPr/>
          </w:p>
        </w:tc>
        <w:tc>
          <w:tcPr>
            <w:tcW w:w="589" w:type="dxa"/>
            <w:vMerge/>
            <w:tcBorders>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shd w:val="clear" w:color="auto" w:fill="D2D2D2"/>
          </w:tcPr>
          <w:p>
            <w:pPr/>
          </w:p>
        </w:tc>
        <w:tc>
          <w:tcPr>
            <w:tcW w:w="643" w:type="dxa"/>
            <w:vMerge/>
            <w:tcBorders>
              <w:left w:val="single" w:sz="4" w:space="0" w:color="000000"/>
              <w:bottom w:val="single" w:sz="4" w:space="0" w:color="000000"/>
              <w:right w:val="single" w:sz="4" w:space="0" w:color="000000"/>
            </w:tcBorders>
            <w:shd w:val="clear" w:color="auto" w:fill="D2D2D2"/>
          </w:tcPr>
          <w:p>
            <w:pPr/>
          </w:p>
        </w:tc>
        <w:tc>
          <w:tcPr>
            <w:tcW w:w="651" w:type="dxa"/>
            <w:vMerge/>
            <w:tcBorders>
              <w:left w:val="single" w:sz="4" w:space="0" w:color="000000"/>
              <w:bottom w:val="single" w:sz="4" w:space="0" w:color="000000"/>
              <w:right w:val="single" w:sz="4" w:space="0" w:color="000000"/>
            </w:tcBorders>
            <w:shd w:val="clear" w:color="auto" w:fill="D2D2D2"/>
          </w:tcPr>
          <w:p>
            <w:pPr/>
          </w:p>
        </w:tc>
      </w:tr>
      <w:tr>
        <w:trPr>
          <w:trHeight w:val="1650"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101" w:right="102"/>
              <w:jc w:val="left"/>
              <w:rPr>
                <w:rFonts w:ascii="宋体" w:hAnsi="宋体" w:cs="宋体" w:eastAsia="宋体" w:hint="default"/>
                <w:sz w:val="18"/>
                <w:szCs w:val="18"/>
              </w:rPr>
            </w:pPr>
            <w:r>
              <w:rPr>
                <w:rFonts w:ascii="宋体" w:hAnsi="宋体" w:cs="宋体" w:eastAsia="宋体" w:hint="default"/>
                <w:spacing w:val="-14"/>
                <w:sz w:val="18"/>
                <w:szCs w:val="18"/>
              </w:rPr>
              <w:t>一、上年期末</w:t>
            </w:r>
            <w:r>
              <w:rPr>
                <w:rFonts w:ascii="宋体" w:hAnsi="宋体" w:cs="宋体" w:eastAsia="宋体" w:hint="default"/>
                <w:sz w:val="18"/>
                <w:szCs w:val="18"/>
              </w:rPr>
              <w:t>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left"/>
              <w:rPr>
                <w:rFonts w:ascii="Times New Roman" w:hAnsi="Times New Roman" w:cs="Times New Roman" w:eastAsia="Times New Roman" w:hint="default"/>
                <w:sz w:val="18"/>
                <w:szCs w:val="18"/>
              </w:rPr>
            </w:pPr>
            <w:r>
              <w:rPr>
                <w:rFonts w:ascii="Times New Roman"/>
                <w:sz w:val="18"/>
              </w:rPr>
              <w:t>742</w:t>
            </w:r>
          </w:p>
          <w:p>
            <w:pPr>
              <w:pStyle w:val="TableParagraph"/>
              <w:spacing w:line="240" w:lineRule="auto" w:before="105"/>
              <w:ind w:left="152" w:right="0"/>
              <w:jc w:val="left"/>
              <w:rPr>
                <w:rFonts w:ascii="Times New Roman" w:hAnsi="Times New Roman" w:cs="Times New Roman" w:eastAsia="Times New Roman" w:hint="default"/>
                <w:sz w:val="18"/>
                <w:szCs w:val="18"/>
              </w:rPr>
            </w:pPr>
            <w:r>
              <w:rPr>
                <w:rFonts w:ascii="Times New Roman"/>
                <w:sz w:val="18"/>
              </w:rPr>
              <w:t>,38</w:t>
            </w:r>
          </w:p>
          <w:p>
            <w:pPr>
              <w:pStyle w:val="TableParagraph"/>
              <w:spacing w:line="240" w:lineRule="auto" w:before="105"/>
              <w:ind w:left="152" w:right="0"/>
              <w:jc w:val="left"/>
              <w:rPr>
                <w:rFonts w:ascii="Times New Roman" w:hAnsi="Times New Roman" w:cs="Times New Roman" w:eastAsia="Times New Roman" w:hint="default"/>
                <w:sz w:val="18"/>
                <w:szCs w:val="18"/>
              </w:rPr>
            </w:pPr>
            <w:r>
              <w:rPr>
                <w:rFonts w:ascii="Times New Roman"/>
                <w:sz w:val="18"/>
              </w:rPr>
              <w:t>3,3</w:t>
            </w:r>
          </w:p>
          <w:p>
            <w:pPr>
              <w:pStyle w:val="TableParagraph"/>
              <w:spacing w:line="240" w:lineRule="auto" w:before="105"/>
              <w:ind w:left="152" w:right="0"/>
              <w:jc w:val="left"/>
              <w:rPr>
                <w:rFonts w:ascii="Times New Roman" w:hAnsi="Times New Roman" w:cs="Times New Roman" w:eastAsia="Times New Roman" w:hint="default"/>
                <w:sz w:val="18"/>
                <w:szCs w:val="18"/>
              </w:rPr>
            </w:pPr>
            <w:r>
              <w:rPr>
                <w:rFonts w:ascii="Times New Roman"/>
                <w:sz w:val="18"/>
              </w:rPr>
              <w:t>30.</w:t>
            </w:r>
          </w:p>
          <w:p>
            <w:pPr>
              <w:pStyle w:val="TableParagraph"/>
              <w:spacing w:line="240" w:lineRule="auto" w:before="105"/>
              <w:ind w:left="198" w:right="0"/>
              <w:jc w:val="left"/>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1,59</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5,86</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7,61</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0.51</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47,6</w:t>
            </w:r>
          </w:p>
          <w:p>
            <w:pPr>
              <w:pStyle w:val="TableParagraph"/>
              <w:spacing w:line="240" w:lineRule="auto" w:before="105"/>
              <w:ind w:left="150" w:right="0"/>
              <w:jc w:val="left"/>
              <w:rPr>
                <w:rFonts w:ascii="Times New Roman" w:hAnsi="Times New Roman" w:cs="Times New Roman" w:eastAsia="Times New Roman" w:hint="default"/>
                <w:sz w:val="18"/>
                <w:szCs w:val="18"/>
              </w:rPr>
            </w:pPr>
            <w:r>
              <w:rPr>
                <w:rFonts w:ascii="Times New Roman"/>
                <w:sz w:val="18"/>
              </w:rPr>
              <w:t>92,2</w:t>
            </w:r>
          </w:p>
          <w:p>
            <w:pPr>
              <w:pStyle w:val="TableParagraph"/>
              <w:spacing w:line="240" w:lineRule="auto" w:before="105"/>
              <w:ind w:left="150" w:right="0"/>
              <w:jc w:val="left"/>
              <w:rPr>
                <w:rFonts w:ascii="Times New Roman" w:hAnsi="Times New Roman" w:cs="Times New Roman" w:eastAsia="Times New Roman" w:hint="default"/>
                <w:sz w:val="18"/>
                <w:szCs w:val="18"/>
              </w:rPr>
            </w:pPr>
            <w:r>
              <w:rPr>
                <w:rFonts w:ascii="Times New Roman"/>
                <w:sz w:val="18"/>
              </w:rPr>
              <w:t>60.0</w:t>
            </w:r>
          </w:p>
          <w:p>
            <w:pPr>
              <w:pStyle w:val="TableParagraph"/>
              <w:spacing w:line="240" w:lineRule="auto" w:before="105"/>
              <w:ind w:left="373" w:right="0"/>
              <w:jc w:val="left"/>
              <w:rPr>
                <w:rFonts w:ascii="Times New Roman" w:hAnsi="Times New Roman" w:cs="Times New Roman" w:eastAsia="Times New Roman" w:hint="default"/>
                <w:sz w:val="18"/>
                <w:szCs w:val="18"/>
              </w:rPr>
            </w:pPr>
            <w:r>
              <w:rPr>
                <w:rFonts w:ascii="Times New Roman"/>
                <w:sz w:val="18"/>
              </w:rPr>
              <w:t>0</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z w:val="18"/>
              </w:rPr>
              <w:t>2,10</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5,43</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8.65</w:t>
            </w: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55,2</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24,9</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54.0</w:t>
            </w:r>
          </w:p>
          <w:p>
            <w:pPr>
              <w:pStyle w:val="TableParagraph"/>
              <w:spacing w:line="240" w:lineRule="auto" w:before="105"/>
              <w:ind w:left="372" w:right="0"/>
              <w:jc w:val="left"/>
              <w:rPr>
                <w:rFonts w:ascii="Times New Roman" w:hAnsi="Times New Roman" w:cs="Times New Roman" w:eastAsia="Times New Roman" w:hint="default"/>
                <w:sz w:val="18"/>
                <w:szCs w:val="18"/>
              </w:rPr>
            </w:pPr>
            <w:r>
              <w:rPr>
                <w:rFonts w:ascii="Times New Roman"/>
                <w:sz w:val="18"/>
              </w:rPr>
              <w:t>4</w:t>
            </w: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350,</w:t>
            </w:r>
          </w:p>
          <w:p>
            <w:pPr>
              <w:pStyle w:val="TableParagraph"/>
              <w:spacing w:line="240" w:lineRule="auto" w:before="105"/>
              <w:ind w:left="57" w:right="0"/>
              <w:jc w:val="center"/>
              <w:rPr>
                <w:rFonts w:ascii="Times New Roman" w:hAnsi="Times New Roman" w:cs="Times New Roman" w:eastAsia="Times New Roman" w:hint="default"/>
                <w:sz w:val="18"/>
                <w:szCs w:val="18"/>
              </w:rPr>
            </w:pPr>
            <w:r>
              <w:rPr>
                <w:rFonts w:ascii="Times New Roman"/>
                <w:sz w:val="18"/>
              </w:rPr>
              <w:t>159,</w:t>
            </w:r>
          </w:p>
          <w:p>
            <w:pPr>
              <w:pStyle w:val="TableParagraph"/>
              <w:spacing w:line="240" w:lineRule="auto" w:before="105"/>
              <w:ind w:left="57"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84</w:t>
            </w: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2,69</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8,04</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8,07</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4.04</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61,49</w:t>
            </w:r>
          </w:p>
          <w:p>
            <w:pPr>
              <w:pStyle w:val="TableParagraph"/>
              <w:spacing w:line="240" w:lineRule="auto" w:before="105"/>
              <w:ind w:left="22" w:right="0"/>
              <w:jc w:val="center"/>
              <w:rPr>
                <w:rFonts w:ascii="Times New Roman" w:hAnsi="Times New Roman" w:cs="Times New Roman" w:eastAsia="Times New Roman" w:hint="default"/>
                <w:sz w:val="18"/>
                <w:szCs w:val="18"/>
              </w:rPr>
            </w:pPr>
            <w:r>
              <w:rPr>
                <w:rFonts w:ascii="Times New Roman"/>
                <w:sz w:val="18"/>
              </w:rPr>
              <w:t>2,785</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.71</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2" w:right="0"/>
              <w:jc w:val="left"/>
              <w:rPr>
                <w:rFonts w:ascii="Times New Roman" w:hAnsi="Times New Roman" w:cs="Times New Roman" w:eastAsia="Times New Roman" w:hint="default"/>
                <w:sz w:val="18"/>
                <w:szCs w:val="18"/>
              </w:rPr>
            </w:pPr>
            <w:r>
              <w:rPr>
                <w:rFonts w:ascii="Times New Roman"/>
                <w:sz w:val="18"/>
              </w:rPr>
              <w:t>2,759</w:t>
            </w:r>
          </w:p>
          <w:p>
            <w:pPr>
              <w:pStyle w:val="TableParagraph"/>
              <w:spacing w:line="240" w:lineRule="auto" w:before="105"/>
              <w:ind w:left="177" w:right="0"/>
              <w:jc w:val="left"/>
              <w:rPr>
                <w:rFonts w:ascii="Times New Roman" w:hAnsi="Times New Roman" w:cs="Times New Roman" w:eastAsia="Times New Roman" w:hint="default"/>
                <w:sz w:val="18"/>
                <w:szCs w:val="18"/>
              </w:rPr>
            </w:pPr>
            <w:r>
              <w:rPr>
                <w:rFonts w:ascii="Times New Roman"/>
                <w:sz w:val="18"/>
              </w:rPr>
              <w:t>,540,</w:t>
            </w:r>
          </w:p>
          <w:p>
            <w:pPr>
              <w:pStyle w:val="TableParagraph"/>
              <w:spacing w:line="240" w:lineRule="auto" w:before="105"/>
              <w:ind w:left="132" w:right="0"/>
              <w:jc w:val="left"/>
              <w:rPr>
                <w:rFonts w:ascii="Times New Roman" w:hAnsi="Times New Roman" w:cs="Times New Roman" w:eastAsia="Times New Roman" w:hint="default"/>
                <w:sz w:val="18"/>
                <w:szCs w:val="18"/>
              </w:rPr>
            </w:pPr>
            <w:r>
              <w:rPr>
                <w:rFonts w:ascii="Times New Roman"/>
                <w:sz w:val="18"/>
              </w:rPr>
              <w:t>859.7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w:t>
            </w:r>
          </w:p>
        </w:tc>
      </w:tr>
      <w:tr>
        <w:trPr>
          <w:trHeight w:val="714"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02" w:firstLine="360"/>
              <w:jc w:val="left"/>
              <w:rPr>
                <w:rFonts w:ascii="宋体" w:hAnsi="宋体" w:cs="宋体" w:eastAsia="宋体" w:hint="default"/>
                <w:sz w:val="18"/>
                <w:szCs w:val="18"/>
              </w:rPr>
            </w:pPr>
            <w:r>
              <w:rPr>
                <w:rFonts w:ascii="宋体" w:hAnsi="宋体" w:cs="宋体" w:eastAsia="宋体" w:hint="default"/>
                <w:spacing w:val="-21"/>
                <w:sz w:val="18"/>
                <w:szCs w:val="18"/>
              </w:rPr>
              <w:t>加：会计</w:t>
            </w:r>
            <w:r>
              <w:rPr>
                <w:rFonts w:ascii="宋体" w:hAnsi="宋体" w:cs="宋体" w:eastAsia="宋体" w:hint="default"/>
                <w:sz w:val="18"/>
                <w:szCs w:val="18"/>
              </w:rPr>
              <w:t> 政策变更</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 w:right="198" w:firstLine="720"/>
              <w:jc w:val="left"/>
              <w:rPr>
                <w:rFonts w:ascii="宋体" w:hAnsi="宋体" w:cs="宋体" w:eastAsia="宋体" w:hint="default"/>
                <w:sz w:val="18"/>
                <w:szCs w:val="18"/>
              </w:rPr>
            </w:pPr>
            <w:r>
              <w:rPr>
                <w:rFonts w:ascii="宋体" w:hAnsi="宋体" w:cs="宋体" w:eastAsia="宋体" w:hint="default"/>
                <w:sz w:val="18"/>
                <w:szCs w:val="18"/>
              </w:rPr>
              <w:t>前 期差错更正</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198"/>
              <w:jc w:val="right"/>
              <w:rPr>
                <w:rFonts w:ascii="宋体" w:hAnsi="宋体" w:cs="宋体" w:eastAsia="宋体" w:hint="default"/>
                <w:sz w:val="18"/>
                <w:szCs w:val="18"/>
              </w:rPr>
            </w:pPr>
            <w:r>
              <w:rPr>
                <w:rFonts w:ascii="宋体" w:hAnsi="宋体" w:cs="宋体" w:eastAsia="宋体" w:hint="default"/>
                <w:sz w:val="18"/>
                <w:szCs w:val="18"/>
              </w:rPr>
              <w:t>同</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9" w:footer="1016"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1212"/>
        <w:gridCol w:w="490"/>
        <w:gridCol w:w="449"/>
        <w:gridCol w:w="449"/>
        <w:gridCol w:w="491"/>
        <w:gridCol w:w="576"/>
        <w:gridCol w:w="577"/>
        <w:gridCol w:w="577"/>
        <w:gridCol w:w="577"/>
        <w:gridCol w:w="576"/>
        <w:gridCol w:w="577"/>
        <w:gridCol w:w="589"/>
        <w:gridCol w:w="567"/>
        <w:gridCol w:w="567"/>
        <w:gridCol w:w="643"/>
        <w:gridCol w:w="651"/>
      </w:tblGrid>
      <w:tr>
        <w:trPr>
          <w:trHeight w:val="674"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01" w:right="198"/>
              <w:jc w:val="left"/>
              <w:rPr>
                <w:rFonts w:ascii="宋体" w:hAnsi="宋体" w:cs="宋体" w:eastAsia="宋体" w:hint="default"/>
                <w:sz w:val="18"/>
                <w:szCs w:val="18"/>
              </w:rPr>
            </w:pPr>
            <w:r>
              <w:rPr>
                <w:rFonts w:ascii="宋体" w:hAnsi="宋体" w:cs="宋体" w:eastAsia="宋体" w:hint="default"/>
                <w:sz w:val="18"/>
                <w:szCs w:val="18"/>
              </w:rPr>
              <w:t>一控制下企 业合并</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98"/>
              <w:jc w:val="right"/>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1" w:right="102"/>
              <w:jc w:val="left"/>
              <w:rPr>
                <w:rFonts w:ascii="宋体" w:hAnsi="宋体" w:cs="宋体" w:eastAsia="宋体" w:hint="default"/>
                <w:sz w:val="18"/>
                <w:szCs w:val="18"/>
              </w:rPr>
            </w:pPr>
            <w:r>
              <w:rPr>
                <w:rFonts w:ascii="宋体" w:hAnsi="宋体" w:cs="宋体" w:eastAsia="宋体" w:hint="default"/>
                <w:spacing w:val="-14"/>
                <w:sz w:val="18"/>
                <w:szCs w:val="18"/>
              </w:rPr>
              <w:t>二、本年期初</w:t>
            </w:r>
            <w:r>
              <w:rPr>
                <w:rFonts w:ascii="宋体" w:hAnsi="宋体" w:cs="宋体" w:eastAsia="宋体" w:hint="default"/>
                <w:sz w:val="18"/>
                <w:szCs w:val="18"/>
              </w:rPr>
              <w:t>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left"/>
              <w:rPr>
                <w:rFonts w:ascii="Times New Roman" w:hAnsi="Times New Roman" w:cs="Times New Roman" w:eastAsia="Times New Roman" w:hint="default"/>
                <w:sz w:val="18"/>
                <w:szCs w:val="18"/>
              </w:rPr>
            </w:pPr>
            <w:r>
              <w:rPr>
                <w:rFonts w:ascii="Times New Roman"/>
                <w:sz w:val="18"/>
              </w:rPr>
              <w:t>742</w:t>
            </w:r>
          </w:p>
          <w:p>
            <w:pPr>
              <w:pStyle w:val="TableParagraph"/>
              <w:spacing w:line="240" w:lineRule="auto" w:before="105"/>
              <w:ind w:left="152" w:right="0"/>
              <w:jc w:val="left"/>
              <w:rPr>
                <w:rFonts w:ascii="Times New Roman" w:hAnsi="Times New Roman" w:cs="Times New Roman" w:eastAsia="Times New Roman" w:hint="default"/>
                <w:sz w:val="18"/>
                <w:szCs w:val="18"/>
              </w:rPr>
            </w:pPr>
            <w:r>
              <w:rPr>
                <w:rFonts w:ascii="Times New Roman"/>
                <w:sz w:val="18"/>
              </w:rPr>
              <w:t>,38</w:t>
            </w:r>
          </w:p>
          <w:p>
            <w:pPr>
              <w:pStyle w:val="TableParagraph"/>
              <w:spacing w:line="240" w:lineRule="auto" w:before="105"/>
              <w:ind w:left="152" w:right="0"/>
              <w:jc w:val="left"/>
              <w:rPr>
                <w:rFonts w:ascii="Times New Roman" w:hAnsi="Times New Roman" w:cs="Times New Roman" w:eastAsia="Times New Roman" w:hint="default"/>
                <w:sz w:val="18"/>
                <w:szCs w:val="18"/>
              </w:rPr>
            </w:pPr>
            <w:r>
              <w:rPr>
                <w:rFonts w:ascii="Times New Roman"/>
                <w:sz w:val="18"/>
              </w:rPr>
              <w:t>3,3</w:t>
            </w:r>
          </w:p>
          <w:p>
            <w:pPr>
              <w:pStyle w:val="TableParagraph"/>
              <w:spacing w:line="240" w:lineRule="auto" w:before="105"/>
              <w:ind w:left="152" w:right="0"/>
              <w:jc w:val="left"/>
              <w:rPr>
                <w:rFonts w:ascii="Times New Roman" w:hAnsi="Times New Roman" w:cs="Times New Roman" w:eastAsia="Times New Roman" w:hint="default"/>
                <w:sz w:val="18"/>
                <w:szCs w:val="18"/>
              </w:rPr>
            </w:pPr>
            <w:r>
              <w:rPr>
                <w:rFonts w:ascii="Times New Roman"/>
                <w:sz w:val="18"/>
              </w:rPr>
              <w:t>30.</w:t>
            </w:r>
          </w:p>
          <w:p>
            <w:pPr>
              <w:pStyle w:val="TableParagraph"/>
              <w:spacing w:line="240" w:lineRule="auto" w:before="105"/>
              <w:ind w:left="198" w:right="0"/>
              <w:jc w:val="left"/>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1,59</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5,86</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7,61</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0.51</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47,6</w:t>
            </w:r>
          </w:p>
          <w:p>
            <w:pPr>
              <w:pStyle w:val="TableParagraph"/>
              <w:spacing w:line="240" w:lineRule="auto" w:before="105"/>
              <w:ind w:left="150" w:right="0"/>
              <w:jc w:val="left"/>
              <w:rPr>
                <w:rFonts w:ascii="Times New Roman" w:hAnsi="Times New Roman" w:cs="Times New Roman" w:eastAsia="Times New Roman" w:hint="default"/>
                <w:sz w:val="18"/>
                <w:szCs w:val="18"/>
              </w:rPr>
            </w:pPr>
            <w:r>
              <w:rPr>
                <w:rFonts w:ascii="Times New Roman"/>
                <w:sz w:val="18"/>
              </w:rPr>
              <w:t>92,2</w:t>
            </w:r>
          </w:p>
          <w:p>
            <w:pPr>
              <w:pStyle w:val="TableParagraph"/>
              <w:spacing w:line="240" w:lineRule="auto" w:before="105"/>
              <w:ind w:left="150" w:right="0"/>
              <w:jc w:val="left"/>
              <w:rPr>
                <w:rFonts w:ascii="Times New Roman" w:hAnsi="Times New Roman" w:cs="Times New Roman" w:eastAsia="Times New Roman" w:hint="default"/>
                <w:sz w:val="18"/>
                <w:szCs w:val="18"/>
              </w:rPr>
            </w:pPr>
            <w:r>
              <w:rPr>
                <w:rFonts w:ascii="Times New Roman"/>
                <w:sz w:val="18"/>
              </w:rPr>
              <w:t>60.0</w:t>
            </w:r>
          </w:p>
          <w:p>
            <w:pPr>
              <w:pStyle w:val="TableParagraph"/>
              <w:spacing w:line="240" w:lineRule="auto" w:before="105"/>
              <w:ind w:left="373" w:right="0"/>
              <w:jc w:val="left"/>
              <w:rPr>
                <w:rFonts w:ascii="Times New Roman" w:hAnsi="Times New Roman" w:cs="Times New Roman" w:eastAsia="Times New Roman" w:hint="default"/>
                <w:sz w:val="18"/>
                <w:szCs w:val="18"/>
              </w:rPr>
            </w:pPr>
            <w:r>
              <w:rPr>
                <w:rFonts w:ascii="Times New Roman"/>
                <w:sz w:val="18"/>
              </w:rPr>
              <w:t>0</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z w:val="18"/>
              </w:rPr>
              <w:t>2,10</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5,43</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8.65</w:t>
            </w: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55,2</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24,9</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54.0</w:t>
            </w:r>
          </w:p>
          <w:p>
            <w:pPr>
              <w:pStyle w:val="TableParagraph"/>
              <w:spacing w:line="240" w:lineRule="auto" w:before="105"/>
              <w:ind w:left="372" w:right="0"/>
              <w:jc w:val="left"/>
              <w:rPr>
                <w:rFonts w:ascii="Times New Roman" w:hAnsi="Times New Roman" w:cs="Times New Roman" w:eastAsia="Times New Roman" w:hint="default"/>
                <w:sz w:val="18"/>
                <w:szCs w:val="18"/>
              </w:rPr>
            </w:pPr>
            <w:r>
              <w:rPr>
                <w:rFonts w:ascii="Times New Roman"/>
                <w:sz w:val="18"/>
              </w:rPr>
              <w:t>4</w:t>
            </w: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350,</w:t>
            </w:r>
          </w:p>
          <w:p>
            <w:pPr>
              <w:pStyle w:val="TableParagraph"/>
              <w:spacing w:line="240" w:lineRule="auto" w:before="105"/>
              <w:ind w:left="57" w:right="0"/>
              <w:jc w:val="center"/>
              <w:rPr>
                <w:rFonts w:ascii="Times New Roman" w:hAnsi="Times New Roman" w:cs="Times New Roman" w:eastAsia="Times New Roman" w:hint="default"/>
                <w:sz w:val="18"/>
                <w:szCs w:val="18"/>
              </w:rPr>
            </w:pPr>
            <w:r>
              <w:rPr>
                <w:rFonts w:ascii="Times New Roman"/>
                <w:sz w:val="18"/>
              </w:rPr>
              <w:t>159,</w:t>
            </w:r>
          </w:p>
          <w:p>
            <w:pPr>
              <w:pStyle w:val="TableParagraph"/>
              <w:spacing w:line="240" w:lineRule="auto" w:before="105"/>
              <w:ind w:left="57"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84</w:t>
            </w: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2,69</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8,04</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8,07</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4.04</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61,49</w:t>
            </w:r>
          </w:p>
          <w:p>
            <w:pPr>
              <w:pStyle w:val="TableParagraph"/>
              <w:spacing w:line="240" w:lineRule="auto" w:before="105"/>
              <w:ind w:left="22" w:right="0"/>
              <w:jc w:val="center"/>
              <w:rPr>
                <w:rFonts w:ascii="Times New Roman" w:hAnsi="Times New Roman" w:cs="Times New Roman" w:eastAsia="Times New Roman" w:hint="default"/>
                <w:sz w:val="18"/>
                <w:szCs w:val="18"/>
              </w:rPr>
            </w:pPr>
            <w:r>
              <w:rPr>
                <w:rFonts w:ascii="Times New Roman"/>
                <w:sz w:val="18"/>
              </w:rPr>
              <w:t>2,785</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.71</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2" w:right="0"/>
              <w:jc w:val="left"/>
              <w:rPr>
                <w:rFonts w:ascii="Times New Roman" w:hAnsi="Times New Roman" w:cs="Times New Roman" w:eastAsia="Times New Roman" w:hint="default"/>
                <w:sz w:val="18"/>
                <w:szCs w:val="18"/>
              </w:rPr>
            </w:pPr>
            <w:r>
              <w:rPr>
                <w:rFonts w:ascii="Times New Roman"/>
                <w:sz w:val="18"/>
              </w:rPr>
              <w:t>2,759</w:t>
            </w:r>
          </w:p>
          <w:p>
            <w:pPr>
              <w:pStyle w:val="TableParagraph"/>
              <w:spacing w:line="240" w:lineRule="auto" w:before="105"/>
              <w:ind w:left="177" w:right="0"/>
              <w:jc w:val="left"/>
              <w:rPr>
                <w:rFonts w:ascii="Times New Roman" w:hAnsi="Times New Roman" w:cs="Times New Roman" w:eastAsia="Times New Roman" w:hint="default"/>
                <w:sz w:val="18"/>
                <w:szCs w:val="18"/>
              </w:rPr>
            </w:pPr>
            <w:r>
              <w:rPr>
                <w:rFonts w:ascii="Times New Roman"/>
                <w:sz w:val="18"/>
              </w:rPr>
              <w:t>,540,</w:t>
            </w:r>
          </w:p>
          <w:p>
            <w:pPr>
              <w:pStyle w:val="TableParagraph"/>
              <w:spacing w:line="240" w:lineRule="auto" w:before="105"/>
              <w:ind w:left="132" w:right="0"/>
              <w:jc w:val="left"/>
              <w:rPr>
                <w:rFonts w:ascii="Times New Roman" w:hAnsi="Times New Roman" w:cs="Times New Roman" w:eastAsia="Times New Roman" w:hint="default"/>
                <w:sz w:val="18"/>
                <w:szCs w:val="18"/>
              </w:rPr>
            </w:pPr>
            <w:r>
              <w:rPr>
                <w:rFonts w:ascii="Times New Roman"/>
                <w:sz w:val="18"/>
              </w:rPr>
              <w:t>859.7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w:t>
            </w:r>
          </w:p>
        </w:tc>
      </w:tr>
      <w:tr>
        <w:trPr>
          <w:trHeight w:val="1338"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02"/>
              <w:jc w:val="both"/>
              <w:rPr>
                <w:rFonts w:ascii="宋体" w:hAnsi="宋体" w:cs="宋体" w:eastAsia="宋体" w:hint="default"/>
                <w:sz w:val="18"/>
                <w:szCs w:val="18"/>
              </w:rPr>
            </w:pPr>
            <w:r>
              <w:rPr>
                <w:rFonts w:ascii="宋体" w:hAnsi="宋体" w:cs="宋体" w:eastAsia="宋体" w:hint="default"/>
                <w:spacing w:val="-14"/>
                <w:sz w:val="18"/>
                <w:szCs w:val="18"/>
              </w:rPr>
              <w:t>三、本期增减</w:t>
            </w:r>
            <w:r>
              <w:rPr>
                <w:rFonts w:ascii="宋体" w:hAnsi="宋体" w:cs="宋体" w:eastAsia="宋体" w:hint="default"/>
                <w:sz w:val="18"/>
                <w:szCs w:val="18"/>
              </w:rPr>
              <w:t> </w:t>
            </w:r>
            <w:r>
              <w:rPr>
                <w:rFonts w:ascii="宋体" w:hAnsi="宋体" w:cs="宋体" w:eastAsia="宋体" w:hint="default"/>
                <w:spacing w:val="-14"/>
                <w:sz w:val="18"/>
                <w:szCs w:val="18"/>
              </w:rPr>
              <w:t>变动金额（减</w:t>
            </w:r>
            <w:r>
              <w:rPr>
                <w:rFonts w:ascii="宋体" w:hAnsi="宋体" w:cs="宋体" w:eastAsia="宋体" w:hint="default"/>
                <w:sz w:val="18"/>
                <w:szCs w:val="18"/>
              </w:rPr>
              <w:t> </w:t>
            </w:r>
            <w:r>
              <w:rPr>
                <w:rFonts w:ascii="宋体" w:hAnsi="宋体" w:cs="宋体" w:eastAsia="宋体" w:hint="default"/>
                <w:spacing w:val="-15"/>
                <w:sz w:val="18"/>
                <w:szCs w:val="18"/>
              </w:rPr>
              <w:t>少以“－”号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填列）</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8" w:right="0"/>
              <w:jc w:val="left"/>
              <w:rPr>
                <w:rFonts w:ascii="Times New Roman" w:hAnsi="Times New Roman" w:cs="Times New Roman" w:eastAsia="Times New Roman" w:hint="default"/>
                <w:sz w:val="18"/>
                <w:szCs w:val="18"/>
              </w:rPr>
            </w:pPr>
            <w:r>
              <w:rPr>
                <w:rFonts w:ascii="Times New Roman"/>
                <w:sz w:val="18"/>
              </w:rPr>
              <w:t>-16</w:t>
            </w:r>
          </w:p>
          <w:p>
            <w:pPr>
              <w:pStyle w:val="TableParagraph"/>
              <w:spacing w:line="240" w:lineRule="auto" w:before="105"/>
              <w:ind w:left="152" w:right="0"/>
              <w:jc w:val="left"/>
              <w:rPr>
                <w:rFonts w:ascii="Times New Roman" w:hAnsi="Times New Roman" w:cs="Times New Roman" w:eastAsia="Times New Roman" w:hint="default"/>
                <w:sz w:val="18"/>
                <w:szCs w:val="18"/>
              </w:rPr>
            </w:pPr>
            <w:r>
              <w:rPr>
                <w:rFonts w:ascii="Times New Roman"/>
                <w:sz w:val="18"/>
              </w:rPr>
              <w:t>8,7</w:t>
            </w:r>
          </w:p>
          <w:p>
            <w:pPr>
              <w:pStyle w:val="TableParagraph"/>
              <w:spacing w:line="240" w:lineRule="auto" w:before="105"/>
              <w:ind w:left="152" w:right="0"/>
              <w:jc w:val="left"/>
              <w:rPr>
                <w:rFonts w:ascii="Times New Roman" w:hAnsi="Times New Roman" w:cs="Times New Roman" w:eastAsia="Times New Roman" w:hint="default"/>
                <w:sz w:val="18"/>
                <w:szCs w:val="18"/>
              </w:rPr>
            </w:pPr>
            <w:r>
              <w:rPr>
                <w:rFonts w:ascii="Times New Roman"/>
                <w:sz w:val="18"/>
              </w:rPr>
              <w:t>50.</w:t>
            </w:r>
          </w:p>
          <w:p>
            <w:pPr>
              <w:pStyle w:val="TableParagraph"/>
              <w:spacing w:line="240" w:lineRule="auto" w:before="105"/>
              <w:ind w:left="198" w:right="0"/>
              <w:jc w:val="left"/>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6" w:right="0"/>
              <w:jc w:val="center"/>
              <w:rPr>
                <w:rFonts w:ascii="Times New Roman" w:hAnsi="Times New Roman" w:cs="Times New Roman" w:eastAsia="Times New Roman" w:hint="default"/>
                <w:sz w:val="18"/>
                <w:szCs w:val="18"/>
              </w:rPr>
            </w:pPr>
            <w:r>
              <w:rPr>
                <w:rFonts w:ascii="Times New Roman"/>
                <w:sz w:val="18"/>
              </w:rPr>
              <w:t>-54,</w:t>
            </w: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875,</w:t>
            </w: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389.</w:t>
            </w:r>
          </w:p>
          <w:p>
            <w:pPr>
              <w:pStyle w:val="TableParagraph"/>
              <w:spacing w:line="240" w:lineRule="auto" w:before="105"/>
              <w:ind w:left="179" w:right="0"/>
              <w:jc w:val="center"/>
              <w:rPr>
                <w:rFonts w:ascii="Times New Roman" w:hAnsi="Times New Roman" w:cs="Times New Roman" w:eastAsia="Times New Roman" w:hint="default"/>
                <w:sz w:val="18"/>
                <w:szCs w:val="18"/>
              </w:rPr>
            </w:pPr>
            <w:r>
              <w:rPr>
                <w:rFonts w:ascii="Times New Roman"/>
                <w:sz w:val="18"/>
              </w:rPr>
              <w:t>98</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 w:right="0"/>
              <w:jc w:val="center"/>
              <w:rPr>
                <w:rFonts w:ascii="Times New Roman" w:hAnsi="Times New Roman" w:cs="Times New Roman" w:eastAsia="Times New Roman" w:hint="default"/>
                <w:sz w:val="18"/>
                <w:szCs w:val="18"/>
              </w:rPr>
            </w:pPr>
            <w:r>
              <w:rPr>
                <w:rFonts w:ascii="Times New Roman"/>
                <w:sz w:val="18"/>
              </w:rPr>
              <w:t>-12,</w:t>
            </w:r>
          </w:p>
          <w:p>
            <w:pPr>
              <w:pStyle w:val="TableParagraph"/>
              <w:spacing w:line="240" w:lineRule="auto" w:before="105"/>
              <w:ind w:left="49" w:right="0"/>
              <w:jc w:val="center"/>
              <w:rPr>
                <w:rFonts w:ascii="Times New Roman" w:hAnsi="Times New Roman" w:cs="Times New Roman" w:eastAsia="Times New Roman" w:hint="default"/>
                <w:sz w:val="18"/>
                <w:szCs w:val="18"/>
              </w:rPr>
            </w:pPr>
            <w:r>
              <w:rPr>
                <w:rFonts w:ascii="Times New Roman"/>
                <w:sz w:val="18"/>
              </w:rPr>
              <w:t>414,</w:t>
            </w:r>
          </w:p>
          <w:p>
            <w:pPr>
              <w:pStyle w:val="TableParagraph"/>
              <w:spacing w:line="240" w:lineRule="auto" w:before="105"/>
              <w:ind w:left="49" w:right="0"/>
              <w:jc w:val="center"/>
              <w:rPr>
                <w:rFonts w:ascii="Times New Roman" w:hAnsi="Times New Roman" w:cs="Times New Roman" w:eastAsia="Times New Roman" w:hint="default"/>
                <w:sz w:val="18"/>
                <w:szCs w:val="18"/>
              </w:rPr>
            </w:pPr>
            <w:r>
              <w:rPr>
                <w:rFonts w:ascii="Times New Roman"/>
                <w:sz w:val="18"/>
              </w:rPr>
              <w:t>517.</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50</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0" w:right="0"/>
              <w:jc w:val="center"/>
              <w:rPr>
                <w:rFonts w:ascii="Times New Roman" w:hAnsi="Times New Roman" w:cs="Times New Roman" w:eastAsia="Times New Roman" w:hint="default"/>
                <w:sz w:val="18"/>
                <w:szCs w:val="18"/>
              </w:rPr>
            </w:pPr>
            <w:r>
              <w:rPr>
                <w:rFonts w:ascii="Times New Roman"/>
                <w:sz w:val="18"/>
              </w:rPr>
              <w:t>-8,2</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34,9</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75.1</w:t>
            </w:r>
          </w:p>
          <w:p>
            <w:pPr>
              <w:pStyle w:val="TableParagraph"/>
              <w:spacing w:line="240" w:lineRule="auto" w:before="105"/>
              <w:ind w:left="272" w:right="0"/>
              <w:jc w:val="center"/>
              <w:rPr>
                <w:rFonts w:ascii="Times New Roman" w:hAnsi="Times New Roman" w:cs="Times New Roman" w:eastAsia="Times New Roman" w:hint="default"/>
                <w:sz w:val="18"/>
                <w:szCs w:val="18"/>
              </w:rPr>
            </w:pPr>
            <w:r>
              <w:rPr>
                <w:rFonts w:ascii="Times New Roman"/>
                <w:sz w:val="18"/>
              </w:rPr>
              <w:t>2</w:t>
            </w: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7" w:right="0"/>
              <w:jc w:val="left"/>
              <w:rPr>
                <w:rFonts w:ascii="Times New Roman" w:hAnsi="Times New Roman" w:cs="Times New Roman" w:eastAsia="Times New Roman" w:hint="default"/>
                <w:sz w:val="18"/>
                <w:szCs w:val="18"/>
              </w:rPr>
            </w:pPr>
            <w:r>
              <w:rPr>
                <w:rFonts w:ascii="Times New Roman"/>
                <w:sz w:val="18"/>
              </w:rPr>
              <w:t>16,9</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68,6</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91.9</w:t>
            </w:r>
          </w:p>
          <w:p>
            <w:pPr>
              <w:pStyle w:val="TableParagraph"/>
              <w:spacing w:line="240" w:lineRule="auto" w:before="105"/>
              <w:ind w:left="372" w:right="0"/>
              <w:jc w:val="left"/>
              <w:rPr>
                <w:rFonts w:ascii="Times New Roman" w:hAnsi="Times New Roman" w:cs="Times New Roman" w:eastAsia="Times New Roman" w:hint="default"/>
                <w:sz w:val="18"/>
                <w:szCs w:val="18"/>
              </w:rPr>
            </w:pPr>
            <w:r>
              <w:rPr>
                <w:rFonts w:ascii="Times New Roman"/>
                <w:sz w:val="18"/>
              </w:rPr>
              <w:t>2</w:t>
            </w: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0" w:right="0"/>
              <w:jc w:val="left"/>
              <w:rPr>
                <w:rFonts w:ascii="Times New Roman" w:hAnsi="Times New Roman" w:cs="Times New Roman" w:eastAsia="Times New Roman" w:hint="default"/>
                <w:sz w:val="18"/>
                <w:szCs w:val="18"/>
              </w:rPr>
            </w:pPr>
            <w:r>
              <w:rPr>
                <w:rFonts w:ascii="Times New Roman"/>
                <w:sz w:val="18"/>
              </w:rPr>
              <w:t>49,4</w:t>
            </w:r>
          </w:p>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99,7</w:t>
            </w:r>
          </w:p>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43.1</w:t>
            </w:r>
          </w:p>
          <w:p>
            <w:pPr>
              <w:pStyle w:val="TableParagraph"/>
              <w:spacing w:line="240" w:lineRule="auto" w:before="105"/>
              <w:ind w:left="386" w:right="0"/>
              <w:jc w:val="left"/>
              <w:rPr>
                <w:rFonts w:ascii="Times New Roman" w:hAnsi="Times New Roman" w:cs="Times New Roman" w:eastAsia="Times New Roman" w:hint="default"/>
                <w:sz w:val="18"/>
                <w:szCs w:val="18"/>
              </w:rPr>
            </w:pPr>
            <w:r>
              <w:rPr>
                <w:rFonts w:ascii="Times New Roman"/>
                <w:sz w:val="18"/>
              </w:rPr>
              <w:t>5</w:t>
            </w: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9" w:right="0"/>
              <w:jc w:val="left"/>
              <w:rPr>
                <w:rFonts w:ascii="Times New Roman" w:hAnsi="Times New Roman" w:cs="Times New Roman" w:eastAsia="Times New Roman" w:hint="default"/>
                <w:sz w:val="18"/>
                <w:szCs w:val="18"/>
              </w:rPr>
            </w:pPr>
            <w:r>
              <w:rPr>
                <w:rFonts w:ascii="Times New Roman"/>
                <w:sz w:val="18"/>
              </w:rPr>
              <w:t>15,6</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03,8</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37.4</w:t>
            </w:r>
          </w:p>
          <w:p>
            <w:pPr>
              <w:pStyle w:val="TableParagraph"/>
              <w:spacing w:line="240" w:lineRule="auto" w:before="105"/>
              <w:ind w:left="362" w:right="0"/>
              <w:jc w:val="left"/>
              <w:rPr>
                <w:rFonts w:ascii="Times New Roman" w:hAnsi="Times New Roman" w:cs="Times New Roman" w:eastAsia="Times New Roman" w:hint="default"/>
                <w:sz w:val="18"/>
                <w:szCs w:val="18"/>
              </w:rPr>
            </w:pPr>
            <w:r>
              <w:rPr>
                <w:rFonts w:ascii="Times New Roman"/>
                <w:sz w:val="18"/>
              </w:rPr>
              <w:t>7</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59,58</w:t>
            </w:r>
          </w:p>
          <w:p>
            <w:pPr>
              <w:pStyle w:val="TableParagraph"/>
              <w:spacing w:line="240" w:lineRule="auto" w:before="105"/>
              <w:ind w:left="22" w:right="0"/>
              <w:jc w:val="center"/>
              <w:rPr>
                <w:rFonts w:ascii="Times New Roman" w:hAnsi="Times New Roman" w:cs="Times New Roman" w:eastAsia="Times New Roman" w:hint="default"/>
                <w:sz w:val="18"/>
                <w:szCs w:val="18"/>
              </w:rPr>
            </w:pPr>
            <w:r>
              <w:rPr>
                <w:rFonts w:ascii="Times New Roman"/>
                <w:sz w:val="18"/>
              </w:rPr>
              <w:t>5,243</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.35</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75,18</w:t>
            </w:r>
          </w:p>
          <w:p>
            <w:pPr>
              <w:pStyle w:val="TableParagraph"/>
              <w:spacing w:line="240" w:lineRule="auto" w:before="105"/>
              <w:ind w:left="29" w:right="0"/>
              <w:jc w:val="center"/>
              <w:rPr>
                <w:rFonts w:ascii="Times New Roman" w:hAnsi="Times New Roman" w:cs="Times New Roman" w:eastAsia="Times New Roman" w:hint="default"/>
                <w:sz w:val="18"/>
                <w:szCs w:val="18"/>
              </w:rPr>
            </w:pPr>
            <w:r>
              <w:rPr>
                <w:rFonts w:ascii="Times New Roman"/>
                <w:sz w:val="18"/>
              </w:rPr>
              <w:t>9,080</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.82</w:t>
            </w:r>
          </w:p>
        </w:tc>
      </w:tr>
      <w:tr>
        <w:trPr>
          <w:trHeight w:val="1338"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1" w:right="102"/>
              <w:jc w:val="left"/>
              <w:rPr>
                <w:rFonts w:ascii="宋体" w:hAnsi="宋体" w:cs="宋体" w:eastAsia="宋体" w:hint="default"/>
                <w:sz w:val="18"/>
                <w:szCs w:val="18"/>
              </w:rPr>
            </w:pPr>
            <w:r>
              <w:rPr>
                <w:rFonts w:ascii="宋体" w:hAnsi="宋体" w:cs="宋体" w:eastAsia="宋体" w:hint="default"/>
                <w:spacing w:val="-14"/>
                <w:sz w:val="18"/>
                <w:szCs w:val="18"/>
              </w:rPr>
              <w:t>（一）综合收</w:t>
            </w:r>
            <w:r>
              <w:rPr>
                <w:rFonts w:ascii="宋体" w:hAnsi="宋体" w:cs="宋体" w:eastAsia="宋体" w:hint="default"/>
                <w:sz w:val="18"/>
                <w:szCs w:val="18"/>
              </w:rPr>
              <w:t> 益总额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-8,2</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34,9</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75.1</w:t>
            </w:r>
          </w:p>
          <w:p>
            <w:pPr>
              <w:pStyle w:val="TableParagraph"/>
              <w:spacing w:line="240" w:lineRule="auto" w:before="105"/>
              <w:ind w:left="272" w:right="0"/>
              <w:jc w:val="center"/>
              <w:rPr>
                <w:rFonts w:ascii="Times New Roman" w:hAnsi="Times New Roman" w:cs="Times New Roman" w:eastAsia="Times New Roman" w:hint="default"/>
                <w:sz w:val="18"/>
                <w:szCs w:val="18"/>
              </w:rPr>
            </w:pPr>
            <w:r>
              <w:rPr>
                <w:rFonts w:ascii="Times New Roman"/>
                <w:sz w:val="18"/>
              </w:rPr>
              <w:t>2</w:t>
            </w: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177,</w:t>
            </w:r>
          </w:p>
          <w:p>
            <w:pPr>
              <w:pStyle w:val="TableParagraph"/>
              <w:spacing w:line="240" w:lineRule="auto" w:before="105"/>
              <w:ind w:left="57" w:right="0"/>
              <w:jc w:val="center"/>
              <w:rPr>
                <w:rFonts w:ascii="Times New Roman" w:hAnsi="Times New Roman" w:cs="Times New Roman" w:eastAsia="Times New Roman" w:hint="default"/>
                <w:sz w:val="18"/>
                <w:szCs w:val="18"/>
              </w:rPr>
            </w:pPr>
            <w:r>
              <w:rPr>
                <w:rFonts w:ascii="Times New Roman"/>
                <w:sz w:val="18"/>
              </w:rPr>
              <w:t>780,</w:t>
            </w:r>
          </w:p>
          <w:p>
            <w:pPr>
              <w:pStyle w:val="TableParagraph"/>
              <w:spacing w:line="240" w:lineRule="auto" w:before="105"/>
              <w:ind w:left="57" w:right="0"/>
              <w:jc w:val="center"/>
              <w:rPr>
                <w:rFonts w:ascii="Times New Roman" w:hAnsi="Times New Roman" w:cs="Times New Roman" w:eastAsia="Times New Roman" w:hint="default"/>
                <w:sz w:val="18"/>
                <w:szCs w:val="18"/>
              </w:rPr>
            </w:pPr>
            <w:r>
              <w:rPr>
                <w:rFonts w:ascii="Times New Roman"/>
                <w:sz w:val="18"/>
              </w:rPr>
              <w:t>372.</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07</w:t>
            </w: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169,</w:t>
            </w:r>
          </w:p>
          <w:p>
            <w:pPr>
              <w:pStyle w:val="TableParagraph"/>
              <w:spacing w:line="240" w:lineRule="auto" w:before="105"/>
              <w:ind w:left="38" w:right="0"/>
              <w:jc w:val="center"/>
              <w:rPr>
                <w:rFonts w:ascii="Times New Roman" w:hAnsi="Times New Roman" w:cs="Times New Roman" w:eastAsia="Times New Roman" w:hint="default"/>
                <w:sz w:val="18"/>
                <w:szCs w:val="18"/>
              </w:rPr>
            </w:pPr>
            <w:r>
              <w:rPr>
                <w:rFonts w:ascii="Times New Roman"/>
                <w:sz w:val="18"/>
              </w:rPr>
              <w:t>545,</w:t>
            </w:r>
          </w:p>
          <w:p>
            <w:pPr>
              <w:pStyle w:val="TableParagraph"/>
              <w:spacing w:line="240" w:lineRule="auto" w:before="105"/>
              <w:ind w:left="38" w:right="0"/>
              <w:jc w:val="center"/>
              <w:rPr>
                <w:rFonts w:ascii="Times New Roman" w:hAnsi="Times New Roman" w:cs="Times New Roman" w:eastAsia="Times New Roman" w:hint="default"/>
                <w:sz w:val="18"/>
                <w:szCs w:val="18"/>
              </w:rPr>
            </w:pPr>
            <w:r>
              <w:rPr>
                <w:rFonts w:ascii="Times New Roman"/>
                <w:sz w:val="18"/>
              </w:rPr>
              <w:t>396.</w:t>
            </w:r>
          </w:p>
          <w:p>
            <w:pPr>
              <w:pStyle w:val="TableParagraph"/>
              <w:spacing w:line="240" w:lineRule="auto" w:before="105"/>
              <w:ind w:left="172" w:right="0"/>
              <w:jc w:val="center"/>
              <w:rPr>
                <w:rFonts w:ascii="Times New Roman" w:hAnsi="Times New Roman" w:cs="Times New Roman" w:eastAsia="Times New Roman" w:hint="default"/>
                <w:sz w:val="18"/>
                <w:szCs w:val="18"/>
              </w:rPr>
            </w:pPr>
            <w:r>
              <w:rPr>
                <w:rFonts w:ascii="Times New Roman"/>
                <w:sz w:val="18"/>
              </w:rPr>
              <w:t>95</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3,580</w:t>
            </w:r>
          </w:p>
          <w:p>
            <w:pPr>
              <w:pStyle w:val="TableParagraph"/>
              <w:spacing w:line="240" w:lineRule="auto" w:before="105"/>
              <w:ind w:left="69" w:right="0"/>
              <w:jc w:val="center"/>
              <w:rPr>
                <w:rFonts w:ascii="Times New Roman" w:hAnsi="Times New Roman" w:cs="Times New Roman" w:eastAsia="Times New Roman" w:hint="default"/>
                <w:sz w:val="18"/>
                <w:szCs w:val="18"/>
              </w:rPr>
            </w:pPr>
            <w:r>
              <w:rPr>
                <w:rFonts w:ascii="Times New Roman"/>
                <w:sz w:val="18"/>
              </w:rPr>
              <w:t>,719.</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73</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2" w:right="0"/>
              <w:jc w:val="left"/>
              <w:rPr>
                <w:rFonts w:ascii="Times New Roman" w:hAnsi="Times New Roman" w:cs="Times New Roman" w:eastAsia="Times New Roman" w:hint="default"/>
                <w:sz w:val="18"/>
                <w:szCs w:val="18"/>
              </w:rPr>
            </w:pPr>
            <w:r>
              <w:rPr>
                <w:rFonts w:ascii="Times New Roman"/>
                <w:sz w:val="18"/>
              </w:rPr>
              <w:t>173,1</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26,11</w:t>
            </w:r>
          </w:p>
          <w:p>
            <w:pPr>
              <w:pStyle w:val="TableParagraph"/>
              <w:spacing w:line="240" w:lineRule="auto" w:before="105"/>
              <w:ind w:left="223" w:right="0"/>
              <w:jc w:val="left"/>
              <w:rPr>
                <w:rFonts w:ascii="Times New Roman" w:hAnsi="Times New Roman" w:cs="Times New Roman" w:eastAsia="Times New Roman" w:hint="default"/>
                <w:sz w:val="18"/>
                <w:szCs w:val="18"/>
              </w:rPr>
            </w:pPr>
            <w:r>
              <w:rPr>
                <w:rFonts w:ascii="Times New Roman"/>
                <w:sz w:val="18"/>
              </w:rPr>
              <w:t>6.68</w:t>
            </w:r>
          </w:p>
        </w:tc>
      </w:tr>
      <w:tr>
        <w:trPr>
          <w:trHeight w:val="1338"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101" w:right="102"/>
              <w:jc w:val="left"/>
              <w:rPr>
                <w:rFonts w:ascii="宋体" w:hAnsi="宋体" w:cs="宋体" w:eastAsia="宋体" w:hint="default"/>
                <w:sz w:val="18"/>
                <w:szCs w:val="18"/>
              </w:rPr>
            </w:pPr>
            <w:r>
              <w:rPr>
                <w:rFonts w:ascii="宋体" w:hAnsi="宋体" w:cs="宋体" w:eastAsia="宋体" w:hint="default"/>
                <w:spacing w:val="-14"/>
                <w:sz w:val="18"/>
                <w:szCs w:val="18"/>
              </w:rPr>
              <w:t>（二）所有者</w:t>
            </w:r>
            <w:r>
              <w:rPr>
                <w:rFonts w:ascii="宋体" w:hAnsi="宋体" w:cs="宋体" w:eastAsia="宋体" w:hint="default"/>
                <w:sz w:val="18"/>
                <w:szCs w:val="18"/>
              </w:rPr>
              <w:t> 投入和减少 资本</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8" w:right="0"/>
              <w:jc w:val="left"/>
              <w:rPr>
                <w:rFonts w:ascii="Times New Roman" w:hAnsi="Times New Roman" w:cs="Times New Roman" w:eastAsia="Times New Roman" w:hint="default"/>
                <w:sz w:val="18"/>
                <w:szCs w:val="18"/>
              </w:rPr>
            </w:pPr>
            <w:r>
              <w:rPr>
                <w:rFonts w:ascii="Times New Roman"/>
                <w:sz w:val="18"/>
              </w:rPr>
              <w:t>-16</w:t>
            </w:r>
          </w:p>
          <w:p>
            <w:pPr>
              <w:pStyle w:val="TableParagraph"/>
              <w:spacing w:line="240" w:lineRule="auto" w:before="105"/>
              <w:ind w:left="152" w:right="0"/>
              <w:jc w:val="left"/>
              <w:rPr>
                <w:rFonts w:ascii="Times New Roman" w:hAnsi="Times New Roman" w:cs="Times New Roman" w:eastAsia="Times New Roman" w:hint="default"/>
                <w:sz w:val="18"/>
                <w:szCs w:val="18"/>
              </w:rPr>
            </w:pPr>
            <w:r>
              <w:rPr>
                <w:rFonts w:ascii="Times New Roman"/>
                <w:sz w:val="18"/>
              </w:rPr>
              <w:t>8,7</w:t>
            </w:r>
          </w:p>
          <w:p>
            <w:pPr>
              <w:pStyle w:val="TableParagraph"/>
              <w:spacing w:line="240" w:lineRule="auto" w:before="105"/>
              <w:ind w:left="152" w:right="0"/>
              <w:jc w:val="left"/>
              <w:rPr>
                <w:rFonts w:ascii="Times New Roman" w:hAnsi="Times New Roman" w:cs="Times New Roman" w:eastAsia="Times New Roman" w:hint="default"/>
                <w:sz w:val="18"/>
                <w:szCs w:val="18"/>
              </w:rPr>
            </w:pPr>
            <w:r>
              <w:rPr>
                <w:rFonts w:ascii="Times New Roman"/>
                <w:sz w:val="18"/>
              </w:rPr>
              <w:t>50.</w:t>
            </w:r>
          </w:p>
          <w:p>
            <w:pPr>
              <w:pStyle w:val="TableParagraph"/>
              <w:spacing w:line="240" w:lineRule="auto" w:before="105"/>
              <w:ind w:left="198" w:right="0"/>
              <w:jc w:val="left"/>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6" w:right="0"/>
              <w:jc w:val="center"/>
              <w:rPr>
                <w:rFonts w:ascii="Times New Roman" w:hAnsi="Times New Roman" w:cs="Times New Roman" w:eastAsia="Times New Roman" w:hint="default"/>
                <w:sz w:val="18"/>
                <w:szCs w:val="18"/>
              </w:rPr>
            </w:pPr>
            <w:r>
              <w:rPr>
                <w:rFonts w:ascii="Times New Roman"/>
                <w:sz w:val="18"/>
              </w:rPr>
              <w:t>-54,</w:t>
            </w: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875,</w:t>
            </w: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389.</w:t>
            </w:r>
          </w:p>
          <w:p>
            <w:pPr>
              <w:pStyle w:val="TableParagraph"/>
              <w:spacing w:line="240" w:lineRule="auto" w:before="105"/>
              <w:ind w:left="179" w:right="0"/>
              <w:jc w:val="center"/>
              <w:rPr>
                <w:rFonts w:ascii="Times New Roman" w:hAnsi="Times New Roman" w:cs="Times New Roman" w:eastAsia="Times New Roman" w:hint="default"/>
                <w:sz w:val="18"/>
                <w:szCs w:val="18"/>
              </w:rPr>
            </w:pPr>
            <w:r>
              <w:rPr>
                <w:rFonts w:ascii="Times New Roman"/>
                <w:sz w:val="18"/>
              </w:rPr>
              <w:t>98</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 w:right="0"/>
              <w:jc w:val="center"/>
              <w:rPr>
                <w:rFonts w:ascii="Times New Roman" w:hAnsi="Times New Roman" w:cs="Times New Roman" w:eastAsia="Times New Roman" w:hint="default"/>
                <w:sz w:val="18"/>
                <w:szCs w:val="18"/>
              </w:rPr>
            </w:pPr>
            <w:r>
              <w:rPr>
                <w:rFonts w:ascii="Times New Roman"/>
                <w:sz w:val="18"/>
              </w:rPr>
              <w:t>-12,</w:t>
            </w:r>
          </w:p>
          <w:p>
            <w:pPr>
              <w:pStyle w:val="TableParagraph"/>
              <w:spacing w:line="240" w:lineRule="auto" w:before="105"/>
              <w:ind w:left="49" w:right="0"/>
              <w:jc w:val="center"/>
              <w:rPr>
                <w:rFonts w:ascii="Times New Roman" w:hAnsi="Times New Roman" w:cs="Times New Roman" w:eastAsia="Times New Roman" w:hint="default"/>
                <w:sz w:val="18"/>
                <w:szCs w:val="18"/>
              </w:rPr>
            </w:pPr>
            <w:r>
              <w:rPr>
                <w:rFonts w:ascii="Times New Roman"/>
                <w:sz w:val="18"/>
              </w:rPr>
              <w:t>414,</w:t>
            </w:r>
          </w:p>
          <w:p>
            <w:pPr>
              <w:pStyle w:val="TableParagraph"/>
              <w:spacing w:line="240" w:lineRule="auto" w:before="105"/>
              <w:ind w:left="49" w:right="0"/>
              <w:jc w:val="center"/>
              <w:rPr>
                <w:rFonts w:ascii="Times New Roman" w:hAnsi="Times New Roman" w:cs="Times New Roman" w:eastAsia="Times New Roman" w:hint="default"/>
                <w:sz w:val="18"/>
                <w:szCs w:val="18"/>
              </w:rPr>
            </w:pPr>
            <w:r>
              <w:rPr>
                <w:rFonts w:ascii="Times New Roman"/>
                <w:sz w:val="18"/>
              </w:rPr>
              <w:t>517.</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50</w:t>
            </w: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9" w:right="0"/>
              <w:jc w:val="center"/>
              <w:rPr>
                <w:rFonts w:ascii="Times New Roman" w:hAnsi="Times New Roman" w:cs="Times New Roman" w:eastAsia="Times New Roman" w:hint="default"/>
                <w:sz w:val="18"/>
                <w:szCs w:val="18"/>
              </w:rPr>
            </w:pPr>
            <w:r>
              <w:rPr>
                <w:rFonts w:ascii="Times New Roman"/>
                <w:sz w:val="18"/>
              </w:rPr>
              <w:t>-42,</w:t>
            </w:r>
          </w:p>
          <w:p>
            <w:pPr>
              <w:pStyle w:val="TableParagraph"/>
              <w:spacing w:line="240" w:lineRule="auto" w:before="105"/>
              <w:ind w:left="38" w:right="0"/>
              <w:jc w:val="center"/>
              <w:rPr>
                <w:rFonts w:ascii="Times New Roman" w:hAnsi="Times New Roman" w:cs="Times New Roman" w:eastAsia="Times New Roman" w:hint="default"/>
                <w:sz w:val="18"/>
                <w:szCs w:val="18"/>
              </w:rPr>
            </w:pPr>
            <w:r>
              <w:rPr>
                <w:rFonts w:ascii="Times New Roman"/>
                <w:sz w:val="18"/>
              </w:rPr>
              <w:t>629,</w:t>
            </w:r>
          </w:p>
          <w:p>
            <w:pPr>
              <w:pStyle w:val="TableParagraph"/>
              <w:spacing w:line="240" w:lineRule="auto" w:before="105"/>
              <w:ind w:left="38" w:right="0"/>
              <w:jc w:val="center"/>
              <w:rPr>
                <w:rFonts w:ascii="Times New Roman" w:hAnsi="Times New Roman" w:cs="Times New Roman" w:eastAsia="Times New Roman" w:hint="default"/>
                <w:sz w:val="18"/>
                <w:szCs w:val="18"/>
              </w:rPr>
            </w:pPr>
            <w:r>
              <w:rPr>
                <w:rFonts w:ascii="Times New Roman"/>
                <w:sz w:val="18"/>
              </w:rPr>
              <w:t>622.</w:t>
            </w:r>
          </w:p>
          <w:p>
            <w:pPr>
              <w:pStyle w:val="TableParagraph"/>
              <w:spacing w:line="240" w:lineRule="auto" w:before="105"/>
              <w:ind w:left="172" w:right="0"/>
              <w:jc w:val="center"/>
              <w:rPr>
                <w:rFonts w:ascii="Times New Roman" w:hAnsi="Times New Roman" w:cs="Times New Roman" w:eastAsia="Times New Roman" w:hint="default"/>
                <w:sz w:val="18"/>
                <w:szCs w:val="18"/>
              </w:rPr>
            </w:pPr>
            <w:r>
              <w:rPr>
                <w:rFonts w:ascii="Times New Roman"/>
                <w:sz w:val="18"/>
              </w:rPr>
              <w:t>48</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56,00</w:t>
            </w:r>
          </w:p>
          <w:p>
            <w:pPr>
              <w:pStyle w:val="TableParagraph"/>
              <w:spacing w:line="240" w:lineRule="auto" w:before="105"/>
              <w:ind w:left="22" w:right="0"/>
              <w:jc w:val="center"/>
              <w:rPr>
                <w:rFonts w:ascii="Times New Roman" w:hAnsi="Times New Roman" w:cs="Times New Roman" w:eastAsia="Times New Roman" w:hint="default"/>
                <w:sz w:val="18"/>
                <w:szCs w:val="18"/>
              </w:rPr>
            </w:pPr>
            <w:r>
              <w:rPr>
                <w:rFonts w:ascii="Times New Roman"/>
                <w:sz w:val="18"/>
              </w:rPr>
              <w:t>4,523</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.62</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13,37</w:t>
            </w:r>
          </w:p>
          <w:p>
            <w:pPr>
              <w:pStyle w:val="TableParagraph"/>
              <w:spacing w:line="240" w:lineRule="auto" w:before="105"/>
              <w:ind w:left="29" w:right="0"/>
              <w:jc w:val="center"/>
              <w:rPr>
                <w:rFonts w:ascii="Times New Roman" w:hAnsi="Times New Roman" w:cs="Times New Roman" w:eastAsia="Times New Roman" w:hint="default"/>
                <w:sz w:val="18"/>
                <w:szCs w:val="18"/>
              </w:rPr>
            </w:pPr>
            <w:r>
              <w:rPr>
                <w:rFonts w:ascii="Times New Roman"/>
                <w:sz w:val="18"/>
              </w:rPr>
              <w:t>4,901</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.14</w:t>
            </w:r>
          </w:p>
        </w:tc>
      </w:tr>
      <w:tr>
        <w:trPr>
          <w:trHeight w:val="1338"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6"/>
              <w:ind w:left="101" w:right="10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 入的普通股</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8" w:right="0"/>
              <w:jc w:val="left"/>
              <w:rPr>
                <w:rFonts w:ascii="Times New Roman" w:hAnsi="Times New Roman" w:cs="Times New Roman" w:eastAsia="Times New Roman" w:hint="default"/>
                <w:sz w:val="18"/>
                <w:szCs w:val="18"/>
              </w:rPr>
            </w:pPr>
            <w:r>
              <w:rPr>
                <w:rFonts w:ascii="Times New Roman"/>
                <w:sz w:val="18"/>
              </w:rPr>
              <w:t>-16</w:t>
            </w:r>
          </w:p>
          <w:p>
            <w:pPr>
              <w:pStyle w:val="TableParagraph"/>
              <w:spacing w:line="240" w:lineRule="auto" w:before="105"/>
              <w:ind w:left="152" w:right="0"/>
              <w:jc w:val="left"/>
              <w:rPr>
                <w:rFonts w:ascii="Times New Roman" w:hAnsi="Times New Roman" w:cs="Times New Roman" w:eastAsia="Times New Roman" w:hint="default"/>
                <w:sz w:val="18"/>
                <w:szCs w:val="18"/>
              </w:rPr>
            </w:pPr>
            <w:r>
              <w:rPr>
                <w:rFonts w:ascii="Times New Roman"/>
                <w:sz w:val="18"/>
              </w:rPr>
              <w:t>8,7</w:t>
            </w:r>
          </w:p>
          <w:p>
            <w:pPr>
              <w:pStyle w:val="TableParagraph"/>
              <w:spacing w:line="240" w:lineRule="auto" w:before="105"/>
              <w:ind w:left="152" w:right="0"/>
              <w:jc w:val="left"/>
              <w:rPr>
                <w:rFonts w:ascii="Times New Roman" w:hAnsi="Times New Roman" w:cs="Times New Roman" w:eastAsia="Times New Roman" w:hint="default"/>
                <w:sz w:val="18"/>
                <w:szCs w:val="18"/>
              </w:rPr>
            </w:pPr>
            <w:r>
              <w:rPr>
                <w:rFonts w:ascii="Times New Roman"/>
                <w:sz w:val="18"/>
              </w:rPr>
              <w:t>50.</w:t>
            </w:r>
          </w:p>
          <w:p>
            <w:pPr>
              <w:pStyle w:val="TableParagraph"/>
              <w:spacing w:line="240" w:lineRule="auto" w:before="105"/>
              <w:ind w:left="198" w:right="0"/>
              <w:jc w:val="left"/>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-57,</w:t>
            </w: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467,</w:t>
            </w: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248.</w:t>
            </w:r>
          </w:p>
          <w:p>
            <w:pPr>
              <w:pStyle w:val="TableParagraph"/>
              <w:spacing w:line="240" w:lineRule="auto" w:before="105"/>
              <w:ind w:left="179" w:right="0"/>
              <w:jc w:val="center"/>
              <w:rPr>
                <w:rFonts w:ascii="Times New Roman" w:hAnsi="Times New Roman" w:cs="Times New Roman" w:eastAsia="Times New Roman" w:hint="default"/>
                <w:sz w:val="18"/>
                <w:szCs w:val="18"/>
              </w:rPr>
            </w:pPr>
            <w:r>
              <w:rPr>
                <w:rFonts w:ascii="Times New Roman"/>
                <w:sz w:val="18"/>
              </w:rPr>
              <w:t>62</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-12,</w:t>
            </w:r>
          </w:p>
          <w:p>
            <w:pPr>
              <w:pStyle w:val="TableParagraph"/>
              <w:spacing w:line="240" w:lineRule="auto" w:before="105"/>
              <w:ind w:left="49" w:right="0"/>
              <w:jc w:val="center"/>
              <w:rPr>
                <w:rFonts w:ascii="Times New Roman" w:hAnsi="Times New Roman" w:cs="Times New Roman" w:eastAsia="Times New Roman" w:hint="default"/>
                <w:sz w:val="18"/>
                <w:szCs w:val="18"/>
              </w:rPr>
            </w:pPr>
            <w:r>
              <w:rPr>
                <w:rFonts w:ascii="Times New Roman"/>
                <w:sz w:val="18"/>
              </w:rPr>
              <w:t>414,</w:t>
            </w:r>
          </w:p>
          <w:p>
            <w:pPr>
              <w:pStyle w:val="TableParagraph"/>
              <w:spacing w:line="240" w:lineRule="auto" w:before="105"/>
              <w:ind w:left="49" w:right="0"/>
              <w:jc w:val="center"/>
              <w:rPr>
                <w:rFonts w:ascii="Times New Roman" w:hAnsi="Times New Roman" w:cs="Times New Roman" w:eastAsia="Times New Roman" w:hint="default"/>
                <w:sz w:val="18"/>
                <w:szCs w:val="18"/>
              </w:rPr>
            </w:pPr>
            <w:r>
              <w:rPr>
                <w:rFonts w:ascii="Times New Roman"/>
                <w:sz w:val="18"/>
              </w:rPr>
              <w:t>517.</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50</w:t>
            </w: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-45,</w:t>
            </w:r>
          </w:p>
          <w:p>
            <w:pPr>
              <w:pStyle w:val="TableParagraph"/>
              <w:spacing w:line="240" w:lineRule="auto" w:before="105"/>
              <w:ind w:left="38" w:right="0"/>
              <w:jc w:val="center"/>
              <w:rPr>
                <w:rFonts w:ascii="Times New Roman" w:hAnsi="Times New Roman" w:cs="Times New Roman" w:eastAsia="Times New Roman" w:hint="default"/>
                <w:sz w:val="18"/>
                <w:szCs w:val="18"/>
              </w:rPr>
            </w:pPr>
            <w:r>
              <w:rPr>
                <w:rFonts w:ascii="Times New Roman"/>
                <w:sz w:val="18"/>
              </w:rPr>
              <w:t>221,</w:t>
            </w:r>
          </w:p>
          <w:p>
            <w:pPr>
              <w:pStyle w:val="TableParagraph"/>
              <w:spacing w:line="240" w:lineRule="auto" w:before="105"/>
              <w:ind w:left="38" w:right="0"/>
              <w:jc w:val="center"/>
              <w:rPr>
                <w:rFonts w:ascii="Times New Roman" w:hAnsi="Times New Roman" w:cs="Times New Roman" w:eastAsia="Times New Roman" w:hint="default"/>
                <w:sz w:val="18"/>
                <w:szCs w:val="18"/>
              </w:rPr>
            </w:pPr>
            <w:r>
              <w:rPr>
                <w:rFonts w:ascii="Times New Roman"/>
                <w:sz w:val="18"/>
              </w:rPr>
              <w:t>481.</w:t>
            </w:r>
          </w:p>
          <w:p>
            <w:pPr>
              <w:pStyle w:val="TableParagraph"/>
              <w:spacing w:line="240" w:lineRule="auto" w:before="105"/>
              <w:ind w:left="172" w:right="0"/>
              <w:jc w:val="center"/>
              <w:rPr>
                <w:rFonts w:ascii="Times New Roman" w:hAnsi="Times New Roman" w:cs="Times New Roman" w:eastAsia="Times New Roman" w:hint="default"/>
                <w:sz w:val="18"/>
                <w:szCs w:val="18"/>
              </w:rPr>
            </w:pPr>
            <w:r>
              <w:rPr>
                <w:rFonts w:ascii="Times New Roman"/>
                <w:sz w:val="18"/>
              </w:rPr>
              <w:t>12</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56,00</w:t>
            </w:r>
          </w:p>
          <w:p>
            <w:pPr>
              <w:pStyle w:val="TableParagraph"/>
              <w:spacing w:line="240" w:lineRule="auto" w:before="105"/>
              <w:ind w:left="22" w:right="0"/>
              <w:jc w:val="center"/>
              <w:rPr>
                <w:rFonts w:ascii="Times New Roman" w:hAnsi="Times New Roman" w:cs="Times New Roman" w:eastAsia="Times New Roman" w:hint="default"/>
                <w:sz w:val="18"/>
                <w:szCs w:val="18"/>
              </w:rPr>
            </w:pPr>
            <w:r>
              <w:rPr>
                <w:rFonts w:ascii="Times New Roman"/>
                <w:sz w:val="18"/>
              </w:rPr>
              <w:t>4,523</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.62</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10,78</w:t>
            </w:r>
          </w:p>
          <w:p>
            <w:pPr>
              <w:pStyle w:val="TableParagraph"/>
              <w:spacing w:line="240" w:lineRule="auto" w:before="105"/>
              <w:ind w:left="29" w:right="0"/>
              <w:jc w:val="center"/>
              <w:rPr>
                <w:rFonts w:ascii="Times New Roman" w:hAnsi="Times New Roman" w:cs="Times New Roman" w:eastAsia="Times New Roman" w:hint="default"/>
                <w:sz w:val="18"/>
                <w:szCs w:val="18"/>
              </w:rPr>
            </w:pPr>
            <w:r>
              <w:rPr>
                <w:rFonts w:ascii="Times New Roman"/>
                <w:sz w:val="18"/>
              </w:rPr>
              <w:t>3,042</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.50</w:t>
            </w:r>
          </w:p>
        </w:tc>
      </w:tr>
      <w:tr>
        <w:trPr>
          <w:trHeight w:val="362" w:hRule="exact"/>
        </w:trPr>
        <w:tc>
          <w:tcPr>
            <w:tcW w:w="1212"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w:t>
            </w:r>
          </w:p>
        </w:tc>
        <w:tc>
          <w:tcPr>
            <w:tcW w:w="490"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1"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
        </w:tc>
        <w:tc>
          <w:tcPr>
            <w:tcW w:w="589" w:type="dxa"/>
            <w:vMerge w:val="restart"/>
            <w:tcBorders>
              <w:top w:val="single" w:sz="4" w:space="0" w:color="000000"/>
              <w:left w:val="single" w:sz="4" w:space="0" w:color="000000"/>
              <w:right w:val="single" w:sz="4" w:space="0" w:color="000000"/>
            </w:tcBorders>
          </w:tcPr>
          <w:p>
            <w:pPr/>
          </w:p>
        </w:tc>
        <w:tc>
          <w:tcPr>
            <w:tcW w:w="567" w:type="dxa"/>
            <w:vMerge w:val="restart"/>
            <w:tcBorders>
              <w:top w:val="single" w:sz="4" w:space="0" w:color="000000"/>
              <w:left w:val="single" w:sz="4" w:space="0" w:color="000000"/>
              <w:right w:val="single" w:sz="4" w:space="0" w:color="000000"/>
            </w:tcBorders>
          </w:tcPr>
          <w:p>
            <w:pPr/>
          </w:p>
        </w:tc>
        <w:tc>
          <w:tcPr>
            <w:tcW w:w="567" w:type="dxa"/>
            <w:vMerge w:val="restart"/>
            <w:tcBorders>
              <w:top w:val="single" w:sz="4" w:space="0" w:color="000000"/>
              <w:left w:val="single" w:sz="4" w:space="0" w:color="000000"/>
              <w:right w:val="single" w:sz="4" w:space="0" w:color="000000"/>
            </w:tcBorders>
          </w:tcPr>
          <w:p>
            <w:pPr/>
          </w:p>
        </w:tc>
        <w:tc>
          <w:tcPr>
            <w:tcW w:w="643" w:type="dxa"/>
            <w:vMerge w:val="restart"/>
            <w:tcBorders>
              <w:top w:val="single" w:sz="4" w:space="0" w:color="000000"/>
              <w:left w:val="single" w:sz="4" w:space="0" w:color="000000"/>
              <w:right w:val="single" w:sz="4" w:space="0" w:color="000000"/>
            </w:tcBorders>
          </w:tcPr>
          <w:p>
            <w:pPr/>
          </w:p>
        </w:tc>
        <w:tc>
          <w:tcPr>
            <w:tcW w:w="651" w:type="dxa"/>
            <w:vMerge w:val="restart"/>
            <w:tcBorders>
              <w:top w:val="single" w:sz="4" w:space="0" w:color="000000"/>
              <w:left w:val="single" w:sz="4" w:space="0" w:color="000000"/>
              <w:right w:val="single" w:sz="4" w:space="0" w:color="000000"/>
            </w:tcBorders>
          </w:tcPr>
          <w:p>
            <w:pPr/>
          </w:p>
        </w:tc>
      </w:tr>
      <w:tr>
        <w:trPr>
          <w:trHeight w:val="307" w:hRule="exact"/>
        </w:trPr>
        <w:tc>
          <w:tcPr>
            <w:tcW w:w="12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工具持有者</w:t>
            </w:r>
          </w:p>
        </w:tc>
        <w:tc>
          <w:tcPr>
            <w:tcW w:w="490"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1"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89"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643" w:type="dxa"/>
            <w:vMerge/>
            <w:tcBorders>
              <w:left w:val="single" w:sz="4" w:space="0" w:color="000000"/>
              <w:right w:val="single" w:sz="4" w:space="0" w:color="000000"/>
            </w:tcBorders>
          </w:tcPr>
          <w:p>
            <w:pPr/>
          </w:p>
        </w:tc>
        <w:tc>
          <w:tcPr>
            <w:tcW w:w="651" w:type="dxa"/>
            <w:vMerge/>
            <w:tcBorders>
              <w:left w:val="single" w:sz="4" w:space="0" w:color="000000"/>
              <w:right w:val="single" w:sz="4" w:space="0" w:color="000000"/>
            </w:tcBorders>
          </w:tcPr>
          <w:p>
            <w:pPr/>
          </w:p>
        </w:tc>
      </w:tr>
      <w:tr>
        <w:trPr>
          <w:trHeight w:val="357" w:hRule="exact"/>
        </w:trPr>
        <w:tc>
          <w:tcPr>
            <w:tcW w:w="121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投入资本</w:t>
            </w:r>
          </w:p>
        </w:tc>
        <w:tc>
          <w:tcPr>
            <w:tcW w:w="490"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1"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89"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643" w:type="dxa"/>
            <w:vMerge/>
            <w:tcBorders>
              <w:left w:val="single" w:sz="4" w:space="0" w:color="000000"/>
              <w:bottom w:val="single" w:sz="4" w:space="0" w:color="000000"/>
              <w:right w:val="single" w:sz="4" w:space="0" w:color="000000"/>
            </w:tcBorders>
          </w:tcPr>
          <w:p>
            <w:pPr/>
          </w:p>
        </w:tc>
        <w:tc>
          <w:tcPr>
            <w:tcW w:w="651" w:type="dxa"/>
            <w:vMerge/>
            <w:tcBorders>
              <w:left w:val="single" w:sz="4" w:space="0" w:color="000000"/>
              <w:bottom w:val="single" w:sz="4" w:space="0" w:color="000000"/>
              <w:right w:val="single" w:sz="4" w:space="0" w:color="000000"/>
            </w:tcBorders>
          </w:tcPr>
          <w:p>
            <w:pPr/>
          </w:p>
        </w:tc>
      </w:tr>
      <w:tr>
        <w:trPr>
          <w:trHeight w:val="362" w:hRule="exact"/>
        </w:trPr>
        <w:tc>
          <w:tcPr>
            <w:tcW w:w="1212"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w:t>
            </w:r>
          </w:p>
        </w:tc>
        <w:tc>
          <w:tcPr>
            <w:tcW w:w="490"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1" w:type="dxa"/>
            <w:vMerge w:val="restart"/>
            <w:tcBorders>
              <w:top w:val="single" w:sz="4" w:space="0" w:color="000000"/>
              <w:left w:val="single" w:sz="4" w:space="0" w:color="000000"/>
              <w:right w:val="single" w:sz="4" w:space="0" w:color="000000"/>
            </w:tcBorders>
          </w:tcPr>
          <w:p>
            <w:pPr/>
          </w:p>
        </w:tc>
        <w:tc>
          <w:tcPr>
            <w:tcW w:w="5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2,59</w:t>
            </w:r>
          </w:p>
        </w:tc>
        <w:tc>
          <w:tcPr>
            <w:tcW w:w="577"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
        </w:tc>
        <w:tc>
          <w:tcPr>
            <w:tcW w:w="589" w:type="dxa"/>
            <w:vMerge w:val="restart"/>
            <w:tcBorders>
              <w:top w:val="single" w:sz="4" w:space="0" w:color="000000"/>
              <w:left w:val="single" w:sz="4" w:space="0" w:color="000000"/>
              <w:right w:val="single" w:sz="4" w:space="0" w:color="000000"/>
            </w:tcBorders>
          </w:tcPr>
          <w:p>
            <w:pPr/>
          </w:p>
        </w:tc>
        <w:tc>
          <w:tcPr>
            <w:tcW w:w="567" w:type="dxa"/>
            <w:vMerge w:val="restart"/>
            <w:tcBorders>
              <w:top w:val="single" w:sz="4" w:space="0" w:color="000000"/>
              <w:left w:val="single" w:sz="4" w:space="0" w:color="000000"/>
              <w:right w:val="single" w:sz="4" w:space="0" w:color="000000"/>
            </w:tcBorders>
          </w:tcPr>
          <w:p>
            <w:pPr/>
          </w:p>
        </w:tc>
        <w:tc>
          <w:tcPr>
            <w:tcW w:w="5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139" w:right="0"/>
              <w:jc w:val="left"/>
              <w:rPr>
                <w:rFonts w:ascii="Times New Roman" w:hAnsi="Times New Roman" w:cs="Times New Roman" w:eastAsia="Times New Roman" w:hint="default"/>
                <w:sz w:val="18"/>
                <w:szCs w:val="18"/>
              </w:rPr>
            </w:pPr>
            <w:r>
              <w:rPr>
                <w:rFonts w:ascii="Times New Roman"/>
                <w:sz w:val="18"/>
              </w:rPr>
              <w:t>2,59</w:t>
            </w:r>
          </w:p>
        </w:tc>
        <w:tc>
          <w:tcPr>
            <w:tcW w:w="643" w:type="dxa"/>
            <w:vMerge w:val="restart"/>
            <w:tcBorders>
              <w:top w:val="single" w:sz="4" w:space="0" w:color="000000"/>
              <w:left w:val="single" w:sz="4" w:space="0" w:color="000000"/>
              <w:right w:val="single" w:sz="4" w:space="0" w:color="000000"/>
            </w:tcBorders>
          </w:tcPr>
          <w:p>
            <w:pPr/>
          </w:p>
        </w:tc>
        <w:tc>
          <w:tcPr>
            <w:tcW w:w="6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2,591</w:t>
            </w:r>
          </w:p>
        </w:tc>
      </w:tr>
      <w:tr>
        <w:trPr>
          <w:trHeight w:val="312" w:hRule="exact"/>
        </w:trPr>
        <w:tc>
          <w:tcPr>
            <w:tcW w:w="12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计入所有者</w:t>
            </w:r>
          </w:p>
        </w:tc>
        <w:tc>
          <w:tcPr>
            <w:tcW w:w="490"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1" w:type="dxa"/>
            <w:vMerge/>
            <w:tcBorders>
              <w:left w:val="single" w:sz="4" w:space="0" w:color="000000"/>
              <w:right w:val="single" w:sz="4" w:space="0" w:color="000000"/>
            </w:tcBorders>
          </w:tcPr>
          <w:p>
            <w:pPr/>
          </w:p>
        </w:tc>
        <w:tc>
          <w:tcPr>
            <w:tcW w:w="57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pacing w:val="-1"/>
                <w:sz w:val="18"/>
              </w:rPr>
              <w:t>1,85</w:t>
            </w:r>
          </w:p>
        </w:tc>
        <w:tc>
          <w:tcPr>
            <w:tcW w:w="577"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89"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139" w:right="0"/>
              <w:jc w:val="left"/>
              <w:rPr>
                <w:rFonts w:ascii="Times New Roman" w:hAnsi="Times New Roman" w:cs="Times New Roman" w:eastAsia="Times New Roman" w:hint="default"/>
                <w:sz w:val="18"/>
                <w:szCs w:val="18"/>
              </w:rPr>
            </w:pPr>
            <w:r>
              <w:rPr>
                <w:rFonts w:ascii="Times New Roman"/>
                <w:sz w:val="18"/>
              </w:rPr>
              <w:t>1,85</w:t>
            </w:r>
          </w:p>
        </w:tc>
        <w:tc>
          <w:tcPr>
            <w:tcW w:w="643" w:type="dxa"/>
            <w:vMerge/>
            <w:tcBorders>
              <w:left w:val="single" w:sz="4" w:space="0" w:color="000000"/>
              <w:right w:val="single" w:sz="4" w:space="0" w:color="000000"/>
            </w:tcBorders>
          </w:tcPr>
          <w:p>
            <w:pPr/>
          </w:p>
        </w:tc>
        <w:tc>
          <w:tcPr>
            <w:tcW w:w="651"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,858.</w:t>
            </w:r>
          </w:p>
        </w:tc>
      </w:tr>
      <w:tr>
        <w:trPr>
          <w:trHeight w:val="352" w:hRule="exact"/>
        </w:trPr>
        <w:tc>
          <w:tcPr>
            <w:tcW w:w="121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权益的金额</w:t>
            </w:r>
          </w:p>
        </w:tc>
        <w:tc>
          <w:tcPr>
            <w:tcW w:w="490"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1" w:type="dxa"/>
            <w:vMerge/>
            <w:tcBorders>
              <w:left w:val="single" w:sz="4" w:space="0" w:color="000000"/>
              <w:bottom w:val="single" w:sz="4" w:space="0" w:color="000000"/>
              <w:right w:val="single" w:sz="4" w:space="0" w:color="000000"/>
            </w:tcBorders>
          </w:tcPr>
          <w:p>
            <w:pPr/>
          </w:p>
        </w:tc>
        <w:tc>
          <w:tcPr>
            <w:tcW w:w="5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pacing w:val="-1"/>
                <w:sz w:val="18"/>
              </w:rPr>
              <w:t>8.64</w:t>
            </w:r>
          </w:p>
        </w:tc>
        <w:tc>
          <w:tcPr>
            <w:tcW w:w="577"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89"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5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left="139" w:right="0"/>
              <w:jc w:val="left"/>
              <w:rPr>
                <w:rFonts w:ascii="Times New Roman" w:hAnsi="Times New Roman" w:cs="Times New Roman" w:eastAsia="Times New Roman" w:hint="default"/>
                <w:sz w:val="18"/>
                <w:szCs w:val="18"/>
              </w:rPr>
            </w:pPr>
            <w:r>
              <w:rPr>
                <w:rFonts w:ascii="Times New Roman"/>
                <w:sz w:val="18"/>
              </w:rPr>
              <w:t>8.64</w:t>
            </w:r>
          </w:p>
        </w:tc>
        <w:tc>
          <w:tcPr>
            <w:tcW w:w="643" w:type="dxa"/>
            <w:vMerge/>
            <w:tcBorders>
              <w:left w:val="single" w:sz="4" w:space="0" w:color="000000"/>
              <w:bottom w:val="single" w:sz="4" w:space="0" w:color="000000"/>
              <w:right w:val="single" w:sz="4" w:space="0" w:color="000000"/>
            </w:tcBorders>
          </w:tcPr>
          <w:p>
            <w:pPr/>
          </w:p>
        </w:tc>
        <w:tc>
          <w:tcPr>
            <w:tcW w:w="6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64</w:t>
            </w:r>
          </w:p>
        </w:tc>
      </w:tr>
      <w:tr>
        <w:trPr>
          <w:trHeight w:val="402"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1" w:right="102"/>
              <w:jc w:val="left"/>
              <w:rPr>
                <w:rFonts w:ascii="宋体" w:hAnsi="宋体" w:cs="宋体" w:eastAsia="宋体" w:hint="default"/>
                <w:sz w:val="18"/>
                <w:szCs w:val="18"/>
              </w:rPr>
            </w:pPr>
            <w:r>
              <w:rPr>
                <w:rFonts w:ascii="宋体" w:hAnsi="宋体" w:cs="宋体" w:eastAsia="宋体" w:hint="default"/>
                <w:spacing w:val="-14"/>
                <w:sz w:val="18"/>
                <w:szCs w:val="18"/>
              </w:rPr>
              <w:t>（三）利润分</w:t>
            </w:r>
            <w:r>
              <w:rPr>
                <w:rFonts w:ascii="宋体" w:hAnsi="宋体" w:cs="宋体" w:eastAsia="宋体" w:hint="default"/>
                <w:sz w:val="18"/>
                <w:szCs w:val="18"/>
              </w:rPr>
              <w:t> 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7" w:right="0"/>
              <w:jc w:val="left"/>
              <w:rPr>
                <w:rFonts w:ascii="Times New Roman" w:hAnsi="Times New Roman" w:cs="Times New Roman" w:eastAsia="Times New Roman" w:hint="default"/>
                <w:sz w:val="18"/>
                <w:szCs w:val="18"/>
              </w:rPr>
            </w:pPr>
            <w:r>
              <w:rPr>
                <w:rFonts w:ascii="Times New Roman"/>
                <w:sz w:val="18"/>
              </w:rPr>
              <w:t>16,9</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68,6</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91.9</w:t>
            </w:r>
          </w:p>
          <w:p>
            <w:pPr>
              <w:pStyle w:val="TableParagraph"/>
              <w:spacing w:line="240" w:lineRule="auto" w:before="105"/>
              <w:ind w:left="372" w:right="0"/>
              <w:jc w:val="left"/>
              <w:rPr>
                <w:rFonts w:ascii="Times New Roman" w:hAnsi="Times New Roman" w:cs="Times New Roman" w:eastAsia="Times New Roman" w:hint="default"/>
                <w:sz w:val="18"/>
                <w:szCs w:val="18"/>
              </w:rPr>
            </w:pPr>
            <w:r>
              <w:rPr>
                <w:rFonts w:ascii="Times New Roman"/>
                <w:sz w:val="18"/>
              </w:rPr>
              <w:t>2</w:t>
            </w: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-128</w:t>
            </w:r>
          </w:p>
          <w:p>
            <w:pPr>
              <w:pStyle w:val="TableParagraph"/>
              <w:spacing w:line="240" w:lineRule="auto" w:before="105"/>
              <w:ind w:left="12" w:right="0"/>
              <w:jc w:val="center"/>
              <w:rPr>
                <w:rFonts w:ascii="Times New Roman" w:hAnsi="Times New Roman" w:cs="Times New Roman" w:eastAsia="Times New Roman" w:hint="default"/>
                <w:sz w:val="18"/>
                <w:szCs w:val="18"/>
              </w:rPr>
            </w:pPr>
            <w:r>
              <w:rPr>
                <w:rFonts w:ascii="Times New Roman"/>
                <w:sz w:val="18"/>
              </w:rPr>
              <w:t>,280,</w:t>
            </w:r>
          </w:p>
          <w:p>
            <w:pPr>
              <w:pStyle w:val="TableParagraph"/>
              <w:spacing w:line="240" w:lineRule="auto" w:before="105"/>
              <w:ind w:left="57" w:right="0"/>
              <w:jc w:val="center"/>
              <w:rPr>
                <w:rFonts w:ascii="Times New Roman" w:hAnsi="Times New Roman" w:cs="Times New Roman" w:eastAsia="Times New Roman" w:hint="default"/>
                <w:sz w:val="18"/>
                <w:szCs w:val="18"/>
              </w:rPr>
            </w:pPr>
            <w:r>
              <w:rPr>
                <w:rFonts w:ascii="Times New Roman"/>
                <w:sz w:val="18"/>
              </w:rPr>
              <w:t>628.</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92</w:t>
            </w: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9" w:right="0"/>
              <w:jc w:val="left"/>
              <w:rPr>
                <w:rFonts w:ascii="Times New Roman" w:hAnsi="Times New Roman" w:cs="Times New Roman" w:eastAsia="Times New Roman" w:hint="default"/>
                <w:sz w:val="18"/>
                <w:szCs w:val="18"/>
              </w:rPr>
            </w:pPr>
            <w:r>
              <w:rPr>
                <w:rFonts w:ascii="Times New Roman"/>
                <w:spacing w:val="-3"/>
                <w:sz w:val="18"/>
              </w:rPr>
              <w:t>-111</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,311</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,937</w:t>
            </w:r>
          </w:p>
          <w:p>
            <w:pPr>
              <w:pStyle w:val="TableParagraph"/>
              <w:spacing w:line="240" w:lineRule="auto" w:before="105"/>
              <w:ind w:left="228" w:right="0"/>
              <w:jc w:val="left"/>
              <w:rPr>
                <w:rFonts w:ascii="Times New Roman" w:hAnsi="Times New Roman" w:cs="Times New Roman" w:eastAsia="Times New Roman" w:hint="default"/>
                <w:sz w:val="18"/>
                <w:szCs w:val="18"/>
              </w:rPr>
            </w:pPr>
            <w:r>
              <w:rPr>
                <w:rFonts w:ascii="Times New Roman"/>
                <w:sz w:val="18"/>
              </w:rPr>
              <w:t>.00</w:t>
            </w: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pacing w:val="-3"/>
                <w:sz w:val="18"/>
              </w:rPr>
              <w:t>-111,</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311,9</w:t>
            </w:r>
          </w:p>
          <w:p>
            <w:pPr>
              <w:pStyle w:val="TableParagraph"/>
              <w:spacing w:line="240" w:lineRule="auto" w:before="105"/>
              <w:ind w:left="132" w:right="0"/>
              <w:jc w:val="left"/>
              <w:rPr>
                <w:rFonts w:ascii="Times New Roman" w:hAnsi="Times New Roman" w:cs="Times New Roman" w:eastAsia="Times New Roman" w:hint="default"/>
                <w:sz w:val="18"/>
                <w:szCs w:val="18"/>
              </w:rPr>
            </w:pPr>
            <w:r>
              <w:rPr>
                <w:rFonts w:ascii="Times New Roman"/>
                <w:sz w:val="18"/>
              </w:rPr>
              <w:t>37.00</w:t>
            </w:r>
          </w:p>
        </w:tc>
      </w:tr>
      <w:tr>
        <w:trPr>
          <w:trHeight w:val="362" w:hRule="exact"/>
        </w:trPr>
        <w:tc>
          <w:tcPr>
            <w:tcW w:w="1212" w:type="dxa"/>
            <w:tcBorders>
              <w:top w:val="single" w:sz="4" w:space="0" w:color="000000"/>
              <w:left w:val="single" w:sz="4" w:space="0" w:color="000000"/>
              <w:bottom w:val="nil" w:sz="6" w:space="0" w:color="auto"/>
              <w:right w:val="single" w:sz="4" w:space="0" w:color="000000"/>
            </w:tcBorders>
            <w:shd w:val="clear" w:color="auto" w:fill="D2D2D2"/>
          </w:tcPr>
          <w:p>
            <w:pPr/>
          </w:p>
        </w:tc>
        <w:tc>
          <w:tcPr>
            <w:tcW w:w="490"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1"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
        </w:tc>
        <w:tc>
          <w:tcPr>
            <w:tcW w:w="5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16,9</w:t>
            </w:r>
          </w:p>
        </w:tc>
        <w:tc>
          <w:tcPr>
            <w:tcW w:w="577" w:type="dxa"/>
            <w:vMerge w:val="restart"/>
            <w:tcBorders>
              <w:top w:val="single" w:sz="4" w:space="0" w:color="000000"/>
              <w:left w:val="single" w:sz="4" w:space="0" w:color="000000"/>
              <w:right w:val="single" w:sz="4" w:space="0" w:color="000000"/>
            </w:tcBorders>
          </w:tcPr>
          <w:p>
            <w:pPr/>
          </w:p>
        </w:tc>
        <w:tc>
          <w:tcPr>
            <w:tcW w:w="58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w:t>
            </w:r>
          </w:p>
        </w:tc>
        <w:tc>
          <w:tcPr>
            <w:tcW w:w="567" w:type="dxa"/>
            <w:vMerge w:val="restart"/>
            <w:tcBorders>
              <w:top w:val="single" w:sz="4" w:space="0" w:color="000000"/>
              <w:left w:val="single" w:sz="4" w:space="0" w:color="000000"/>
              <w:right w:val="single" w:sz="4" w:space="0" w:color="000000"/>
            </w:tcBorders>
          </w:tcPr>
          <w:p>
            <w:pPr/>
          </w:p>
        </w:tc>
        <w:tc>
          <w:tcPr>
            <w:tcW w:w="567" w:type="dxa"/>
            <w:vMerge w:val="restart"/>
            <w:tcBorders>
              <w:top w:val="single" w:sz="4" w:space="0" w:color="000000"/>
              <w:left w:val="single" w:sz="4" w:space="0" w:color="000000"/>
              <w:right w:val="single" w:sz="4" w:space="0" w:color="000000"/>
            </w:tcBorders>
          </w:tcPr>
          <w:p>
            <w:pPr/>
          </w:p>
        </w:tc>
        <w:tc>
          <w:tcPr>
            <w:tcW w:w="643" w:type="dxa"/>
            <w:vMerge w:val="restart"/>
            <w:tcBorders>
              <w:top w:val="single" w:sz="4" w:space="0" w:color="000000"/>
              <w:left w:val="single" w:sz="4" w:space="0" w:color="000000"/>
              <w:right w:val="single" w:sz="4" w:space="0" w:color="000000"/>
            </w:tcBorders>
          </w:tcPr>
          <w:p>
            <w:pPr/>
          </w:p>
        </w:tc>
        <w:tc>
          <w:tcPr>
            <w:tcW w:w="651" w:type="dxa"/>
            <w:vMerge w:val="restart"/>
            <w:tcBorders>
              <w:top w:val="single" w:sz="4" w:space="0" w:color="000000"/>
              <w:left w:val="single" w:sz="4" w:space="0" w:color="000000"/>
              <w:right w:val="single" w:sz="4" w:space="0" w:color="000000"/>
            </w:tcBorders>
          </w:tcPr>
          <w:p>
            <w:pPr/>
          </w:p>
        </w:tc>
      </w:tr>
      <w:tr>
        <w:trPr>
          <w:trHeight w:val="312" w:hRule="exact"/>
        </w:trPr>
        <w:tc>
          <w:tcPr>
            <w:tcW w:w="12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w:t>
            </w:r>
          </w:p>
        </w:tc>
        <w:tc>
          <w:tcPr>
            <w:tcW w:w="490"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1"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7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8"/>
                <w:szCs w:val="18"/>
              </w:rPr>
            </w:pPr>
            <w:r>
              <w:rPr>
                <w:rFonts w:ascii="Times New Roman"/>
                <w:spacing w:val="-1"/>
                <w:sz w:val="18"/>
              </w:rPr>
              <w:t>68,6</w:t>
            </w:r>
          </w:p>
        </w:tc>
        <w:tc>
          <w:tcPr>
            <w:tcW w:w="577" w:type="dxa"/>
            <w:vMerge/>
            <w:tcBorders>
              <w:left w:val="single" w:sz="4" w:space="0" w:color="000000"/>
              <w:right w:val="single" w:sz="4" w:space="0" w:color="000000"/>
            </w:tcBorders>
          </w:tcPr>
          <w:p>
            <w:pPr/>
          </w:p>
        </w:tc>
        <w:tc>
          <w:tcPr>
            <w:tcW w:w="58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968,</w:t>
            </w:r>
          </w:p>
        </w:tc>
        <w:tc>
          <w:tcPr>
            <w:tcW w:w="567"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643" w:type="dxa"/>
            <w:vMerge/>
            <w:tcBorders>
              <w:left w:val="single" w:sz="4" w:space="0" w:color="000000"/>
              <w:right w:val="single" w:sz="4" w:space="0" w:color="000000"/>
            </w:tcBorders>
          </w:tcPr>
          <w:p>
            <w:pPr/>
          </w:p>
        </w:tc>
        <w:tc>
          <w:tcPr>
            <w:tcW w:w="651" w:type="dxa"/>
            <w:vMerge/>
            <w:tcBorders>
              <w:left w:val="single" w:sz="4" w:space="0" w:color="000000"/>
              <w:right w:val="single" w:sz="4" w:space="0" w:color="000000"/>
            </w:tcBorders>
          </w:tcPr>
          <w:p>
            <w:pPr/>
          </w:p>
        </w:tc>
      </w:tr>
      <w:tr>
        <w:trPr>
          <w:trHeight w:val="317" w:hRule="exact"/>
        </w:trPr>
        <w:tc>
          <w:tcPr>
            <w:tcW w:w="12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公积</w:t>
            </w:r>
          </w:p>
        </w:tc>
        <w:tc>
          <w:tcPr>
            <w:tcW w:w="490"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1"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7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8"/>
                <w:szCs w:val="18"/>
              </w:rPr>
            </w:pPr>
            <w:r>
              <w:rPr>
                <w:rFonts w:ascii="Times New Roman"/>
                <w:spacing w:val="-1"/>
                <w:sz w:val="18"/>
              </w:rPr>
              <w:t>91.9</w:t>
            </w:r>
          </w:p>
        </w:tc>
        <w:tc>
          <w:tcPr>
            <w:tcW w:w="577" w:type="dxa"/>
            <w:vMerge/>
            <w:tcBorders>
              <w:left w:val="single" w:sz="4" w:space="0" w:color="000000"/>
              <w:right w:val="single" w:sz="4" w:space="0" w:color="000000"/>
            </w:tcBorders>
          </w:tcPr>
          <w:p>
            <w:pPr/>
          </w:p>
        </w:tc>
        <w:tc>
          <w:tcPr>
            <w:tcW w:w="58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691.</w:t>
            </w:r>
          </w:p>
        </w:tc>
        <w:tc>
          <w:tcPr>
            <w:tcW w:w="567"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643" w:type="dxa"/>
            <w:vMerge/>
            <w:tcBorders>
              <w:left w:val="single" w:sz="4" w:space="0" w:color="000000"/>
              <w:right w:val="single" w:sz="4" w:space="0" w:color="000000"/>
            </w:tcBorders>
          </w:tcPr>
          <w:p>
            <w:pPr/>
          </w:p>
        </w:tc>
        <w:tc>
          <w:tcPr>
            <w:tcW w:w="651" w:type="dxa"/>
            <w:vMerge/>
            <w:tcBorders>
              <w:left w:val="single" w:sz="4" w:space="0" w:color="000000"/>
              <w:right w:val="single" w:sz="4" w:space="0" w:color="000000"/>
            </w:tcBorders>
          </w:tcPr>
          <w:p>
            <w:pPr/>
          </w:p>
        </w:tc>
      </w:tr>
      <w:tr>
        <w:trPr>
          <w:trHeight w:val="347" w:hRule="exact"/>
        </w:trPr>
        <w:tc>
          <w:tcPr>
            <w:tcW w:w="1212" w:type="dxa"/>
            <w:tcBorders>
              <w:top w:val="nil" w:sz="6" w:space="0" w:color="auto"/>
              <w:left w:val="single" w:sz="4" w:space="0" w:color="000000"/>
              <w:bottom w:val="single" w:sz="4" w:space="0" w:color="000000"/>
              <w:right w:val="single" w:sz="4" w:space="0" w:color="000000"/>
            </w:tcBorders>
            <w:shd w:val="clear" w:color="auto" w:fill="D2D2D2"/>
          </w:tcPr>
          <w:p>
            <w:pPr/>
          </w:p>
        </w:tc>
        <w:tc>
          <w:tcPr>
            <w:tcW w:w="490"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1"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8"/>
                <w:szCs w:val="18"/>
              </w:rPr>
            </w:pPr>
            <w:r>
              <w:rPr>
                <w:rFonts w:ascii="Times New Roman"/>
                <w:sz w:val="18"/>
              </w:rPr>
              <w:t>2</w:t>
            </w:r>
          </w:p>
        </w:tc>
        <w:tc>
          <w:tcPr>
            <w:tcW w:w="577" w:type="dxa"/>
            <w:vMerge/>
            <w:tcBorders>
              <w:left w:val="single" w:sz="4" w:space="0" w:color="000000"/>
              <w:bottom w:val="single" w:sz="4" w:space="0" w:color="000000"/>
              <w:right w:val="single" w:sz="4" w:space="0" w:color="000000"/>
            </w:tcBorders>
          </w:tcPr>
          <w:p>
            <w:pPr/>
          </w:p>
        </w:tc>
        <w:tc>
          <w:tcPr>
            <w:tcW w:w="58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8"/>
                <w:szCs w:val="18"/>
              </w:rPr>
            </w:pPr>
            <w:r>
              <w:rPr>
                <w:rFonts w:ascii="Times New Roman"/>
                <w:sz w:val="18"/>
              </w:rPr>
              <w:t>92</w:t>
            </w:r>
          </w:p>
        </w:tc>
        <w:tc>
          <w:tcPr>
            <w:tcW w:w="567"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643" w:type="dxa"/>
            <w:vMerge/>
            <w:tcBorders>
              <w:left w:val="single" w:sz="4" w:space="0" w:color="000000"/>
              <w:bottom w:val="single" w:sz="4" w:space="0" w:color="000000"/>
              <w:right w:val="single" w:sz="4" w:space="0" w:color="000000"/>
            </w:tcBorders>
          </w:tcPr>
          <w:p>
            <w:pPr/>
          </w:p>
        </w:tc>
        <w:tc>
          <w:tcPr>
            <w:tcW w:w="651" w:type="dxa"/>
            <w:vMerge/>
            <w:tcBorders>
              <w:left w:val="single" w:sz="4" w:space="0" w:color="000000"/>
              <w:bottom w:val="single" w:sz="4" w:space="0" w:color="000000"/>
              <w:right w:val="single" w:sz="4" w:space="0" w:color="000000"/>
            </w:tcBorders>
          </w:tcPr>
          <w:p>
            <w:pPr/>
          </w:p>
        </w:tc>
      </w:tr>
      <w:tr>
        <w:trPr>
          <w:trHeight w:val="400"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9" w:footer="1016"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1212"/>
        <w:gridCol w:w="490"/>
        <w:gridCol w:w="449"/>
        <w:gridCol w:w="449"/>
        <w:gridCol w:w="491"/>
        <w:gridCol w:w="576"/>
        <w:gridCol w:w="577"/>
        <w:gridCol w:w="577"/>
        <w:gridCol w:w="577"/>
        <w:gridCol w:w="576"/>
        <w:gridCol w:w="577"/>
        <w:gridCol w:w="589"/>
        <w:gridCol w:w="567"/>
        <w:gridCol w:w="567"/>
        <w:gridCol w:w="643"/>
        <w:gridCol w:w="651"/>
      </w:tblGrid>
      <w:tr>
        <w:trPr>
          <w:trHeight w:val="362"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风险准备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16" w:lineRule="auto" w:before="63"/>
              <w:ind w:left="101" w:right="102"/>
              <w:jc w:val="left"/>
              <w:rPr>
                <w:rFonts w:ascii="宋体" w:hAnsi="宋体" w:cs="宋体" w:eastAsia="宋体" w:hint="default"/>
                <w:sz w:val="18"/>
                <w:szCs w:val="18"/>
              </w:rPr>
            </w:pPr>
            <w:r>
              <w:rPr>
                <w:rFonts w:ascii="宋体" w:hAnsi="宋体" w:cs="宋体" w:eastAsia="宋体" w:hint="default"/>
                <w:spacing w:val="-14"/>
                <w:sz w:val="18"/>
                <w:szCs w:val="18"/>
              </w:rPr>
              <w:t>（或股东）的</w:t>
            </w:r>
            <w:r>
              <w:rPr>
                <w:rFonts w:ascii="宋体" w:hAnsi="宋体" w:cs="宋体" w:eastAsia="宋体" w:hint="default"/>
                <w:sz w:val="18"/>
                <w:szCs w:val="18"/>
              </w:rPr>
              <w:t> 分配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 w:right="0"/>
              <w:jc w:val="center"/>
              <w:rPr>
                <w:rFonts w:ascii="Times New Roman" w:hAnsi="Times New Roman" w:cs="Times New Roman" w:eastAsia="Times New Roman" w:hint="default"/>
                <w:sz w:val="18"/>
                <w:szCs w:val="18"/>
              </w:rPr>
            </w:pPr>
            <w:r>
              <w:rPr>
                <w:rFonts w:ascii="Times New Roman"/>
                <w:spacing w:val="-3"/>
                <w:sz w:val="18"/>
              </w:rPr>
              <w:t>-111,</w:t>
            </w:r>
          </w:p>
          <w:p>
            <w:pPr>
              <w:pStyle w:val="TableParagraph"/>
              <w:spacing w:line="240" w:lineRule="auto" w:before="105"/>
              <w:ind w:left="67" w:right="0"/>
              <w:jc w:val="center"/>
              <w:rPr>
                <w:rFonts w:ascii="Times New Roman" w:hAnsi="Times New Roman" w:cs="Times New Roman" w:eastAsia="Times New Roman" w:hint="default"/>
                <w:sz w:val="18"/>
                <w:szCs w:val="18"/>
              </w:rPr>
            </w:pPr>
            <w:r>
              <w:rPr>
                <w:rFonts w:ascii="Times New Roman"/>
                <w:sz w:val="18"/>
              </w:rPr>
              <w:t>311,</w:t>
            </w:r>
          </w:p>
          <w:p>
            <w:pPr>
              <w:pStyle w:val="TableParagraph"/>
              <w:spacing w:line="240" w:lineRule="auto" w:before="105"/>
              <w:ind w:left="57" w:right="0"/>
              <w:jc w:val="center"/>
              <w:rPr>
                <w:rFonts w:ascii="Times New Roman" w:hAnsi="Times New Roman" w:cs="Times New Roman" w:eastAsia="Times New Roman" w:hint="default"/>
                <w:sz w:val="18"/>
                <w:szCs w:val="18"/>
              </w:rPr>
            </w:pPr>
            <w:r>
              <w:rPr>
                <w:rFonts w:ascii="Times New Roman"/>
                <w:sz w:val="18"/>
              </w:rPr>
              <w:t>937.</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00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9" w:right="0"/>
              <w:jc w:val="left"/>
              <w:rPr>
                <w:rFonts w:ascii="Times New Roman" w:hAnsi="Times New Roman" w:cs="Times New Roman" w:eastAsia="Times New Roman" w:hint="default"/>
                <w:sz w:val="18"/>
                <w:szCs w:val="18"/>
              </w:rPr>
            </w:pPr>
            <w:r>
              <w:rPr>
                <w:rFonts w:ascii="Times New Roman"/>
                <w:spacing w:val="-3"/>
                <w:sz w:val="18"/>
              </w:rPr>
              <w:t>-111</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,311</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,937</w:t>
            </w:r>
          </w:p>
          <w:p>
            <w:pPr>
              <w:pStyle w:val="TableParagraph"/>
              <w:spacing w:line="240" w:lineRule="auto" w:before="105"/>
              <w:ind w:left="228" w:right="0"/>
              <w:jc w:val="left"/>
              <w:rPr>
                <w:rFonts w:ascii="Times New Roman" w:hAnsi="Times New Roman" w:cs="Times New Roman" w:eastAsia="Times New Roman" w:hint="default"/>
                <w:sz w:val="18"/>
                <w:szCs w:val="18"/>
              </w:rPr>
            </w:pPr>
            <w:r>
              <w:rPr>
                <w:rFonts w:ascii="Times New Roman"/>
                <w:sz w:val="18"/>
              </w:rPr>
              <w:t>.00</w:t>
            </w: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pacing w:val="-3"/>
                <w:sz w:val="18"/>
              </w:rPr>
              <w:t>-111,</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311,9</w:t>
            </w:r>
          </w:p>
          <w:p>
            <w:pPr>
              <w:pStyle w:val="TableParagraph"/>
              <w:spacing w:line="240" w:lineRule="auto" w:before="105"/>
              <w:ind w:left="132" w:right="0"/>
              <w:jc w:val="left"/>
              <w:rPr>
                <w:rFonts w:ascii="Times New Roman" w:hAnsi="Times New Roman" w:cs="Times New Roman" w:eastAsia="Times New Roman" w:hint="default"/>
                <w:sz w:val="18"/>
                <w:szCs w:val="18"/>
              </w:rPr>
            </w:pPr>
            <w:r>
              <w:rPr>
                <w:rFonts w:ascii="Times New Roman"/>
                <w:sz w:val="18"/>
              </w:rPr>
              <w:t>37.00</w:t>
            </w:r>
          </w:p>
        </w:tc>
      </w:tr>
      <w:tr>
        <w:trPr>
          <w:trHeight w:val="402"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02"/>
              <w:jc w:val="left"/>
              <w:rPr>
                <w:rFonts w:ascii="宋体" w:hAnsi="宋体" w:cs="宋体" w:eastAsia="宋体" w:hint="default"/>
                <w:sz w:val="18"/>
                <w:szCs w:val="18"/>
              </w:rPr>
            </w:pPr>
            <w:r>
              <w:rPr>
                <w:rFonts w:ascii="宋体" w:hAnsi="宋体" w:cs="宋体" w:eastAsia="宋体" w:hint="default"/>
                <w:spacing w:val="-14"/>
                <w:sz w:val="18"/>
                <w:szCs w:val="18"/>
              </w:rPr>
              <w:t>（四）所有者</w:t>
            </w:r>
            <w:r>
              <w:rPr>
                <w:rFonts w:ascii="宋体" w:hAnsi="宋体" w:cs="宋体" w:eastAsia="宋体" w:hint="default"/>
                <w:sz w:val="18"/>
                <w:szCs w:val="18"/>
              </w:rPr>
              <w:t> 权益内部结 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1" w:right="102"/>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 </w:t>
            </w:r>
            <w:r>
              <w:rPr>
                <w:rFonts w:ascii="宋体" w:hAnsi="宋体" w:cs="宋体" w:eastAsia="宋体" w:hint="default"/>
                <w:spacing w:val="-14"/>
                <w:sz w:val="18"/>
                <w:szCs w:val="18"/>
              </w:rPr>
              <w:t>转增资本（或</w:t>
            </w:r>
            <w:r>
              <w:rPr>
                <w:rFonts w:ascii="宋体" w:hAnsi="宋体" w:cs="宋体" w:eastAsia="宋体" w:hint="default"/>
                <w:sz w:val="18"/>
                <w:szCs w:val="18"/>
              </w:rPr>
              <w:t> 股本）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101" w:right="102"/>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 </w:t>
            </w:r>
            <w:r>
              <w:rPr>
                <w:rFonts w:ascii="宋体" w:hAnsi="宋体" w:cs="宋体" w:eastAsia="宋体" w:hint="default"/>
                <w:spacing w:val="-14"/>
                <w:sz w:val="18"/>
                <w:szCs w:val="18"/>
              </w:rPr>
              <w:t>转增资本（或</w:t>
            </w:r>
            <w:r>
              <w:rPr>
                <w:rFonts w:ascii="宋体" w:hAnsi="宋体" w:cs="宋体" w:eastAsia="宋体" w:hint="default"/>
                <w:sz w:val="18"/>
                <w:szCs w:val="18"/>
              </w:rPr>
              <w:t> 股本）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0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 弥补亏损</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0"/>
              <w:ind w:left="101" w:right="10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 计划变动额 结转留存收 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1" w:right="107"/>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 收益结转留 存收益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02"/>
              <w:jc w:val="left"/>
              <w:rPr>
                <w:rFonts w:ascii="宋体" w:hAnsi="宋体" w:cs="宋体" w:eastAsia="宋体" w:hint="default"/>
                <w:sz w:val="18"/>
                <w:szCs w:val="18"/>
              </w:rPr>
            </w:pPr>
            <w:r>
              <w:rPr>
                <w:rFonts w:ascii="宋体" w:hAnsi="宋体" w:cs="宋体" w:eastAsia="宋体" w:hint="default"/>
                <w:spacing w:val="-14"/>
                <w:sz w:val="18"/>
                <w:szCs w:val="18"/>
              </w:rPr>
              <w:t>（五）专项储</w:t>
            </w:r>
            <w:r>
              <w:rPr>
                <w:rFonts w:ascii="宋体" w:hAnsi="宋体" w:cs="宋体" w:eastAsia="宋体" w:hint="default"/>
                <w:sz w:val="18"/>
                <w:szCs w:val="18"/>
              </w:rPr>
              <w:t> 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1" w:right="102"/>
              <w:jc w:val="left"/>
              <w:rPr>
                <w:rFonts w:ascii="宋体" w:hAnsi="宋体" w:cs="宋体" w:eastAsia="宋体" w:hint="default"/>
                <w:sz w:val="18"/>
                <w:szCs w:val="18"/>
              </w:rPr>
            </w:pPr>
            <w:r>
              <w:rPr>
                <w:rFonts w:ascii="宋体" w:hAnsi="宋体" w:cs="宋体" w:eastAsia="宋体" w:hint="default"/>
                <w:spacing w:val="-14"/>
                <w:sz w:val="18"/>
                <w:szCs w:val="18"/>
              </w:rPr>
              <w:t>四、本期期末</w:t>
            </w:r>
            <w:r>
              <w:rPr>
                <w:rFonts w:ascii="宋体" w:hAnsi="宋体" w:cs="宋体" w:eastAsia="宋体" w:hint="default"/>
                <w:sz w:val="18"/>
                <w:szCs w:val="18"/>
              </w:rPr>
              <w:t>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left"/>
              <w:rPr>
                <w:rFonts w:ascii="Times New Roman" w:hAnsi="Times New Roman" w:cs="Times New Roman" w:eastAsia="Times New Roman" w:hint="default"/>
                <w:sz w:val="18"/>
                <w:szCs w:val="18"/>
              </w:rPr>
            </w:pPr>
            <w:r>
              <w:rPr>
                <w:rFonts w:ascii="Times New Roman"/>
                <w:sz w:val="18"/>
              </w:rPr>
              <w:t>742</w:t>
            </w:r>
          </w:p>
          <w:p>
            <w:pPr>
              <w:pStyle w:val="TableParagraph"/>
              <w:spacing w:line="240" w:lineRule="auto" w:before="105"/>
              <w:ind w:left="152" w:right="0"/>
              <w:jc w:val="left"/>
              <w:rPr>
                <w:rFonts w:ascii="Times New Roman" w:hAnsi="Times New Roman" w:cs="Times New Roman" w:eastAsia="Times New Roman" w:hint="default"/>
                <w:sz w:val="18"/>
                <w:szCs w:val="18"/>
              </w:rPr>
            </w:pPr>
            <w:r>
              <w:rPr>
                <w:rFonts w:ascii="Times New Roman"/>
                <w:sz w:val="18"/>
              </w:rPr>
              <w:t>,21</w:t>
            </w:r>
          </w:p>
          <w:p>
            <w:pPr>
              <w:pStyle w:val="TableParagraph"/>
              <w:spacing w:line="240" w:lineRule="auto" w:before="105"/>
              <w:ind w:left="152" w:right="0"/>
              <w:jc w:val="left"/>
              <w:rPr>
                <w:rFonts w:ascii="Times New Roman" w:hAnsi="Times New Roman" w:cs="Times New Roman" w:eastAsia="Times New Roman" w:hint="default"/>
                <w:sz w:val="18"/>
                <w:szCs w:val="18"/>
              </w:rPr>
            </w:pPr>
            <w:r>
              <w:rPr>
                <w:rFonts w:ascii="Times New Roman"/>
                <w:sz w:val="18"/>
              </w:rPr>
              <w:t>4,5</w:t>
            </w:r>
          </w:p>
          <w:p>
            <w:pPr>
              <w:pStyle w:val="TableParagraph"/>
              <w:spacing w:line="240" w:lineRule="auto" w:before="105"/>
              <w:ind w:left="152" w:right="0"/>
              <w:jc w:val="left"/>
              <w:rPr>
                <w:rFonts w:ascii="Times New Roman" w:hAnsi="Times New Roman" w:cs="Times New Roman" w:eastAsia="Times New Roman" w:hint="default"/>
                <w:sz w:val="18"/>
                <w:szCs w:val="18"/>
              </w:rPr>
            </w:pPr>
            <w:r>
              <w:rPr>
                <w:rFonts w:ascii="Times New Roman"/>
                <w:sz w:val="18"/>
              </w:rPr>
              <w:t>80.</w:t>
            </w:r>
          </w:p>
          <w:p>
            <w:pPr>
              <w:pStyle w:val="TableParagraph"/>
              <w:spacing w:line="240" w:lineRule="auto" w:before="105"/>
              <w:ind w:left="198" w:right="0"/>
              <w:jc w:val="left"/>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1,54</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0,99</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2,22</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0.53</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35,2</w:t>
            </w:r>
          </w:p>
          <w:p>
            <w:pPr>
              <w:pStyle w:val="TableParagraph"/>
              <w:spacing w:line="240" w:lineRule="auto" w:before="105"/>
              <w:ind w:left="150" w:right="0"/>
              <w:jc w:val="left"/>
              <w:rPr>
                <w:rFonts w:ascii="Times New Roman" w:hAnsi="Times New Roman" w:cs="Times New Roman" w:eastAsia="Times New Roman" w:hint="default"/>
                <w:sz w:val="18"/>
                <w:szCs w:val="18"/>
              </w:rPr>
            </w:pPr>
            <w:r>
              <w:rPr>
                <w:rFonts w:ascii="Times New Roman"/>
                <w:sz w:val="18"/>
              </w:rPr>
              <w:t>77,7</w:t>
            </w:r>
          </w:p>
          <w:p>
            <w:pPr>
              <w:pStyle w:val="TableParagraph"/>
              <w:spacing w:line="240" w:lineRule="auto" w:before="105"/>
              <w:ind w:left="150" w:right="0"/>
              <w:jc w:val="left"/>
              <w:rPr>
                <w:rFonts w:ascii="Times New Roman" w:hAnsi="Times New Roman" w:cs="Times New Roman" w:eastAsia="Times New Roman" w:hint="default"/>
                <w:sz w:val="18"/>
                <w:szCs w:val="18"/>
              </w:rPr>
            </w:pPr>
            <w:r>
              <w:rPr>
                <w:rFonts w:ascii="Times New Roman"/>
                <w:sz w:val="18"/>
              </w:rPr>
              <w:t>42.5</w:t>
            </w:r>
          </w:p>
          <w:p>
            <w:pPr>
              <w:pStyle w:val="TableParagraph"/>
              <w:spacing w:line="240" w:lineRule="auto" w:before="105"/>
              <w:ind w:left="373" w:right="0"/>
              <w:jc w:val="left"/>
              <w:rPr>
                <w:rFonts w:ascii="Times New Roman" w:hAnsi="Times New Roman" w:cs="Times New Roman" w:eastAsia="Times New Roman" w:hint="default"/>
                <w:sz w:val="18"/>
                <w:szCs w:val="18"/>
              </w:rPr>
            </w:pPr>
            <w:r>
              <w:rPr>
                <w:rFonts w:ascii="Times New Roman"/>
                <w:sz w:val="18"/>
              </w:rPr>
              <w:t>0</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-6,1</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29,5</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36.4</w:t>
            </w:r>
          </w:p>
          <w:p>
            <w:pPr>
              <w:pStyle w:val="TableParagraph"/>
              <w:spacing w:line="240" w:lineRule="auto" w:before="105"/>
              <w:ind w:left="272" w:right="0"/>
              <w:jc w:val="center"/>
              <w:rPr>
                <w:rFonts w:ascii="Times New Roman" w:hAnsi="Times New Roman" w:cs="Times New Roman" w:eastAsia="Times New Roman" w:hint="default"/>
                <w:sz w:val="18"/>
                <w:szCs w:val="18"/>
              </w:rPr>
            </w:pPr>
            <w:r>
              <w:rPr>
                <w:rFonts w:ascii="Times New Roman"/>
                <w:sz w:val="18"/>
              </w:rPr>
              <w:t>7</w:t>
            </w: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72,1</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93,6</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45.9</w:t>
            </w:r>
          </w:p>
          <w:p>
            <w:pPr>
              <w:pStyle w:val="TableParagraph"/>
              <w:spacing w:line="240" w:lineRule="auto" w:before="105"/>
              <w:ind w:left="372" w:right="0"/>
              <w:jc w:val="left"/>
              <w:rPr>
                <w:rFonts w:ascii="Times New Roman" w:hAnsi="Times New Roman" w:cs="Times New Roman" w:eastAsia="Times New Roman" w:hint="default"/>
                <w:sz w:val="18"/>
                <w:szCs w:val="18"/>
              </w:rPr>
            </w:pPr>
            <w:r>
              <w:rPr>
                <w:rFonts w:ascii="Times New Roman"/>
                <w:sz w:val="18"/>
              </w:rPr>
              <w:t>6</w:t>
            </w: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399,</w:t>
            </w:r>
          </w:p>
          <w:p>
            <w:pPr>
              <w:pStyle w:val="TableParagraph"/>
              <w:spacing w:line="240" w:lineRule="auto" w:before="105"/>
              <w:ind w:left="57" w:right="0"/>
              <w:jc w:val="center"/>
              <w:rPr>
                <w:rFonts w:ascii="Times New Roman" w:hAnsi="Times New Roman" w:cs="Times New Roman" w:eastAsia="Times New Roman" w:hint="default"/>
                <w:sz w:val="18"/>
                <w:szCs w:val="18"/>
              </w:rPr>
            </w:pPr>
            <w:r>
              <w:rPr>
                <w:rFonts w:ascii="Times New Roman"/>
                <w:sz w:val="18"/>
              </w:rPr>
              <w:t>658,</w:t>
            </w:r>
          </w:p>
          <w:p>
            <w:pPr>
              <w:pStyle w:val="TableParagraph"/>
              <w:spacing w:line="240" w:lineRule="auto" w:before="105"/>
              <w:ind w:left="57" w:right="0"/>
              <w:jc w:val="center"/>
              <w:rPr>
                <w:rFonts w:ascii="Times New Roman" w:hAnsi="Times New Roman" w:cs="Times New Roman" w:eastAsia="Times New Roman" w:hint="default"/>
                <w:sz w:val="18"/>
                <w:szCs w:val="18"/>
              </w:rPr>
            </w:pPr>
            <w:r>
              <w:rPr>
                <w:rFonts w:ascii="Times New Roman"/>
                <w:sz w:val="18"/>
              </w:rPr>
              <w:t>743.</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99</w:t>
            </w: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2,71</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3,65</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1,91</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1.51</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121,0</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78,02</w:t>
            </w:r>
          </w:p>
          <w:p>
            <w:pPr>
              <w:pStyle w:val="TableParagraph"/>
              <w:spacing w:line="240" w:lineRule="auto" w:before="105"/>
              <w:ind w:left="216" w:right="0"/>
              <w:jc w:val="left"/>
              <w:rPr>
                <w:rFonts w:ascii="Times New Roman" w:hAnsi="Times New Roman" w:cs="Times New Roman" w:eastAsia="Times New Roman" w:hint="default"/>
                <w:sz w:val="18"/>
                <w:szCs w:val="18"/>
              </w:rPr>
            </w:pPr>
            <w:r>
              <w:rPr>
                <w:rFonts w:ascii="Times New Roman"/>
                <w:sz w:val="18"/>
              </w:rPr>
              <w:t>9.06</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2" w:right="0"/>
              <w:jc w:val="left"/>
              <w:rPr>
                <w:rFonts w:ascii="Times New Roman" w:hAnsi="Times New Roman" w:cs="Times New Roman" w:eastAsia="Times New Roman" w:hint="default"/>
                <w:sz w:val="18"/>
                <w:szCs w:val="18"/>
              </w:rPr>
            </w:pPr>
            <w:r>
              <w:rPr>
                <w:rFonts w:ascii="Times New Roman"/>
                <w:sz w:val="18"/>
              </w:rPr>
              <w:t>2,834</w:t>
            </w:r>
          </w:p>
          <w:p>
            <w:pPr>
              <w:pStyle w:val="TableParagraph"/>
              <w:spacing w:line="240" w:lineRule="auto" w:before="105"/>
              <w:ind w:left="177" w:right="0"/>
              <w:jc w:val="left"/>
              <w:rPr>
                <w:rFonts w:ascii="Times New Roman" w:hAnsi="Times New Roman" w:cs="Times New Roman" w:eastAsia="Times New Roman" w:hint="default"/>
                <w:sz w:val="18"/>
                <w:szCs w:val="18"/>
              </w:rPr>
            </w:pPr>
            <w:r>
              <w:rPr>
                <w:rFonts w:ascii="Times New Roman"/>
                <w:sz w:val="18"/>
              </w:rPr>
              <w:t>,729,</w:t>
            </w:r>
          </w:p>
          <w:p>
            <w:pPr>
              <w:pStyle w:val="TableParagraph"/>
              <w:spacing w:line="240" w:lineRule="auto" w:before="105"/>
              <w:ind w:left="132" w:right="0"/>
              <w:jc w:val="left"/>
              <w:rPr>
                <w:rFonts w:ascii="Times New Roman" w:hAnsi="Times New Roman" w:cs="Times New Roman" w:eastAsia="Times New Roman" w:hint="default"/>
                <w:sz w:val="18"/>
                <w:szCs w:val="18"/>
              </w:rPr>
            </w:pPr>
            <w:r>
              <w:rPr>
                <w:rFonts w:ascii="Times New Roman"/>
                <w:sz w:val="18"/>
              </w:rPr>
              <w:t>940.5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w:t>
            </w:r>
          </w:p>
        </w:tc>
      </w:tr>
    </w:tbl>
    <w:p>
      <w:pPr>
        <w:spacing w:line="240" w:lineRule="auto" w:before="11"/>
        <w:rPr>
          <w:rFonts w:ascii="Times New Roman" w:hAnsi="Times New Roman" w:cs="Times New Roman" w:eastAsia="Times New Roman" w:hint="default"/>
          <w:sz w:val="21"/>
          <w:szCs w:val="21"/>
        </w:rPr>
      </w:pPr>
    </w:p>
    <w:p>
      <w:pPr>
        <w:pStyle w:val="Heading3"/>
        <w:spacing w:line="240" w:lineRule="auto" w:before="34"/>
        <w:ind w:right="915"/>
        <w:jc w:val="left"/>
        <w:rPr>
          <w:b w:val="0"/>
          <w:bCs w:val="0"/>
        </w:rPr>
      </w:pPr>
      <w:bookmarkStart w:name="8、母公司所有者权益变动表" w:id="166"/>
      <w:bookmarkEnd w:id="166"/>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915"/>
        <w:jc w:val="left"/>
      </w:pPr>
      <w:r>
        <w:rPr/>
        <w:t>本期金额</w:t>
      </w:r>
    </w:p>
    <w:p>
      <w:pPr>
        <w:pStyle w:val="BodyText"/>
        <w:spacing w:line="240" w:lineRule="auto" w:before="117"/>
        <w:ind w:left="0" w:right="1132"/>
        <w:jc w:val="right"/>
      </w:pPr>
      <w:r>
        <w:rPr/>
        <w:t>单位：元</w:t>
      </w:r>
    </w:p>
    <w:p>
      <w:pPr>
        <w:spacing w:after="0" w:line="240" w:lineRule="auto"/>
        <w:jc w:val="right"/>
        <w:sectPr>
          <w:pgSz w:w="11910" w:h="16840"/>
          <w:pgMar w:header="919" w:footer="1016"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1306"/>
        <w:gridCol w:w="628"/>
        <w:gridCol w:w="604"/>
        <w:gridCol w:w="604"/>
        <w:gridCol w:w="605"/>
        <w:gridCol w:w="726"/>
        <w:gridCol w:w="727"/>
        <w:gridCol w:w="726"/>
        <w:gridCol w:w="727"/>
        <w:gridCol w:w="726"/>
        <w:gridCol w:w="615"/>
        <w:gridCol w:w="710"/>
        <w:gridCol w:w="863"/>
      </w:tblGrid>
      <w:tr>
        <w:trPr>
          <w:trHeight w:val="402" w:hRule="exact"/>
        </w:trPr>
        <w:tc>
          <w:tcPr>
            <w:tcW w:w="13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261"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02" w:hRule="exact"/>
        </w:trPr>
        <w:tc>
          <w:tcPr>
            <w:tcW w:w="1306" w:type="dxa"/>
            <w:vMerge/>
            <w:tcBorders>
              <w:left w:val="single" w:sz="4" w:space="0" w:color="000000"/>
              <w:right w:val="single" w:sz="4" w:space="0" w:color="000000"/>
            </w:tcBorders>
            <w:shd w:val="clear" w:color="auto" w:fill="D2D2D2"/>
          </w:tcPr>
          <w:p>
            <w:pPr/>
          </w:p>
        </w:tc>
        <w:tc>
          <w:tcPr>
            <w:tcW w:w="6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178" w:right="176"/>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176" w:right="101" w:hanging="75"/>
              <w:jc w:val="left"/>
              <w:rPr>
                <w:rFonts w:ascii="宋体" w:hAnsi="宋体" w:cs="宋体" w:eastAsia="宋体" w:hint="default"/>
                <w:sz w:val="18"/>
                <w:szCs w:val="18"/>
              </w:rPr>
            </w:pPr>
            <w:r>
              <w:rPr>
                <w:rFonts w:ascii="宋体" w:hAnsi="宋体" w:cs="宋体" w:eastAsia="宋体" w:hint="default"/>
                <w:spacing w:val="-10"/>
                <w:sz w:val="18"/>
                <w:szCs w:val="18"/>
              </w:rPr>
              <w:t>减：库</w:t>
            </w:r>
            <w:r>
              <w:rPr>
                <w:rFonts w:ascii="宋体" w:hAnsi="宋体" w:cs="宋体" w:eastAsia="宋体" w:hint="default"/>
                <w:sz w:val="18"/>
                <w:szCs w:val="18"/>
              </w:rPr>
              <w:t> 存股</w:t>
            </w:r>
          </w:p>
        </w:tc>
        <w:tc>
          <w:tcPr>
            <w:tcW w:w="72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77" w:right="177"/>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178" w:right="177"/>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7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178" w:right="175"/>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61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22" w:right="121"/>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55" w:right="155"/>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714" w:hRule="exact"/>
        </w:trPr>
        <w:tc>
          <w:tcPr>
            <w:tcW w:w="1306" w:type="dxa"/>
            <w:vMerge/>
            <w:tcBorders>
              <w:left w:val="single" w:sz="4" w:space="0" w:color="000000"/>
              <w:bottom w:val="single" w:sz="4" w:space="0" w:color="000000"/>
              <w:right w:val="single" w:sz="4" w:space="0" w:color="000000"/>
            </w:tcBorders>
            <w:shd w:val="clear" w:color="auto" w:fill="D2D2D2"/>
          </w:tcPr>
          <w:p>
            <w:pPr/>
          </w:p>
        </w:tc>
        <w:tc>
          <w:tcPr>
            <w:tcW w:w="628" w:type="dxa"/>
            <w:vMerge/>
            <w:tcBorders>
              <w:left w:val="single" w:sz="4" w:space="0" w:color="000000"/>
              <w:bottom w:val="single" w:sz="4" w:space="0" w:color="000000"/>
              <w:right w:val="single" w:sz="4" w:space="0" w:color="000000"/>
            </w:tcBorders>
            <w:shd w:val="clear" w:color="auto" w:fill="D2D2D2"/>
          </w:tcPr>
          <w:p>
            <w:pPr/>
          </w:p>
        </w:tc>
        <w:tc>
          <w:tcPr>
            <w:tcW w:w="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07" w:right="115"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06" w:right="114"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6"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6"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6" w:type="dxa"/>
            <w:vMerge/>
            <w:tcBorders>
              <w:left w:val="single" w:sz="4" w:space="0" w:color="000000"/>
              <w:bottom w:val="single" w:sz="4" w:space="0" w:color="000000"/>
              <w:right w:val="single" w:sz="4" w:space="0" w:color="000000"/>
            </w:tcBorders>
            <w:shd w:val="clear" w:color="auto" w:fill="D2D2D2"/>
          </w:tcPr>
          <w:p>
            <w:pPr/>
          </w:p>
        </w:tc>
        <w:tc>
          <w:tcPr>
            <w:tcW w:w="615" w:type="dxa"/>
            <w:vMerge/>
            <w:tcBorders>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863"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1" w:right="112"/>
              <w:jc w:val="left"/>
              <w:rPr>
                <w:rFonts w:ascii="宋体" w:hAnsi="宋体" w:cs="宋体" w:eastAsia="宋体" w:hint="default"/>
                <w:sz w:val="18"/>
                <w:szCs w:val="18"/>
              </w:rPr>
            </w:pPr>
            <w:r>
              <w:rPr>
                <w:rFonts w:ascii="宋体" w:hAnsi="宋体" w:cs="宋体" w:eastAsia="宋体" w:hint="default"/>
                <w:sz w:val="18"/>
                <w:szCs w:val="18"/>
              </w:rPr>
              <w:t>一、上年期末 余额</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11" w:right="0"/>
              <w:jc w:val="left"/>
              <w:rPr>
                <w:rFonts w:ascii="Times New Roman" w:hAnsi="Times New Roman" w:cs="Times New Roman" w:eastAsia="Times New Roman" w:hint="default"/>
                <w:sz w:val="18"/>
                <w:szCs w:val="18"/>
              </w:rPr>
            </w:pPr>
            <w:r>
              <w:rPr>
                <w:rFonts w:ascii="Times New Roman"/>
                <w:sz w:val="18"/>
              </w:rPr>
              <w:t>742,2</w:t>
            </w:r>
          </w:p>
          <w:p>
            <w:pPr>
              <w:pStyle w:val="TableParagraph"/>
              <w:spacing w:line="240" w:lineRule="auto" w:before="105"/>
              <w:ind w:left="111" w:right="0"/>
              <w:jc w:val="left"/>
              <w:rPr>
                <w:rFonts w:ascii="Times New Roman" w:hAnsi="Times New Roman" w:cs="Times New Roman" w:eastAsia="Times New Roman" w:hint="default"/>
                <w:sz w:val="18"/>
                <w:szCs w:val="18"/>
              </w:rPr>
            </w:pPr>
            <w:r>
              <w:rPr>
                <w:rFonts w:ascii="Times New Roman"/>
                <w:sz w:val="18"/>
              </w:rPr>
              <w:t>14,58</w:t>
            </w:r>
          </w:p>
          <w:p>
            <w:pPr>
              <w:pStyle w:val="TableParagraph"/>
              <w:spacing w:line="240" w:lineRule="auto" w:before="105"/>
              <w:ind w:left="200" w:right="0"/>
              <w:jc w:val="left"/>
              <w:rPr>
                <w:rFonts w:ascii="Times New Roman" w:hAnsi="Times New Roman" w:cs="Times New Roman" w:eastAsia="Times New Roman" w:hint="default"/>
                <w:sz w:val="18"/>
                <w:szCs w:val="18"/>
              </w:rPr>
            </w:pPr>
            <w:r>
              <w:rPr>
                <w:rFonts w:ascii="Times New Roman"/>
                <w:sz w:val="18"/>
              </w:rPr>
              <w:t>0.00</w:t>
            </w: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1,596,</w:t>
            </w:r>
          </w:p>
          <w:p>
            <w:pPr>
              <w:pStyle w:val="TableParagraph"/>
              <w:spacing w:line="240" w:lineRule="auto" w:before="105"/>
              <w:ind w:left="15" w:right="0"/>
              <w:jc w:val="center"/>
              <w:rPr>
                <w:rFonts w:ascii="Times New Roman" w:hAnsi="Times New Roman" w:cs="Times New Roman" w:eastAsia="Times New Roman" w:hint="default"/>
                <w:sz w:val="18"/>
                <w:szCs w:val="18"/>
              </w:rPr>
            </w:pPr>
            <w:r>
              <w:rPr>
                <w:rFonts w:ascii="Times New Roman"/>
                <w:sz w:val="18"/>
              </w:rPr>
              <w:t>996,74</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4.15</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35,277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,742.5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-6,129,</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536.47</w:t>
            </w: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72,193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,645.9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 w:right="0"/>
              <w:jc w:val="center"/>
              <w:rPr>
                <w:rFonts w:ascii="Times New Roman" w:hAnsi="Times New Roman" w:cs="Times New Roman" w:eastAsia="Times New Roman" w:hint="default"/>
                <w:sz w:val="18"/>
                <w:szCs w:val="18"/>
              </w:rPr>
            </w:pPr>
            <w:r>
              <w:rPr>
                <w:rFonts w:ascii="Times New Roman"/>
                <w:sz w:val="18"/>
              </w:rPr>
              <w:t>366,</w:t>
            </w:r>
          </w:p>
          <w:p>
            <w:pPr>
              <w:pStyle w:val="TableParagraph"/>
              <w:spacing w:line="240" w:lineRule="auto" w:before="105"/>
              <w:ind w:left="84" w:right="0"/>
              <w:jc w:val="center"/>
              <w:rPr>
                <w:rFonts w:ascii="Times New Roman" w:hAnsi="Times New Roman" w:cs="Times New Roman" w:eastAsia="Times New Roman" w:hint="default"/>
                <w:sz w:val="18"/>
                <w:szCs w:val="18"/>
              </w:rPr>
            </w:pPr>
            <w:r>
              <w:rPr>
                <w:rFonts w:ascii="Times New Roman"/>
                <w:sz w:val="18"/>
              </w:rPr>
              <w:t>389,</w:t>
            </w:r>
          </w:p>
          <w:p>
            <w:pPr>
              <w:pStyle w:val="TableParagraph"/>
              <w:spacing w:line="240" w:lineRule="auto" w:before="105"/>
              <w:ind w:left="84" w:right="0"/>
              <w:jc w:val="center"/>
              <w:rPr>
                <w:rFonts w:ascii="Times New Roman" w:hAnsi="Times New Roman" w:cs="Times New Roman" w:eastAsia="Times New Roman" w:hint="default"/>
                <w:sz w:val="18"/>
                <w:szCs w:val="18"/>
              </w:rPr>
            </w:pPr>
            <w:r>
              <w:rPr>
                <w:rFonts w:ascii="Times New Roman"/>
                <w:sz w:val="18"/>
              </w:rPr>
              <w:t>877.</w:t>
            </w:r>
          </w:p>
          <w:p>
            <w:pPr>
              <w:pStyle w:val="TableParagraph"/>
              <w:spacing w:line="240" w:lineRule="auto" w:before="105"/>
              <w:ind w:left="218" w:right="0"/>
              <w:jc w:val="center"/>
              <w:rPr>
                <w:rFonts w:ascii="Times New Roman" w:hAnsi="Times New Roman" w:cs="Times New Roman" w:eastAsia="Times New Roman" w:hint="default"/>
                <w:sz w:val="18"/>
                <w:szCs w:val="18"/>
              </w:rPr>
            </w:pPr>
            <w:r>
              <w:rPr>
                <w:rFonts w:ascii="Times New Roman"/>
                <w:sz w:val="18"/>
              </w:rPr>
              <w:t>41</w:t>
            </w: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2,736,38</w:t>
            </w:r>
          </w:p>
          <w:p>
            <w:pPr>
              <w:pStyle w:val="TableParagraph"/>
              <w:spacing w:line="240" w:lineRule="auto" w:before="105"/>
              <w:ind w:left="119" w:right="0"/>
              <w:jc w:val="left"/>
              <w:rPr>
                <w:rFonts w:ascii="Times New Roman" w:hAnsi="Times New Roman" w:cs="Times New Roman" w:eastAsia="Times New Roman" w:hint="default"/>
                <w:sz w:val="18"/>
                <w:szCs w:val="18"/>
              </w:rPr>
            </w:pPr>
            <w:r>
              <w:rPr>
                <w:rFonts w:ascii="Times New Roman"/>
                <w:sz w:val="18"/>
              </w:rPr>
              <w:t>7,568.55</w:t>
            </w:r>
          </w:p>
        </w:tc>
      </w:tr>
      <w:tr>
        <w:trPr>
          <w:trHeight w:val="102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1" w:right="112" w:firstLine="360"/>
              <w:jc w:val="left"/>
              <w:rPr>
                <w:rFonts w:ascii="宋体" w:hAnsi="宋体" w:cs="宋体" w:eastAsia="宋体" w:hint="default"/>
                <w:sz w:val="18"/>
                <w:szCs w:val="18"/>
              </w:rPr>
            </w:pPr>
            <w:r>
              <w:rPr>
                <w:rFonts w:ascii="宋体" w:hAnsi="宋体" w:cs="宋体" w:eastAsia="宋体" w:hint="default"/>
                <w:sz w:val="18"/>
                <w:szCs w:val="18"/>
              </w:rPr>
              <w:t>加：会计 政策变更</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62" w:right="0"/>
              <w:jc w:val="left"/>
              <w:rPr>
                <w:rFonts w:ascii="Times New Roman" w:hAnsi="Times New Roman" w:cs="Times New Roman" w:eastAsia="Times New Roman" w:hint="default"/>
                <w:sz w:val="18"/>
                <w:szCs w:val="18"/>
              </w:rPr>
            </w:pPr>
            <w:r>
              <w:rPr>
                <w:rFonts w:ascii="Times New Roman"/>
                <w:sz w:val="18"/>
              </w:rPr>
              <w:t>5,086,</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902.37</w:t>
            </w: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z w:val="18"/>
              </w:rPr>
              <w:t>-383,0</w:t>
            </w:r>
          </w:p>
          <w:p>
            <w:pPr>
              <w:pStyle w:val="TableParagraph"/>
              <w:spacing w:line="240" w:lineRule="auto" w:before="105"/>
              <w:ind w:left="207" w:right="0"/>
              <w:jc w:val="left"/>
              <w:rPr>
                <w:rFonts w:ascii="Times New Roman" w:hAnsi="Times New Roman" w:cs="Times New Roman" w:eastAsia="Times New Roman" w:hint="default"/>
                <w:sz w:val="18"/>
                <w:szCs w:val="18"/>
              </w:rPr>
            </w:pPr>
            <w:r>
              <w:rPr>
                <w:rFonts w:ascii="Times New Roman"/>
                <w:sz w:val="18"/>
              </w:rPr>
              <w:t>80.61</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7" w:right="0"/>
              <w:jc w:val="left"/>
              <w:rPr>
                <w:rFonts w:ascii="Times New Roman" w:hAnsi="Times New Roman" w:cs="Times New Roman" w:eastAsia="Times New Roman" w:hint="default"/>
                <w:sz w:val="18"/>
                <w:szCs w:val="18"/>
              </w:rPr>
            </w:pPr>
            <w:r>
              <w:rPr>
                <w:rFonts w:ascii="Times New Roman"/>
                <w:sz w:val="18"/>
              </w:rPr>
              <w:t>-3,44</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7,72</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5.42</w:t>
            </w: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1,256,09</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6.34</w:t>
            </w:r>
          </w:p>
        </w:tc>
      </w:tr>
      <w:tr>
        <w:trPr>
          <w:trHeight w:val="714"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12" w:firstLine="720"/>
              <w:jc w:val="left"/>
              <w:rPr>
                <w:rFonts w:ascii="宋体" w:hAnsi="宋体" w:cs="宋体" w:eastAsia="宋体" w:hint="default"/>
                <w:sz w:val="18"/>
                <w:szCs w:val="18"/>
              </w:rPr>
            </w:pPr>
            <w:r>
              <w:rPr>
                <w:rFonts w:ascii="宋体" w:hAnsi="宋体" w:cs="宋体" w:eastAsia="宋体" w:hint="default"/>
                <w:sz w:val="18"/>
                <w:szCs w:val="18"/>
              </w:rPr>
              <w:t>前期 差错更正</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1" w:right="112"/>
              <w:jc w:val="left"/>
              <w:rPr>
                <w:rFonts w:ascii="宋体" w:hAnsi="宋体" w:cs="宋体" w:eastAsia="宋体" w:hint="default"/>
                <w:sz w:val="18"/>
                <w:szCs w:val="18"/>
              </w:rPr>
            </w:pPr>
            <w:r>
              <w:rPr>
                <w:rFonts w:ascii="宋体" w:hAnsi="宋体" w:cs="宋体" w:eastAsia="宋体" w:hint="default"/>
                <w:sz w:val="18"/>
                <w:szCs w:val="18"/>
              </w:rPr>
              <w:t>二、本年期初 余额</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11" w:right="0"/>
              <w:jc w:val="left"/>
              <w:rPr>
                <w:rFonts w:ascii="Times New Roman" w:hAnsi="Times New Roman" w:cs="Times New Roman" w:eastAsia="Times New Roman" w:hint="default"/>
                <w:sz w:val="18"/>
                <w:szCs w:val="18"/>
              </w:rPr>
            </w:pPr>
            <w:r>
              <w:rPr>
                <w:rFonts w:ascii="Times New Roman"/>
                <w:sz w:val="18"/>
              </w:rPr>
              <w:t>742,2</w:t>
            </w:r>
          </w:p>
          <w:p>
            <w:pPr>
              <w:pStyle w:val="TableParagraph"/>
              <w:spacing w:line="240" w:lineRule="auto" w:before="105"/>
              <w:ind w:left="111" w:right="0"/>
              <w:jc w:val="left"/>
              <w:rPr>
                <w:rFonts w:ascii="Times New Roman" w:hAnsi="Times New Roman" w:cs="Times New Roman" w:eastAsia="Times New Roman" w:hint="default"/>
                <w:sz w:val="18"/>
                <w:szCs w:val="18"/>
              </w:rPr>
            </w:pPr>
            <w:r>
              <w:rPr>
                <w:rFonts w:ascii="Times New Roman"/>
                <w:sz w:val="18"/>
              </w:rPr>
              <w:t>14,58</w:t>
            </w:r>
          </w:p>
          <w:p>
            <w:pPr>
              <w:pStyle w:val="TableParagraph"/>
              <w:spacing w:line="240" w:lineRule="auto" w:before="105"/>
              <w:ind w:left="200" w:right="0"/>
              <w:jc w:val="left"/>
              <w:rPr>
                <w:rFonts w:ascii="Times New Roman" w:hAnsi="Times New Roman" w:cs="Times New Roman" w:eastAsia="Times New Roman" w:hint="default"/>
                <w:sz w:val="18"/>
                <w:szCs w:val="18"/>
              </w:rPr>
            </w:pPr>
            <w:r>
              <w:rPr>
                <w:rFonts w:ascii="Times New Roman"/>
                <w:sz w:val="18"/>
              </w:rPr>
              <w:t>0.00</w:t>
            </w: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1,596,</w:t>
            </w:r>
          </w:p>
          <w:p>
            <w:pPr>
              <w:pStyle w:val="TableParagraph"/>
              <w:spacing w:line="240" w:lineRule="auto" w:before="105"/>
              <w:ind w:left="15" w:right="0"/>
              <w:jc w:val="center"/>
              <w:rPr>
                <w:rFonts w:ascii="Times New Roman" w:hAnsi="Times New Roman" w:cs="Times New Roman" w:eastAsia="Times New Roman" w:hint="default"/>
                <w:sz w:val="18"/>
                <w:szCs w:val="18"/>
              </w:rPr>
            </w:pPr>
            <w:r>
              <w:rPr>
                <w:rFonts w:ascii="Times New Roman"/>
                <w:sz w:val="18"/>
              </w:rPr>
              <w:t>996,74</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4.15</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35,277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,742.5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-1,042,</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634.10</w:t>
            </w: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71,810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,565.3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 w:right="0"/>
              <w:jc w:val="center"/>
              <w:rPr>
                <w:rFonts w:ascii="Times New Roman" w:hAnsi="Times New Roman" w:cs="Times New Roman" w:eastAsia="Times New Roman" w:hint="default"/>
                <w:sz w:val="18"/>
                <w:szCs w:val="18"/>
              </w:rPr>
            </w:pPr>
            <w:r>
              <w:rPr>
                <w:rFonts w:ascii="Times New Roman"/>
                <w:sz w:val="18"/>
              </w:rPr>
              <w:t>362,</w:t>
            </w:r>
          </w:p>
          <w:p>
            <w:pPr>
              <w:pStyle w:val="TableParagraph"/>
              <w:spacing w:line="240" w:lineRule="auto" w:before="105"/>
              <w:ind w:left="84" w:right="0"/>
              <w:jc w:val="center"/>
              <w:rPr>
                <w:rFonts w:ascii="Times New Roman" w:hAnsi="Times New Roman" w:cs="Times New Roman" w:eastAsia="Times New Roman" w:hint="default"/>
                <w:sz w:val="18"/>
                <w:szCs w:val="18"/>
              </w:rPr>
            </w:pPr>
            <w:r>
              <w:rPr>
                <w:rFonts w:ascii="Times New Roman"/>
                <w:sz w:val="18"/>
              </w:rPr>
              <w:t>942,</w:t>
            </w:r>
          </w:p>
          <w:p>
            <w:pPr>
              <w:pStyle w:val="TableParagraph"/>
              <w:spacing w:line="240" w:lineRule="auto" w:before="105"/>
              <w:ind w:left="84" w:right="0"/>
              <w:jc w:val="center"/>
              <w:rPr>
                <w:rFonts w:ascii="Times New Roman" w:hAnsi="Times New Roman" w:cs="Times New Roman" w:eastAsia="Times New Roman" w:hint="default"/>
                <w:sz w:val="18"/>
                <w:szCs w:val="18"/>
              </w:rPr>
            </w:pPr>
            <w:r>
              <w:rPr>
                <w:rFonts w:ascii="Times New Roman"/>
                <w:sz w:val="18"/>
              </w:rPr>
              <w:t>151.</w:t>
            </w:r>
          </w:p>
          <w:p>
            <w:pPr>
              <w:pStyle w:val="TableParagraph"/>
              <w:spacing w:line="240" w:lineRule="auto" w:before="105"/>
              <w:ind w:left="218" w:right="0"/>
              <w:jc w:val="center"/>
              <w:rPr>
                <w:rFonts w:ascii="Times New Roman" w:hAnsi="Times New Roman" w:cs="Times New Roman" w:eastAsia="Times New Roman" w:hint="default"/>
                <w:sz w:val="18"/>
                <w:szCs w:val="18"/>
              </w:rPr>
            </w:pPr>
            <w:r>
              <w:rPr>
                <w:rFonts w:ascii="Times New Roman"/>
                <w:sz w:val="18"/>
              </w:rPr>
              <w:t>99</w:t>
            </w: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2,737,64</w:t>
            </w:r>
          </w:p>
          <w:p>
            <w:pPr>
              <w:pStyle w:val="TableParagraph"/>
              <w:spacing w:line="240" w:lineRule="auto" w:before="105"/>
              <w:ind w:left="119" w:right="0"/>
              <w:jc w:val="left"/>
              <w:rPr>
                <w:rFonts w:ascii="Times New Roman" w:hAnsi="Times New Roman" w:cs="Times New Roman" w:eastAsia="Times New Roman" w:hint="default"/>
                <w:sz w:val="18"/>
                <w:szCs w:val="18"/>
              </w:rPr>
            </w:pPr>
            <w:r>
              <w:rPr>
                <w:rFonts w:ascii="Times New Roman"/>
                <w:sz w:val="18"/>
              </w:rPr>
              <w:t>3,664.89</w:t>
            </w:r>
          </w:p>
        </w:tc>
      </w:tr>
      <w:tr>
        <w:trPr>
          <w:trHeight w:val="133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12"/>
              <w:jc w:val="both"/>
              <w:rPr>
                <w:rFonts w:ascii="宋体" w:hAnsi="宋体" w:cs="宋体" w:eastAsia="宋体" w:hint="default"/>
                <w:sz w:val="18"/>
                <w:szCs w:val="18"/>
              </w:rPr>
            </w:pPr>
            <w:r>
              <w:rPr>
                <w:rFonts w:ascii="宋体" w:hAnsi="宋体" w:cs="宋体" w:eastAsia="宋体" w:hint="default"/>
                <w:sz w:val="18"/>
                <w:szCs w:val="18"/>
              </w:rPr>
              <w:t>三、本期增减 变动金额（减 少以“－”号 填列）</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500.0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z w:val="18"/>
              </w:rPr>
              <w:t>-212,2</w:t>
            </w:r>
          </w:p>
          <w:p>
            <w:pPr>
              <w:pStyle w:val="TableParagraph"/>
              <w:spacing w:line="240" w:lineRule="auto" w:before="105"/>
              <w:ind w:left="206" w:right="0"/>
              <w:jc w:val="left"/>
              <w:rPr>
                <w:rFonts w:ascii="Times New Roman" w:hAnsi="Times New Roman" w:cs="Times New Roman" w:eastAsia="Times New Roman" w:hint="default"/>
                <w:sz w:val="18"/>
                <w:szCs w:val="18"/>
              </w:rPr>
            </w:pPr>
            <w:r>
              <w:rPr>
                <w:rFonts w:ascii="Times New Roman"/>
                <w:sz w:val="18"/>
              </w:rPr>
              <w:t>55.69</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-15,98</w:t>
            </w:r>
          </w:p>
          <w:p>
            <w:pPr>
              <w:pStyle w:val="TableParagraph"/>
              <w:spacing w:line="240" w:lineRule="auto" w:before="105"/>
              <w:ind w:left="164" w:right="0"/>
              <w:jc w:val="left"/>
              <w:rPr>
                <w:rFonts w:ascii="Times New Roman" w:hAnsi="Times New Roman" w:cs="Times New Roman" w:eastAsia="Times New Roman" w:hint="default"/>
                <w:sz w:val="18"/>
                <w:szCs w:val="18"/>
              </w:rPr>
            </w:pPr>
            <w:r>
              <w:rPr>
                <w:rFonts w:ascii="Times New Roman"/>
                <w:sz w:val="18"/>
              </w:rPr>
              <w:t>4,392.</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50</w:t>
            </w: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19,430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,306.9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 w:right="0"/>
              <w:jc w:val="center"/>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5"/>
              <w:ind w:left="84" w:right="0"/>
              <w:jc w:val="center"/>
              <w:rPr>
                <w:rFonts w:ascii="Times New Roman" w:hAnsi="Times New Roman" w:cs="Times New Roman" w:eastAsia="Times New Roman" w:hint="default"/>
                <w:sz w:val="18"/>
                <w:szCs w:val="18"/>
              </w:rPr>
            </w:pPr>
            <w:r>
              <w:rPr>
                <w:rFonts w:ascii="Times New Roman"/>
                <w:sz w:val="18"/>
              </w:rPr>
              <w:t>696,</w:t>
            </w:r>
          </w:p>
          <w:p>
            <w:pPr>
              <w:pStyle w:val="TableParagraph"/>
              <w:spacing w:line="240" w:lineRule="auto" w:before="105"/>
              <w:ind w:left="84" w:right="0"/>
              <w:jc w:val="center"/>
              <w:rPr>
                <w:rFonts w:ascii="Times New Roman" w:hAnsi="Times New Roman" w:cs="Times New Roman" w:eastAsia="Times New Roman" w:hint="default"/>
                <w:sz w:val="18"/>
                <w:szCs w:val="18"/>
              </w:rPr>
            </w:pPr>
            <w:r>
              <w:rPr>
                <w:rFonts w:ascii="Times New Roman"/>
                <w:sz w:val="18"/>
              </w:rPr>
              <w:t>629.</w:t>
            </w:r>
          </w:p>
          <w:p>
            <w:pPr>
              <w:pStyle w:val="TableParagraph"/>
              <w:spacing w:line="240" w:lineRule="auto" w:before="105"/>
              <w:ind w:left="218" w:right="0"/>
              <w:jc w:val="center"/>
              <w:rPr>
                <w:rFonts w:ascii="Times New Roman" w:hAnsi="Times New Roman" w:cs="Times New Roman" w:eastAsia="Times New Roman" w:hint="default"/>
                <w:sz w:val="18"/>
                <w:szCs w:val="18"/>
              </w:rPr>
            </w:pPr>
            <w:r>
              <w:rPr>
                <w:rFonts w:ascii="Times New Roman"/>
                <w:sz w:val="18"/>
              </w:rPr>
              <w:t>21</w:t>
            </w: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135,776,</w:t>
            </w:r>
          </w:p>
          <w:p>
            <w:pPr>
              <w:pStyle w:val="TableParagraph"/>
              <w:spacing w:line="240" w:lineRule="auto" w:before="105"/>
              <w:ind w:left="150" w:right="0"/>
              <w:jc w:val="center"/>
              <w:rPr>
                <w:rFonts w:ascii="Times New Roman" w:hAnsi="Times New Roman" w:cs="Times New Roman" w:eastAsia="Times New Roman" w:hint="default"/>
                <w:sz w:val="18"/>
                <w:szCs w:val="18"/>
              </w:rPr>
            </w:pPr>
            <w:r>
              <w:rPr>
                <w:rFonts w:ascii="Times New Roman"/>
                <w:sz w:val="18"/>
              </w:rPr>
              <w:t>572.93</w:t>
            </w:r>
          </w:p>
        </w:tc>
      </w:tr>
      <w:tr>
        <w:trPr>
          <w:trHeight w:val="362" w:hRule="exact"/>
        </w:trPr>
        <w:tc>
          <w:tcPr>
            <w:tcW w:w="1306" w:type="dxa"/>
            <w:tcBorders>
              <w:top w:val="single" w:sz="4" w:space="0" w:color="000000"/>
              <w:left w:val="single" w:sz="4" w:space="0" w:color="000000"/>
              <w:bottom w:val="nil" w:sz="6" w:space="0" w:color="auto"/>
              <w:right w:val="single" w:sz="4" w:space="0" w:color="000000"/>
            </w:tcBorders>
            <w:shd w:val="clear" w:color="auto" w:fill="D2D2D2"/>
          </w:tcPr>
          <w:p>
            <w:pPr/>
          </w:p>
        </w:tc>
        <w:tc>
          <w:tcPr>
            <w:tcW w:w="628" w:type="dxa"/>
            <w:vMerge w:val="restart"/>
            <w:tcBorders>
              <w:top w:val="single" w:sz="4" w:space="0" w:color="000000"/>
              <w:left w:val="single" w:sz="4" w:space="0" w:color="000000"/>
              <w:right w:val="single" w:sz="4" w:space="0" w:color="000000"/>
            </w:tcBorders>
          </w:tcPr>
          <w:p>
            <w:pPr/>
          </w:p>
        </w:tc>
        <w:tc>
          <w:tcPr>
            <w:tcW w:w="604" w:type="dxa"/>
            <w:vMerge w:val="restart"/>
            <w:tcBorders>
              <w:top w:val="single" w:sz="4" w:space="0" w:color="000000"/>
              <w:left w:val="single" w:sz="4" w:space="0" w:color="000000"/>
              <w:right w:val="single" w:sz="4" w:space="0" w:color="000000"/>
            </w:tcBorders>
          </w:tcPr>
          <w:p>
            <w:pPr/>
          </w:p>
        </w:tc>
        <w:tc>
          <w:tcPr>
            <w:tcW w:w="604"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6"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6"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6" w:type="dxa"/>
            <w:vMerge w:val="restart"/>
            <w:tcBorders>
              <w:top w:val="single" w:sz="4" w:space="0" w:color="000000"/>
              <w:left w:val="single" w:sz="4" w:space="0" w:color="000000"/>
              <w:right w:val="single" w:sz="4" w:space="0" w:color="000000"/>
            </w:tcBorders>
          </w:tcPr>
          <w:p>
            <w:pPr/>
          </w:p>
        </w:tc>
        <w:tc>
          <w:tcPr>
            <w:tcW w:w="61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194,</w:t>
            </w:r>
          </w:p>
        </w:tc>
        <w:tc>
          <w:tcPr>
            <w:tcW w:w="710" w:type="dxa"/>
            <w:vMerge w:val="restart"/>
            <w:tcBorders>
              <w:top w:val="single" w:sz="4" w:space="0" w:color="000000"/>
              <w:left w:val="single" w:sz="4" w:space="0" w:color="000000"/>
              <w:right w:val="single" w:sz="4" w:space="0" w:color="000000"/>
            </w:tcBorders>
          </w:tcPr>
          <w:p>
            <w:pPr/>
          </w:p>
        </w:tc>
        <w:tc>
          <w:tcPr>
            <w:tcW w:w="86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3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（一）综合收</w:t>
            </w:r>
          </w:p>
        </w:tc>
        <w:tc>
          <w:tcPr>
            <w:tcW w:w="628" w:type="dxa"/>
            <w:vMerge/>
            <w:tcBorders>
              <w:left w:val="single" w:sz="4" w:space="0" w:color="000000"/>
              <w:right w:val="single" w:sz="4" w:space="0" w:color="000000"/>
            </w:tcBorders>
          </w:tcPr>
          <w:p>
            <w:pPr/>
          </w:p>
        </w:tc>
        <w:tc>
          <w:tcPr>
            <w:tcW w:w="604" w:type="dxa"/>
            <w:vMerge/>
            <w:tcBorders>
              <w:left w:val="single" w:sz="4" w:space="0" w:color="000000"/>
              <w:right w:val="single" w:sz="4" w:space="0" w:color="000000"/>
            </w:tcBorders>
          </w:tcPr>
          <w:p>
            <w:pPr/>
          </w:p>
        </w:tc>
        <w:tc>
          <w:tcPr>
            <w:tcW w:w="604"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6"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6"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6" w:type="dxa"/>
            <w:vMerge/>
            <w:tcBorders>
              <w:left w:val="single" w:sz="4" w:space="0" w:color="000000"/>
              <w:right w:val="single" w:sz="4" w:space="0" w:color="000000"/>
            </w:tcBorders>
          </w:tcPr>
          <w:p>
            <w:pPr/>
          </w:p>
        </w:tc>
        <w:tc>
          <w:tcPr>
            <w:tcW w:w="61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303,</w:t>
            </w:r>
          </w:p>
        </w:tc>
        <w:tc>
          <w:tcPr>
            <w:tcW w:w="710" w:type="dxa"/>
            <w:vMerge/>
            <w:tcBorders>
              <w:left w:val="single" w:sz="4" w:space="0" w:color="000000"/>
              <w:right w:val="single" w:sz="4" w:space="0" w:color="000000"/>
            </w:tcBorders>
          </w:tcPr>
          <w:p>
            <w:pPr/>
          </w:p>
        </w:tc>
        <w:tc>
          <w:tcPr>
            <w:tcW w:w="863"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8"/>
                <w:szCs w:val="18"/>
              </w:rPr>
            </w:pPr>
            <w:r>
              <w:rPr>
                <w:rFonts w:ascii="Times New Roman"/>
                <w:spacing w:val="-1"/>
                <w:sz w:val="18"/>
              </w:rPr>
              <w:t>194,303,</w:t>
            </w:r>
          </w:p>
        </w:tc>
      </w:tr>
      <w:tr>
        <w:trPr>
          <w:trHeight w:val="317" w:hRule="exact"/>
        </w:trPr>
        <w:tc>
          <w:tcPr>
            <w:tcW w:w="13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益总额</w:t>
            </w:r>
          </w:p>
        </w:tc>
        <w:tc>
          <w:tcPr>
            <w:tcW w:w="628" w:type="dxa"/>
            <w:vMerge/>
            <w:tcBorders>
              <w:left w:val="single" w:sz="4" w:space="0" w:color="000000"/>
              <w:right w:val="single" w:sz="4" w:space="0" w:color="000000"/>
            </w:tcBorders>
          </w:tcPr>
          <w:p>
            <w:pPr/>
          </w:p>
        </w:tc>
        <w:tc>
          <w:tcPr>
            <w:tcW w:w="604" w:type="dxa"/>
            <w:vMerge/>
            <w:tcBorders>
              <w:left w:val="single" w:sz="4" w:space="0" w:color="000000"/>
              <w:right w:val="single" w:sz="4" w:space="0" w:color="000000"/>
            </w:tcBorders>
          </w:tcPr>
          <w:p>
            <w:pPr/>
          </w:p>
        </w:tc>
        <w:tc>
          <w:tcPr>
            <w:tcW w:w="604"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6"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6"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6" w:type="dxa"/>
            <w:vMerge/>
            <w:tcBorders>
              <w:left w:val="single" w:sz="4" w:space="0" w:color="000000"/>
              <w:right w:val="single" w:sz="4" w:space="0" w:color="000000"/>
            </w:tcBorders>
          </w:tcPr>
          <w:p>
            <w:pPr/>
          </w:p>
        </w:tc>
        <w:tc>
          <w:tcPr>
            <w:tcW w:w="61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069.</w:t>
            </w:r>
          </w:p>
        </w:tc>
        <w:tc>
          <w:tcPr>
            <w:tcW w:w="710" w:type="dxa"/>
            <w:vMerge/>
            <w:tcBorders>
              <w:left w:val="single" w:sz="4" w:space="0" w:color="000000"/>
              <w:right w:val="single" w:sz="4" w:space="0" w:color="000000"/>
            </w:tcBorders>
          </w:tcPr>
          <w:p>
            <w:pPr/>
          </w:p>
        </w:tc>
        <w:tc>
          <w:tcPr>
            <w:tcW w:w="863"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8"/>
                <w:szCs w:val="18"/>
              </w:rPr>
            </w:pPr>
            <w:r>
              <w:rPr>
                <w:rFonts w:ascii="Times New Roman"/>
                <w:spacing w:val="-1"/>
                <w:sz w:val="18"/>
              </w:rPr>
              <w:t>069.12</w:t>
            </w:r>
          </w:p>
        </w:tc>
      </w:tr>
      <w:tr>
        <w:trPr>
          <w:trHeight w:val="347" w:hRule="exact"/>
        </w:trPr>
        <w:tc>
          <w:tcPr>
            <w:tcW w:w="1306" w:type="dxa"/>
            <w:tcBorders>
              <w:top w:val="nil" w:sz="6" w:space="0" w:color="auto"/>
              <w:left w:val="single" w:sz="4" w:space="0" w:color="000000"/>
              <w:bottom w:val="single" w:sz="4" w:space="0" w:color="000000"/>
              <w:right w:val="single" w:sz="4" w:space="0" w:color="000000"/>
            </w:tcBorders>
            <w:shd w:val="clear" w:color="auto" w:fill="D2D2D2"/>
          </w:tcPr>
          <w:p>
            <w:pPr/>
          </w:p>
        </w:tc>
        <w:tc>
          <w:tcPr>
            <w:tcW w:w="628" w:type="dxa"/>
            <w:vMerge/>
            <w:tcBorders>
              <w:left w:val="single" w:sz="4" w:space="0" w:color="000000"/>
              <w:bottom w:val="single" w:sz="4" w:space="0" w:color="000000"/>
              <w:right w:val="single" w:sz="4" w:space="0" w:color="000000"/>
            </w:tcBorders>
          </w:tcPr>
          <w:p>
            <w:pPr/>
          </w:p>
        </w:tc>
        <w:tc>
          <w:tcPr>
            <w:tcW w:w="604" w:type="dxa"/>
            <w:vMerge/>
            <w:tcBorders>
              <w:left w:val="single" w:sz="4" w:space="0" w:color="000000"/>
              <w:bottom w:val="single" w:sz="4" w:space="0" w:color="000000"/>
              <w:right w:val="single" w:sz="4" w:space="0" w:color="000000"/>
            </w:tcBorders>
          </w:tcPr>
          <w:p>
            <w:pPr/>
          </w:p>
        </w:tc>
        <w:tc>
          <w:tcPr>
            <w:tcW w:w="604"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6"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6"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6" w:type="dxa"/>
            <w:vMerge/>
            <w:tcBorders>
              <w:left w:val="single" w:sz="4" w:space="0" w:color="000000"/>
              <w:bottom w:val="single" w:sz="4" w:space="0" w:color="000000"/>
              <w:right w:val="single" w:sz="4" w:space="0" w:color="000000"/>
            </w:tcBorders>
          </w:tcPr>
          <w:p>
            <w:pPr/>
          </w:p>
        </w:tc>
        <w:tc>
          <w:tcPr>
            <w:tcW w:w="61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8"/>
                <w:szCs w:val="18"/>
              </w:rPr>
            </w:pPr>
            <w:r>
              <w:rPr>
                <w:rFonts w:ascii="Times New Roman"/>
                <w:sz w:val="18"/>
              </w:rPr>
              <w:t>12</w:t>
            </w:r>
          </w:p>
        </w:tc>
        <w:tc>
          <w:tcPr>
            <w:tcW w:w="710" w:type="dxa"/>
            <w:vMerge/>
            <w:tcBorders>
              <w:left w:val="single" w:sz="4" w:space="0" w:color="000000"/>
              <w:bottom w:val="single" w:sz="4" w:space="0" w:color="000000"/>
              <w:right w:val="single" w:sz="4" w:space="0" w:color="000000"/>
            </w:tcBorders>
          </w:tcPr>
          <w:p>
            <w:pPr/>
          </w:p>
        </w:tc>
        <w:tc>
          <w:tcPr>
            <w:tcW w:w="863"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12"/>
              <w:jc w:val="both"/>
              <w:rPr>
                <w:rFonts w:ascii="宋体" w:hAnsi="宋体" w:cs="宋体" w:eastAsia="宋体" w:hint="default"/>
                <w:sz w:val="18"/>
                <w:szCs w:val="18"/>
              </w:rPr>
            </w:pPr>
            <w:r>
              <w:rPr>
                <w:rFonts w:ascii="宋体" w:hAnsi="宋体" w:cs="宋体" w:eastAsia="宋体" w:hint="default"/>
                <w:sz w:val="18"/>
                <w:szCs w:val="18"/>
              </w:rPr>
              <w:t>（二）所有者 投入和减少资 本</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-122,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500.0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z w:val="18"/>
              </w:rPr>
              <w:t>-212,2</w:t>
            </w:r>
          </w:p>
          <w:p>
            <w:pPr>
              <w:pStyle w:val="TableParagraph"/>
              <w:spacing w:line="240" w:lineRule="auto" w:before="105"/>
              <w:ind w:left="206" w:right="0"/>
              <w:jc w:val="left"/>
              <w:rPr>
                <w:rFonts w:ascii="Times New Roman" w:hAnsi="Times New Roman" w:cs="Times New Roman" w:eastAsia="Times New Roman" w:hint="default"/>
                <w:sz w:val="18"/>
                <w:szCs w:val="18"/>
              </w:rPr>
            </w:pPr>
            <w:r>
              <w:rPr>
                <w:rFonts w:ascii="Times New Roman"/>
                <w:sz w:val="18"/>
              </w:rPr>
              <w:t>55.69</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0" w:right="0"/>
              <w:jc w:val="left"/>
              <w:rPr>
                <w:rFonts w:ascii="Times New Roman" w:hAnsi="Times New Roman" w:cs="Times New Roman" w:eastAsia="Times New Roman" w:hint="default"/>
                <w:sz w:val="18"/>
                <w:szCs w:val="18"/>
              </w:rPr>
            </w:pPr>
            <w:r>
              <w:rPr>
                <w:rFonts w:ascii="Times New Roman"/>
                <w:sz w:val="18"/>
              </w:rPr>
              <w:t>-15,98</w:t>
            </w:r>
          </w:p>
          <w:p>
            <w:pPr>
              <w:pStyle w:val="TableParagraph"/>
              <w:spacing w:line="240" w:lineRule="auto" w:before="105"/>
              <w:ind w:left="164" w:right="0"/>
              <w:jc w:val="left"/>
              <w:rPr>
                <w:rFonts w:ascii="Times New Roman" w:hAnsi="Times New Roman" w:cs="Times New Roman" w:eastAsia="Times New Roman" w:hint="default"/>
                <w:sz w:val="18"/>
                <w:szCs w:val="18"/>
              </w:rPr>
            </w:pPr>
            <w:r>
              <w:rPr>
                <w:rFonts w:ascii="Times New Roman"/>
                <w:sz w:val="18"/>
              </w:rPr>
              <w:t>4,392.</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50</w:t>
            </w: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15,649,6</w:t>
            </w:r>
          </w:p>
          <w:p>
            <w:pPr>
              <w:pStyle w:val="TableParagraph"/>
              <w:spacing w:line="240" w:lineRule="auto" w:before="105"/>
              <w:ind w:left="345" w:right="0"/>
              <w:jc w:val="left"/>
              <w:rPr>
                <w:rFonts w:ascii="Times New Roman" w:hAnsi="Times New Roman" w:cs="Times New Roman" w:eastAsia="Times New Roman" w:hint="default"/>
                <w:sz w:val="18"/>
                <w:szCs w:val="18"/>
              </w:rPr>
            </w:pPr>
            <w:r>
              <w:rPr>
                <w:rFonts w:ascii="Times New Roman"/>
                <w:sz w:val="18"/>
              </w:rPr>
              <w:t>36.81</w:t>
            </w:r>
          </w:p>
        </w:tc>
      </w:tr>
      <w:tr>
        <w:trPr>
          <w:trHeight w:val="102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ind w:left="101" w:right="100"/>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的普通股</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-122,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500.0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-1,061,</w:t>
            </w:r>
          </w:p>
          <w:p>
            <w:pPr>
              <w:pStyle w:val="TableParagraph"/>
              <w:spacing w:line="240" w:lineRule="auto" w:before="105"/>
              <w:ind w:left="118" w:right="0"/>
              <w:jc w:val="left"/>
              <w:rPr>
                <w:rFonts w:ascii="Times New Roman" w:hAnsi="Times New Roman" w:cs="Times New Roman" w:eastAsia="Times New Roman" w:hint="default"/>
                <w:sz w:val="18"/>
                <w:szCs w:val="18"/>
              </w:rPr>
            </w:pPr>
            <w:r>
              <w:rPr>
                <w:rFonts w:ascii="Times New Roman"/>
                <w:sz w:val="18"/>
              </w:rPr>
              <w:t>830.00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0" w:right="0"/>
              <w:jc w:val="left"/>
              <w:rPr>
                <w:rFonts w:ascii="Times New Roman" w:hAnsi="Times New Roman" w:cs="Times New Roman" w:eastAsia="Times New Roman" w:hint="default"/>
                <w:sz w:val="18"/>
                <w:szCs w:val="18"/>
              </w:rPr>
            </w:pPr>
            <w:r>
              <w:rPr>
                <w:rFonts w:ascii="Times New Roman"/>
                <w:sz w:val="18"/>
              </w:rPr>
              <w:t>-15,98</w:t>
            </w:r>
          </w:p>
          <w:p>
            <w:pPr>
              <w:pStyle w:val="TableParagraph"/>
              <w:spacing w:line="240" w:lineRule="auto" w:before="105"/>
              <w:ind w:left="164" w:right="0"/>
              <w:jc w:val="left"/>
              <w:rPr>
                <w:rFonts w:ascii="Times New Roman" w:hAnsi="Times New Roman" w:cs="Times New Roman" w:eastAsia="Times New Roman" w:hint="default"/>
                <w:sz w:val="18"/>
                <w:szCs w:val="18"/>
              </w:rPr>
            </w:pPr>
            <w:r>
              <w:rPr>
                <w:rFonts w:ascii="Times New Roman"/>
                <w:sz w:val="18"/>
              </w:rPr>
              <w:t>4,392.</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50</w:t>
            </w: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14,800,0</w:t>
            </w:r>
          </w:p>
          <w:p>
            <w:pPr>
              <w:pStyle w:val="TableParagraph"/>
              <w:spacing w:line="240" w:lineRule="auto" w:before="105"/>
              <w:ind w:left="345" w:right="0"/>
              <w:jc w:val="left"/>
              <w:rPr>
                <w:rFonts w:ascii="Times New Roman" w:hAnsi="Times New Roman" w:cs="Times New Roman" w:eastAsia="Times New Roman" w:hint="default"/>
                <w:sz w:val="18"/>
                <w:szCs w:val="18"/>
              </w:rPr>
            </w:pPr>
            <w:r>
              <w:rPr>
                <w:rFonts w:ascii="Times New Roman"/>
                <w:sz w:val="18"/>
              </w:rPr>
              <w:t>62.50</w:t>
            </w:r>
          </w:p>
        </w:tc>
      </w:tr>
      <w:tr>
        <w:trPr>
          <w:trHeight w:val="361" w:hRule="exact"/>
        </w:trPr>
        <w:tc>
          <w:tcPr>
            <w:tcW w:w="130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80"/>
                <w:sz w:val="18"/>
                <w:szCs w:val="18"/>
              </w:rPr>
              <w:t>．</w:t>
            </w:r>
            <w:r>
              <w:rPr>
                <w:rFonts w:ascii="宋体" w:hAnsi="宋体" w:cs="宋体" w:eastAsia="宋体" w:hint="default"/>
                <w:sz w:val="18"/>
                <w:szCs w:val="18"/>
              </w:rPr>
              <w:t>其他权益工</w:t>
            </w:r>
          </w:p>
        </w:tc>
        <w:tc>
          <w:tcPr>
            <w:tcW w:w="628" w:type="dxa"/>
            <w:vMerge w:val="restart"/>
            <w:tcBorders>
              <w:top w:val="single" w:sz="4" w:space="0" w:color="000000"/>
              <w:left w:val="single" w:sz="4" w:space="0" w:color="000000"/>
              <w:right w:val="single" w:sz="4" w:space="0" w:color="000000"/>
            </w:tcBorders>
          </w:tcPr>
          <w:p>
            <w:pPr/>
          </w:p>
        </w:tc>
        <w:tc>
          <w:tcPr>
            <w:tcW w:w="604" w:type="dxa"/>
            <w:vMerge w:val="restart"/>
            <w:tcBorders>
              <w:top w:val="single" w:sz="4" w:space="0" w:color="000000"/>
              <w:left w:val="single" w:sz="4" w:space="0" w:color="000000"/>
              <w:right w:val="single" w:sz="4" w:space="0" w:color="000000"/>
            </w:tcBorders>
          </w:tcPr>
          <w:p>
            <w:pPr/>
          </w:p>
        </w:tc>
        <w:tc>
          <w:tcPr>
            <w:tcW w:w="604"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6"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6"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6" w:type="dxa"/>
            <w:vMerge w:val="restart"/>
            <w:tcBorders>
              <w:top w:val="single" w:sz="4" w:space="0" w:color="000000"/>
              <w:left w:val="single" w:sz="4" w:space="0" w:color="000000"/>
              <w:right w:val="single" w:sz="4" w:space="0" w:color="000000"/>
            </w:tcBorders>
          </w:tcPr>
          <w:p>
            <w:pPr/>
          </w:p>
        </w:tc>
        <w:tc>
          <w:tcPr>
            <w:tcW w:w="615" w:type="dxa"/>
            <w:vMerge w:val="restart"/>
            <w:tcBorders>
              <w:top w:val="single" w:sz="4" w:space="0" w:color="000000"/>
              <w:left w:val="single" w:sz="4" w:space="0" w:color="000000"/>
              <w:right w:val="single" w:sz="4" w:space="0" w:color="000000"/>
            </w:tcBorders>
          </w:tcPr>
          <w:p>
            <w:pPr/>
          </w:p>
        </w:tc>
        <w:tc>
          <w:tcPr>
            <w:tcW w:w="710" w:type="dxa"/>
            <w:vMerge w:val="restart"/>
            <w:tcBorders>
              <w:top w:val="single" w:sz="4" w:space="0" w:color="000000"/>
              <w:left w:val="single" w:sz="4" w:space="0" w:color="000000"/>
              <w:right w:val="single" w:sz="4" w:space="0" w:color="000000"/>
            </w:tcBorders>
          </w:tcPr>
          <w:p>
            <w:pPr/>
          </w:p>
        </w:tc>
        <w:tc>
          <w:tcPr>
            <w:tcW w:w="863" w:type="dxa"/>
            <w:vMerge w:val="restart"/>
            <w:tcBorders>
              <w:top w:val="single" w:sz="4" w:space="0" w:color="000000"/>
              <w:left w:val="single" w:sz="4" w:space="0" w:color="000000"/>
              <w:right w:val="single" w:sz="4" w:space="0" w:color="000000"/>
            </w:tcBorders>
          </w:tcPr>
          <w:p>
            <w:pPr/>
          </w:p>
        </w:tc>
      </w:tr>
      <w:tr>
        <w:trPr>
          <w:trHeight w:val="307" w:hRule="exact"/>
        </w:trPr>
        <w:tc>
          <w:tcPr>
            <w:tcW w:w="13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具持有者投入</w:t>
            </w:r>
          </w:p>
        </w:tc>
        <w:tc>
          <w:tcPr>
            <w:tcW w:w="628" w:type="dxa"/>
            <w:vMerge/>
            <w:tcBorders>
              <w:left w:val="single" w:sz="4" w:space="0" w:color="000000"/>
              <w:right w:val="single" w:sz="4" w:space="0" w:color="000000"/>
            </w:tcBorders>
          </w:tcPr>
          <w:p>
            <w:pPr/>
          </w:p>
        </w:tc>
        <w:tc>
          <w:tcPr>
            <w:tcW w:w="604" w:type="dxa"/>
            <w:vMerge/>
            <w:tcBorders>
              <w:left w:val="single" w:sz="4" w:space="0" w:color="000000"/>
              <w:right w:val="single" w:sz="4" w:space="0" w:color="000000"/>
            </w:tcBorders>
          </w:tcPr>
          <w:p>
            <w:pPr/>
          </w:p>
        </w:tc>
        <w:tc>
          <w:tcPr>
            <w:tcW w:w="604"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6"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6"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6" w:type="dxa"/>
            <w:vMerge/>
            <w:tcBorders>
              <w:left w:val="single" w:sz="4" w:space="0" w:color="000000"/>
              <w:right w:val="single" w:sz="4" w:space="0" w:color="000000"/>
            </w:tcBorders>
          </w:tcPr>
          <w:p>
            <w:pPr/>
          </w:p>
        </w:tc>
        <w:tc>
          <w:tcPr>
            <w:tcW w:w="615"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863" w:type="dxa"/>
            <w:vMerge/>
            <w:tcBorders>
              <w:left w:val="single" w:sz="4" w:space="0" w:color="000000"/>
              <w:right w:val="single" w:sz="4" w:space="0" w:color="000000"/>
            </w:tcBorders>
          </w:tcPr>
          <w:p>
            <w:pPr/>
          </w:p>
        </w:tc>
      </w:tr>
      <w:tr>
        <w:trPr>
          <w:trHeight w:val="358" w:hRule="exact"/>
        </w:trPr>
        <w:tc>
          <w:tcPr>
            <w:tcW w:w="130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628" w:type="dxa"/>
            <w:vMerge/>
            <w:tcBorders>
              <w:left w:val="single" w:sz="4" w:space="0" w:color="000000"/>
              <w:bottom w:val="single" w:sz="4" w:space="0" w:color="000000"/>
              <w:right w:val="single" w:sz="4" w:space="0" w:color="000000"/>
            </w:tcBorders>
          </w:tcPr>
          <w:p>
            <w:pPr/>
          </w:p>
        </w:tc>
        <w:tc>
          <w:tcPr>
            <w:tcW w:w="604" w:type="dxa"/>
            <w:vMerge/>
            <w:tcBorders>
              <w:left w:val="single" w:sz="4" w:space="0" w:color="000000"/>
              <w:bottom w:val="single" w:sz="4" w:space="0" w:color="000000"/>
              <w:right w:val="single" w:sz="4" w:space="0" w:color="000000"/>
            </w:tcBorders>
          </w:tcPr>
          <w:p>
            <w:pPr/>
          </w:p>
        </w:tc>
        <w:tc>
          <w:tcPr>
            <w:tcW w:w="604"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6"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6"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6" w:type="dxa"/>
            <w:vMerge/>
            <w:tcBorders>
              <w:left w:val="single" w:sz="4" w:space="0" w:color="000000"/>
              <w:bottom w:val="single" w:sz="4" w:space="0" w:color="000000"/>
              <w:right w:val="single" w:sz="4" w:space="0" w:color="000000"/>
            </w:tcBorders>
          </w:tcPr>
          <w:p>
            <w:pPr/>
          </w:p>
        </w:tc>
        <w:tc>
          <w:tcPr>
            <w:tcW w:w="615"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63" w:type="dxa"/>
            <w:vMerge/>
            <w:tcBorders>
              <w:left w:val="single" w:sz="4" w:space="0" w:color="000000"/>
              <w:bottom w:val="single" w:sz="4" w:space="0" w:color="000000"/>
              <w:right w:val="single" w:sz="4" w:space="0" w:color="000000"/>
            </w:tcBorders>
          </w:tcPr>
          <w:p>
            <w:pPr/>
          </w:p>
        </w:tc>
      </w:tr>
      <w:tr>
        <w:trPr>
          <w:trHeight w:val="102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1" w:right="100"/>
              <w:jc w:val="both"/>
              <w:rPr>
                <w:rFonts w:ascii="宋体" w:hAnsi="宋体" w:cs="宋体" w:eastAsia="宋体" w:hint="default"/>
                <w:sz w:val="18"/>
                <w:szCs w:val="18"/>
              </w:rPr>
            </w:pPr>
            <w:r>
              <w:rPr>
                <w:rFonts w:ascii="Times New Roman" w:hAnsi="Times New Roman" w:cs="Times New Roman" w:eastAsia="Times New Roman" w:hint="default"/>
                <w:spacing w:val="-12"/>
                <w:sz w:val="18"/>
                <w:szCs w:val="18"/>
              </w:rPr>
              <w:t>3</w:t>
            </w:r>
            <w:r>
              <w:rPr>
                <w:rFonts w:ascii="宋体" w:hAnsi="宋体" w:cs="宋体" w:eastAsia="宋体" w:hint="default"/>
                <w:spacing w:val="-12"/>
                <w:sz w:val="18"/>
                <w:szCs w:val="18"/>
              </w:rPr>
              <w:t>．股份支付计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入所有者权益 的金额</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849,57</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4.31</w:t>
            </w: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849,574.</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31</w:t>
            </w:r>
          </w:p>
        </w:tc>
      </w:tr>
      <w:tr>
        <w:trPr>
          <w:trHeight w:val="402"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01" w:right="0"/>
              <w:jc w:val="left"/>
              <w:rPr>
                <w:rFonts w:ascii="宋体" w:hAnsi="宋体" w:cs="宋体" w:eastAsia="宋体" w:hint="default"/>
                <w:sz w:val="18"/>
                <w:szCs w:val="18"/>
              </w:rPr>
            </w:pPr>
            <w:r>
              <w:rPr>
                <w:rFonts w:ascii="宋体" w:hAnsi="宋体" w:cs="宋体" w:eastAsia="宋体" w:hint="default"/>
                <w:sz w:val="18"/>
                <w:szCs w:val="18"/>
              </w:rPr>
              <w:t>（三）利润分</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18" w:right="0"/>
              <w:jc w:val="left"/>
              <w:rPr>
                <w:rFonts w:ascii="Times New Roman" w:hAnsi="Times New Roman" w:cs="Times New Roman" w:eastAsia="Times New Roman" w:hint="default"/>
                <w:sz w:val="18"/>
                <w:szCs w:val="18"/>
              </w:rPr>
            </w:pPr>
            <w:r>
              <w:rPr>
                <w:rFonts w:ascii="Times New Roman"/>
                <w:sz w:val="18"/>
              </w:rPr>
              <w:t>19,430</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-93,6</w:t>
            </w: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8"/>
                <w:szCs w:val="18"/>
              </w:rPr>
            </w:pPr>
            <w:r>
              <w:rPr>
                <w:rFonts w:ascii="Times New Roman"/>
                <w:spacing w:val="-1"/>
                <w:sz w:val="18"/>
              </w:rPr>
              <w:t>-74,176,</w:t>
            </w:r>
          </w:p>
        </w:tc>
      </w:tr>
    </w:tbl>
    <w:p>
      <w:pPr>
        <w:spacing w:after="0" w:line="240" w:lineRule="auto"/>
        <w:jc w:val="right"/>
        <w:rPr>
          <w:rFonts w:ascii="Times New Roman" w:hAnsi="Times New Roman" w:cs="Times New Roman" w:eastAsia="Times New Roman" w:hint="default"/>
          <w:sz w:val="18"/>
          <w:szCs w:val="18"/>
        </w:rPr>
        <w:sectPr>
          <w:pgSz w:w="11910" w:h="16840"/>
          <w:pgMar w:header="919" w:footer="1016"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1306"/>
        <w:gridCol w:w="628"/>
        <w:gridCol w:w="604"/>
        <w:gridCol w:w="604"/>
        <w:gridCol w:w="605"/>
        <w:gridCol w:w="726"/>
        <w:gridCol w:w="727"/>
        <w:gridCol w:w="726"/>
        <w:gridCol w:w="727"/>
        <w:gridCol w:w="726"/>
        <w:gridCol w:w="615"/>
        <w:gridCol w:w="710"/>
        <w:gridCol w:w="863"/>
      </w:tblGrid>
      <w:tr>
        <w:trPr>
          <w:trHeight w:val="98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配</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,306.9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06,4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39.9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w:t>
            </w: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3" w:right="0"/>
              <w:jc w:val="left"/>
              <w:rPr>
                <w:rFonts w:ascii="Times New Roman" w:hAnsi="Times New Roman" w:cs="Times New Roman" w:eastAsia="Times New Roman" w:hint="default"/>
                <w:sz w:val="18"/>
                <w:szCs w:val="18"/>
              </w:rPr>
            </w:pPr>
            <w:r>
              <w:rPr>
                <w:rFonts w:ascii="Times New Roman"/>
                <w:sz w:val="18"/>
              </w:rPr>
              <w:t>133.00</w:t>
            </w:r>
          </w:p>
        </w:tc>
      </w:tr>
      <w:tr>
        <w:trPr>
          <w:trHeight w:val="133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5"/>
              <w:ind w:left="101" w:right="100"/>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．提取盈余公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积</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19,430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,306.9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7" w:right="0"/>
              <w:jc w:val="left"/>
              <w:rPr>
                <w:rFonts w:ascii="Times New Roman" w:hAnsi="Times New Roman" w:cs="Times New Roman" w:eastAsia="Times New Roman" w:hint="default"/>
                <w:sz w:val="18"/>
                <w:szCs w:val="18"/>
              </w:rPr>
            </w:pPr>
            <w:r>
              <w:rPr>
                <w:rFonts w:ascii="Times New Roman"/>
                <w:sz w:val="18"/>
              </w:rPr>
              <w:t>-19,4</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30,3</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06.9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w:t>
            </w: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w:t>
            </w:r>
          </w:p>
          <w:p>
            <w:pPr>
              <w:pStyle w:val="TableParagraph"/>
              <w:spacing w:line="316" w:lineRule="auto" w:before="63"/>
              <w:ind w:left="101" w:right="112"/>
              <w:jc w:val="left"/>
              <w:rPr>
                <w:rFonts w:ascii="宋体" w:hAnsi="宋体" w:cs="宋体" w:eastAsia="宋体" w:hint="default"/>
                <w:sz w:val="18"/>
                <w:szCs w:val="18"/>
              </w:rPr>
            </w:pPr>
            <w:r>
              <w:rPr>
                <w:rFonts w:ascii="宋体" w:hAnsi="宋体" w:cs="宋体" w:eastAsia="宋体" w:hint="default"/>
                <w:sz w:val="18"/>
                <w:szCs w:val="18"/>
              </w:rPr>
              <w:t>（或股东）的 分配</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-74,1</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76,1</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33.0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-74,176,</w:t>
            </w:r>
          </w:p>
          <w:p>
            <w:pPr>
              <w:pStyle w:val="TableParagraph"/>
              <w:spacing w:line="240" w:lineRule="auto" w:before="105"/>
              <w:ind w:left="150" w:right="0"/>
              <w:jc w:val="center"/>
              <w:rPr>
                <w:rFonts w:ascii="Times New Roman" w:hAnsi="Times New Roman" w:cs="Times New Roman" w:eastAsia="Times New Roman" w:hint="default"/>
                <w:sz w:val="18"/>
                <w:szCs w:val="18"/>
              </w:rPr>
            </w:pPr>
            <w:r>
              <w:rPr>
                <w:rFonts w:ascii="Times New Roman"/>
                <w:sz w:val="18"/>
              </w:rPr>
              <w:t>133.00</w:t>
            </w:r>
          </w:p>
        </w:tc>
      </w:tr>
      <w:tr>
        <w:trPr>
          <w:trHeight w:val="402"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12"/>
              <w:jc w:val="left"/>
              <w:rPr>
                <w:rFonts w:ascii="宋体" w:hAnsi="宋体" w:cs="宋体" w:eastAsia="宋体" w:hint="default"/>
                <w:sz w:val="18"/>
                <w:szCs w:val="18"/>
              </w:rPr>
            </w:pPr>
            <w:r>
              <w:rPr>
                <w:rFonts w:ascii="宋体" w:hAnsi="宋体" w:cs="宋体" w:eastAsia="宋体" w:hint="default"/>
                <w:sz w:val="18"/>
                <w:szCs w:val="18"/>
              </w:rPr>
              <w:t>（四）所有者 权益内部结转</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101" w:right="100"/>
              <w:jc w:val="both"/>
              <w:rPr>
                <w:rFonts w:ascii="宋体" w:hAnsi="宋体" w:cs="宋体" w:eastAsia="宋体" w:hint="default"/>
                <w:sz w:val="18"/>
                <w:szCs w:val="18"/>
              </w:rPr>
            </w:pP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．资本公积转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增资本（或股 本）</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1" w:right="100"/>
              <w:jc w:val="both"/>
              <w:rPr>
                <w:rFonts w:ascii="宋体" w:hAnsi="宋体" w:cs="宋体" w:eastAsia="宋体" w:hint="default"/>
                <w:sz w:val="18"/>
                <w:szCs w:val="18"/>
              </w:rPr>
            </w:pP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．盈余公积转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增资本（或股 本）</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00"/>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3</w:t>
            </w:r>
            <w:r>
              <w:rPr>
                <w:rFonts w:ascii="宋体" w:hAnsi="宋体" w:cs="宋体" w:eastAsia="宋体" w:hint="default"/>
                <w:spacing w:val="-12"/>
                <w:sz w:val="18"/>
                <w:szCs w:val="18"/>
              </w:rPr>
              <w:t>．盈余公积弥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补亏损</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1" w:right="100"/>
              <w:jc w:val="both"/>
              <w:rPr>
                <w:rFonts w:ascii="宋体" w:hAnsi="宋体" w:cs="宋体" w:eastAsia="宋体" w:hint="default"/>
                <w:sz w:val="18"/>
                <w:szCs w:val="18"/>
              </w:rPr>
            </w:pPr>
            <w:r>
              <w:rPr>
                <w:rFonts w:ascii="Times New Roman" w:hAnsi="Times New Roman" w:cs="Times New Roman" w:eastAsia="Times New Roman" w:hint="default"/>
                <w:spacing w:val="-12"/>
                <w:sz w:val="18"/>
                <w:szCs w:val="18"/>
              </w:rPr>
              <w:t>4</w:t>
            </w:r>
            <w:r>
              <w:rPr>
                <w:rFonts w:ascii="宋体" w:hAnsi="宋体" w:cs="宋体" w:eastAsia="宋体" w:hint="default"/>
                <w:spacing w:val="-12"/>
                <w:sz w:val="18"/>
                <w:szCs w:val="18"/>
              </w:rPr>
              <w:t>．设定受益计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划变动额结转 留存收益</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101" w:right="100"/>
              <w:jc w:val="both"/>
              <w:rPr>
                <w:rFonts w:ascii="宋体" w:hAnsi="宋体" w:cs="宋体" w:eastAsia="宋体" w:hint="default"/>
                <w:sz w:val="18"/>
                <w:szCs w:val="18"/>
              </w:rPr>
            </w:pPr>
            <w:r>
              <w:rPr>
                <w:rFonts w:ascii="Times New Roman" w:hAnsi="Times New Roman" w:cs="Times New Roman" w:eastAsia="Times New Roman" w:hint="default"/>
                <w:spacing w:val="-12"/>
                <w:sz w:val="18"/>
                <w:szCs w:val="18"/>
              </w:rPr>
              <w:t>5</w:t>
            </w:r>
            <w:r>
              <w:rPr>
                <w:rFonts w:ascii="宋体" w:hAnsi="宋体" w:cs="宋体" w:eastAsia="宋体" w:hint="default"/>
                <w:spacing w:val="-12"/>
                <w:sz w:val="18"/>
                <w:szCs w:val="18"/>
              </w:rPr>
              <w:t>．其他综合收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益结转留存收 益</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12"/>
              <w:jc w:val="left"/>
              <w:rPr>
                <w:rFonts w:ascii="宋体" w:hAnsi="宋体" w:cs="宋体" w:eastAsia="宋体" w:hint="default"/>
                <w:sz w:val="18"/>
                <w:szCs w:val="18"/>
              </w:rPr>
            </w:pPr>
            <w:r>
              <w:rPr>
                <w:rFonts w:ascii="宋体" w:hAnsi="宋体" w:cs="宋体" w:eastAsia="宋体" w:hint="default"/>
                <w:sz w:val="18"/>
                <w:szCs w:val="18"/>
              </w:rPr>
              <w:t>（五）专项储 备</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5"/>
              <w:ind w:left="101" w:right="112"/>
              <w:jc w:val="left"/>
              <w:rPr>
                <w:rFonts w:ascii="宋体" w:hAnsi="宋体" w:cs="宋体" w:eastAsia="宋体" w:hint="default"/>
                <w:sz w:val="18"/>
                <w:szCs w:val="18"/>
              </w:rPr>
            </w:pPr>
            <w:r>
              <w:rPr>
                <w:rFonts w:ascii="宋体" w:hAnsi="宋体" w:cs="宋体" w:eastAsia="宋体" w:hint="default"/>
                <w:sz w:val="18"/>
                <w:szCs w:val="18"/>
              </w:rPr>
              <w:t>四、本期期末 余额</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11" w:right="0"/>
              <w:jc w:val="left"/>
              <w:rPr>
                <w:rFonts w:ascii="Times New Roman" w:hAnsi="Times New Roman" w:cs="Times New Roman" w:eastAsia="Times New Roman" w:hint="default"/>
                <w:sz w:val="18"/>
                <w:szCs w:val="18"/>
              </w:rPr>
            </w:pPr>
            <w:r>
              <w:rPr>
                <w:rFonts w:ascii="Times New Roman"/>
                <w:sz w:val="18"/>
              </w:rPr>
              <w:t>742,0</w:t>
            </w:r>
          </w:p>
          <w:p>
            <w:pPr>
              <w:pStyle w:val="TableParagraph"/>
              <w:spacing w:line="240" w:lineRule="auto" w:before="105"/>
              <w:ind w:left="111" w:right="0"/>
              <w:jc w:val="left"/>
              <w:rPr>
                <w:rFonts w:ascii="Times New Roman" w:hAnsi="Times New Roman" w:cs="Times New Roman" w:eastAsia="Times New Roman" w:hint="default"/>
                <w:sz w:val="18"/>
                <w:szCs w:val="18"/>
              </w:rPr>
            </w:pPr>
            <w:r>
              <w:rPr>
                <w:rFonts w:ascii="Times New Roman"/>
                <w:sz w:val="18"/>
              </w:rPr>
              <w:t>92,08</w:t>
            </w:r>
          </w:p>
          <w:p>
            <w:pPr>
              <w:pStyle w:val="TableParagraph"/>
              <w:spacing w:line="240" w:lineRule="auto" w:before="105"/>
              <w:ind w:left="200" w:right="0"/>
              <w:jc w:val="left"/>
              <w:rPr>
                <w:rFonts w:ascii="Times New Roman" w:hAnsi="Times New Roman" w:cs="Times New Roman" w:eastAsia="Times New Roman" w:hint="default"/>
                <w:sz w:val="18"/>
                <w:szCs w:val="18"/>
              </w:rPr>
            </w:pPr>
            <w:r>
              <w:rPr>
                <w:rFonts w:ascii="Times New Roman"/>
                <w:sz w:val="18"/>
              </w:rPr>
              <w:t>0.00</w:t>
            </w: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1,596,</w:t>
            </w:r>
          </w:p>
          <w:p>
            <w:pPr>
              <w:pStyle w:val="TableParagraph"/>
              <w:spacing w:line="240" w:lineRule="auto" w:before="105"/>
              <w:ind w:left="15" w:right="0"/>
              <w:jc w:val="center"/>
              <w:rPr>
                <w:rFonts w:ascii="Times New Roman" w:hAnsi="Times New Roman" w:cs="Times New Roman" w:eastAsia="Times New Roman" w:hint="default"/>
                <w:sz w:val="18"/>
                <w:szCs w:val="18"/>
              </w:rPr>
            </w:pPr>
            <w:r>
              <w:rPr>
                <w:rFonts w:ascii="Times New Roman"/>
                <w:sz w:val="18"/>
              </w:rPr>
              <w:t>784,48</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8.46</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19,293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,350.0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-1,042,</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634.10</w:t>
            </w: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91,240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,872.2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 w:right="0"/>
              <w:jc w:val="center"/>
              <w:rPr>
                <w:rFonts w:ascii="Times New Roman" w:hAnsi="Times New Roman" w:cs="Times New Roman" w:eastAsia="Times New Roman" w:hint="default"/>
                <w:sz w:val="18"/>
                <w:szCs w:val="18"/>
              </w:rPr>
            </w:pPr>
            <w:r>
              <w:rPr>
                <w:rFonts w:ascii="Times New Roman"/>
                <w:sz w:val="18"/>
              </w:rPr>
              <w:t>463,</w:t>
            </w:r>
          </w:p>
          <w:p>
            <w:pPr>
              <w:pStyle w:val="TableParagraph"/>
              <w:spacing w:line="240" w:lineRule="auto" w:before="105"/>
              <w:ind w:left="84" w:right="0"/>
              <w:jc w:val="center"/>
              <w:rPr>
                <w:rFonts w:ascii="Times New Roman" w:hAnsi="Times New Roman" w:cs="Times New Roman" w:eastAsia="Times New Roman" w:hint="default"/>
                <w:sz w:val="18"/>
                <w:szCs w:val="18"/>
              </w:rPr>
            </w:pPr>
            <w:r>
              <w:rPr>
                <w:rFonts w:ascii="Times New Roman"/>
                <w:sz w:val="18"/>
              </w:rPr>
              <w:t>638,</w:t>
            </w:r>
          </w:p>
          <w:p>
            <w:pPr>
              <w:pStyle w:val="TableParagraph"/>
              <w:spacing w:line="240" w:lineRule="auto" w:before="105"/>
              <w:ind w:left="84" w:right="0"/>
              <w:jc w:val="center"/>
              <w:rPr>
                <w:rFonts w:ascii="Times New Roman" w:hAnsi="Times New Roman" w:cs="Times New Roman" w:eastAsia="Times New Roman" w:hint="default"/>
                <w:sz w:val="18"/>
                <w:szCs w:val="18"/>
              </w:rPr>
            </w:pPr>
            <w:r>
              <w:rPr>
                <w:rFonts w:ascii="Times New Roman"/>
                <w:sz w:val="18"/>
              </w:rPr>
              <w:t>781.</w:t>
            </w:r>
          </w:p>
          <w:p>
            <w:pPr>
              <w:pStyle w:val="TableParagraph"/>
              <w:spacing w:line="240" w:lineRule="auto" w:before="105"/>
              <w:ind w:left="218" w:right="0"/>
              <w:jc w:val="center"/>
              <w:rPr>
                <w:rFonts w:ascii="Times New Roman" w:hAnsi="Times New Roman" w:cs="Times New Roman" w:eastAsia="Times New Roman" w:hint="default"/>
                <w:sz w:val="18"/>
                <w:szCs w:val="18"/>
              </w:rPr>
            </w:pPr>
            <w:r>
              <w:rPr>
                <w:rFonts w:ascii="Times New Roman"/>
                <w:sz w:val="18"/>
              </w:rPr>
              <w:t>20</w:t>
            </w: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2,873,42</w:t>
            </w:r>
          </w:p>
          <w:p>
            <w:pPr>
              <w:pStyle w:val="TableParagraph"/>
              <w:spacing w:line="240" w:lineRule="auto" w:before="105"/>
              <w:ind w:left="119" w:right="0"/>
              <w:jc w:val="left"/>
              <w:rPr>
                <w:rFonts w:ascii="Times New Roman" w:hAnsi="Times New Roman" w:cs="Times New Roman" w:eastAsia="Times New Roman" w:hint="default"/>
                <w:sz w:val="18"/>
                <w:szCs w:val="18"/>
              </w:rPr>
            </w:pPr>
            <w:r>
              <w:rPr>
                <w:rFonts w:ascii="Times New Roman"/>
                <w:sz w:val="18"/>
              </w:rPr>
              <w:t>0,237.82</w:t>
            </w:r>
          </w:p>
        </w:tc>
      </w:tr>
    </w:tbl>
    <w:p>
      <w:pPr>
        <w:pStyle w:val="BodyText"/>
        <w:spacing w:line="240" w:lineRule="auto" w:before="51"/>
        <w:ind w:right="915"/>
        <w:jc w:val="left"/>
      </w:pPr>
      <w:r>
        <w:rPr/>
        <w:t>上期金额</w:t>
      </w:r>
    </w:p>
    <w:p>
      <w:pPr>
        <w:pStyle w:val="BodyText"/>
        <w:spacing w:line="240" w:lineRule="auto" w:before="115"/>
        <w:ind w:left="0" w:right="1132"/>
        <w:jc w:val="right"/>
      </w:pPr>
      <w:r>
        <w:rPr/>
        <w:t>单位：元</w:t>
      </w:r>
    </w:p>
    <w:p>
      <w:pPr>
        <w:spacing w:after="0" w:line="240" w:lineRule="auto"/>
        <w:jc w:val="right"/>
        <w:sectPr>
          <w:pgSz w:w="11910" w:h="16840"/>
          <w:pgMar w:header="919" w:footer="1016"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1231"/>
        <w:gridCol w:w="594"/>
        <w:gridCol w:w="572"/>
        <w:gridCol w:w="572"/>
        <w:gridCol w:w="572"/>
        <w:gridCol w:w="685"/>
        <w:gridCol w:w="686"/>
        <w:gridCol w:w="685"/>
        <w:gridCol w:w="781"/>
        <w:gridCol w:w="665"/>
        <w:gridCol w:w="798"/>
        <w:gridCol w:w="797"/>
        <w:gridCol w:w="930"/>
      </w:tblGrid>
      <w:tr>
        <w:trPr>
          <w:trHeight w:val="402" w:hRule="exact"/>
        </w:trPr>
        <w:tc>
          <w:tcPr>
            <w:tcW w:w="12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37"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w:t>
            </w:r>
          </w:p>
        </w:tc>
      </w:tr>
      <w:tr>
        <w:trPr>
          <w:trHeight w:val="402" w:hRule="exact"/>
        </w:trPr>
        <w:tc>
          <w:tcPr>
            <w:tcW w:w="1231" w:type="dxa"/>
            <w:vMerge/>
            <w:tcBorders>
              <w:left w:val="single" w:sz="4" w:space="0" w:color="000000"/>
              <w:right w:val="single" w:sz="4" w:space="0" w:color="000000"/>
            </w:tcBorders>
            <w:shd w:val="clear" w:color="auto" w:fill="D2D2D2"/>
          </w:tcPr>
          <w:p>
            <w:pPr/>
          </w:p>
        </w:tc>
        <w:tc>
          <w:tcPr>
            <w:tcW w:w="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11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71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316" w:lineRule="auto"/>
              <w:ind w:left="156" w:right="157"/>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6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316" w:lineRule="auto"/>
              <w:ind w:left="157" w:right="101" w:hanging="56"/>
              <w:jc w:val="left"/>
              <w:rPr>
                <w:rFonts w:ascii="宋体" w:hAnsi="宋体" w:cs="宋体" w:eastAsia="宋体" w:hint="default"/>
                <w:sz w:val="18"/>
                <w:szCs w:val="18"/>
              </w:rPr>
            </w:pPr>
            <w:r>
              <w:rPr>
                <w:rFonts w:ascii="宋体" w:hAnsi="宋体" w:cs="宋体" w:eastAsia="宋体" w:hint="default"/>
                <w:spacing w:val="-24"/>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6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157" w:right="155"/>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316" w:lineRule="auto"/>
              <w:ind w:left="296" w:right="113"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316" w:lineRule="auto"/>
              <w:ind w:left="146" w:right="147"/>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316" w:lineRule="auto"/>
              <w:ind w:left="213" w:right="121"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190" w:right="188"/>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1026" w:hRule="exact"/>
        </w:trPr>
        <w:tc>
          <w:tcPr>
            <w:tcW w:w="1231" w:type="dxa"/>
            <w:vMerge/>
            <w:tcBorders>
              <w:left w:val="single" w:sz="4" w:space="0" w:color="000000"/>
              <w:bottom w:val="single" w:sz="4" w:space="0" w:color="000000"/>
              <w:right w:val="single" w:sz="4" w:space="0" w:color="000000"/>
            </w:tcBorders>
            <w:shd w:val="clear" w:color="auto" w:fill="D2D2D2"/>
          </w:tcPr>
          <w:p>
            <w:pPr/>
          </w:p>
        </w:tc>
        <w:tc>
          <w:tcPr>
            <w:tcW w:w="594" w:type="dxa"/>
            <w:vMerge/>
            <w:tcBorders>
              <w:left w:val="single" w:sz="4" w:space="0" w:color="000000"/>
              <w:bottom w:val="single" w:sz="4" w:space="0" w:color="000000"/>
              <w:right w:val="single" w:sz="4" w:space="0" w:color="000000"/>
            </w:tcBorders>
            <w:shd w:val="clear" w:color="auto" w:fill="D2D2D2"/>
          </w:tcPr>
          <w:p>
            <w:pPr/>
          </w:p>
        </w:tc>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92" w:right="188"/>
              <w:jc w:val="both"/>
              <w:rPr>
                <w:rFonts w:ascii="宋体" w:hAnsi="宋体" w:cs="宋体" w:eastAsia="宋体" w:hint="default"/>
                <w:sz w:val="18"/>
                <w:szCs w:val="18"/>
              </w:rPr>
            </w:pPr>
            <w:r>
              <w:rPr>
                <w:rFonts w:ascii="宋体" w:hAnsi="宋体" w:cs="宋体" w:eastAsia="宋体" w:hint="default"/>
                <w:sz w:val="18"/>
                <w:szCs w:val="18"/>
              </w:rPr>
              <w:t>优 先 股</w:t>
            </w:r>
          </w:p>
        </w:tc>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91" w:right="189"/>
              <w:jc w:val="both"/>
              <w:rPr>
                <w:rFonts w:ascii="宋体" w:hAnsi="宋体" w:cs="宋体" w:eastAsia="宋体" w:hint="default"/>
                <w:sz w:val="18"/>
                <w:szCs w:val="18"/>
              </w:rPr>
            </w:pPr>
            <w:r>
              <w:rPr>
                <w:rFonts w:ascii="宋体" w:hAnsi="宋体" w:cs="宋体" w:eastAsia="宋体" w:hint="default"/>
                <w:sz w:val="18"/>
                <w:szCs w:val="18"/>
              </w:rPr>
              <w:t>永 续 债</w:t>
            </w:r>
          </w:p>
        </w:tc>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90" w:right="189"/>
              <w:jc w:val="center"/>
              <w:rPr>
                <w:rFonts w:ascii="宋体" w:hAnsi="宋体" w:cs="宋体" w:eastAsia="宋体" w:hint="default"/>
                <w:sz w:val="18"/>
                <w:szCs w:val="18"/>
              </w:rPr>
            </w:pPr>
            <w:r>
              <w:rPr>
                <w:rFonts w:ascii="宋体" w:hAnsi="宋体" w:cs="宋体" w:eastAsia="宋体" w:hint="default"/>
                <w:sz w:val="18"/>
                <w:szCs w:val="18"/>
              </w:rPr>
              <w:t>其 他</w:t>
            </w:r>
          </w:p>
        </w:tc>
        <w:tc>
          <w:tcPr>
            <w:tcW w:w="685" w:type="dxa"/>
            <w:vMerge/>
            <w:tcBorders>
              <w:left w:val="single" w:sz="4" w:space="0" w:color="000000"/>
              <w:bottom w:val="single" w:sz="4" w:space="0" w:color="000000"/>
              <w:right w:val="single" w:sz="4" w:space="0" w:color="000000"/>
            </w:tcBorders>
            <w:shd w:val="clear" w:color="auto" w:fill="D2D2D2"/>
          </w:tcPr>
          <w:p>
            <w:pPr/>
          </w:p>
        </w:tc>
        <w:tc>
          <w:tcPr>
            <w:tcW w:w="686" w:type="dxa"/>
            <w:vMerge/>
            <w:tcBorders>
              <w:left w:val="single" w:sz="4" w:space="0" w:color="000000"/>
              <w:bottom w:val="single" w:sz="4" w:space="0" w:color="000000"/>
              <w:right w:val="single" w:sz="4" w:space="0" w:color="000000"/>
            </w:tcBorders>
            <w:shd w:val="clear" w:color="auto" w:fill="D2D2D2"/>
          </w:tcPr>
          <w:p>
            <w:pPr/>
          </w:p>
        </w:tc>
        <w:tc>
          <w:tcPr>
            <w:tcW w:w="685"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930"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1" w:right="102"/>
              <w:jc w:val="left"/>
              <w:rPr>
                <w:rFonts w:ascii="宋体" w:hAnsi="宋体" w:cs="宋体" w:eastAsia="宋体" w:hint="default"/>
                <w:sz w:val="18"/>
                <w:szCs w:val="18"/>
              </w:rPr>
            </w:pPr>
            <w:r>
              <w:rPr>
                <w:rFonts w:ascii="宋体" w:hAnsi="宋体" w:cs="宋体" w:eastAsia="宋体" w:hint="default"/>
                <w:spacing w:val="-11"/>
                <w:sz w:val="18"/>
                <w:szCs w:val="18"/>
              </w:rPr>
              <w:t>一、上年期末</w:t>
            </w:r>
            <w:r>
              <w:rPr>
                <w:rFonts w:ascii="宋体" w:hAnsi="宋体" w:cs="宋体" w:eastAsia="宋体" w:hint="default"/>
                <w:sz w:val="18"/>
                <w:szCs w:val="18"/>
              </w:rPr>
              <w:t> 余额</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5" w:right="0"/>
              <w:jc w:val="center"/>
              <w:rPr>
                <w:rFonts w:ascii="Times New Roman" w:hAnsi="Times New Roman" w:cs="Times New Roman" w:eastAsia="Times New Roman" w:hint="default"/>
                <w:sz w:val="18"/>
                <w:szCs w:val="18"/>
              </w:rPr>
            </w:pPr>
            <w:r>
              <w:rPr>
                <w:rFonts w:ascii="Times New Roman"/>
                <w:sz w:val="18"/>
              </w:rPr>
              <w:t>742,</w:t>
            </w:r>
          </w:p>
          <w:p>
            <w:pPr>
              <w:pStyle w:val="TableParagraph"/>
              <w:spacing w:line="240" w:lineRule="auto" w:before="105"/>
              <w:ind w:left="65" w:right="0"/>
              <w:jc w:val="center"/>
              <w:rPr>
                <w:rFonts w:ascii="Times New Roman" w:hAnsi="Times New Roman" w:cs="Times New Roman" w:eastAsia="Times New Roman" w:hint="default"/>
                <w:sz w:val="18"/>
                <w:szCs w:val="18"/>
              </w:rPr>
            </w:pPr>
            <w:r>
              <w:rPr>
                <w:rFonts w:ascii="Times New Roman"/>
                <w:sz w:val="18"/>
              </w:rPr>
              <w:t>383,</w:t>
            </w:r>
          </w:p>
          <w:p>
            <w:pPr>
              <w:pStyle w:val="TableParagraph"/>
              <w:spacing w:line="240" w:lineRule="auto" w:before="105"/>
              <w:ind w:left="65" w:right="0"/>
              <w:jc w:val="center"/>
              <w:rPr>
                <w:rFonts w:ascii="Times New Roman" w:hAnsi="Times New Roman" w:cs="Times New Roman" w:eastAsia="Times New Roman" w:hint="default"/>
                <w:sz w:val="18"/>
                <w:szCs w:val="18"/>
              </w:rPr>
            </w:pPr>
            <w:r>
              <w:rPr>
                <w:rFonts w:ascii="Times New Roman"/>
                <w:sz w:val="18"/>
              </w:rPr>
              <w:t>330.</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1,595,</w:t>
            </w:r>
          </w:p>
          <w:p>
            <w:pPr>
              <w:pStyle w:val="TableParagraph"/>
              <w:spacing w:line="240" w:lineRule="auto" w:before="105"/>
              <w:ind w:left="168" w:right="0"/>
              <w:jc w:val="left"/>
              <w:rPr>
                <w:rFonts w:ascii="Times New Roman" w:hAnsi="Times New Roman" w:cs="Times New Roman" w:eastAsia="Times New Roman" w:hint="default"/>
                <w:sz w:val="18"/>
                <w:szCs w:val="18"/>
              </w:rPr>
            </w:pPr>
            <w:r>
              <w:rPr>
                <w:rFonts w:ascii="Times New Roman"/>
                <w:sz w:val="18"/>
              </w:rPr>
              <w:t>867,6</w:t>
            </w:r>
          </w:p>
          <w:p>
            <w:pPr>
              <w:pStyle w:val="TableParagraph"/>
              <w:spacing w:line="240" w:lineRule="auto" w:before="105"/>
              <w:ind w:left="168" w:right="0"/>
              <w:jc w:val="left"/>
              <w:rPr>
                <w:rFonts w:ascii="Times New Roman" w:hAnsi="Times New Roman" w:cs="Times New Roman" w:eastAsia="Times New Roman" w:hint="default"/>
                <w:sz w:val="18"/>
                <w:szCs w:val="18"/>
              </w:rPr>
            </w:pPr>
            <w:r>
              <w:rPr>
                <w:rFonts w:ascii="Times New Roman"/>
                <w:sz w:val="18"/>
              </w:rPr>
              <w:t>10.51</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Times New Roman"/>
                <w:sz w:val="18"/>
              </w:rPr>
              <w:t>47,69</w:t>
            </w:r>
          </w:p>
          <w:p>
            <w:pPr>
              <w:pStyle w:val="TableParagraph"/>
              <w:spacing w:line="240" w:lineRule="auto" w:before="105"/>
              <w:ind w:left="123" w:right="0"/>
              <w:jc w:val="left"/>
              <w:rPr>
                <w:rFonts w:ascii="Times New Roman" w:hAnsi="Times New Roman" w:cs="Times New Roman" w:eastAsia="Times New Roman" w:hint="default"/>
                <w:sz w:val="18"/>
                <w:szCs w:val="18"/>
              </w:rPr>
            </w:pPr>
            <w:r>
              <w:rPr>
                <w:rFonts w:ascii="Times New Roman"/>
                <w:sz w:val="18"/>
              </w:rPr>
              <w:t>2,260.</w:t>
            </w:r>
          </w:p>
          <w:p>
            <w:pPr>
              <w:pStyle w:val="TableParagraph"/>
              <w:spacing w:line="240" w:lineRule="auto" w:before="105"/>
              <w:ind w:left="392" w:right="0"/>
              <w:jc w:val="left"/>
              <w:rPr>
                <w:rFonts w:ascii="Times New Roman" w:hAnsi="Times New Roman" w:cs="Times New Roman" w:eastAsia="Times New Roman" w:hint="default"/>
                <w:sz w:val="18"/>
                <w:szCs w:val="18"/>
              </w:rPr>
            </w:pPr>
            <w:r>
              <w:rPr>
                <w:rFonts w:ascii="Times New Roman"/>
                <w:sz w:val="18"/>
              </w:rPr>
              <w:t>00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2,105,</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438.6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55,22</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4,954</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.04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324,98</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3,587.1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w:t>
            </w: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2,672,87</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2,660.38</w:t>
            </w:r>
          </w:p>
        </w:tc>
      </w:tr>
      <w:tr>
        <w:trPr>
          <w:trHeight w:val="714"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02" w:firstLine="360"/>
              <w:jc w:val="left"/>
              <w:rPr>
                <w:rFonts w:ascii="宋体" w:hAnsi="宋体" w:cs="宋体" w:eastAsia="宋体" w:hint="default"/>
                <w:sz w:val="18"/>
                <w:szCs w:val="18"/>
              </w:rPr>
            </w:pPr>
            <w:r>
              <w:rPr>
                <w:rFonts w:ascii="宋体" w:hAnsi="宋体" w:cs="宋体" w:eastAsia="宋体" w:hint="default"/>
                <w:spacing w:val="-17"/>
                <w:sz w:val="18"/>
                <w:szCs w:val="18"/>
              </w:rPr>
              <w:t>加：会计</w:t>
            </w:r>
            <w:r>
              <w:rPr>
                <w:rFonts w:ascii="宋体" w:hAnsi="宋体" w:cs="宋体" w:eastAsia="宋体" w:hint="default"/>
                <w:sz w:val="18"/>
                <w:szCs w:val="18"/>
              </w:rPr>
              <w:t> 政策变更</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217" w:firstLine="720"/>
              <w:jc w:val="left"/>
              <w:rPr>
                <w:rFonts w:ascii="宋体" w:hAnsi="宋体" w:cs="宋体" w:eastAsia="宋体" w:hint="default"/>
                <w:sz w:val="18"/>
                <w:szCs w:val="18"/>
              </w:rPr>
            </w:pPr>
            <w:r>
              <w:rPr>
                <w:rFonts w:ascii="宋体" w:hAnsi="宋体" w:cs="宋体" w:eastAsia="宋体" w:hint="default"/>
                <w:sz w:val="18"/>
                <w:szCs w:val="18"/>
              </w:rPr>
              <w:t>前 期差错更正</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17"/>
              <w:jc w:val="right"/>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他</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1" w:right="102"/>
              <w:jc w:val="left"/>
              <w:rPr>
                <w:rFonts w:ascii="宋体" w:hAnsi="宋体" w:cs="宋体" w:eastAsia="宋体" w:hint="default"/>
                <w:sz w:val="18"/>
                <w:szCs w:val="18"/>
              </w:rPr>
            </w:pPr>
            <w:r>
              <w:rPr>
                <w:rFonts w:ascii="宋体" w:hAnsi="宋体" w:cs="宋体" w:eastAsia="宋体" w:hint="default"/>
                <w:spacing w:val="-11"/>
                <w:sz w:val="18"/>
                <w:szCs w:val="18"/>
              </w:rPr>
              <w:t>二、本年期初</w:t>
            </w:r>
            <w:r>
              <w:rPr>
                <w:rFonts w:ascii="宋体" w:hAnsi="宋体" w:cs="宋体" w:eastAsia="宋体" w:hint="default"/>
                <w:sz w:val="18"/>
                <w:szCs w:val="18"/>
              </w:rPr>
              <w:t> 余额</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5" w:right="0"/>
              <w:jc w:val="center"/>
              <w:rPr>
                <w:rFonts w:ascii="Times New Roman" w:hAnsi="Times New Roman" w:cs="Times New Roman" w:eastAsia="Times New Roman" w:hint="default"/>
                <w:sz w:val="18"/>
                <w:szCs w:val="18"/>
              </w:rPr>
            </w:pPr>
            <w:r>
              <w:rPr>
                <w:rFonts w:ascii="Times New Roman"/>
                <w:sz w:val="18"/>
              </w:rPr>
              <w:t>742,</w:t>
            </w:r>
          </w:p>
          <w:p>
            <w:pPr>
              <w:pStyle w:val="TableParagraph"/>
              <w:spacing w:line="240" w:lineRule="auto" w:before="105"/>
              <w:ind w:left="65" w:right="0"/>
              <w:jc w:val="center"/>
              <w:rPr>
                <w:rFonts w:ascii="Times New Roman" w:hAnsi="Times New Roman" w:cs="Times New Roman" w:eastAsia="Times New Roman" w:hint="default"/>
                <w:sz w:val="18"/>
                <w:szCs w:val="18"/>
              </w:rPr>
            </w:pPr>
            <w:r>
              <w:rPr>
                <w:rFonts w:ascii="Times New Roman"/>
                <w:sz w:val="18"/>
              </w:rPr>
              <w:t>383,</w:t>
            </w:r>
          </w:p>
          <w:p>
            <w:pPr>
              <w:pStyle w:val="TableParagraph"/>
              <w:spacing w:line="240" w:lineRule="auto" w:before="105"/>
              <w:ind w:left="65" w:right="0"/>
              <w:jc w:val="center"/>
              <w:rPr>
                <w:rFonts w:ascii="Times New Roman" w:hAnsi="Times New Roman" w:cs="Times New Roman" w:eastAsia="Times New Roman" w:hint="default"/>
                <w:sz w:val="18"/>
                <w:szCs w:val="18"/>
              </w:rPr>
            </w:pPr>
            <w:r>
              <w:rPr>
                <w:rFonts w:ascii="Times New Roman"/>
                <w:sz w:val="18"/>
              </w:rPr>
              <w:t>330.</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1,595,</w:t>
            </w:r>
          </w:p>
          <w:p>
            <w:pPr>
              <w:pStyle w:val="TableParagraph"/>
              <w:spacing w:line="240" w:lineRule="auto" w:before="105"/>
              <w:ind w:left="168" w:right="0"/>
              <w:jc w:val="left"/>
              <w:rPr>
                <w:rFonts w:ascii="Times New Roman" w:hAnsi="Times New Roman" w:cs="Times New Roman" w:eastAsia="Times New Roman" w:hint="default"/>
                <w:sz w:val="18"/>
                <w:szCs w:val="18"/>
              </w:rPr>
            </w:pPr>
            <w:r>
              <w:rPr>
                <w:rFonts w:ascii="Times New Roman"/>
                <w:sz w:val="18"/>
              </w:rPr>
              <w:t>867,6</w:t>
            </w:r>
          </w:p>
          <w:p>
            <w:pPr>
              <w:pStyle w:val="TableParagraph"/>
              <w:spacing w:line="240" w:lineRule="auto" w:before="105"/>
              <w:ind w:left="168" w:right="0"/>
              <w:jc w:val="left"/>
              <w:rPr>
                <w:rFonts w:ascii="Times New Roman" w:hAnsi="Times New Roman" w:cs="Times New Roman" w:eastAsia="Times New Roman" w:hint="default"/>
                <w:sz w:val="18"/>
                <w:szCs w:val="18"/>
              </w:rPr>
            </w:pPr>
            <w:r>
              <w:rPr>
                <w:rFonts w:ascii="Times New Roman"/>
                <w:sz w:val="18"/>
              </w:rPr>
              <w:t>10.51</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Times New Roman"/>
                <w:sz w:val="18"/>
              </w:rPr>
              <w:t>47,69</w:t>
            </w:r>
          </w:p>
          <w:p>
            <w:pPr>
              <w:pStyle w:val="TableParagraph"/>
              <w:spacing w:line="240" w:lineRule="auto" w:before="105"/>
              <w:ind w:left="123" w:right="0"/>
              <w:jc w:val="left"/>
              <w:rPr>
                <w:rFonts w:ascii="Times New Roman" w:hAnsi="Times New Roman" w:cs="Times New Roman" w:eastAsia="Times New Roman" w:hint="default"/>
                <w:sz w:val="18"/>
                <w:szCs w:val="18"/>
              </w:rPr>
            </w:pPr>
            <w:r>
              <w:rPr>
                <w:rFonts w:ascii="Times New Roman"/>
                <w:sz w:val="18"/>
              </w:rPr>
              <w:t>2,260.</w:t>
            </w:r>
          </w:p>
          <w:p>
            <w:pPr>
              <w:pStyle w:val="TableParagraph"/>
              <w:spacing w:line="240" w:lineRule="auto" w:before="105"/>
              <w:ind w:left="392" w:right="0"/>
              <w:jc w:val="left"/>
              <w:rPr>
                <w:rFonts w:ascii="Times New Roman" w:hAnsi="Times New Roman" w:cs="Times New Roman" w:eastAsia="Times New Roman" w:hint="default"/>
                <w:sz w:val="18"/>
                <w:szCs w:val="18"/>
              </w:rPr>
            </w:pPr>
            <w:r>
              <w:rPr>
                <w:rFonts w:ascii="Times New Roman"/>
                <w:sz w:val="18"/>
              </w:rPr>
              <w:t>00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2,105,</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438.6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55,22</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4,954</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.04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324,98</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3,587.1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w:t>
            </w: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2,672,87</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2,660.38</w:t>
            </w:r>
          </w:p>
        </w:tc>
      </w:tr>
      <w:tr>
        <w:trPr>
          <w:trHeight w:val="1338"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02"/>
              <w:jc w:val="both"/>
              <w:rPr>
                <w:rFonts w:ascii="宋体" w:hAnsi="宋体" w:cs="宋体" w:eastAsia="宋体" w:hint="default"/>
                <w:sz w:val="18"/>
                <w:szCs w:val="18"/>
              </w:rPr>
            </w:pPr>
            <w:r>
              <w:rPr>
                <w:rFonts w:ascii="宋体" w:hAnsi="宋体" w:cs="宋体" w:eastAsia="宋体" w:hint="default"/>
                <w:spacing w:val="-11"/>
                <w:sz w:val="18"/>
                <w:szCs w:val="18"/>
              </w:rPr>
              <w:t>三、本期增减</w:t>
            </w:r>
            <w:r>
              <w:rPr>
                <w:rFonts w:ascii="宋体" w:hAnsi="宋体" w:cs="宋体" w:eastAsia="宋体" w:hint="default"/>
                <w:sz w:val="18"/>
                <w:szCs w:val="18"/>
              </w:rPr>
              <w:t> </w:t>
            </w:r>
            <w:r>
              <w:rPr>
                <w:rFonts w:ascii="宋体" w:hAnsi="宋体" w:cs="宋体" w:eastAsia="宋体" w:hint="default"/>
                <w:spacing w:val="-11"/>
                <w:sz w:val="18"/>
                <w:szCs w:val="18"/>
              </w:rPr>
              <w:t>变动金额（减</w:t>
            </w:r>
            <w:r>
              <w:rPr>
                <w:rFonts w:ascii="宋体" w:hAnsi="宋体" w:cs="宋体" w:eastAsia="宋体" w:hint="default"/>
                <w:sz w:val="18"/>
                <w:szCs w:val="18"/>
              </w:rPr>
              <w:t> </w:t>
            </w:r>
            <w:r>
              <w:rPr>
                <w:rFonts w:ascii="宋体" w:hAnsi="宋体" w:cs="宋体" w:eastAsia="宋体" w:hint="default"/>
                <w:spacing w:val="-11"/>
                <w:sz w:val="18"/>
                <w:szCs w:val="18"/>
              </w:rPr>
              <w:t>少以“－”号</w:t>
            </w:r>
            <w:r>
              <w:rPr>
                <w:rFonts w:ascii="宋体" w:hAnsi="宋体" w:cs="宋体" w:eastAsia="宋体" w:hint="default"/>
                <w:sz w:val="18"/>
                <w:szCs w:val="18"/>
              </w:rPr>
              <w:t> 填列）</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-168,</w:t>
            </w:r>
          </w:p>
          <w:p>
            <w:pPr>
              <w:pStyle w:val="TableParagraph"/>
              <w:spacing w:line="240" w:lineRule="auto" w:before="105"/>
              <w:ind w:left="65" w:right="0"/>
              <w:jc w:val="center"/>
              <w:rPr>
                <w:rFonts w:ascii="Times New Roman" w:hAnsi="Times New Roman" w:cs="Times New Roman" w:eastAsia="Times New Roman" w:hint="default"/>
                <w:sz w:val="18"/>
                <w:szCs w:val="18"/>
              </w:rPr>
            </w:pPr>
            <w:r>
              <w:rPr>
                <w:rFonts w:ascii="Times New Roman"/>
                <w:sz w:val="18"/>
              </w:rPr>
              <w:t>750.</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1,129,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133.6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4</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09" w:right="0"/>
              <w:jc w:val="left"/>
              <w:rPr>
                <w:rFonts w:ascii="Times New Roman" w:hAnsi="Times New Roman" w:cs="Times New Roman" w:eastAsia="Times New Roman" w:hint="default"/>
                <w:sz w:val="18"/>
                <w:szCs w:val="18"/>
              </w:rPr>
            </w:pPr>
            <w:r>
              <w:rPr>
                <w:rFonts w:ascii="Times New Roman"/>
                <w:sz w:val="18"/>
              </w:rPr>
              <w:t>-12,41</w:t>
            </w:r>
          </w:p>
          <w:p>
            <w:pPr>
              <w:pStyle w:val="TableParagraph"/>
              <w:spacing w:line="240" w:lineRule="auto" w:before="105"/>
              <w:ind w:left="123" w:right="0"/>
              <w:jc w:val="left"/>
              <w:rPr>
                <w:rFonts w:ascii="Times New Roman" w:hAnsi="Times New Roman" w:cs="Times New Roman" w:eastAsia="Times New Roman" w:hint="default"/>
                <w:sz w:val="18"/>
                <w:szCs w:val="18"/>
              </w:rPr>
            </w:pPr>
            <w:r>
              <w:rPr>
                <w:rFonts w:ascii="Times New Roman"/>
                <w:sz w:val="18"/>
              </w:rPr>
              <w:t>4,517.</w:t>
            </w:r>
          </w:p>
          <w:p>
            <w:pPr>
              <w:pStyle w:val="TableParagraph"/>
              <w:spacing w:line="240" w:lineRule="auto" w:before="105"/>
              <w:ind w:left="392" w:right="0"/>
              <w:jc w:val="left"/>
              <w:rPr>
                <w:rFonts w:ascii="Times New Roman" w:hAnsi="Times New Roman" w:cs="Times New Roman" w:eastAsia="Times New Roman" w:hint="default"/>
                <w:sz w:val="18"/>
                <w:szCs w:val="18"/>
              </w:rPr>
            </w:pPr>
            <w:r>
              <w:rPr>
                <w:rFonts w:ascii="Times New Roman"/>
                <w:sz w:val="18"/>
              </w:rPr>
              <w:t>50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-8,234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,975.1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w:t>
            </w: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16,96</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8,691</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.92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41,406,</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290.23</w:t>
            </w: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63,514,9</w:t>
            </w:r>
          </w:p>
          <w:p>
            <w:pPr>
              <w:pStyle w:val="TableParagraph"/>
              <w:spacing w:line="240" w:lineRule="auto" w:before="105"/>
              <w:ind w:left="411" w:right="0"/>
              <w:jc w:val="left"/>
              <w:rPr>
                <w:rFonts w:ascii="Times New Roman" w:hAnsi="Times New Roman" w:cs="Times New Roman" w:eastAsia="Times New Roman" w:hint="default"/>
                <w:sz w:val="18"/>
                <w:szCs w:val="18"/>
              </w:rPr>
            </w:pPr>
            <w:r>
              <w:rPr>
                <w:rFonts w:ascii="Times New Roman"/>
                <w:sz w:val="18"/>
              </w:rPr>
              <w:t>08.17</w:t>
            </w:r>
          </w:p>
        </w:tc>
      </w:tr>
      <w:tr>
        <w:trPr>
          <w:trHeight w:val="1026"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ind w:left="101" w:right="102"/>
              <w:jc w:val="left"/>
              <w:rPr>
                <w:rFonts w:ascii="宋体" w:hAnsi="宋体" w:cs="宋体" w:eastAsia="宋体" w:hint="default"/>
                <w:sz w:val="18"/>
                <w:szCs w:val="18"/>
              </w:rPr>
            </w:pPr>
            <w:r>
              <w:rPr>
                <w:rFonts w:ascii="宋体" w:hAnsi="宋体" w:cs="宋体" w:eastAsia="宋体" w:hint="default"/>
                <w:spacing w:val="-11"/>
                <w:sz w:val="18"/>
                <w:szCs w:val="18"/>
              </w:rPr>
              <w:t>（一）综合收</w:t>
            </w:r>
            <w:r>
              <w:rPr>
                <w:rFonts w:ascii="宋体" w:hAnsi="宋体" w:cs="宋体" w:eastAsia="宋体" w:hint="default"/>
                <w:sz w:val="18"/>
                <w:szCs w:val="18"/>
              </w:rPr>
              <w:t> 益总额</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-8,234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,975.1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w:t>
            </w: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169,68</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6,919.1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161,451,</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944.03</w:t>
            </w:r>
          </w:p>
        </w:tc>
      </w:tr>
      <w:tr>
        <w:trPr>
          <w:trHeight w:val="1026"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02"/>
              <w:jc w:val="left"/>
              <w:rPr>
                <w:rFonts w:ascii="宋体" w:hAnsi="宋体" w:cs="宋体" w:eastAsia="宋体" w:hint="default"/>
                <w:sz w:val="18"/>
                <w:szCs w:val="18"/>
              </w:rPr>
            </w:pPr>
            <w:r>
              <w:rPr>
                <w:rFonts w:ascii="宋体" w:hAnsi="宋体" w:cs="宋体" w:eastAsia="宋体" w:hint="default"/>
                <w:spacing w:val="-11"/>
                <w:sz w:val="18"/>
                <w:szCs w:val="18"/>
              </w:rPr>
              <w:t>（二）所有者</w:t>
            </w:r>
            <w:r>
              <w:rPr>
                <w:rFonts w:ascii="宋体" w:hAnsi="宋体" w:cs="宋体" w:eastAsia="宋体" w:hint="default"/>
                <w:sz w:val="18"/>
                <w:szCs w:val="18"/>
              </w:rPr>
              <w:t> 投入和减少 资本</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 w:right="0"/>
              <w:jc w:val="center"/>
              <w:rPr>
                <w:rFonts w:ascii="Times New Roman" w:hAnsi="Times New Roman" w:cs="Times New Roman" w:eastAsia="Times New Roman" w:hint="default"/>
                <w:sz w:val="18"/>
                <w:szCs w:val="18"/>
              </w:rPr>
            </w:pPr>
            <w:r>
              <w:rPr>
                <w:rFonts w:ascii="Times New Roman"/>
                <w:sz w:val="18"/>
              </w:rPr>
              <w:t>-168,</w:t>
            </w:r>
          </w:p>
          <w:p>
            <w:pPr>
              <w:pStyle w:val="TableParagraph"/>
              <w:spacing w:line="240" w:lineRule="auto" w:before="105"/>
              <w:ind w:left="65" w:right="0"/>
              <w:jc w:val="center"/>
              <w:rPr>
                <w:rFonts w:ascii="Times New Roman" w:hAnsi="Times New Roman" w:cs="Times New Roman" w:eastAsia="Times New Roman" w:hint="default"/>
                <w:sz w:val="18"/>
                <w:szCs w:val="18"/>
              </w:rPr>
            </w:pPr>
            <w:r>
              <w:rPr>
                <w:rFonts w:ascii="Times New Roman"/>
                <w:sz w:val="18"/>
              </w:rPr>
              <w:t>750.</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1,129,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133.6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4</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9" w:right="0"/>
              <w:jc w:val="left"/>
              <w:rPr>
                <w:rFonts w:ascii="Times New Roman" w:hAnsi="Times New Roman" w:cs="Times New Roman" w:eastAsia="Times New Roman" w:hint="default"/>
                <w:sz w:val="18"/>
                <w:szCs w:val="18"/>
              </w:rPr>
            </w:pPr>
            <w:r>
              <w:rPr>
                <w:rFonts w:ascii="Times New Roman"/>
                <w:sz w:val="18"/>
              </w:rPr>
              <w:t>-12,41</w:t>
            </w:r>
          </w:p>
          <w:p>
            <w:pPr>
              <w:pStyle w:val="TableParagraph"/>
              <w:spacing w:line="240" w:lineRule="auto" w:before="105"/>
              <w:ind w:left="123" w:right="0"/>
              <w:jc w:val="left"/>
              <w:rPr>
                <w:rFonts w:ascii="Times New Roman" w:hAnsi="Times New Roman" w:cs="Times New Roman" w:eastAsia="Times New Roman" w:hint="default"/>
                <w:sz w:val="18"/>
                <w:szCs w:val="18"/>
              </w:rPr>
            </w:pPr>
            <w:r>
              <w:rPr>
                <w:rFonts w:ascii="Times New Roman"/>
                <w:sz w:val="18"/>
              </w:rPr>
              <w:t>4,517.</w:t>
            </w:r>
          </w:p>
          <w:p>
            <w:pPr>
              <w:pStyle w:val="TableParagraph"/>
              <w:spacing w:line="240" w:lineRule="auto" w:before="105"/>
              <w:ind w:left="392" w:right="0"/>
              <w:jc w:val="left"/>
              <w:rPr>
                <w:rFonts w:ascii="Times New Roman" w:hAnsi="Times New Roman" w:cs="Times New Roman" w:eastAsia="Times New Roman" w:hint="default"/>
                <w:sz w:val="18"/>
                <w:szCs w:val="18"/>
              </w:rPr>
            </w:pPr>
            <w:r>
              <w:rPr>
                <w:rFonts w:ascii="Times New Roman"/>
                <w:sz w:val="18"/>
              </w:rPr>
              <w:t>50</w:t>
            </w: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13,374,9</w:t>
            </w:r>
          </w:p>
          <w:p>
            <w:pPr>
              <w:pStyle w:val="TableParagraph"/>
              <w:spacing w:line="240" w:lineRule="auto" w:before="105"/>
              <w:ind w:left="411" w:right="0"/>
              <w:jc w:val="left"/>
              <w:rPr>
                <w:rFonts w:ascii="Times New Roman" w:hAnsi="Times New Roman" w:cs="Times New Roman" w:eastAsia="Times New Roman" w:hint="default"/>
                <w:sz w:val="18"/>
                <w:szCs w:val="18"/>
              </w:rPr>
            </w:pPr>
            <w:r>
              <w:rPr>
                <w:rFonts w:ascii="Times New Roman"/>
                <w:sz w:val="18"/>
              </w:rPr>
              <w:t>01.14</w:t>
            </w:r>
          </w:p>
        </w:tc>
      </w:tr>
      <w:tr>
        <w:trPr>
          <w:trHeight w:val="1026"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ind w:left="101" w:right="12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 入的普通股</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-168,</w:t>
            </w:r>
          </w:p>
          <w:p>
            <w:pPr>
              <w:pStyle w:val="TableParagraph"/>
              <w:spacing w:line="240" w:lineRule="auto" w:before="105"/>
              <w:ind w:left="65" w:right="0"/>
              <w:jc w:val="center"/>
              <w:rPr>
                <w:rFonts w:ascii="Times New Roman" w:hAnsi="Times New Roman" w:cs="Times New Roman" w:eastAsia="Times New Roman" w:hint="default"/>
                <w:sz w:val="18"/>
                <w:szCs w:val="18"/>
              </w:rPr>
            </w:pPr>
            <w:r>
              <w:rPr>
                <w:rFonts w:ascii="Times New Roman"/>
                <w:sz w:val="18"/>
              </w:rPr>
              <w:t>750.</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-1,462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,725.0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9" w:right="0"/>
              <w:jc w:val="left"/>
              <w:rPr>
                <w:rFonts w:ascii="Times New Roman" w:hAnsi="Times New Roman" w:cs="Times New Roman" w:eastAsia="Times New Roman" w:hint="default"/>
                <w:sz w:val="18"/>
                <w:szCs w:val="18"/>
              </w:rPr>
            </w:pPr>
            <w:r>
              <w:rPr>
                <w:rFonts w:ascii="Times New Roman"/>
                <w:sz w:val="18"/>
              </w:rPr>
              <w:t>-12,41</w:t>
            </w:r>
          </w:p>
          <w:p>
            <w:pPr>
              <w:pStyle w:val="TableParagraph"/>
              <w:spacing w:line="240" w:lineRule="auto" w:before="105"/>
              <w:ind w:left="123" w:right="0"/>
              <w:jc w:val="left"/>
              <w:rPr>
                <w:rFonts w:ascii="Times New Roman" w:hAnsi="Times New Roman" w:cs="Times New Roman" w:eastAsia="Times New Roman" w:hint="default"/>
                <w:sz w:val="18"/>
                <w:szCs w:val="18"/>
              </w:rPr>
            </w:pPr>
            <w:r>
              <w:rPr>
                <w:rFonts w:ascii="Times New Roman"/>
                <w:sz w:val="18"/>
              </w:rPr>
              <w:t>4,517.</w:t>
            </w:r>
          </w:p>
          <w:p>
            <w:pPr>
              <w:pStyle w:val="TableParagraph"/>
              <w:spacing w:line="240" w:lineRule="auto" w:before="105"/>
              <w:ind w:left="392" w:right="0"/>
              <w:jc w:val="left"/>
              <w:rPr>
                <w:rFonts w:ascii="Times New Roman" w:hAnsi="Times New Roman" w:cs="Times New Roman" w:eastAsia="Times New Roman" w:hint="default"/>
                <w:sz w:val="18"/>
                <w:szCs w:val="18"/>
              </w:rPr>
            </w:pPr>
            <w:r>
              <w:rPr>
                <w:rFonts w:ascii="Times New Roman"/>
                <w:sz w:val="18"/>
              </w:rPr>
              <w:t>50</w:t>
            </w: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10,783,0</w:t>
            </w:r>
          </w:p>
          <w:p>
            <w:pPr>
              <w:pStyle w:val="TableParagraph"/>
              <w:spacing w:line="240" w:lineRule="auto" w:before="105"/>
              <w:ind w:left="411" w:right="0"/>
              <w:jc w:val="left"/>
              <w:rPr>
                <w:rFonts w:ascii="Times New Roman" w:hAnsi="Times New Roman" w:cs="Times New Roman" w:eastAsia="Times New Roman" w:hint="default"/>
                <w:sz w:val="18"/>
                <w:szCs w:val="18"/>
              </w:rPr>
            </w:pPr>
            <w:r>
              <w:rPr>
                <w:rFonts w:ascii="Times New Roman"/>
                <w:sz w:val="18"/>
              </w:rPr>
              <w:t>42.50</w:t>
            </w:r>
          </w:p>
        </w:tc>
      </w:tr>
      <w:tr>
        <w:trPr>
          <w:trHeight w:val="1026"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101" w:right="12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 工具持有者 投入资本</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1" w:right="12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 计入所有者 权益的金额</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2,591,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858.6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4</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2,591,85</w:t>
            </w:r>
          </w:p>
          <w:p>
            <w:pPr>
              <w:pStyle w:val="TableParagraph"/>
              <w:spacing w:line="240" w:lineRule="auto" w:before="105"/>
              <w:ind w:left="502" w:right="0"/>
              <w:jc w:val="left"/>
              <w:rPr>
                <w:rFonts w:ascii="Times New Roman" w:hAnsi="Times New Roman" w:cs="Times New Roman" w:eastAsia="Times New Roman" w:hint="default"/>
                <w:sz w:val="18"/>
                <w:szCs w:val="18"/>
              </w:rPr>
            </w:pPr>
            <w:r>
              <w:rPr>
                <w:rFonts w:ascii="Times New Roman"/>
                <w:sz w:val="18"/>
              </w:rPr>
              <w:t>8.64</w:t>
            </w:r>
          </w:p>
        </w:tc>
      </w:tr>
      <w:tr>
        <w:trPr>
          <w:trHeight w:val="402"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01" w:right="0"/>
              <w:jc w:val="left"/>
              <w:rPr>
                <w:rFonts w:ascii="宋体" w:hAnsi="宋体" w:cs="宋体" w:eastAsia="宋体" w:hint="default"/>
                <w:sz w:val="18"/>
                <w:szCs w:val="18"/>
              </w:rPr>
            </w:pPr>
            <w:r>
              <w:rPr>
                <w:rFonts w:ascii="宋体" w:hAnsi="宋体" w:cs="宋体" w:eastAsia="宋体" w:hint="default"/>
                <w:spacing w:val="-11"/>
                <w:sz w:val="18"/>
                <w:szCs w:val="18"/>
              </w:rPr>
              <w:t>（三）利润分</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46" w:right="0"/>
              <w:jc w:val="left"/>
              <w:rPr>
                <w:rFonts w:ascii="Times New Roman" w:hAnsi="Times New Roman" w:cs="Times New Roman" w:eastAsia="Times New Roman" w:hint="default"/>
                <w:sz w:val="18"/>
                <w:szCs w:val="18"/>
              </w:rPr>
            </w:pPr>
            <w:r>
              <w:rPr>
                <w:rFonts w:ascii="Times New Roman"/>
                <w:sz w:val="18"/>
              </w:rPr>
              <w:t>16,96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31" w:right="0"/>
              <w:jc w:val="left"/>
              <w:rPr>
                <w:rFonts w:ascii="Times New Roman" w:hAnsi="Times New Roman" w:cs="Times New Roman" w:eastAsia="Times New Roman" w:hint="default"/>
                <w:sz w:val="18"/>
                <w:szCs w:val="18"/>
              </w:rPr>
            </w:pPr>
            <w:r>
              <w:rPr>
                <w:rFonts w:ascii="Times New Roman"/>
                <w:sz w:val="18"/>
              </w:rPr>
              <w:t>-128,28</w:t>
            </w: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49" w:right="0"/>
              <w:jc w:val="left"/>
              <w:rPr>
                <w:rFonts w:ascii="Times New Roman" w:hAnsi="Times New Roman" w:cs="Times New Roman" w:eastAsia="Times New Roman" w:hint="default"/>
                <w:sz w:val="18"/>
                <w:szCs w:val="18"/>
              </w:rPr>
            </w:pPr>
            <w:r>
              <w:rPr>
                <w:rFonts w:ascii="Times New Roman"/>
                <w:spacing w:val="-3"/>
                <w:sz w:val="18"/>
              </w:rPr>
              <w:t>-111,311,</w:t>
            </w:r>
          </w:p>
        </w:tc>
      </w:tr>
    </w:tbl>
    <w:p>
      <w:pPr>
        <w:spacing w:after="0" w:line="240" w:lineRule="auto"/>
        <w:jc w:val="left"/>
        <w:rPr>
          <w:rFonts w:ascii="Times New Roman" w:hAnsi="Times New Roman" w:cs="Times New Roman" w:eastAsia="Times New Roman" w:hint="default"/>
          <w:sz w:val="18"/>
          <w:szCs w:val="18"/>
        </w:rPr>
        <w:sectPr>
          <w:pgSz w:w="11910" w:h="16840"/>
          <w:pgMar w:header="919" w:footer="1016"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1231"/>
        <w:gridCol w:w="594"/>
        <w:gridCol w:w="572"/>
        <w:gridCol w:w="572"/>
        <w:gridCol w:w="572"/>
        <w:gridCol w:w="685"/>
        <w:gridCol w:w="686"/>
        <w:gridCol w:w="685"/>
        <w:gridCol w:w="781"/>
        <w:gridCol w:w="665"/>
        <w:gridCol w:w="798"/>
        <w:gridCol w:w="797"/>
        <w:gridCol w:w="930"/>
      </w:tblGrid>
      <w:tr>
        <w:trPr>
          <w:trHeight w:val="674"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配</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 w:right="0"/>
              <w:jc w:val="center"/>
              <w:rPr>
                <w:rFonts w:ascii="Times New Roman" w:hAnsi="Times New Roman" w:cs="Times New Roman" w:eastAsia="Times New Roman" w:hint="default"/>
                <w:sz w:val="18"/>
                <w:szCs w:val="18"/>
              </w:rPr>
            </w:pPr>
            <w:r>
              <w:rPr>
                <w:rFonts w:ascii="Times New Roman"/>
                <w:sz w:val="18"/>
              </w:rPr>
              <w:t>8,691</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.92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0,628.9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w:t>
            </w: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2" w:right="0"/>
              <w:jc w:val="left"/>
              <w:rPr>
                <w:rFonts w:ascii="Times New Roman" w:hAnsi="Times New Roman" w:cs="Times New Roman" w:eastAsia="Times New Roman" w:hint="default"/>
                <w:sz w:val="18"/>
                <w:szCs w:val="18"/>
              </w:rPr>
            </w:pPr>
            <w:r>
              <w:rPr>
                <w:rFonts w:ascii="Times New Roman"/>
                <w:sz w:val="18"/>
              </w:rPr>
              <w:t>937.00</w:t>
            </w:r>
          </w:p>
        </w:tc>
      </w:tr>
      <w:tr>
        <w:trPr>
          <w:trHeight w:val="1026"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00" w:lineRule="auto"/>
              <w:ind w:left="101" w:right="12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 公积</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center"/>
              <w:rPr>
                <w:rFonts w:ascii="Times New Roman" w:hAnsi="Times New Roman" w:cs="Times New Roman" w:eastAsia="Times New Roman" w:hint="default"/>
                <w:sz w:val="18"/>
                <w:szCs w:val="18"/>
              </w:rPr>
            </w:pPr>
            <w:r>
              <w:rPr>
                <w:rFonts w:ascii="Times New Roman"/>
                <w:sz w:val="18"/>
              </w:rPr>
              <w:t>16,96</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8,691</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.92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31" w:right="0"/>
              <w:jc w:val="left"/>
              <w:rPr>
                <w:rFonts w:ascii="Times New Roman" w:hAnsi="Times New Roman" w:cs="Times New Roman" w:eastAsia="Times New Roman" w:hint="default"/>
                <w:sz w:val="18"/>
                <w:szCs w:val="18"/>
              </w:rPr>
            </w:pPr>
            <w:r>
              <w:rPr>
                <w:rFonts w:ascii="Times New Roman"/>
                <w:sz w:val="18"/>
              </w:rPr>
              <w:t>-16,968</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,691.92</w:t>
            </w: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w:t>
            </w:r>
          </w:p>
          <w:p>
            <w:pPr>
              <w:pStyle w:val="TableParagraph"/>
              <w:spacing w:line="316" w:lineRule="auto" w:before="63"/>
              <w:ind w:left="101" w:right="102"/>
              <w:jc w:val="left"/>
              <w:rPr>
                <w:rFonts w:ascii="宋体" w:hAnsi="宋体" w:cs="宋体" w:eastAsia="宋体" w:hint="default"/>
                <w:sz w:val="18"/>
                <w:szCs w:val="18"/>
              </w:rPr>
            </w:pPr>
            <w:r>
              <w:rPr>
                <w:rFonts w:ascii="宋体" w:hAnsi="宋体" w:cs="宋体" w:eastAsia="宋体" w:hint="default"/>
                <w:spacing w:val="-11"/>
                <w:sz w:val="18"/>
                <w:szCs w:val="18"/>
              </w:rPr>
              <w:t>（或股东）的</w:t>
            </w:r>
            <w:r>
              <w:rPr>
                <w:rFonts w:ascii="宋体" w:hAnsi="宋体" w:cs="宋体" w:eastAsia="宋体" w:hint="default"/>
                <w:sz w:val="18"/>
                <w:szCs w:val="18"/>
              </w:rPr>
              <w:t> 分配</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1"/>
              <w:jc w:val="right"/>
              <w:rPr>
                <w:rFonts w:ascii="Times New Roman" w:hAnsi="Times New Roman" w:cs="Times New Roman" w:eastAsia="Times New Roman" w:hint="default"/>
                <w:sz w:val="18"/>
                <w:szCs w:val="18"/>
              </w:rPr>
            </w:pPr>
            <w:r>
              <w:rPr>
                <w:rFonts w:ascii="Times New Roman"/>
                <w:spacing w:val="-2"/>
                <w:sz w:val="18"/>
              </w:rPr>
              <w:t>-111,31</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1,937.0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pacing w:val="-3"/>
                <w:sz w:val="18"/>
              </w:rPr>
              <w:t>-111,311,</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937.00</w:t>
            </w:r>
          </w:p>
        </w:tc>
      </w:tr>
      <w:tr>
        <w:trPr>
          <w:trHeight w:val="402"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02"/>
              <w:jc w:val="left"/>
              <w:rPr>
                <w:rFonts w:ascii="宋体" w:hAnsi="宋体" w:cs="宋体" w:eastAsia="宋体" w:hint="default"/>
                <w:sz w:val="18"/>
                <w:szCs w:val="18"/>
              </w:rPr>
            </w:pPr>
            <w:r>
              <w:rPr>
                <w:rFonts w:ascii="宋体" w:hAnsi="宋体" w:cs="宋体" w:eastAsia="宋体" w:hint="default"/>
                <w:spacing w:val="-11"/>
                <w:sz w:val="18"/>
                <w:szCs w:val="18"/>
              </w:rPr>
              <w:t>（四）所有者</w:t>
            </w:r>
            <w:r>
              <w:rPr>
                <w:rFonts w:ascii="宋体" w:hAnsi="宋体" w:cs="宋体" w:eastAsia="宋体" w:hint="default"/>
                <w:sz w:val="18"/>
                <w:szCs w:val="18"/>
              </w:rPr>
              <w:t> 权益内部结 转</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101" w:right="102"/>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 </w:t>
            </w:r>
            <w:r>
              <w:rPr>
                <w:rFonts w:ascii="宋体" w:hAnsi="宋体" w:cs="宋体" w:eastAsia="宋体" w:hint="default"/>
                <w:spacing w:val="-11"/>
                <w:sz w:val="18"/>
                <w:szCs w:val="18"/>
              </w:rPr>
              <w:t>转增资本（或</w:t>
            </w:r>
            <w:r>
              <w:rPr>
                <w:rFonts w:ascii="宋体" w:hAnsi="宋体" w:cs="宋体" w:eastAsia="宋体" w:hint="default"/>
                <w:sz w:val="18"/>
                <w:szCs w:val="18"/>
              </w:rPr>
              <w:t> 股本）</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1" w:right="102"/>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 </w:t>
            </w:r>
            <w:r>
              <w:rPr>
                <w:rFonts w:ascii="宋体" w:hAnsi="宋体" w:cs="宋体" w:eastAsia="宋体" w:hint="default"/>
                <w:spacing w:val="-11"/>
                <w:sz w:val="18"/>
                <w:szCs w:val="18"/>
              </w:rPr>
              <w:t>转增资本（或</w:t>
            </w:r>
            <w:r>
              <w:rPr>
                <w:rFonts w:ascii="宋体" w:hAnsi="宋体" w:cs="宋体" w:eastAsia="宋体" w:hint="default"/>
                <w:sz w:val="18"/>
                <w:szCs w:val="18"/>
              </w:rPr>
              <w:t> 股本）</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2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 弥补亏损</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101" w:right="12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 计划变动额 结转留存收 益</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101" w:right="126"/>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 收益结转留 存收益</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02"/>
              <w:jc w:val="left"/>
              <w:rPr>
                <w:rFonts w:ascii="宋体" w:hAnsi="宋体" w:cs="宋体" w:eastAsia="宋体" w:hint="default"/>
                <w:sz w:val="18"/>
                <w:szCs w:val="18"/>
              </w:rPr>
            </w:pPr>
            <w:r>
              <w:rPr>
                <w:rFonts w:ascii="宋体" w:hAnsi="宋体" w:cs="宋体" w:eastAsia="宋体" w:hint="default"/>
                <w:spacing w:val="-11"/>
                <w:sz w:val="18"/>
                <w:szCs w:val="18"/>
              </w:rPr>
              <w:t>（五）专项储</w:t>
            </w:r>
            <w:r>
              <w:rPr>
                <w:rFonts w:ascii="宋体" w:hAnsi="宋体" w:cs="宋体" w:eastAsia="宋体" w:hint="default"/>
                <w:sz w:val="18"/>
                <w:szCs w:val="18"/>
              </w:rPr>
              <w:t> 备</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5"/>
              <w:ind w:left="101" w:right="102"/>
              <w:jc w:val="left"/>
              <w:rPr>
                <w:rFonts w:ascii="宋体" w:hAnsi="宋体" w:cs="宋体" w:eastAsia="宋体" w:hint="default"/>
                <w:sz w:val="18"/>
                <w:szCs w:val="18"/>
              </w:rPr>
            </w:pPr>
            <w:r>
              <w:rPr>
                <w:rFonts w:ascii="宋体" w:hAnsi="宋体" w:cs="宋体" w:eastAsia="宋体" w:hint="default"/>
                <w:spacing w:val="-11"/>
                <w:sz w:val="18"/>
                <w:szCs w:val="18"/>
              </w:rPr>
              <w:t>四、本期期末</w:t>
            </w:r>
            <w:r>
              <w:rPr>
                <w:rFonts w:ascii="宋体" w:hAnsi="宋体" w:cs="宋体" w:eastAsia="宋体" w:hint="default"/>
                <w:sz w:val="18"/>
                <w:szCs w:val="18"/>
              </w:rPr>
              <w:t> 余额</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5" w:right="0"/>
              <w:jc w:val="center"/>
              <w:rPr>
                <w:rFonts w:ascii="Times New Roman" w:hAnsi="Times New Roman" w:cs="Times New Roman" w:eastAsia="Times New Roman" w:hint="default"/>
                <w:sz w:val="18"/>
                <w:szCs w:val="18"/>
              </w:rPr>
            </w:pPr>
            <w:r>
              <w:rPr>
                <w:rFonts w:ascii="Times New Roman"/>
                <w:sz w:val="18"/>
              </w:rPr>
              <w:t>742,</w:t>
            </w:r>
          </w:p>
          <w:p>
            <w:pPr>
              <w:pStyle w:val="TableParagraph"/>
              <w:spacing w:line="240" w:lineRule="auto" w:before="105"/>
              <w:ind w:left="65" w:right="0"/>
              <w:jc w:val="center"/>
              <w:rPr>
                <w:rFonts w:ascii="Times New Roman" w:hAnsi="Times New Roman" w:cs="Times New Roman" w:eastAsia="Times New Roman" w:hint="default"/>
                <w:sz w:val="18"/>
                <w:szCs w:val="18"/>
              </w:rPr>
            </w:pPr>
            <w:r>
              <w:rPr>
                <w:rFonts w:ascii="Times New Roman"/>
                <w:sz w:val="18"/>
              </w:rPr>
              <w:t>214,</w:t>
            </w:r>
          </w:p>
          <w:p>
            <w:pPr>
              <w:pStyle w:val="TableParagraph"/>
              <w:spacing w:line="240" w:lineRule="auto" w:before="105"/>
              <w:ind w:left="65" w:right="0"/>
              <w:jc w:val="center"/>
              <w:rPr>
                <w:rFonts w:ascii="Times New Roman" w:hAnsi="Times New Roman" w:cs="Times New Roman" w:eastAsia="Times New Roman" w:hint="default"/>
                <w:sz w:val="18"/>
                <w:szCs w:val="18"/>
              </w:rPr>
            </w:pPr>
            <w:r>
              <w:rPr>
                <w:rFonts w:ascii="Times New Roman"/>
                <w:sz w:val="18"/>
              </w:rPr>
              <w:t>580.</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1,596,</w:t>
            </w:r>
          </w:p>
          <w:p>
            <w:pPr>
              <w:pStyle w:val="TableParagraph"/>
              <w:spacing w:line="240" w:lineRule="auto" w:before="105"/>
              <w:ind w:left="168" w:right="0"/>
              <w:jc w:val="left"/>
              <w:rPr>
                <w:rFonts w:ascii="Times New Roman" w:hAnsi="Times New Roman" w:cs="Times New Roman" w:eastAsia="Times New Roman" w:hint="default"/>
                <w:sz w:val="18"/>
                <w:szCs w:val="18"/>
              </w:rPr>
            </w:pPr>
            <w:r>
              <w:rPr>
                <w:rFonts w:ascii="Times New Roman"/>
                <w:sz w:val="18"/>
              </w:rPr>
              <w:t>996,7</w:t>
            </w:r>
          </w:p>
          <w:p>
            <w:pPr>
              <w:pStyle w:val="TableParagraph"/>
              <w:spacing w:line="240" w:lineRule="auto" w:before="105"/>
              <w:ind w:left="168" w:right="0"/>
              <w:jc w:val="left"/>
              <w:rPr>
                <w:rFonts w:ascii="Times New Roman" w:hAnsi="Times New Roman" w:cs="Times New Roman" w:eastAsia="Times New Roman" w:hint="default"/>
                <w:sz w:val="18"/>
                <w:szCs w:val="18"/>
              </w:rPr>
            </w:pPr>
            <w:r>
              <w:rPr>
                <w:rFonts w:ascii="Times New Roman"/>
                <w:sz w:val="18"/>
              </w:rPr>
              <w:t>44.15</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Times New Roman"/>
                <w:sz w:val="18"/>
              </w:rPr>
              <w:t>35,27</w:t>
            </w:r>
          </w:p>
          <w:p>
            <w:pPr>
              <w:pStyle w:val="TableParagraph"/>
              <w:spacing w:line="240" w:lineRule="auto" w:before="105"/>
              <w:ind w:left="123" w:right="0"/>
              <w:jc w:val="left"/>
              <w:rPr>
                <w:rFonts w:ascii="Times New Roman" w:hAnsi="Times New Roman" w:cs="Times New Roman" w:eastAsia="Times New Roman" w:hint="default"/>
                <w:sz w:val="18"/>
                <w:szCs w:val="18"/>
              </w:rPr>
            </w:pPr>
            <w:r>
              <w:rPr>
                <w:rFonts w:ascii="Times New Roman"/>
                <w:sz w:val="18"/>
              </w:rPr>
              <w:t>7,742.</w:t>
            </w:r>
          </w:p>
          <w:p>
            <w:pPr>
              <w:pStyle w:val="TableParagraph"/>
              <w:spacing w:line="240" w:lineRule="auto" w:before="105"/>
              <w:ind w:left="392" w:right="0"/>
              <w:jc w:val="left"/>
              <w:rPr>
                <w:rFonts w:ascii="Times New Roman" w:hAnsi="Times New Roman" w:cs="Times New Roman" w:eastAsia="Times New Roman" w:hint="default"/>
                <w:sz w:val="18"/>
                <w:szCs w:val="18"/>
              </w:rPr>
            </w:pPr>
            <w:r>
              <w:rPr>
                <w:rFonts w:ascii="Times New Roman"/>
                <w:sz w:val="18"/>
              </w:rPr>
              <w:t>50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-6,129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,536.4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w:t>
            </w: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72,19</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3,645</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.96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366,38</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9,877.4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2,736,38</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7,568.55</w:t>
            </w:r>
          </w:p>
        </w:tc>
      </w:tr>
    </w:tbl>
    <w:p>
      <w:pPr>
        <w:spacing w:after="0" w:line="240" w:lineRule="auto"/>
        <w:jc w:val="left"/>
        <w:rPr>
          <w:rFonts w:ascii="Times New Roman" w:hAnsi="Times New Roman" w:cs="Times New Roman" w:eastAsia="Times New Roman" w:hint="default"/>
          <w:sz w:val="18"/>
          <w:szCs w:val="18"/>
        </w:rPr>
        <w:sectPr>
          <w:pgSz w:w="11910" w:h="16840"/>
          <w:pgMar w:header="919" w:footer="1016" w:top="1120" w:bottom="1200" w:left="1020" w:right="0"/>
        </w:sectPr>
      </w:pPr>
    </w:p>
    <w:p>
      <w:pPr>
        <w:spacing w:line="240" w:lineRule="auto" w:before="2"/>
        <w:rPr>
          <w:rFonts w:ascii="Times New Roman" w:hAnsi="Times New Roman" w:cs="Times New Roman" w:eastAsia="Times New Roman" w:hint="default"/>
          <w:sz w:val="21"/>
          <w:szCs w:val="21"/>
        </w:rPr>
      </w:pPr>
    </w:p>
    <w:p>
      <w:pPr>
        <w:pStyle w:val="Heading2"/>
        <w:spacing w:line="240" w:lineRule="auto" w:before="26"/>
        <w:ind w:right="0"/>
        <w:jc w:val="both"/>
        <w:rPr>
          <w:b w:val="0"/>
          <w:bCs w:val="0"/>
        </w:rPr>
      </w:pPr>
      <w:bookmarkStart w:name="三、公司基本情况" w:id="167"/>
      <w:bookmarkEnd w:id="167"/>
      <w:r>
        <w:rPr>
          <w:b w:val="0"/>
          <w:bCs w:val="0"/>
        </w:rPr>
      </w:r>
      <w:r>
        <w:rPr/>
        <w:t>三、公司基本情况</w:t>
      </w:r>
      <w:r>
        <w:rPr>
          <w:b w:val="0"/>
          <w:bCs w:val="0"/>
        </w:rPr>
      </w:r>
    </w:p>
    <w:p>
      <w:pPr>
        <w:pStyle w:val="BodyText"/>
        <w:spacing w:line="470" w:lineRule="atLeast" w:before="112"/>
        <w:ind w:left="472" w:right="915"/>
        <w:jc w:val="left"/>
      </w:pPr>
      <w:r>
        <w:rPr/>
        <w:t>1. 公司的历史沿革 </w:t>
      </w:r>
      <w:r>
        <w:rPr>
          <w:spacing w:val="-2"/>
        </w:rPr>
        <w:t>深圳市赢时胜信息技术股份有限公司（以下简称“公司”或“本公司”）经深圳市工商行政管理局批准，于2001年9月3</w:t>
      </w:r>
    </w:p>
    <w:p>
      <w:pPr>
        <w:pStyle w:val="BodyText"/>
        <w:spacing w:line="316" w:lineRule="auto" w:before="76"/>
        <w:ind w:right="1129"/>
        <w:jc w:val="both"/>
      </w:pPr>
      <w:r>
        <w:rPr>
          <w:spacing w:val="-3"/>
        </w:rPr>
        <w:t>日成立，原名“深圳市赢时胜电子技术有限公司”，企业法人营业执照注册号：4403012073335，法定代表人唐球，最初登记</w:t>
      </w:r>
      <w:r>
        <w:rPr>
          <w:spacing w:val="-85"/>
        </w:rPr>
        <w:t> </w:t>
      </w:r>
      <w:r>
        <w:rPr>
          <w:spacing w:val="-85"/>
        </w:rPr>
      </w:r>
      <w:r>
        <w:rPr>
          <w:spacing w:val="-2"/>
        </w:rPr>
        <w:t>住所为：深圳市福田区福中路紫玉大厦1幢25J室，初始投资额为注册资本500,000.00元，业经深圳远东会计师事务所深远东</w:t>
      </w:r>
      <w:r>
        <w:rPr>
          <w:spacing w:val="-56"/>
        </w:rPr>
        <w:t> </w:t>
      </w:r>
      <w:r>
        <w:rPr>
          <w:spacing w:val="-56"/>
        </w:rPr>
      </w:r>
      <w:r>
        <w:rPr>
          <w:spacing w:val="-2"/>
        </w:rPr>
        <w:t>验字[2001]第495号验资报告验证。出资人及持股比例为：唐球出资230,000.00元，持股比例为46%；鄢建兵出资135,000.00</w:t>
      </w:r>
      <w:r>
        <w:rPr>
          <w:spacing w:val="-46"/>
        </w:rPr>
        <w:t> </w:t>
      </w:r>
      <w:r>
        <w:rPr>
          <w:spacing w:val="-46"/>
        </w:rPr>
      </w:r>
      <w:r>
        <w:rPr/>
        <w:t>元，持股比例为27%；张列出资135,000.00元，持股比例为27%。</w:t>
      </w:r>
    </w:p>
    <w:p>
      <w:pPr>
        <w:spacing w:line="240" w:lineRule="auto" w:before="5"/>
        <w:rPr>
          <w:rFonts w:ascii="宋体" w:hAnsi="宋体" w:cs="宋体" w:eastAsia="宋体" w:hint="default"/>
          <w:sz w:val="13"/>
          <w:szCs w:val="13"/>
        </w:rPr>
      </w:pPr>
    </w:p>
    <w:p>
      <w:pPr>
        <w:pStyle w:val="BodyText"/>
        <w:spacing w:line="316" w:lineRule="auto"/>
        <w:ind w:right="1131" w:firstLine="360"/>
        <w:jc w:val="both"/>
      </w:pPr>
      <w:r>
        <w:rPr>
          <w:spacing w:val="-2"/>
        </w:rPr>
        <w:t>2003年5月28日，根据公司2003年5月12日股东会决议，变更公司住所为深圳市福田区深南中路3037号南光捷佳大厦1716</w:t>
      </w:r>
      <w:r>
        <w:rPr/>
        <w:t> 室。</w:t>
      </w:r>
    </w:p>
    <w:p>
      <w:pPr>
        <w:spacing w:line="240" w:lineRule="auto" w:before="5"/>
        <w:rPr>
          <w:rFonts w:ascii="宋体" w:hAnsi="宋体" w:cs="宋体" w:eastAsia="宋体" w:hint="default"/>
          <w:sz w:val="13"/>
          <w:szCs w:val="13"/>
        </w:rPr>
      </w:pPr>
    </w:p>
    <w:p>
      <w:pPr>
        <w:pStyle w:val="BodyText"/>
        <w:spacing w:line="316" w:lineRule="auto"/>
        <w:ind w:right="1129" w:firstLine="360"/>
        <w:jc w:val="both"/>
      </w:pPr>
      <w:r>
        <w:rPr/>
        <w:t>2004年8月9日，根据公司2004年7月16日股东会决议，以现金方式增加注册资本人民币4,500,000.00元，由股东唐球、 </w:t>
      </w:r>
      <w:r>
        <w:rPr>
          <w:spacing w:val="-2"/>
        </w:rPr>
        <w:t>张列及鄢建兵分别认缴出资1,770,000.00元、1,365,000.00元、1,365,000.00元，变更后的注册资本为人民币5,000,000.00</w:t>
      </w:r>
      <w:r>
        <w:rPr>
          <w:spacing w:val="-37"/>
        </w:rPr>
        <w:t> </w:t>
      </w:r>
      <w:r>
        <w:rPr>
          <w:spacing w:val="-37"/>
        </w:rPr>
      </w:r>
      <w:r>
        <w:rPr/>
        <w:t>元，业经深圳国安会计师事务所有限公司深国安验字[2004]第596号验资报告验证。增资后的出资人及持股比例为：唐球出</w:t>
      </w:r>
      <w:r>
        <w:rPr>
          <w:spacing w:val="-85"/>
        </w:rPr>
        <w:t> </w:t>
      </w:r>
      <w:r>
        <w:rPr>
          <w:spacing w:val="-85"/>
        </w:rPr>
      </w:r>
      <w:r>
        <w:rPr>
          <w:spacing w:val="-2"/>
        </w:rPr>
        <w:t>资2,000,000.00元，持股比例为40%；鄢建兵出资1,500,000.00元，持股比例为30%；张列出资1,500,000.00元，持股比例为</w:t>
      </w:r>
      <w:r>
        <w:rPr>
          <w:spacing w:val="-43"/>
        </w:rPr>
        <w:t> </w:t>
      </w:r>
      <w:r>
        <w:rPr>
          <w:spacing w:val="-43"/>
        </w:rPr>
      </w:r>
      <w:r>
        <w:rPr/>
        <w:t>30%。同时变更公司名称为：深圳市赢时胜信息技术有限公司。</w:t>
      </w:r>
    </w:p>
    <w:p>
      <w:pPr>
        <w:spacing w:line="240" w:lineRule="auto" w:before="5"/>
        <w:rPr>
          <w:rFonts w:ascii="宋体" w:hAnsi="宋体" w:cs="宋体" w:eastAsia="宋体" w:hint="default"/>
          <w:sz w:val="13"/>
          <w:szCs w:val="13"/>
        </w:rPr>
      </w:pPr>
    </w:p>
    <w:p>
      <w:pPr>
        <w:pStyle w:val="BodyText"/>
        <w:spacing w:line="240" w:lineRule="auto"/>
        <w:ind w:left="472" w:right="915"/>
        <w:jc w:val="left"/>
      </w:pPr>
      <w:r>
        <w:rPr/>
        <w:t>2005年8月10日，根据公司2005年8月9日股东会决议，变更公司住所为深圳市福田区深南大道4019号航天大厦611室。</w:t>
      </w:r>
    </w:p>
    <w:p>
      <w:pPr>
        <w:spacing w:line="240" w:lineRule="auto" w:before="10"/>
        <w:rPr>
          <w:rFonts w:ascii="宋体" w:hAnsi="宋体" w:cs="宋体" w:eastAsia="宋体" w:hint="default"/>
          <w:sz w:val="17"/>
          <w:szCs w:val="17"/>
        </w:rPr>
      </w:pPr>
    </w:p>
    <w:p>
      <w:pPr>
        <w:pStyle w:val="BodyText"/>
        <w:spacing w:line="316" w:lineRule="auto"/>
        <w:ind w:right="1034" w:firstLine="360"/>
        <w:jc w:val="left"/>
      </w:pPr>
      <w:r>
        <w:rPr>
          <w:spacing w:val="-2"/>
        </w:rPr>
        <w:t>2006年7月20日，根据2006年7月16日股东会决议，公司股东进行股权转让，新增股东鄢建红、周云杉、庞军三人，股权</w:t>
      </w:r>
      <w:r>
        <w:rPr/>
        <w:t> </w:t>
      </w:r>
      <w:r>
        <w:rPr>
          <w:spacing w:val="-2"/>
        </w:rPr>
        <w:t>变更后公司股东出资情况分别为：唐球出资1,800,000.00元，持股比例36%；鄢建兵出资1,100,000.00元，持股比例22%；张</w:t>
      </w:r>
      <w:r>
        <w:rPr>
          <w:spacing w:val="-49"/>
        </w:rPr>
        <w:t> </w:t>
      </w:r>
      <w:r>
        <w:rPr>
          <w:spacing w:val="-49"/>
        </w:rPr>
      </w:r>
      <w:r>
        <w:rPr/>
        <w:t>列出资1,100,000.00元，持股比例22%；鄢建红出资500,000.00元，持股比例10%；周云杉出资300,000.00元，持股比例6%；</w:t>
      </w:r>
      <w:r>
        <w:rPr/>
        <w:t> </w:t>
      </w:r>
      <w:r>
        <w:rPr>
          <w:spacing w:val="-2"/>
        </w:rPr>
        <w:t>庞军出资200,000.00元，持股比例4%。此次股权转让业经广东省深圳市公证处公证，公证书编号：[2006]深证字第86134号。</w:t>
      </w:r>
      <w:r>
        <w:rPr>
          <w:spacing w:val="-51"/>
        </w:rPr>
        <w:t> </w:t>
      </w:r>
      <w:r>
        <w:rPr>
          <w:spacing w:val="-51"/>
        </w:rPr>
      </w:r>
      <w:r>
        <w:rPr/>
        <w:t>深圳市工商行政管理局予以变更登记并核发新的企业法人营业执照，法定代表人唐球。</w:t>
      </w:r>
    </w:p>
    <w:p>
      <w:pPr>
        <w:spacing w:line="240" w:lineRule="auto" w:before="5"/>
        <w:rPr>
          <w:rFonts w:ascii="宋体" w:hAnsi="宋体" w:cs="宋体" w:eastAsia="宋体" w:hint="default"/>
          <w:sz w:val="13"/>
          <w:szCs w:val="13"/>
        </w:rPr>
      </w:pPr>
    </w:p>
    <w:p>
      <w:pPr>
        <w:pStyle w:val="BodyText"/>
        <w:spacing w:line="316" w:lineRule="auto"/>
        <w:ind w:right="1130" w:firstLine="360"/>
        <w:jc w:val="both"/>
      </w:pPr>
      <w:r>
        <w:rPr>
          <w:spacing w:val="-2"/>
        </w:rPr>
        <w:t>2009年4月13日，根据2009年3月23日股东会决议，变更公司住所为：深圳市福田区深南中路与广深高速公路交界东南金</w:t>
      </w:r>
      <w:r>
        <w:rPr/>
        <w:t> 运世纪大厦13层13F，企业法人营业执照注册号升级为：440301103944755。</w:t>
      </w:r>
    </w:p>
    <w:p>
      <w:pPr>
        <w:spacing w:line="240" w:lineRule="auto" w:before="5"/>
        <w:rPr>
          <w:rFonts w:ascii="宋体" w:hAnsi="宋体" w:cs="宋体" w:eastAsia="宋体" w:hint="default"/>
          <w:sz w:val="13"/>
          <w:szCs w:val="13"/>
        </w:rPr>
      </w:pPr>
    </w:p>
    <w:p>
      <w:pPr>
        <w:pStyle w:val="BodyText"/>
        <w:spacing w:line="316" w:lineRule="auto"/>
        <w:ind w:right="1130" w:firstLine="360"/>
        <w:jc w:val="both"/>
      </w:pPr>
      <w:r>
        <w:rPr>
          <w:spacing w:val="-2"/>
        </w:rPr>
        <w:t>根据2009年11月30日及12月7日的股东会决议，股东张列将其持有的4.1809%股权转让给周云杉、庞军、管文源等19名自</w:t>
      </w:r>
      <w:r>
        <w:rPr/>
        <w:t> 然人，股东鄢建兵将其持有的4.1809%股权转让给唐球、鄢建红、何丹等24名自然人。此次股权转让业经广东省深圳市公证</w:t>
      </w:r>
      <w:r>
        <w:rPr>
          <w:spacing w:val="-87"/>
        </w:rPr>
        <w:t> </w:t>
      </w:r>
      <w:r>
        <w:rPr>
          <w:spacing w:val="-87"/>
        </w:rPr>
      </w:r>
      <w:r>
        <w:rPr/>
        <w:t>处（2009）深证字第195779至195821号(共43份)公证书公证。股权转让后，公司的股东共44名。</w:t>
      </w:r>
    </w:p>
    <w:p>
      <w:pPr>
        <w:spacing w:line="240" w:lineRule="auto" w:before="5"/>
        <w:rPr>
          <w:rFonts w:ascii="宋体" w:hAnsi="宋体" w:cs="宋体" w:eastAsia="宋体" w:hint="default"/>
          <w:sz w:val="13"/>
          <w:szCs w:val="13"/>
        </w:rPr>
      </w:pPr>
    </w:p>
    <w:p>
      <w:pPr>
        <w:pStyle w:val="BodyText"/>
        <w:spacing w:line="316" w:lineRule="auto"/>
        <w:ind w:right="1132" w:firstLine="360"/>
        <w:jc w:val="both"/>
      </w:pPr>
      <w:r>
        <w:rPr>
          <w:spacing w:val="-2"/>
        </w:rPr>
        <w:t>根据2009年12月10日的股东会决议，公司注册资本由5,000,000.00元增加至5,319,149.00元。无锡华软投资管理有限公</w:t>
      </w:r>
      <w:r>
        <w:rPr/>
        <w:t> 司为新增股东，新增股东以现金实际出资15,000,000.00元，认购公司注册资本319,149.00元，占注册资本的6%。变更后的 注册资本为人民币5,319,149.00元，业经天职国际会计师事务所有限公司天职深核字[2009]377号验资报告验证。</w:t>
      </w:r>
    </w:p>
    <w:p>
      <w:pPr>
        <w:spacing w:line="240" w:lineRule="auto" w:before="5"/>
        <w:rPr>
          <w:rFonts w:ascii="宋体" w:hAnsi="宋体" w:cs="宋体" w:eastAsia="宋体" w:hint="default"/>
          <w:sz w:val="13"/>
          <w:szCs w:val="13"/>
        </w:rPr>
      </w:pPr>
    </w:p>
    <w:p>
      <w:pPr>
        <w:pStyle w:val="BodyText"/>
        <w:spacing w:line="316" w:lineRule="auto"/>
        <w:ind w:right="1039" w:firstLine="360"/>
        <w:jc w:val="left"/>
      </w:pPr>
      <w:r>
        <w:rPr>
          <w:spacing w:val="-2"/>
        </w:rPr>
        <w:t>根据2010年3月19日的股东会决议：1、公司名称由“深圳市赢时胜信息技术有限公司”整体变更为“深圳市赢时胜信息</w:t>
      </w:r>
      <w:r>
        <w:rPr/>
        <w:t> </w:t>
      </w:r>
      <w:r>
        <w:rPr>
          <w:spacing w:val="-2"/>
        </w:rPr>
        <w:t>技术股份有限公司”；2、根据天职国际会计师事务所有限公司于2010年3月15日出具的天职深审字[2010]84-1号审计报告，</w:t>
      </w:r>
      <w:r>
        <w:rPr>
          <w:spacing w:val="-57"/>
        </w:rPr>
        <w:t> </w:t>
      </w:r>
      <w:r>
        <w:rPr>
          <w:spacing w:val="-57"/>
        </w:rPr>
      </w:r>
      <w:r>
        <w:rPr>
          <w:spacing w:val="-3"/>
        </w:rPr>
        <w:t>公司以截至2009年12月31日的净资产55,407,464.99元为基准，按1：0.5956的比例折为33,000,000股，作为公司发起人股份，</w:t>
      </w:r>
      <w:r>
        <w:rPr>
          <w:spacing w:val="-56"/>
        </w:rPr>
        <w:t> </w:t>
      </w:r>
      <w:r>
        <w:rPr>
          <w:spacing w:val="-56"/>
        </w:rPr>
      </w:r>
      <w:r>
        <w:rPr/>
        <w:t>其余22,407,464.99元净资产作为公司的资本公积；3、本次变更后公司注册资本为人民币33,000,000.00元，业经天职国际</w:t>
      </w:r>
      <w:r>
        <w:rPr/>
        <w:t> 会计师事务所有限公司天职深核字[2010]266号验资报告验证。</w:t>
      </w:r>
    </w:p>
    <w:p>
      <w:pPr>
        <w:spacing w:line="240" w:lineRule="auto" w:before="5"/>
        <w:rPr>
          <w:rFonts w:ascii="宋体" w:hAnsi="宋体" w:cs="宋体" w:eastAsia="宋体" w:hint="default"/>
          <w:sz w:val="13"/>
          <w:szCs w:val="13"/>
        </w:rPr>
      </w:pPr>
    </w:p>
    <w:p>
      <w:pPr>
        <w:pStyle w:val="BodyText"/>
        <w:spacing w:line="316" w:lineRule="auto"/>
        <w:ind w:right="1129" w:firstLine="360"/>
        <w:jc w:val="both"/>
      </w:pPr>
      <w:r>
        <w:rPr/>
        <w:t>根据公司2010年5月4日第一届董事会第二次会议决议，2010年5月25日第一次临时股东大会决议和修改后的公司章程的 </w:t>
      </w:r>
      <w:r>
        <w:rPr>
          <w:spacing w:val="-2"/>
        </w:rPr>
        <w:t>规定，公司注册资本由33,000,000.00元增加至33,100,000.00元，王安锋为新增股东，新增股东以现金实际出资180,000.00</w:t>
      </w:r>
      <w:r>
        <w:rPr>
          <w:spacing w:val="-43"/>
        </w:rPr>
        <w:t> </w:t>
      </w:r>
      <w:r>
        <w:rPr>
          <w:spacing w:val="-43"/>
        </w:rPr>
      </w:r>
      <w:r>
        <w:rPr/>
        <w:t>元，认购公司注册资本100,000.00元，占注册资本的0.30%，其余80,000.00元作为公司的资本公积。变更后的注册资本为</w:t>
      </w:r>
      <w:r>
        <w:rPr>
          <w:spacing w:val="-19"/>
        </w:rPr>
        <w:t> </w:t>
      </w:r>
      <w:r>
        <w:rPr>
          <w:spacing w:val="-19"/>
        </w:rPr>
      </w:r>
      <w:r>
        <w:rPr/>
        <w:t>33,100,000.00元，业经天职国际会计师事务所有限公司天职深核字[2010]443号验资报告验证。</w:t>
      </w:r>
    </w:p>
    <w:p>
      <w:pPr>
        <w:spacing w:line="240" w:lineRule="auto" w:before="5"/>
        <w:rPr>
          <w:rFonts w:ascii="宋体" w:hAnsi="宋体" w:cs="宋体" w:eastAsia="宋体" w:hint="default"/>
          <w:sz w:val="13"/>
          <w:szCs w:val="13"/>
        </w:rPr>
      </w:pPr>
    </w:p>
    <w:p>
      <w:pPr>
        <w:pStyle w:val="BodyText"/>
        <w:spacing w:line="240" w:lineRule="auto"/>
        <w:ind w:left="472" w:right="915"/>
        <w:jc w:val="left"/>
      </w:pPr>
      <w:r>
        <w:rPr/>
        <w:t>根据公司2010年第二次临时股东大会决议，公司由资本公积转增注册资本11,900,000.00元，转增基准日期为2010年6</w:t>
      </w:r>
    </w:p>
    <w:p>
      <w:pPr>
        <w:spacing w:after="0" w:line="240" w:lineRule="auto"/>
        <w:jc w:val="left"/>
        <w:sectPr>
          <w:pgSz w:w="11910" w:h="16840"/>
          <w:pgMar w:header="919" w:footer="1016" w:top="1120" w:bottom="1200" w:left="1020" w:right="0"/>
        </w:sectPr>
      </w:pPr>
    </w:p>
    <w:p>
      <w:pPr>
        <w:spacing w:line="240" w:lineRule="auto" w:before="12"/>
        <w:rPr>
          <w:rFonts w:ascii="宋体" w:hAnsi="宋体" w:cs="宋体" w:eastAsia="宋体" w:hint="default"/>
          <w:sz w:val="20"/>
          <w:szCs w:val="20"/>
        </w:rPr>
      </w:pPr>
    </w:p>
    <w:p>
      <w:pPr>
        <w:pStyle w:val="BodyText"/>
        <w:spacing w:line="316" w:lineRule="auto" w:before="44"/>
        <w:ind w:right="1132"/>
        <w:jc w:val="both"/>
      </w:pPr>
      <w:r>
        <w:rPr>
          <w:spacing w:val="-2"/>
        </w:rPr>
        <w:t>月30日。变更后的注册资本为人民45,000,000.00元，业经天职国际会计师事务所有限公司天职深核字[2010]499号验资报告</w:t>
      </w:r>
      <w:r>
        <w:rPr>
          <w:spacing w:val="-52"/>
        </w:rPr>
        <w:t> </w:t>
      </w:r>
      <w:r>
        <w:rPr>
          <w:spacing w:val="-52"/>
        </w:rPr>
      </w:r>
      <w:r>
        <w:rPr/>
        <w:t>验证。</w:t>
      </w:r>
    </w:p>
    <w:p>
      <w:pPr>
        <w:spacing w:line="240" w:lineRule="auto" w:before="5"/>
        <w:rPr>
          <w:rFonts w:ascii="宋体" w:hAnsi="宋体" w:cs="宋体" w:eastAsia="宋体" w:hint="default"/>
          <w:sz w:val="13"/>
          <w:szCs w:val="13"/>
        </w:rPr>
      </w:pPr>
    </w:p>
    <w:p>
      <w:pPr>
        <w:pStyle w:val="BodyText"/>
        <w:spacing w:line="316" w:lineRule="auto"/>
        <w:ind w:right="1132" w:firstLine="360"/>
        <w:jc w:val="both"/>
      </w:pPr>
      <w:r>
        <w:rPr/>
        <w:t>公司股东无锡华软投资管理有限公司于</w:t>
      </w:r>
      <w:r>
        <w:rPr>
          <w:spacing w:val="1"/>
        </w:rPr>
        <w:t>2</w:t>
      </w:r>
      <w:r>
        <w:rPr>
          <w:spacing w:val="-2"/>
        </w:rPr>
        <w:t>0</w:t>
      </w:r>
      <w:r>
        <w:rPr>
          <w:spacing w:val="1"/>
        </w:rPr>
        <w:t>1</w:t>
      </w:r>
      <w:r>
        <w:rPr>
          <w:spacing w:val="-2"/>
        </w:rPr>
        <w:t>1</w:t>
      </w:r>
      <w:r>
        <w:rPr/>
        <w:t>年</w:t>
      </w:r>
      <w:r>
        <w:rPr>
          <w:spacing w:val="1"/>
        </w:rPr>
        <w:t>3</w:t>
      </w:r>
      <w:r>
        <w:rPr/>
        <w:t>月</w:t>
      </w:r>
      <w:r>
        <w:rPr>
          <w:spacing w:val="1"/>
        </w:rPr>
        <w:t>3</w:t>
      </w:r>
      <w:r>
        <w:rPr>
          <w:spacing w:val="-2"/>
        </w:rPr>
        <w:t>1</w:t>
      </w:r>
      <w:r>
        <w:rPr/>
        <w:t>日将其持有的</w:t>
      </w:r>
      <w:r>
        <w:rPr>
          <w:spacing w:val="1"/>
        </w:rPr>
        <w:t>5</w:t>
      </w:r>
      <w:r>
        <w:rPr>
          <w:spacing w:val="-2"/>
        </w:rPr>
        <w:t>.</w:t>
      </w:r>
      <w:r>
        <w:rPr>
          <w:spacing w:val="1"/>
        </w:rPr>
        <w:t>9</w:t>
      </w:r>
      <w:r>
        <w:rPr>
          <w:spacing w:val="-2"/>
        </w:rPr>
        <w:t>8</w:t>
      </w:r>
      <w:r>
        <w:rPr>
          <w:spacing w:val="1"/>
        </w:rPr>
        <w:t>1</w:t>
      </w:r>
      <w:r>
        <w:rPr>
          <w:spacing w:val="-2"/>
        </w:rPr>
        <w:t>9%</w:t>
      </w:r>
      <w:r>
        <w:rPr/>
        <w:t>股权转让给华软创业投资无锡合伙企</w:t>
      </w:r>
      <w:r>
        <w:rPr>
          <w:spacing w:val="-82"/>
        </w:rPr>
        <w:t>业</w:t>
      </w:r>
      <w:r>
        <w:rPr/>
        <w:t>（有限</w:t>
      </w:r>
      <w:r>
        <w:rPr/>
        <w:t> 合伙</w:t>
      </w:r>
      <w:r>
        <w:rPr>
          <w:spacing w:val="-89"/>
        </w:rPr>
        <w:t>）</w:t>
      </w:r>
      <w:r>
        <w:rPr/>
        <w:t>，公司于</w:t>
      </w:r>
      <w:r>
        <w:rPr>
          <w:spacing w:val="1"/>
        </w:rPr>
        <w:t>2</w:t>
      </w:r>
      <w:r>
        <w:rPr>
          <w:spacing w:val="-2"/>
        </w:rPr>
        <w:t>0</w:t>
      </w:r>
      <w:r>
        <w:rPr>
          <w:spacing w:val="1"/>
        </w:rPr>
        <w:t>1</w:t>
      </w:r>
      <w:r>
        <w:rPr>
          <w:spacing w:val="-2"/>
        </w:rPr>
        <w:t>1</w:t>
      </w:r>
      <w:r>
        <w:rPr/>
        <w:t>年</w:t>
      </w:r>
      <w:r>
        <w:rPr>
          <w:spacing w:val="-2"/>
        </w:rPr>
        <w:t>4</w:t>
      </w:r>
      <w:r>
        <w:rPr/>
        <w:t>月</w:t>
      </w:r>
      <w:r>
        <w:rPr>
          <w:spacing w:val="1"/>
        </w:rPr>
        <w:t>1</w:t>
      </w:r>
      <w:r>
        <w:rPr/>
        <w:t>日办理工商变更登记。</w:t>
      </w:r>
    </w:p>
    <w:p>
      <w:pPr>
        <w:spacing w:line="240" w:lineRule="auto" w:before="5"/>
        <w:rPr>
          <w:rFonts w:ascii="宋体" w:hAnsi="宋体" w:cs="宋体" w:eastAsia="宋体" w:hint="default"/>
          <w:sz w:val="13"/>
          <w:szCs w:val="13"/>
        </w:rPr>
      </w:pPr>
    </w:p>
    <w:p>
      <w:pPr>
        <w:pStyle w:val="BodyText"/>
        <w:spacing w:line="316" w:lineRule="auto"/>
        <w:ind w:right="1130" w:firstLine="360"/>
        <w:jc w:val="both"/>
      </w:pPr>
      <w:r>
        <w:rPr>
          <w:spacing w:val="-2"/>
        </w:rPr>
        <w:t>2013年1月17日，根据2013年1月13日股东大会决议，变更公司住所为：深圳市福田区深南路与新洲路交汇处东南侧航天</w:t>
      </w:r>
      <w:r>
        <w:rPr/>
        <w:t> 大厦A座611A。</w:t>
      </w:r>
    </w:p>
    <w:p>
      <w:pPr>
        <w:spacing w:line="240" w:lineRule="auto" w:before="5"/>
        <w:rPr>
          <w:rFonts w:ascii="宋体" w:hAnsi="宋体" w:cs="宋体" w:eastAsia="宋体" w:hint="default"/>
          <w:sz w:val="13"/>
          <w:szCs w:val="13"/>
        </w:rPr>
      </w:pPr>
    </w:p>
    <w:p>
      <w:pPr>
        <w:pStyle w:val="BodyText"/>
        <w:spacing w:line="316" w:lineRule="auto"/>
        <w:ind w:right="1130" w:firstLine="360"/>
        <w:jc w:val="both"/>
      </w:pPr>
      <w:r>
        <w:rPr/>
        <w:t>2014年1月3日，经中国证券监督管理委员会证监许可[2014]28号文的核准，公司首次公开发行1,385万股人民币普通股 股票，本次发行采用公开发行新股及公司股东公开发售股份两种方式，其中，公开发行新股1,035万股，鄢建兵在内的10位</w:t>
      </w:r>
      <w:r>
        <w:rPr>
          <w:spacing w:val="-87"/>
        </w:rPr>
        <w:t> </w:t>
      </w:r>
      <w:r>
        <w:rPr>
          <w:spacing w:val="-87"/>
        </w:rPr>
      </w:r>
      <w:r>
        <w:rPr/>
        <w:t>公司股东公开发售股份350万股。发行后公司总股本为5,535万股，每股面值1元，注册资本变更为5,535.00万元，本次增资</w:t>
      </w:r>
      <w:r>
        <w:rPr/>
        <w:t> </w:t>
      </w:r>
      <w:r>
        <w:rPr>
          <w:spacing w:val="-2"/>
        </w:rPr>
        <w:t>业经天职国际会计师事务所（特殊普通合伙）天职业字[2014]1637号验资报告验证。公司于2014年3月6日办理了工商变更登</w:t>
      </w:r>
      <w:r>
        <w:rPr>
          <w:spacing w:val="-55"/>
        </w:rPr>
        <w:t> </w:t>
      </w:r>
      <w:r>
        <w:rPr>
          <w:spacing w:val="-55"/>
        </w:rPr>
      </w:r>
      <w:r>
        <w:rPr/>
        <w:t>记。</w:t>
      </w:r>
    </w:p>
    <w:p>
      <w:pPr>
        <w:pStyle w:val="BodyText"/>
        <w:spacing w:line="468" w:lineRule="exact" w:before="10"/>
        <w:ind w:left="472" w:right="1034"/>
        <w:jc w:val="left"/>
      </w:pPr>
      <w:r>
        <w:rPr/>
        <w:t>本次公开发行的1,385万股于2014年1月27日起在深圳证券交易所创业板上市交易。 根据公司2014年8月24日第二届董事会第八次会议决议，2014年9月23日第一次临时股东大会决议和修改后的公司章程：</w:t>
      </w:r>
    </w:p>
    <w:p>
      <w:pPr>
        <w:pStyle w:val="BodyText"/>
        <w:spacing w:line="316" w:lineRule="auto" w:before="8"/>
        <w:ind w:right="1129"/>
        <w:jc w:val="both"/>
      </w:pPr>
      <w:r>
        <w:rPr>
          <w:spacing w:val="-3"/>
        </w:rPr>
        <w:t>公司以截至2014年6月30日公司股份总数55,350,000股为基数，以资本公积向全体股东每10股转增10股，合计转增55,350,000</w:t>
      </w:r>
      <w:r>
        <w:rPr>
          <w:spacing w:val="-66"/>
        </w:rPr>
        <w:t> </w:t>
      </w:r>
      <w:r>
        <w:rPr>
          <w:spacing w:val="-66"/>
        </w:rPr>
      </w:r>
      <w:r>
        <w:rPr>
          <w:spacing w:val="-5"/>
        </w:rPr>
        <w:t>股。转增后，公司总股本变更为110,700,000股。本次增资业经天职国际会计师事务所（特殊普通合伙）天职业字[2014]12134</w:t>
      </w:r>
      <w:r>
        <w:rPr>
          <w:spacing w:val="-30"/>
        </w:rPr>
        <w:t> </w:t>
      </w:r>
      <w:r>
        <w:rPr>
          <w:spacing w:val="-30"/>
        </w:rPr>
      </w:r>
      <w:r>
        <w:rPr/>
        <w:t>号验资报告验证。</w:t>
      </w:r>
    </w:p>
    <w:p>
      <w:pPr>
        <w:spacing w:line="240" w:lineRule="auto" w:before="5"/>
        <w:rPr>
          <w:rFonts w:ascii="宋体" w:hAnsi="宋体" w:cs="宋体" w:eastAsia="宋体" w:hint="default"/>
          <w:sz w:val="13"/>
          <w:szCs w:val="13"/>
        </w:rPr>
      </w:pPr>
    </w:p>
    <w:p>
      <w:pPr>
        <w:pStyle w:val="BodyText"/>
        <w:spacing w:line="316" w:lineRule="auto"/>
        <w:ind w:right="1130" w:firstLine="360"/>
        <w:jc w:val="both"/>
      </w:pPr>
      <w:r>
        <w:rPr/>
        <w:t>根据公司第二届董事会第十二次会议及2015年第二次临时股东大会审议通过的非公开发行A股股票议案，并经2016年2 月23日中国证券监督管理委员会《关于核准深圳市赢时胜信息技术股份有限公司非公开发行股票的批复》核准（证监许可</w:t>
      </w:r>
      <w:r>
        <w:rPr>
          <w:spacing w:val="-9"/>
        </w:rPr>
        <w:t> </w:t>
      </w:r>
      <w:r>
        <w:rPr>
          <w:spacing w:val="-9"/>
        </w:rPr>
      </w:r>
      <w:r>
        <w:rPr>
          <w:spacing w:val="-3"/>
        </w:rPr>
        <w:t>[2016]319号），公司于2016年3月18日非公开发行A股股票36,666,666股，每股面值人民币1.00元，每股实际发行价格为人民</w:t>
      </w:r>
      <w:r>
        <w:rPr>
          <w:spacing w:val="-67"/>
        </w:rPr>
        <w:t> </w:t>
      </w:r>
      <w:r>
        <w:rPr>
          <w:spacing w:val="-67"/>
        </w:rPr>
      </w:r>
      <w:r>
        <w:rPr/>
        <w:t>币56.88元，募集资金总额为人民币2,085,599,962.08元，扣除各项发行费用合计人民币57,924,607.09</w:t>
      </w:r>
      <w:r>
        <w:rPr>
          <w:spacing w:val="-7"/>
        </w:rPr>
        <w:t> </w:t>
      </w:r>
      <w:r>
        <w:rPr/>
        <w:t>元后，募集资金净</w:t>
      </w:r>
      <w:r>
        <w:rPr/>
        <w:t> 额</w:t>
      </w:r>
      <w:r>
        <w:rPr>
          <w:spacing w:val="-67"/>
        </w:rPr>
        <w:t> </w:t>
      </w:r>
      <w:r>
        <w:rPr/>
        <w:t>为</w:t>
      </w:r>
      <w:r>
        <w:rPr>
          <w:spacing w:val="-65"/>
        </w:rPr>
        <w:t> </w:t>
      </w:r>
      <w:r>
        <w:rPr/>
        <w:t>人</w:t>
      </w:r>
      <w:r>
        <w:rPr>
          <w:spacing w:val="-67"/>
        </w:rPr>
        <w:t> </w:t>
      </w:r>
      <w:r>
        <w:rPr/>
        <w:t>民</w:t>
      </w:r>
      <w:r>
        <w:rPr>
          <w:spacing w:val="-65"/>
        </w:rPr>
        <w:t> </w:t>
      </w:r>
      <w:r>
        <w:rPr/>
        <w:t>币</w:t>
      </w:r>
      <w:r>
        <w:rPr>
          <w:spacing w:val="-65"/>
        </w:rPr>
        <w:t> </w:t>
      </w:r>
      <w:r>
        <w:rPr/>
        <w:t>2,027,675,354.99</w:t>
      </w:r>
      <w:r>
        <w:rPr>
          <w:spacing w:val="-69"/>
        </w:rPr>
        <w:t> </w:t>
      </w:r>
      <w:r>
        <w:rPr/>
        <w:t>元</w:t>
      </w:r>
      <w:r>
        <w:rPr>
          <w:spacing w:val="-67"/>
        </w:rPr>
        <w:t> </w:t>
      </w:r>
      <w:r>
        <w:rPr/>
        <w:t>，</w:t>
      </w:r>
      <w:r>
        <w:rPr>
          <w:spacing w:val="-65"/>
        </w:rPr>
        <w:t> </w:t>
      </w:r>
      <w:r>
        <w:rPr/>
        <w:t>其</w:t>
      </w:r>
      <w:r>
        <w:rPr>
          <w:spacing w:val="-67"/>
        </w:rPr>
        <w:t> </w:t>
      </w:r>
      <w:r>
        <w:rPr/>
        <w:t>中</w:t>
      </w:r>
      <w:r>
        <w:rPr>
          <w:spacing w:val="-65"/>
        </w:rPr>
        <w:t> </w:t>
      </w:r>
      <w:r>
        <w:rPr/>
        <w:t>股</w:t>
      </w:r>
      <w:r>
        <w:rPr>
          <w:spacing w:val="-67"/>
        </w:rPr>
        <w:t> </w:t>
      </w:r>
      <w:r>
        <w:rPr/>
        <w:t>本</w:t>
      </w:r>
      <w:r>
        <w:rPr>
          <w:spacing w:val="-65"/>
        </w:rPr>
        <w:t> </w:t>
      </w:r>
      <w:r>
        <w:rPr/>
        <w:t>36,666,666.00</w:t>
      </w:r>
      <w:r>
        <w:rPr>
          <w:spacing w:val="-66"/>
        </w:rPr>
        <w:t> </w:t>
      </w:r>
      <w:r>
        <w:rPr/>
        <w:t>元</w:t>
      </w:r>
      <w:r>
        <w:rPr>
          <w:spacing w:val="-67"/>
        </w:rPr>
        <w:t> </w:t>
      </w:r>
      <w:r>
        <w:rPr/>
        <w:t>，</w:t>
      </w:r>
      <w:r>
        <w:rPr>
          <w:spacing w:val="-65"/>
        </w:rPr>
        <w:t> </w:t>
      </w:r>
      <w:r>
        <w:rPr/>
        <w:t>资</w:t>
      </w:r>
      <w:r>
        <w:rPr>
          <w:spacing w:val="-67"/>
        </w:rPr>
        <w:t> </w:t>
      </w:r>
      <w:r>
        <w:rPr/>
        <w:t>本</w:t>
      </w:r>
      <w:r>
        <w:rPr>
          <w:spacing w:val="-65"/>
        </w:rPr>
        <w:t> </w:t>
      </w:r>
      <w:r>
        <w:rPr/>
        <w:t>公</w:t>
      </w:r>
      <w:r>
        <w:rPr>
          <w:spacing w:val="-67"/>
        </w:rPr>
        <w:t> </w:t>
      </w:r>
      <w:r>
        <w:rPr/>
        <w:t>积</w:t>
      </w:r>
      <w:r>
        <w:rPr>
          <w:spacing w:val="-67"/>
        </w:rPr>
        <w:t> </w:t>
      </w:r>
      <w:r>
        <w:rPr/>
        <w:t>1,991,008,688.99</w:t>
      </w:r>
      <w:r>
        <w:rPr>
          <w:spacing w:val="-66"/>
        </w:rPr>
        <w:t> </w:t>
      </w:r>
      <w:r>
        <w:rPr/>
        <w:t>元</w:t>
      </w:r>
      <w:r>
        <w:rPr>
          <w:spacing w:val="-67"/>
        </w:rPr>
        <w:t> </w:t>
      </w:r>
      <w:r>
        <w:rPr/>
        <w:t>。</w:t>
      </w:r>
      <w:r>
        <w:rPr>
          <w:spacing w:val="-65"/>
        </w:rPr>
        <w:t> </w:t>
      </w:r>
      <w:r>
        <w:rPr/>
        <w:t>变</w:t>
      </w:r>
      <w:r>
        <w:rPr>
          <w:spacing w:val="-67"/>
        </w:rPr>
        <w:t> </w:t>
      </w:r>
      <w:r>
        <w:rPr/>
        <w:t>更</w:t>
      </w:r>
      <w:r>
        <w:rPr>
          <w:spacing w:val="-65"/>
        </w:rPr>
        <w:t> </w:t>
      </w:r>
      <w:r>
        <w:rPr/>
        <w:t>后</w:t>
      </w:r>
      <w:r>
        <w:rPr>
          <w:spacing w:val="-67"/>
        </w:rPr>
        <w:t> </w:t>
      </w:r>
      <w:r>
        <w:rPr/>
        <w:t>的</w:t>
      </w:r>
      <w:r>
        <w:rPr>
          <w:spacing w:val="-65"/>
        </w:rPr>
        <w:t> </w:t>
      </w:r>
      <w:r>
        <w:rPr/>
        <w:t>注</w:t>
      </w:r>
      <w:r>
        <w:rPr>
          <w:spacing w:val="-67"/>
        </w:rPr>
        <w:t> </w:t>
      </w:r>
      <w:r>
        <w:rPr/>
        <w:t>册</w:t>
      </w:r>
      <w:r>
        <w:rPr>
          <w:spacing w:val="-65"/>
        </w:rPr>
        <w:t> </w:t>
      </w:r>
      <w:r>
        <w:rPr/>
        <w:t>资</w:t>
      </w:r>
      <w:r>
        <w:rPr>
          <w:spacing w:val="-67"/>
        </w:rPr>
        <w:t> </w:t>
      </w:r>
      <w:r>
        <w:rPr/>
        <w:t>本</w:t>
      </w:r>
      <w:r>
        <w:rPr/>
        <w:t> 147,366,666.00元。本次增资业经天职国际会计师事务所（特殊普通合伙）天职业字[2016]8484号验资报告验证。</w:t>
      </w:r>
    </w:p>
    <w:p>
      <w:pPr>
        <w:spacing w:line="240" w:lineRule="auto" w:before="5"/>
        <w:rPr>
          <w:rFonts w:ascii="宋体" w:hAnsi="宋体" w:cs="宋体" w:eastAsia="宋体" w:hint="default"/>
          <w:sz w:val="13"/>
          <w:szCs w:val="13"/>
        </w:rPr>
      </w:pPr>
    </w:p>
    <w:p>
      <w:pPr>
        <w:pStyle w:val="BodyText"/>
        <w:spacing w:line="316" w:lineRule="auto"/>
        <w:ind w:right="1130" w:firstLine="360"/>
        <w:jc w:val="both"/>
      </w:pPr>
      <w:r>
        <w:rPr>
          <w:spacing w:val="-2"/>
        </w:rPr>
        <w:t>根据公司2016年4月22日第二届董事会第八次会议决议，2016年5月18日2015年度股东大会决议和修改后的公司章程规定</w:t>
      </w:r>
      <w:r>
        <w:rPr/>
        <w:t> </w:t>
      </w:r>
      <w:r>
        <w:rPr>
          <w:spacing w:val="-2"/>
        </w:rPr>
        <w:t>公司：公司以股本147,366,666股为基数，以资本公积向全体股东每10股转增10股，合计转增147,366,666股。转增后，公司</w:t>
      </w:r>
      <w:r>
        <w:rPr>
          <w:spacing w:val="-51"/>
        </w:rPr>
        <w:t> </w:t>
      </w:r>
      <w:r>
        <w:rPr>
          <w:spacing w:val="-51"/>
        </w:rPr>
      </w:r>
      <w:r>
        <w:rPr/>
        <w:t>总股本变更为294,733,332股。</w:t>
      </w:r>
    </w:p>
    <w:p>
      <w:pPr>
        <w:spacing w:line="240" w:lineRule="auto" w:before="5"/>
        <w:rPr>
          <w:rFonts w:ascii="宋体" w:hAnsi="宋体" w:cs="宋体" w:eastAsia="宋体" w:hint="default"/>
          <w:sz w:val="13"/>
          <w:szCs w:val="13"/>
        </w:rPr>
      </w:pPr>
    </w:p>
    <w:p>
      <w:pPr>
        <w:pStyle w:val="BodyText"/>
        <w:spacing w:line="316" w:lineRule="auto"/>
        <w:ind w:right="915" w:firstLine="360"/>
        <w:jc w:val="left"/>
      </w:pPr>
      <w:r>
        <w:rPr/>
        <w:t>公司分别于2016年7月1日召开了第三届董事会第四次会议、2016年7月18日召开了2016年第二次临时股东大会，审议通 </w:t>
      </w:r>
      <w:r>
        <w:rPr>
          <w:spacing w:val="-5"/>
        </w:rPr>
        <w:t>过了《深圳市赢时胜信息技术股份有限公司限制性股票激励计划（草案）及其摘要》、《深圳市赢时胜信息技术股份有限公司</w:t>
      </w:r>
      <w:r>
        <w:rPr>
          <w:spacing w:val="-77"/>
        </w:rPr>
        <w:t> </w:t>
      </w:r>
      <w:r>
        <w:rPr>
          <w:spacing w:val="-77"/>
        </w:rPr>
      </w:r>
      <w:r>
        <w:rPr>
          <w:spacing w:val="-4"/>
        </w:rPr>
        <w:t>限制性股票激励计划实施考核管理办法》、《关于提请股东大会授权董事会办理公司限制性股票激励计划相关事宜》的议案；</w:t>
      </w:r>
      <w:r>
        <w:rPr>
          <w:spacing w:val="-51"/>
        </w:rPr>
        <w:t> </w:t>
      </w:r>
      <w:r>
        <w:rPr>
          <w:spacing w:val="-51"/>
        </w:rPr>
      </w:r>
      <w:r>
        <w:rPr>
          <w:spacing w:val="-3"/>
        </w:rPr>
        <w:t>于2016年7月21日召开了第三届董事会第五次会议，审议通过了《关于向激励对象授予限制性股票的议案》。根据《深圳市赢</w:t>
      </w:r>
      <w:r>
        <w:rPr/>
        <w:t> </w:t>
      </w:r>
      <w:r>
        <w:rPr>
          <w:spacing w:val="-6"/>
        </w:rPr>
        <w:t>时胜信息技术股份有限公司限制性股票激励计划（草案）》，本次激励计划涉及的激励对象共计</w:t>
      </w:r>
      <w:r>
        <w:rPr/>
        <w:t> </w:t>
      </w:r>
      <w:r>
        <w:rPr>
          <w:spacing w:val="-2"/>
        </w:rPr>
        <w:t>105人，计划授予限制性股票</w:t>
      </w:r>
      <w:r>
        <w:rPr>
          <w:spacing w:val="-74"/>
        </w:rPr>
        <w:t> </w:t>
      </w:r>
      <w:r>
        <w:rPr>
          <w:spacing w:val="-74"/>
        </w:rPr>
      </w:r>
      <w:r>
        <w:rPr/>
        <w:t>的数量为230万股，约占本次激励计划签署时公司股本总额29,473.33万股的0.78%。截至2016年7月21日，公司最终向104名</w:t>
      </w:r>
      <w:r>
        <w:rPr/>
        <w:t> </w:t>
      </w:r>
      <w:r>
        <w:rPr>
          <w:spacing w:val="2"/>
        </w:rPr>
        <w:t>激励对象人数授予限制性股票数量228万股，授予激励对象限制性股票的价格为24.17元/股，限制性股票的总额为人民币</w:t>
      </w:r>
      <w:r>
        <w:rPr>
          <w:spacing w:val="-51"/>
        </w:rPr>
        <w:t> </w:t>
      </w:r>
      <w:r>
        <w:rPr>
          <w:spacing w:val="-51"/>
        </w:rPr>
      </w:r>
      <w:r>
        <w:rPr>
          <w:spacing w:val="8"/>
        </w:rPr>
        <w:t>55,107,600.00元，申请增加注册资本与股本2,280,000.00元，其余资金计入资本公积。变更后的注册资本为人民币</w:t>
      </w:r>
    </w:p>
    <w:p>
      <w:pPr>
        <w:pStyle w:val="BodyText"/>
        <w:spacing w:line="240" w:lineRule="auto" w:before="19"/>
        <w:ind w:right="0"/>
        <w:jc w:val="both"/>
      </w:pPr>
      <w:r>
        <w:rPr/>
        <w:t>297,013,332.00元。本次增资业经天职国际会计师事务所（特殊普通合伙）天职业字[2016]13726号验资报告验证。</w:t>
      </w:r>
    </w:p>
    <w:p>
      <w:pPr>
        <w:spacing w:line="240" w:lineRule="auto" w:before="10"/>
        <w:rPr>
          <w:rFonts w:ascii="宋体" w:hAnsi="宋体" w:cs="宋体" w:eastAsia="宋体" w:hint="default"/>
          <w:sz w:val="17"/>
          <w:szCs w:val="17"/>
        </w:rPr>
      </w:pPr>
    </w:p>
    <w:p>
      <w:pPr>
        <w:pStyle w:val="BodyText"/>
        <w:spacing w:line="316" w:lineRule="auto"/>
        <w:ind w:right="1129" w:firstLine="360"/>
        <w:jc w:val="both"/>
      </w:pPr>
      <w:r>
        <w:rPr>
          <w:spacing w:val="-2"/>
        </w:rPr>
        <w:t>根据公司2017年4月24日第三届董事会第十二次会议决议，2017年5月19日2016年度股东大会决议和修改后的公司章程规</w:t>
      </w:r>
      <w:r>
        <w:rPr/>
        <w:t> </w:t>
      </w:r>
      <w:r>
        <w:rPr>
          <w:spacing w:val="-2"/>
        </w:rPr>
        <w:t>定公司：公司以股本297,013,332股为基数，以资本公积向全体股东每10股转增15股，合计转增445,519,998股。转增后，公</w:t>
      </w:r>
      <w:r>
        <w:rPr>
          <w:spacing w:val="-49"/>
        </w:rPr>
        <w:t> </w:t>
      </w:r>
      <w:r>
        <w:rPr>
          <w:spacing w:val="-49"/>
        </w:rPr>
      </w:r>
      <w:r>
        <w:rPr/>
        <w:t>司总股本变更为742,533,330股。</w:t>
      </w:r>
    </w:p>
    <w:p>
      <w:pPr>
        <w:spacing w:line="240" w:lineRule="auto" w:before="5"/>
        <w:rPr>
          <w:rFonts w:ascii="宋体" w:hAnsi="宋体" w:cs="宋体" w:eastAsia="宋体" w:hint="default"/>
          <w:sz w:val="13"/>
          <w:szCs w:val="13"/>
        </w:rPr>
      </w:pPr>
    </w:p>
    <w:p>
      <w:pPr>
        <w:pStyle w:val="BodyText"/>
        <w:spacing w:line="316" w:lineRule="auto"/>
        <w:ind w:right="1130" w:firstLine="360"/>
        <w:jc w:val="both"/>
      </w:pPr>
      <w:r>
        <w:rPr/>
        <w:t>2017年8月14日，经第三届董事会第十四次会议审议通过，公司2016年限制性股票原授予的激励对象彭洪斌、逯进军、 </w:t>
      </w:r>
      <w:r>
        <w:rPr>
          <w:spacing w:val="-2"/>
        </w:rPr>
        <w:t>张少帅、刘宇共计4人因个人原因申请离职，已不具备股权激励对象的条件，对其持有的已获授权但尚未解锁的150,000股限</w:t>
      </w:r>
    </w:p>
    <w:p>
      <w:pPr>
        <w:spacing w:after="0" w:line="316" w:lineRule="auto"/>
        <w:jc w:val="both"/>
        <w:sectPr>
          <w:pgSz w:w="11910" w:h="16840"/>
          <w:pgMar w:header="919" w:footer="1016" w:top="1120" w:bottom="1200" w:left="1020" w:right="0"/>
        </w:sectPr>
      </w:pPr>
    </w:p>
    <w:p>
      <w:pPr>
        <w:spacing w:line="240" w:lineRule="auto" w:before="12"/>
        <w:rPr>
          <w:rFonts w:ascii="宋体" w:hAnsi="宋体" w:cs="宋体" w:eastAsia="宋体" w:hint="default"/>
          <w:sz w:val="20"/>
          <w:szCs w:val="20"/>
        </w:rPr>
      </w:pPr>
    </w:p>
    <w:p>
      <w:pPr>
        <w:pStyle w:val="BodyText"/>
        <w:spacing w:line="240" w:lineRule="auto" w:before="44"/>
        <w:ind w:right="915"/>
        <w:jc w:val="left"/>
      </w:pPr>
      <w:r>
        <w:rPr/>
        <w:t>制性股票进行回购注销，公司总股本由742,533,330股变更为742,383,330股。</w:t>
      </w:r>
    </w:p>
    <w:p>
      <w:pPr>
        <w:spacing w:line="240" w:lineRule="auto" w:before="10"/>
        <w:rPr>
          <w:rFonts w:ascii="宋体" w:hAnsi="宋体" w:cs="宋体" w:eastAsia="宋体" w:hint="default"/>
          <w:sz w:val="17"/>
          <w:szCs w:val="17"/>
        </w:rPr>
      </w:pPr>
    </w:p>
    <w:p>
      <w:pPr>
        <w:pStyle w:val="BodyText"/>
        <w:spacing w:line="316" w:lineRule="auto"/>
        <w:ind w:right="1129" w:firstLine="360"/>
        <w:jc w:val="both"/>
      </w:pPr>
      <w:r>
        <w:rPr>
          <w:spacing w:val="-2"/>
        </w:rPr>
        <w:t>2018年5月28日，根据2018年5月18日股东大会决议，变更公司住所为：深圳市福田区华富街道莲花一村社区皇岗路5001</w:t>
      </w:r>
      <w:r>
        <w:rPr/>
        <w:t> 号深业上城(南区)T2栋3701。</w:t>
      </w:r>
    </w:p>
    <w:p>
      <w:pPr>
        <w:spacing w:line="240" w:lineRule="auto" w:before="5"/>
        <w:rPr>
          <w:rFonts w:ascii="宋体" w:hAnsi="宋体" w:cs="宋体" w:eastAsia="宋体" w:hint="default"/>
          <w:sz w:val="13"/>
          <w:szCs w:val="13"/>
        </w:rPr>
      </w:pPr>
    </w:p>
    <w:p>
      <w:pPr>
        <w:pStyle w:val="BodyText"/>
        <w:spacing w:line="316" w:lineRule="auto"/>
        <w:ind w:right="1130" w:firstLine="360"/>
        <w:jc w:val="both"/>
      </w:pPr>
      <w:r>
        <w:rPr/>
        <w:t>2018年8月14日，经第三届董事会第十八次会议审议通过，公司2016年限制性股票原授予的激励对象冷林勇、李杨、李 </w:t>
      </w:r>
      <w:r>
        <w:rPr>
          <w:spacing w:val="-2"/>
        </w:rPr>
        <w:t>申、李莘共计4人因个人原因申请离职，已不具备股权激励对象的条件，现对其持有的已获授权但尚未解锁的168,750股限制</w:t>
      </w:r>
      <w:r>
        <w:rPr>
          <w:spacing w:val="-59"/>
        </w:rPr>
        <w:t> </w:t>
      </w:r>
      <w:r>
        <w:rPr>
          <w:spacing w:val="-59"/>
        </w:rPr>
      </w:r>
      <w:r>
        <w:rPr/>
        <w:t>性股票进行回购注销，公司总股本由742,383,330股变更为742,214,580股。</w:t>
      </w:r>
    </w:p>
    <w:p>
      <w:pPr>
        <w:spacing w:line="240" w:lineRule="auto" w:before="5"/>
        <w:rPr>
          <w:rFonts w:ascii="宋体" w:hAnsi="宋体" w:cs="宋体" w:eastAsia="宋体" w:hint="default"/>
          <w:sz w:val="13"/>
          <w:szCs w:val="13"/>
        </w:rPr>
      </w:pPr>
    </w:p>
    <w:p>
      <w:pPr>
        <w:pStyle w:val="BodyText"/>
        <w:spacing w:line="316" w:lineRule="auto"/>
        <w:ind w:right="1132" w:firstLine="360"/>
        <w:jc w:val="both"/>
      </w:pPr>
      <w:r>
        <w:rPr/>
        <w:t>2019年8月13日，经第四届董事会第二次会议审议通过，公司2016年限制性股票原授予的激励对象张珺、张培、李华超 </w:t>
      </w:r>
      <w:r>
        <w:rPr>
          <w:spacing w:val="-2"/>
        </w:rPr>
        <w:t>共计3人因个人原因申请离职，已不具备股权激励对象的条件，现对其持有的已获授权但尚未解锁的122,500股限制性股票进</w:t>
      </w:r>
      <w:r>
        <w:rPr>
          <w:spacing w:val="-60"/>
        </w:rPr>
        <w:t> </w:t>
      </w:r>
      <w:r>
        <w:rPr>
          <w:spacing w:val="-60"/>
        </w:rPr>
      </w:r>
      <w:r>
        <w:rPr/>
        <w:t>行回购注销，公司总股本由742,214,580.00股变更为742,092,080.00股。</w:t>
      </w:r>
    </w:p>
    <w:p>
      <w:pPr>
        <w:pStyle w:val="BodyText"/>
        <w:spacing w:line="468" w:lineRule="exact" w:before="10"/>
        <w:ind w:left="472" w:right="915"/>
        <w:jc w:val="left"/>
      </w:pPr>
      <w:r>
        <w:rPr/>
        <w:t>2. 公司注册地、组织形式和总部地址。 </w:t>
      </w:r>
      <w:r>
        <w:rPr>
          <w:spacing w:val="-2"/>
        </w:rPr>
        <w:t>公司为股份制公司，注册地址为深圳市福田区华富街道莲花一村社区皇岗路5001号深业上城(南区)T2栋3701。现总部地</w:t>
      </w:r>
    </w:p>
    <w:p>
      <w:pPr>
        <w:pStyle w:val="BodyText"/>
        <w:spacing w:line="477" w:lineRule="auto" w:before="8"/>
        <w:ind w:left="472" w:right="4274" w:hanging="360"/>
        <w:jc w:val="left"/>
      </w:pPr>
      <w:r>
        <w:rPr/>
        <w:t>址为深圳市福田区华富街道莲花一村社区皇岗路5001号深业上城(南区)T2栋3701。 3.</w:t>
      </w:r>
      <w:r>
        <w:rPr>
          <w:spacing w:val="1"/>
        </w:rPr>
        <w:t> </w:t>
      </w:r>
      <w:r>
        <w:rPr/>
        <w:t>公司的业务性质和主要经营活动。</w:t>
      </w:r>
    </w:p>
    <w:p>
      <w:pPr>
        <w:pStyle w:val="BodyText"/>
        <w:spacing w:line="316" w:lineRule="auto" w:before="54"/>
        <w:ind w:right="915" w:firstLine="360"/>
        <w:jc w:val="left"/>
      </w:pPr>
      <w:r>
        <w:rPr>
          <w:spacing w:val="-2"/>
        </w:rPr>
        <w:t>公司经营范围：计算机软件的技术开发、咨询（不含限制项目）、销售及售后服务（法律、行政法规、国务院决定禁止</w:t>
      </w:r>
      <w:r>
        <w:rPr/>
        <w:t> </w:t>
      </w:r>
      <w:r>
        <w:rPr>
          <w:spacing w:val="-4"/>
        </w:rPr>
        <w:t>的项目除外，限制的项目须取得许可后方可经营）；计算机系统集成的技术开发；计算机硬件及外部设备的开发及销售;软件</w:t>
      </w:r>
      <w:r>
        <w:rPr>
          <w:spacing w:val="-41"/>
        </w:rPr>
        <w:t> </w:t>
      </w:r>
      <w:r>
        <w:rPr>
          <w:spacing w:val="-41"/>
        </w:rPr>
      </w:r>
      <w:r>
        <w:rPr>
          <w:spacing w:val="-4"/>
        </w:rPr>
        <w:t>业务外包及相关服务；受金融机构委托从事金融业务流程外包、金融信息技术外包、金融知识流程外包、金融信息数据服务；</w:t>
      </w:r>
      <w:r>
        <w:rPr>
          <w:spacing w:val="-43"/>
        </w:rPr>
        <w:t> </w:t>
      </w:r>
      <w:r>
        <w:rPr>
          <w:spacing w:val="-43"/>
        </w:rPr>
      </w:r>
      <w:r>
        <w:rPr/>
        <w:t>金融信息咨询；房屋租赁。</w:t>
      </w:r>
    </w:p>
    <w:p>
      <w:pPr>
        <w:spacing w:line="240" w:lineRule="auto" w:before="5"/>
        <w:rPr>
          <w:rFonts w:ascii="宋体" w:hAnsi="宋体" w:cs="宋体" w:eastAsia="宋体" w:hint="default"/>
          <w:sz w:val="13"/>
          <w:szCs w:val="13"/>
        </w:rPr>
      </w:pPr>
    </w:p>
    <w:p>
      <w:pPr>
        <w:pStyle w:val="BodyText"/>
        <w:spacing w:line="316" w:lineRule="auto"/>
        <w:ind w:right="1041" w:firstLine="360"/>
        <w:jc w:val="both"/>
      </w:pPr>
      <w:r>
        <w:rPr>
          <w:spacing w:val="-2"/>
        </w:rPr>
        <w:t>公司的主营业务是为金融机构的资产管理和资产托管业务系统提供系统解决方案和服务。同时，公司在聚集主业的基础</w:t>
      </w:r>
      <w:r>
        <w:rPr/>
        <w:t> </w:t>
      </w:r>
      <w:r>
        <w:rPr>
          <w:spacing w:val="-4"/>
        </w:rPr>
        <w:t>上，利用公司的行业经验、技术优势和人才优势，积极布局科技金融和普惠金融，充分发挥金融科技和科技金融的协同效应。</w:t>
      </w:r>
    </w:p>
    <w:p>
      <w:pPr>
        <w:spacing w:line="240" w:lineRule="auto" w:before="5"/>
        <w:rPr>
          <w:rFonts w:ascii="宋体" w:hAnsi="宋体" w:cs="宋体" w:eastAsia="宋体" w:hint="default"/>
          <w:sz w:val="13"/>
          <w:szCs w:val="13"/>
        </w:rPr>
      </w:pPr>
    </w:p>
    <w:p>
      <w:pPr>
        <w:pStyle w:val="BodyText"/>
        <w:spacing w:line="477" w:lineRule="auto"/>
        <w:ind w:left="472" w:right="4184"/>
        <w:jc w:val="left"/>
      </w:pPr>
      <w:r>
        <w:rPr/>
        <w:t>4. 财务报告的批准报出机构和财务报告批准报出日。 本财务报告业经本公司2020年4月26日第四届董事会第六次会议会议批准报出。 5.</w:t>
      </w:r>
      <w:r>
        <w:rPr>
          <w:spacing w:val="1"/>
        </w:rPr>
        <w:t> </w:t>
      </w:r>
      <w:r>
        <w:rPr/>
        <w:t>本期的合并财务报表范围及其变化情况。</w:t>
      </w:r>
    </w:p>
    <w:p>
      <w:pPr>
        <w:pStyle w:val="BodyText"/>
        <w:spacing w:line="316" w:lineRule="auto" w:before="54"/>
        <w:ind w:right="1130" w:firstLine="360"/>
        <w:jc w:val="both"/>
      </w:pPr>
      <w:r>
        <w:rPr>
          <w:spacing w:val="-2"/>
        </w:rPr>
        <w:t>本公司合并财务报表的合并范围以控制为基础确定，包括本公司及全部子公司的财务报表。子公司，是指被本公司控制</w:t>
      </w:r>
      <w:r>
        <w:rPr/>
        <w:t> 的企业或主体。</w:t>
      </w:r>
    </w:p>
    <w:p>
      <w:pPr>
        <w:spacing w:line="240" w:lineRule="auto" w:before="5"/>
        <w:rPr>
          <w:rFonts w:ascii="宋体" w:hAnsi="宋体" w:cs="宋体" w:eastAsia="宋体" w:hint="default"/>
          <w:sz w:val="13"/>
          <w:szCs w:val="13"/>
        </w:rPr>
      </w:pPr>
    </w:p>
    <w:p>
      <w:pPr>
        <w:pStyle w:val="BodyText"/>
        <w:spacing w:line="316" w:lineRule="auto"/>
        <w:ind w:right="1130" w:firstLine="360"/>
        <w:jc w:val="both"/>
      </w:pPr>
      <w:r>
        <w:rPr/>
        <w:t>本公司2019</w:t>
      </w:r>
      <w:r>
        <w:rPr>
          <w:spacing w:val="9"/>
        </w:rPr>
        <w:t> </w:t>
      </w:r>
      <w:r>
        <w:rPr>
          <w:spacing w:val="-2"/>
        </w:rPr>
        <w:t>年度纳入合并范围的下属公司共8户，本报告期合并财务报表范围及其变化情况详见本附注“七、合并范围</w:t>
      </w:r>
      <w:r>
        <w:rPr/>
        <w:t> </w:t>
      </w:r>
      <w:r>
        <w:rPr>
          <w:spacing w:val="-5"/>
        </w:rPr>
        <w:t>的变更”和“八、在其他主体中的权益”。</w:t>
      </w:r>
    </w:p>
    <w:p>
      <w:pPr>
        <w:spacing w:line="240" w:lineRule="auto" w:before="9"/>
        <w:rPr>
          <w:rFonts w:ascii="宋体" w:hAnsi="宋体" w:cs="宋体" w:eastAsia="宋体" w:hint="default"/>
          <w:sz w:val="20"/>
          <w:szCs w:val="20"/>
        </w:rPr>
      </w:pPr>
    </w:p>
    <w:p>
      <w:pPr>
        <w:pStyle w:val="Heading2"/>
        <w:spacing w:line="240" w:lineRule="auto"/>
        <w:ind w:right="915"/>
        <w:jc w:val="left"/>
        <w:rPr>
          <w:b w:val="0"/>
          <w:bCs w:val="0"/>
        </w:rPr>
      </w:pPr>
      <w:bookmarkStart w:name="四、财务报表的编制基础" w:id="168"/>
      <w:bookmarkEnd w:id="168"/>
      <w:r>
        <w:rPr>
          <w:b w:val="0"/>
          <w:bCs w:val="0"/>
        </w:rPr>
      </w: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15"/>
        <w:jc w:val="left"/>
        <w:rPr>
          <w:b w:val="0"/>
          <w:bCs w:val="0"/>
        </w:rPr>
      </w:pPr>
      <w:bookmarkStart w:name="1、编制基础" w:id="169"/>
      <w:bookmarkEnd w:id="169"/>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0" w:firstLine="360"/>
        <w:jc w:val="both"/>
      </w:pPr>
      <w:r>
        <w:rPr>
          <w:spacing w:val="-2"/>
        </w:rPr>
        <w:t>本财务报表以公司持续经营假设为基础，根据实际发生的交易事项，按照企业会计准则的有关规定，并基于以下所述重</w:t>
      </w:r>
      <w:r>
        <w:rPr/>
        <w:t> 要会计政策、会计估计进行编制。</w:t>
      </w:r>
    </w:p>
    <w:p>
      <w:pPr>
        <w:spacing w:line="240" w:lineRule="auto" w:before="8"/>
        <w:rPr>
          <w:rFonts w:ascii="宋体" w:hAnsi="宋体" w:cs="宋体" w:eastAsia="宋体" w:hint="default"/>
          <w:sz w:val="22"/>
          <w:szCs w:val="22"/>
        </w:rPr>
      </w:pPr>
    </w:p>
    <w:p>
      <w:pPr>
        <w:pStyle w:val="Heading3"/>
        <w:spacing w:line="240" w:lineRule="auto"/>
        <w:ind w:right="915"/>
        <w:jc w:val="left"/>
        <w:rPr>
          <w:b w:val="0"/>
          <w:bCs w:val="0"/>
        </w:rPr>
      </w:pPr>
      <w:bookmarkStart w:name="2、持续经营" w:id="170"/>
      <w:bookmarkEnd w:id="170"/>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472" w:right="915"/>
        <w:jc w:val="left"/>
      </w:pPr>
      <w:r>
        <w:rPr/>
        <w:t>本公司自本报告期末至少12个月内具备持续经营能力，无影响持续经营能力的重大事项。</w:t>
      </w:r>
    </w:p>
    <w:p>
      <w:pPr>
        <w:spacing w:after="0" w:line="240" w:lineRule="auto"/>
        <w:jc w:val="left"/>
        <w:sectPr>
          <w:footerReference w:type="default" r:id="rId27"/>
          <w:pgSz w:w="11910" w:h="16840"/>
          <w:pgMar w:footer="1016" w:header="919" w:top="1120" w:bottom="1200" w:left="1020" w:right="0"/>
          <w:pgNumType w:start="110"/>
        </w:sectPr>
      </w:pPr>
    </w:p>
    <w:p>
      <w:pPr>
        <w:spacing w:line="240" w:lineRule="auto" w:before="8"/>
        <w:rPr>
          <w:rFonts w:ascii="宋体" w:hAnsi="宋体" w:cs="宋体" w:eastAsia="宋体" w:hint="default"/>
          <w:sz w:val="18"/>
          <w:szCs w:val="18"/>
        </w:rPr>
      </w:pPr>
    </w:p>
    <w:p>
      <w:pPr>
        <w:pStyle w:val="Heading2"/>
        <w:spacing w:line="240" w:lineRule="auto" w:before="26"/>
        <w:ind w:right="0"/>
        <w:jc w:val="both"/>
        <w:rPr>
          <w:b w:val="0"/>
          <w:bCs w:val="0"/>
        </w:rPr>
      </w:pPr>
      <w:bookmarkStart w:name="五、重要会计政策及会计估计" w:id="171"/>
      <w:bookmarkEnd w:id="171"/>
      <w:r>
        <w:rPr>
          <w:b w:val="0"/>
          <w:bCs w:val="0"/>
        </w:rPr>
      </w:r>
      <w:r>
        <w:rPr/>
        <w:t>五、重要会计政策及会计估计</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8103"/>
        <w:jc w:val="left"/>
      </w:pPr>
      <w:r>
        <w:rPr/>
        <w:t>具体会计政策和会计估计提示： 无</w:t>
      </w:r>
    </w:p>
    <w:p>
      <w:pPr>
        <w:spacing w:line="240" w:lineRule="auto" w:before="12"/>
        <w:rPr>
          <w:rFonts w:ascii="宋体" w:hAnsi="宋体" w:cs="宋体" w:eastAsia="宋体" w:hint="default"/>
          <w:sz w:val="19"/>
          <w:szCs w:val="19"/>
        </w:rPr>
      </w:pPr>
    </w:p>
    <w:p>
      <w:pPr>
        <w:pStyle w:val="Heading3"/>
        <w:spacing w:line="240" w:lineRule="auto"/>
        <w:ind w:right="0"/>
        <w:jc w:val="both"/>
        <w:rPr>
          <w:b w:val="0"/>
          <w:bCs w:val="0"/>
        </w:rPr>
      </w:pPr>
      <w:bookmarkStart w:name="1、遵循企业会计准则的声明" w:id="172"/>
      <w:bookmarkEnd w:id="172"/>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15" w:firstLine="420"/>
        <w:jc w:val="left"/>
      </w:pPr>
      <w:r>
        <w:rPr/>
        <w:t>本公司基于上述编制基础编制的财务报表符合财政部已颁布的最新企业会计准则及其应用指南、解释以及其他相关规 定(统称“企业会计准则”)的要求，真实完整地反映了公司的财务状况、经营成果和现金流量等有关信息。</w:t>
      </w:r>
    </w:p>
    <w:p>
      <w:pPr>
        <w:spacing w:line="240" w:lineRule="auto" w:before="5"/>
        <w:rPr>
          <w:rFonts w:ascii="宋体" w:hAnsi="宋体" w:cs="宋体" w:eastAsia="宋体" w:hint="default"/>
          <w:sz w:val="13"/>
          <w:szCs w:val="13"/>
        </w:rPr>
      </w:pPr>
    </w:p>
    <w:p>
      <w:pPr>
        <w:pStyle w:val="BodyText"/>
        <w:spacing w:line="240" w:lineRule="auto"/>
        <w:ind w:left="532" w:right="915"/>
        <w:jc w:val="left"/>
      </w:pPr>
      <w:r>
        <w:rPr/>
        <w:t>此外，本财务报告编制参照了证监会发布的《公开发行证券的公司信息披露编报规则第15号——财务报告的一般规定》</w:t>
      </w:r>
    </w:p>
    <w:p>
      <w:pPr>
        <w:pStyle w:val="BodyText"/>
        <w:spacing w:line="240" w:lineRule="auto" w:before="76"/>
        <w:ind w:right="0"/>
        <w:jc w:val="both"/>
      </w:pPr>
      <w:r>
        <w:rPr/>
        <w:t>（</w:t>
      </w:r>
      <w:r>
        <w:rPr>
          <w:spacing w:val="1"/>
        </w:rPr>
        <w:t>2</w:t>
      </w:r>
      <w:r>
        <w:rPr>
          <w:spacing w:val="-2"/>
        </w:rPr>
        <w:t>0</w:t>
      </w:r>
      <w:r>
        <w:rPr>
          <w:spacing w:val="1"/>
        </w:rPr>
        <w:t>1</w:t>
      </w:r>
      <w:r>
        <w:rPr>
          <w:spacing w:val="-2"/>
        </w:rPr>
        <w:t>4</w:t>
      </w:r>
      <w:r>
        <w:rPr/>
        <w:t>年修订）以及《关于上市公司执行新企业会计准则有关事项的通知</w:t>
      </w:r>
      <w:r>
        <w:rPr>
          <w:spacing w:val="-89"/>
        </w:rPr>
        <w:t>》</w:t>
      </w:r>
      <w:r>
        <w:rPr/>
        <w:t>（会计部函〔</w:t>
      </w:r>
      <w:r>
        <w:rPr>
          <w:spacing w:val="1"/>
        </w:rPr>
        <w:t>2</w:t>
      </w:r>
      <w:r>
        <w:rPr>
          <w:spacing w:val="-2"/>
        </w:rPr>
        <w:t>0</w:t>
      </w:r>
      <w:r>
        <w:rPr>
          <w:spacing w:val="1"/>
        </w:rPr>
        <w:t>1</w:t>
      </w:r>
      <w:r>
        <w:rPr>
          <w:spacing w:val="-2"/>
        </w:rPr>
        <w:t>8</w:t>
      </w:r>
      <w:r>
        <w:rPr/>
        <w:t>〕</w:t>
      </w:r>
      <w:r>
        <w:rPr>
          <w:spacing w:val="1"/>
        </w:rPr>
        <w:t>4</w:t>
      </w:r>
      <w:r>
        <w:rPr>
          <w:spacing w:val="-2"/>
        </w:rPr>
        <w:t>53</w:t>
      </w:r>
      <w:r>
        <w:rPr/>
        <w:t>号）的列报和披露要求。</w:t>
      </w:r>
    </w:p>
    <w:p>
      <w:pPr>
        <w:spacing w:line="240" w:lineRule="auto" w:before="0"/>
        <w:rPr>
          <w:rFonts w:ascii="宋体" w:hAnsi="宋体" w:cs="宋体" w:eastAsia="宋体" w:hint="default"/>
          <w:sz w:val="18"/>
          <w:szCs w:val="18"/>
        </w:rPr>
      </w:pPr>
    </w:p>
    <w:p>
      <w:pPr>
        <w:pStyle w:val="Heading3"/>
        <w:spacing w:line="240" w:lineRule="auto" w:before="118"/>
        <w:ind w:right="0"/>
        <w:jc w:val="both"/>
        <w:rPr>
          <w:b w:val="0"/>
          <w:bCs w:val="0"/>
        </w:rPr>
      </w:pPr>
      <w:bookmarkStart w:name="2、会计期间" w:id="173"/>
      <w:bookmarkEnd w:id="173"/>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18" w:right="915"/>
        <w:jc w:val="left"/>
      </w:pPr>
      <w:r>
        <w:rPr/>
        <w:t>本公司的会计年度从公历1月1日至12月31日止。</w:t>
      </w:r>
    </w:p>
    <w:p>
      <w:pPr>
        <w:spacing w:line="240" w:lineRule="auto" w:before="11"/>
        <w:rPr>
          <w:rFonts w:ascii="宋体" w:hAnsi="宋体" w:cs="宋体" w:eastAsia="宋体" w:hint="default"/>
          <w:sz w:val="26"/>
          <w:szCs w:val="26"/>
        </w:rPr>
      </w:pPr>
    </w:p>
    <w:p>
      <w:pPr>
        <w:pStyle w:val="Heading3"/>
        <w:spacing w:line="240" w:lineRule="auto"/>
        <w:ind w:right="0"/>
        <w:jc w:val="both"/>
        <w:rPr>
          <w:b w:val="0"/>
          <w:bCs w:val="0"/>
        </w:rPr>
      </w:pPr>
      <w:bookmarkStart w:name="3、营业周期" w:id="174"/>
      <w:bookmarkEnd w:id="174"/>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72" w:right="915"/>
        <w:jc w:val="left"/>
      </w:pPr>
      <w:r>
        <w:rPr/>
        <w:t>本公司的会计年度从公历1月1日至12月31日止。</w:t>
      </w:r>
    </w:p>
    <w:p>
      <w:pPr>
        <w:spacing w:line="240" w:lineRule="auto" w:before="0"/>
        <w:rPr>
          <w:rFonts w:ascii="宋体" w:hAnsi="宋体" w:cs="宋体" w:eastAsia="宋体" w:hint="default"/>
          <w:sz w:val="18"/>
          <w:szCs w:val="18"/>
        </w:rPr>
      </w:pPr>
    </w:p>
    <w:p>
      <w:pPr>
        <w:pStyle w:val="Heading3"/>
        <w:spacing w:line="240" w:lineRule="auto" w:before="118"/>
        <w:ind w:right="0"/>
        <w:jc w:val="both"/>
        <w:rPr>
          <w:b w:val="0"/>
          <w:bCs w:val="0"/>
        </w:rPr>
      </w:pPr>
      <w:bookmarkStart w:name="4、记账本位币" w:id="175"/>
      <w:bookmarkEnd w:id="175"/>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t>本公司采用人民币作为记账本位币。</w:t>
      </w:r>
    </w:p>
    <w:p>
      <w:pPr>
        <w:spacing w:line="240" w:lineRule="auto" w:before="11"/>
        <w:rPr>
          <w:rFonts w:ascii="宋体" w:hAnsi="宋体" w:cs="宋体" w:eastAsia="宋体" w:hint="default"/>
          <w:sz w:val="26"/>
          <w:szCs w:val="26"/>
        </w:rPr>
      </w:pPr>
    </w:p>
    <w:p>
      <w:pPr>
        <w:pStyle w:val="Heading3"/>
        <w:spacing w:line="240" w:lineRule="auto"/>
        <w:ind w:right="0"/>
        <w:jc w:val="both"/>
        <w:rPr>
          <w:b w:val="0"/>
          <w:bCs w:val="0"/>
        </w:rPr>
      </w:pPr>
      <w:bookmarkStart w:name="5、同一控制下和非同一控制下企业合并的会计处理方法" w:id="176"/>
      <w:bookmarkEnd w:id="176"/>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pStyle w:val="BodyText"/>
        <w:spacing w:line="460" w:lineRule="atLeast" w:before="122"/>
        <w:ind w:left="532" w:right="915"/>
        <w:jc w:val="left"/>
      </w:pPr>
      <w:r>
        <w:rPr/>
        <w:t>1. 同一控制下企业合并的会计处理方法 本公司在一次交易取得或通过多次交易分步实现同一控制下企业合并，企业合并中取得的资产和负债，按照合并日被</w:t>
      </w:r>
    </w:p>
    <w:p>
      <w:pPr>
        <w:pStyle w:val="BodyText"/>
        <w:spacing w:line="316" w:lineRule="auto" w:before="76"/>
        <w:ind w:right="915"/>
        <w:jc w:val="left"/>
      </w:pPr>
      <w:r>
        <w:rPr>
          <w:spacing w:val="-2"/>
        </w:rPr>
        <w:t>合并方在最终控制方合并财务报表中的的账面价值计量。本公司取得的净资产账面价值与支付的合并对价账面价值（或发行</w:t>
      </w:r>
      <w:r>
        <w:rPr>
          <w:spacing w:val="-64"/>
        </w:rPr>
        <w:t> </w:t>
      </w:r>
      <w:r>
        <w:rPr>
          <w:spacing w:val="-64"/>
        </w:rPr>
      </w:r>
      <w:r>
        <w:rPr/>
        <w:t>股份面值总额）的差额，调整资本公积；资本公积不足冲减的，调整留存收益。</w:t>
      </w:r>
    </w:p>
    <w:p>
      <w:pPr>
        <w:pStyle w:val="BodyText"/>
        <w:spacing w:line="468" w:lineRule="exact" w:before="10"/>
        <w:ind w:left="532" w:right="915"/>
        <w:jc w:val="left"/>
      </w:pPr>
      <w:r>
        <w:rPr/>
        <w:t>2. 非同一控制下企业合并的会计处理方法 本公司在购买日对合并成本大于合并中取得的被购买方可辨认净资产公允价值份额的差额，确认为商誉；如果合并成</w:t>
      </w:r>
    </w:p>
    <w:p>
      <w:pPr>
        <w:pStyle w:val="BodyText"/>
        <w:spacing w:line="316" w:lineRule="auto" w:before="8"/>
        <w:ind w:right="1132"/>
        <w:jc w:val="both"/>
      </w:pPr>
      <w:r>
        <w:rPr>
          <w:spacing w:val="-2"/>
        </w:rPr>
        <w:t>本小于合并中取得的被购买方可辨认净资产公允价值份额，首先对取得的被购买方各项可辨认资产、负债及或有负债的公允</w:t>
      </w:r>
      <w:r>
        <w:rPr>
          <w:spacing w:val="-64"/>
        </w:rPr>
        <w:t> </w:t>
      </w:r>
      <w:r>
        <w:rPr>
          <w:spacing w:val="-64"/>
        </w:rPr>
      </w:r>
      <w:r>
        <w:rPr>
          <w:spacing w:val="-2"/>
        </w:rPr>
        <w:t>价值以及合并成本的计量进行复核，经复核后合并成本仍小于合并中取得的被购买方可辨认净资产公允价值份额的，其差额</w:t>
      </w:r>
      <w:r>
        <w:rPr>
          <w:spacing w:val="-64"/>
        </w:rPr>
        <w:t> </w:t>
      </w:r>
      <w:r>
        <w:rPr>
          <w:spacing w:val="-64"/>
        </w:rPr>
      </w:r>
      <w:r>
        <w:rPr/>
        <w:t>计入当期损益。</w:t>
      </w:r>
    </w:p>
    <w:p>
      <w:pPr>
        <w:spacing w:line="240" w:lineRule="auto" w:before="5"/>
        <w:rPr>
          <w:rFonts w:ascii="宋体" w:hAnsi="宋体" w:cs="宋体" w:eastAsia="宋体" w:hint="default"/>
          <w:sz w:val="13"/>
          <w:szCs w:val="13"/>
        </w:rPr>
      </w:pPr>
    </w:p>
    <w:p>
      <w:pPr>
        <w:pStyle w:val="BodyText"/>
        <w:spacing w:line="240" w:lineRule="auto"/>
        <w:ind w:left="472" w:right="915"/>
        <w:jc w:val="left"/>
      </w:pPr>
      <w:r>
        <w:rPr/>
        <w:t>通过多次交易分步实现非同一控制下企业合并，应按以下顺序处理：</w:t>
      </w:r>
    </w:p>
    <w:p>
      <w:pPr>
        <w:spacing w:line="240" w:lineRule="auto" w:before="10"/>
        <w:rPr>
          <w:rFonts w:ascii="宋体" w:hAnsi="宋体" w:cs="宋体" w:eastAsia="宋体" w:hint="default"/>
          <w:sz w:val="17"/>
          <w:szCs w:val="17"/>
        </w:rPr>
      </w:pPr>
    </w:p>
    <w:p>
      <w:pPr>
        <w:pStyle w:val="BodyText"/>
        <w:spacing w:line="316" w:lineRule="auto"/>
        <w:ind w:right="1130" w:firstLine="360"/>
        <w:jc w:val="both"/>
      </w:pPr>
      <w:r>
        <w:rPr/>
        <w:t>（1）调整长期股权投资初始投资成本。购买日之前持有股权采用权益法核算的，按照该股权在购买日的公允价值进行 </w:t>
      </w:r>
      <w:r>
        <w:rPr>
          <w:spacing w:val="-2"/>
        </w:rPr>
        <w:t>重新计量，公允价值与其账面价值的差额计入当期投资收益；购买日之前持有的被购买方的股权涉及权益法核算下的其他综</w:t>
      </w:r>
      <w:r>
        <w:rPr>
          <w:spacing w:val="-64"/>
        </w:rPr>
        <w:t> </w:t>
      </w:r>
      <w:r>
        <w:rPr>
          <w:spacing w:val="-64"/>
        </w:rPr>
      </w:r>
      <w:r>
        <w:rPr>
          <w:spacing w:val="-2"/>
        </w:rPr>
        <w:t>合收益、其他所有者权益变动的，转为购买日所属当期收益，由于被投资方重新计量设定受益计划净负债或净资产变动而产</w:t>
      </w:r>
      <w:r>
        <w:rPr>
          <w:spacing w:val="-63"/>
        </w:rPr>
        <w:t> </w:t>
      </w:r>
      <w:r>
        <w:rPr>
          <w:spacing w:val="-63"/>
        </w:rPr>
      </w:r>
      <w:r>
        <w:rPr/>
        <w:t>生的其他综合收益除外。</w:t>
      </w:r>
    </w:p>
    <w:p>
      <w:pPr>
        <w:spacing w:line="240" w:lineRule="auto" w:before="5"/>
        <w:rPr>
          <w:rFonts w:ascii="宋体" w:hAnsi="宋体" w:cs="宋体" w:eastAsia="宋体" w:hint="default"/>
          <w:sz w:val="13"/>
          <w:szCs w:val="13"/>
        </w:rPr>
      </w:pPr>
    </w:p>
    <w:p>
      <w:pPr>
        <w:pStyle w:val="BodyText"/>
        <w:spacing w:line="240" w:lineRule="auto"/>
        <w:ind w:left="472" w:right="915"/>
        <w:jc w:val="left"/>
      </w:pPr>
      <w:r>
        <w:rPr/>
        <w:t>（</w:t>
      </w:r>
      <w:r>
        <w:rPr>
          <w:spacing w:val="1"/>
        </w:rPr>
        <w:t>2</w:t>
      </w:r>
      <w:r>
        <w:rPr>
          <w:spacing w:val="-29"/>
        </w:rPr>
        <w:t>）</w:t>
      </w:r>
      <w:r>
        <w:rPr/>
        <w:t>确认商</w:t>
      </w:r>
      <w:r>
        <w:rPr>
          <w:spacing w:val="-27"/>
        </w:rPr>
        <w:t>誉</w:t>
      </w:r>
      <w:r>
        <w:rPr/>
        <w:t>（或计入当期损益的金额</w:t>
      </w:r>
      <w:r>
        <w:rPr>
          <w:spacing w:val="-89"/>
        </w:rPr>
        <w:t>）</w:t>
      </w:r>
      <w:r>
        <w:rPr>
          <w:spacing w:val="-29"/>
        </w:rPr>
        <w:t>。</w:t>
      </w:r>
      <w:r>
        <w:rPr/>
        <w:t>将第一步调整后长期股权投资初始投资成本与购买日应享有子公司可辨</w:t>
      </w:r>
      <w:r>
        <w:rPr>
          <w:spacing w:val="2"/>
        </w:rPr>
        <w:t>认</w:t>
      </w:r>
      <w:r>
        <w:rPr/>
        <w:t>净</w:t>
      </w:r>
    </w:p>
    <w:p>
      <w:pPr>
        <w:spacing w:after="0" w:line="240" w:lineRule="auto"/>
        <w:jc w:val="left"/>
        <w:sectPr>
          <w:pgSz w:w="11910" w:h="16840"/>
          <w:pgMar w:header="919" w:footer="1016" w:top="1120" w:bottom="1200" w:left="1020" w:right="0"/>
        </w:sectPr>
      </w:pPr>
    </w:p>
    <w:p>
      <w:pPr>
        <w:spacing w:line="240" w:lineRule="auto" w:before="12"/>
        <w:rPr>
          <w:rFonts w:ascii="宋体" w:hAnsi="宋体" w:cs="宋体" w:eastAsia="宋体" w:hint="default"/>
          <w:sz w:val="20"/>
          <w:szCs w:val="20"/>
        </w:rPr>
      </w:pPr>
    </w:p>
    <w:p>
      <w:pPr>
        <w:pStyle w:val="BodyText"/>
        <w:spacing w:line="477" w:lineRule="auto" w:before="44"/>
        <w:ind w:left="472" w:right="3194" w:hanging="360"/>
        <w:jc w:val="left"/>
      </w:pPr>
      <w:r>
        <w:rPr/>
        <w:t>资产公允价值份额比较，前者大于后者，差额确认为商誉；前者小于后者，差额计入当期损益。 通过多次交易分步处置股权至丧失对子公司控制权的情形</w:t>
      </w:r>
    </w:p>
    <w:p>
      <w:pPr>
        <w:pStyle w:val="BodyText"/>
        <w:spacing w:line="240" w:lineRule="auto" w:before="54"/>
        <w:ind w:left="532" w:right="915"/>
        <w:jc w:val="left"/>
      </w:pPr>
      <w:r>
        <w:rPr/>
        <w:t>（1）判断分步处置股权至丧失对子公司控制权过程中的各项交易是否属于“一揽子交易”的原则</w:t>
      </w:r>
    </w:p>
    <w:p>
      <w:pPr>
        <w:spacing w:line="240" w:lineRule="auto" w:before="10"/>
        <w:rPr>
          <w:rFonts w:ascii="宋体" w:hAnsi="宋体" w:cs="宋体" w:eastAsia="宋体" w:hint="default"/>
          <w:sz w:val="17"/>
          <w:szCs w:val="17"/>
        </w:rPr>
      </w:pPr>
    </w:p>
    <w:p>
      <w:pPr>
        <w:pStyle w:val="BodyText"/>
        <w:spacing w:line="316" w:lineRule="auto"/>
        <w:ind w:right="1132" w:firstLine="360"/>
        <w:jc w:val="both"/>
      </w:pPr>
      <w:r>
        <w:rPr>
          <w:spacing w:val="-2"/>
        </w:rPr>
        <w:t>处置对子公司股权投资的各项交易的条款、条件以及经济影响符合以下一种或多种情况，通常表明应将多次交易事项作</w:t>
      </w:r>
      <w:r>
        <w:rPr/>
        <w:t> 为一揽子交易进行会计处理：</w:t>
      </w:r>
    </w:p>
    <w:p>
      <w:pPr>
        <w:spacing w:line="240" w:lineRule="auto" w:before="5"/>
        <w:rPr>
          <w:rFonts w:ascii="宋体" w:hAnsi="宋体" w:cs="宋体" w:eastAsia="宋体" w:hint="default"/>
          <w:sz w:val="13"/>
          <w:szCs w:val="13"/>
        </w:rPr>
      </w:pPr>
    </w:p>
    <w:p>
      <w:pPr>
        <w:pStyle w:val="BodyText"/>
        <w:spacing w:line="240" w:lineRule="auto"/>
        <w:ind w:left="638" w:right="915"/>
        <w:jc w:val="left"/>
      </w:pPr>
      <w:r>
        <w:rPr/>
        <w:t>1）这些交易是同时或者在考虑了彼此影响的情况下订立的；</w:t>
      </w:r>
    </w:p>
    <w:p>
      <w:pPr>
        <w:spacing w:line="240" w:lineRule="auto" w:before="10"/>
        <w:rPr>
          <w:rFonts w:ascii="宋体" w:hAnsi="宋体" w:cs="宋体" w:eastAsia="宋体" w:hint="default"/>
          <w:sz w:val="17"/>
          <w:szCs w:val="17"/>
        </w:rPr>
      </w:pPr>
    </w:p>
    <w:p>
      <w:pPr>
        <w:pStyle w:val="BodyText"/>
        <w:spacing w:line="240" w:lineRule="auto"/>
        <w:ind w:left="638" w:right="915"/>
        <w:jc w:val="left"/>
      </w:pPr>
      <w:r>
        <w:rPr/>
        <w:t>2）这些交易整体才能达成一项完整的商业结果；</w:t>
      </w:r>
    </w:p>
    <w:p>
      <w:pPr>
        <w:spacing w:line="240" w:lineRule="auto" w:before="10"/>
        <w:rPr>
          <w:rFonts w:ascii="宋体" w:hAnsi="宋体" w:cs="宋体" w:eastAsia="宋体" w:hint="default"/>
          <w:sz w:val="17"/>
          <w:szCs w:val="17"/>
        </w:rPr>
      </w:pPr>
    </w:p>
    <w:p>
      <w:pPr>
        <w:pStyle w:val="BodyText"/>
        <w:spacing w:line="240" w:lineRule="auto"/>
        <w:ind w:left="638" w:right="915"/>
        <w:jc w:val="left"/>
      </w:pPr>
      <w:r>
        <w:rPr/>
        <w:t>3）一项交易的发生取决于其他至少一项交易的发生；</w:t>
      </w:r>
    </w:p>
    <w:p>
      <w:pPr>
        <w:spacing w:line="240" w:lineRule="auto" w:before="10"/>
        <w:rPr>
          <w:rFonts w:ascii="宋体" w:hAnsi="宋体" w:cs="宋体" w:eastAsia="宋体" w:hint="default"/>
          <w:sz w:val="17"/>
          <w:szCs w:val="17"/>
        </w:rPr>
      </w:pPr>
    </w:p>
    <w:p>
      <w:pPr>
        <w:pStyle w:val="BodyText"/>
        <w:spacing w:line="240" w:lineRule="auto"/>
        <w:ind w:left="638" w:right="915"/>
        <w:jc w:val="left"/>
      </w:pPr>
      <w:r>
        <w:rPr/>
        <w:t>4）一项交易单独看是不经济的，但是和其他交易一并考虑时是经济的。</w:t>
      </w:r>
    </w:p>
    <w:p>
      <w:pPr>
        <w:pStyle w:val="BodyText"/>
        <w:spacing w:line="470" w:lineRule="atLeast"/>
        <w:ind w:left="472" w:right="915" w:firstLine="60"/>
        <w:jc w:val="left"/>
      </w:pPr>
      <w:r>
        <w:rPr/>
        <w:t>（2）分步处置股权至丧失对子公司控制权过程中的各项交易属于“一揽子交易”的会计处理方法 </w:t>
      </w:r>
      <w:r>
        <w:rPr>
          <w:spacing w:val="-2"/>
        </w:rPr>
        <w:t>处置对子公司股权投资直至丧失控制权的各项交易属于一揽子交易的，应当将各项交易作为一项处置子公司并丧失控制</w:t>
      </w:r>
    </w:p>
    <w:p>
      <w:pPr>
        <w:pStyle w:val="BodyText"/>
        <w:spacing w:line="316" w:lineRule="auto" w:before="76"/>
        <w:ind w:right="915"/>
        <w:jc w:val="left"/>
      </w:pPr>
      <w:r>
        <w:rPr>
          <w:spacing w:val="-2"/>
        </w:rPr>
        <w:t>权的交易进行会计处理；但是，在丧失控制权之前每一次处置价款与处置投资对应的享有该子公司净资产份额的差额，在合</w:t>
      </w:r>
      <w:r>
        <w:rPr>
          <w:spacing w:val="-64"/>
        </w:rPr>
        <w:t> </w:t>
      </w:r>
      <w:r>
        <w:rPr>
          <w:spacing w:val="-64"/>
        </w:rPr>
      </w:r>
      <w:r>
        <w:rPr/>
        <w:t>并财务报表中应当确认为其他综合收益，在丧失控制权时一并转入丧失控制权当期的损益。</w:t>
      </w:r>
    </w:p>
    <w:p>
      <w:pPr>
        <w:spacing w:line="240" w:lineRule="auto" w:before="5"/>
        <w:rPr>
          <w:rFonts w:ascii="宋体" w:hAnsi="宋体" w:cs="宋体" w:eastAsia="宋体" w:hint="default"/>
          <w:sz w:val="13"/>
          <w:szCs w:val="13"/>
        </w:rPr>
      </w:pPr>
    </w:p>
    <w:p>
      <w:pPr>
        <w:pStyle w:val="BodyText"/>
        <w:spacing w:line="316" w:lineRule="auto"/>
        <w:ind w:right="1130" w:firstLine="360"/>
        <w:jc w:val="both"/>
      </w:pPr>
      <w:r>
        <w:rPr>
          <w:spacing w:val="-2"/>
        </w:rPr>
        <w:t>在合并财务报表中，对于剩余股权，应当按照其在丧失控制权日的公允价值进行重新计量。处置股权取得的对价与剩余</w:t>
      </w:r>
      <w:r>
        <w:rPr/>
        <w:t> </w:t>
      </w:r>
      <w:r>
        <w:rPr>
          <w:spacing w:val="-2"/>
        </w:rPr>
        <w:t>股权公允价值之和，减去按原持股比例计算应享有原子公司自购买日开始持续计算的净资产的份额之间的差额，计入丧失控</w:t>
      </w:r>
      <w:r>
        <w:rPr>
          <w:spacing w:val="-64"/>
        </w:rPr>
        <w:t> </w:t>
      </w:r>
      <w:r>
        <w:rPr>
          <w:spacing w:val="-64"/>
        </w:rPr>
      </w:r>
      <w:r>
        <w:rPr/>
        <w:t>制权当期的投资收益。与原子公司股权投资相关的其他综合收益，应当在丧失控制权时转为当期投资收益。</w:t>
      </w:r>
    </w:p>
    <w:p>
      <w:pPr>
        <w:pStyle w:val="BodyText"/>
        <w:spacing w:line="468" w:lineRule="exact" w:before="10"/>
        <w:ind w:left="472" w:right="915"/>
        <w:jc w:val="left"/>
      </w:pPr>
      <w:r>
        <w:rPr/>
        <w:t>（3）分步处置股权至丧失对子公司控制权过程中的各项交易不属于“一揽子交易”的会计处理方法 </w:t>
      </w:r>
      <w:r>
        <w:rPr>
          <w:spacing w:val="-2"/>
        </w:rPr>
        <w:t>处置对子公司的投资未丧失控制权的，合并财务报表中处置价款与处置投资对应的享有该子公司净资产份额的差额计入</w:t>
      </w:r>
    </w:p>
    <w:p>
      <w:pPr>
        <w:pStyle w:val="BodyText"/>
        <w:spacing w:line="240" w:lineRule="auto" w:before="8"/>
        <w:ind w:right="915"/>
        <w:jc w:val="left"/>
      </w:pPr>
      <w:r>
        <w:rPr/>
        <w:t>资本公积（资本溢价或股本溢价</w:t>
      </w:r>
      <w:r>
        <w:rPr>
          <w:spacing w:val="-89"/>
        </w:rPr>
        <w:t>）</w:t>
      </w:r>
      <w:r>
        <w:rPr/>
        <w:t>，资本溢价不足冲减的，应当调整留存收益。</w:t>
      </w:r>
    </w:p>
    <w:p>
      <w:pPr>
        <w:spacing w:line="240" w:lineRule="auto" w:before="10"/>
        <w:rPr>
          <w:rFonts w:ascii="宋体" w:hAnsi="宋体" w:cs="宋体" w:eastAsia="宋体" w:hint="default"/>
          <w:sz w:val="17"/>
          <w:szCs w:val="17"/>
        </w:rPr>
      </w:pPr>
    </w:p>
    <w:p>
      <w:pPr>
        <w:pStyle w:val="BodyText"/>
        <w:spacing w:line="316" w:lineRule="auto"/>
        <w:ind w:right="1130" w:firstLine="360"/>
        <w:jc w:val="both"/>
      </w:pPr>
      <w:r>
        <w:rPr>
          <w:spacing w:val="-2"/>
        </w:rPr>
        <w:t>处置对子公司的投资丧失控制权的，在合并财务报表中，对于剩余股权，应当按照其在丧失控制权日的公允价值进行重</w:t>
      </w:r>
      <w:r>
        <w:rPr/>
        <w:t> </w:t>
      </w:r>
      <w:r>
        <w:rPr>
          <w:spacing w:val="-2"/>
        </w:rPr>
        <w:t>新计量。处置股权取得的对价与剩余股权公允价值之和，减去按原持股比例计算应享有原有子公司自购买日开始持续计算的</w:t>
      </w:r>
      <w:r>
        <w:rPr>
          <w:spacing w:val="-64"/>
        </w:rPr>
        <w:t> </w:t>
      </w:r>
      <w:r>
        <w:rPr>
          <w:spacing w:val="-64"/>
        </w:rPr>
      </w:r>
      <w:r>
        <w:rPr>
          <w:spacing w:val="-2"/>
        </w:rPr>
        <w:t>净资产的份额之间的差额，计入丧失控制权当期的投资收益。与原有子公司股权投资相关的其他综合收益，应当在丧失控制</w:t>
      </w:r>
      <w:r>
        <w:rPr>
          <w:spacing w:val="-63"/>
        </w:rPr>
        <w:t> </w:t>
      </w:r>
      <w:r>
        <w:rPr>
          <w:spacing w:val="-63"/>
        </w:rPr>
      </w:r>
      <w:r>
        <w:rPr/>
        <w:t>权时转为当期投资收益。</w:t>
      </w:r>
    </w:p>
    <w:p>
      <w:pPr>
        <w:spacing w:line="240" w:lineRule="auto" w:before="6"/>
        <w:rPr>
          <w:rFonts w:ascii="宋体" w:hAnsi="宋体" w:cs="宋体" w:eastAsia="宋体" w:hint="default"/>
          <w:sz w:val="22"/>
          <w:szCs w:val="22"/>
        </w:rPr>
      </w:pPr>
    </w:p>
    <w:p>
      <w:pPr>
        <w:pStyle w:val="Heading3"/>
        <w:spacing w:line="240" w:lineRule="auto"/>
        <w:ind w:right="915"/>
        <w:jc w:val="left"/>
        <w:rPr>
          <w:b w:val="0"/>
          <w:bCs w:val="0"/>
        </w:rPr>
      </w:pPr>
      <w:bookmarkStart w:name="6、合并财务报表的编制方法" w:id="177"/>
      <w:bookmarkEnd w:id="177"/>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0" w:firstLine="360"/>
        <w:jc w:val="both"/>
      </w:pPr>
      <w:r>
        <w:rPr>
          <w:spacing w:val="-2"/>
        </w:rPr>
        <w:t>合并财务报表以母公司及其子公司的财务报表为基础，根据其他有关资料，由本公司按照《企业会计准则第33号——合</w:t>
      </w:r>
      <w:r>
        <w:rPr/>
        <w:t> 并财务报表》编制。</w:t>
      </w:r>
    </w:p>
    <w:p>
      <w:pPr>
        <w:spacing w:line="240" w:lineRule="auto" w:before="5"/>
        <w:rPr>
          <w:rFonts w:ascii="宋体" w:hAnsi="宋体" w:cs="宋体" w:eastAsia="宋体" w:hint="default"/>
          <w:sz w:val="13"/>
          <w:szCs w:val="13"/>
        </w:rPr>
      </w:pPr>
    </w:p>
    <w:p>
      <w:pPr>
        <w:pStyle w:val="BodyText"/>
        <w:spacing w:line="316" w:lineRule="auto"/>
        <w:ind w:right="1132" w:firstLine="360"/>
        <w:jc w:val="both"/>
      </w:pPr>
      <w:r>
        <w:rPr>
          <w:spacing w:val="-2"/>
        </w:rPr>
        <w:t>子公司的主要会计政策按照母公司统一选用的会计政策确定，合并报表范围内各公司间的交易和资金往来等均已在合并</w:t>
      </w:r>
      <w:r>
        <w:rPr/>
        <w:t> 时抵销。</w:t>
      </w:r>
    </w:p>
    <w:p>
      <w:pPr>
        <w:spacing w:line="240" w:lineRule="auto" w:before="8"/>
        <w:rPr>
          <w:rFonts w:ascii="宋体" w:hAnsi="宋体" w:cs="宋体" w:eastAsia="宋体" w:hint="default"/>
          <w:sz w:val="22"/>
          <w:szCs w:val="22"/>
        </w:rPr>
      </w:pPr>
    </w:p>
    <w:p>
      <w:pPr>
        <w:pStyle w:val="Heading3"/>
        <w:spacing w:line="240" w:lineRule="auto"/>
        <w:ind w:right="915"/>
        <w:jc w:val="left"/>
        <w:rPr>
          <w:b w:val="0"/>
          <w:bCs w:val="0"/>
        </w:rPr>
      </w:pPr>
      <w:bookmarkStart w:name="7、合营安排分类及共同经营会计处理方法" w:id="178"/>
      <w:bookmarkEnd w:id="178"/>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15"/>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15"/>
        <w:jc w:val="left"/>
        <w:rPr>
          <w:b w:val="0"/>
          <w:bCs w:val="0"/>
        </w:rPr>
      </w:pPr>
      <w:bookmarkStart w:name="8、现金及现金等价物的确定标准" w:id="179"/>
      <w:bookmarkEnd w:id="179"/>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472" w:right="915"/>
        <w:jc w:val="left"/>
      </w:pPr>
      <w:r>
        <w:rPr/>
        <w:t>现金流量表的现金指企业库存现金及可以随时用于支付的存款。现金等价物指持有的期限短（一般是指从购买日起三个</w:t>
      </w:r>
    </w:p>
    <w:p>
      <w:pPr>
        <w:spacing w:after="0" w:line="240" w:lineRule="auto"/>
        <w:jc w:val="left"/>
        <w:sectPr>
          <w:pgSz w:w="11910" w:h="16840"/>
          <w:pgMar w:header="919" w:footer="1016" w:top="1120" w:bottom="1200" w:left="1020" w:right="0"/>
        </w:sectPr>
      </w:pPr>
    </w:p>
    <w:p>
      <w:pPr>
        <w:spacing w:line="240" w:lineRule="auto" w:before="12"/>
        <w:rPr>
          <w:rFonts w:ascii="宋体" w:hAnsi="宋体" w:cs="宋体" w:eastAsia="宋体" w:hint="default"/>
          <w:sz w:val="20"/>
          <w:szCs w:val="20"/>
        </w:rPr>
      </w:pPr>
    </w:p>
    <w:p>
      <w:pPr>
        <w:pStyle w:val="BodyText"/>
        <w:spacing w:line="240" w:lineRule="auto" w:before="44"/>
        <w:ind w:right="0"/>
        <w:jc w:val="both"/>
      </w:pPr>
      <w:r>
        <w:rPr/>
        <w:t>月内到期</w:t>
      </w:r>
      <w:r>
        <w:rPr>
          <w:spacing w:val="-89"/>
        </w:rPr>
        <w:t>）</w:t>
      </w:r>
      <w:r>
        <w:rPr/>
        <w:t>、流动性强、易于转换为已知金额现金、价值变动风险很小的投资。</w:t>
      </w:r>
    </w:p>
    <w:p>
      <w:pPr>
        <w:spacing w:line="240" w:lineRule="auto" w:before="11"/>
        <w:rPr>
          <w:rFonts w:ascii="宋体" w:hAnsi="宋体" w:cs="宋体" w:eastAsia="宋体" w:hint="default"/>
          <w:sz w:val="26"/>
          <w:szCs w:val="26"/>
        </w:rPr>
      </w:pPr>
    </w:p>
    <w:p>
      <w:pPr>
        <w:pStyle w:val="Heading3"/>
        <w:spacing w:line="240" w:lineRule="auto"/>
        <w:ind w:right="0"/>
        <w:jc w:val="both"/>
        <w:rPr>
          <w:b w:val="0"/>
          <w:bCs w:val="0"/>
        </w:rPr>
      </w:pPr>
      <w:bookmarkStart w:name="9、外币业务和外币报表折算" w:id="180"/>
      <w:bookmarkEnd w:id="180"/>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2" w:firstLine="360"/>
        <w:jc w:val="both"/>
      </w:pPr>
      <w:r>
        <w:rPr>
          <w:spacing w:val="-2"/>
        </w:rPr>
        <w:t>本公司收到投资者以外币投入资本时按当日即期汇率折合为人民币，其他外币交易在初始确认时按交易发生日的即期汇</w:t>
      </w:r>
      <w:r>
        <w:rPr/>
        <w:t> 率折合为人民币。</w:t>
      </w:r>
    </w:p>
    <w:p>
      <w:pPr>
        <w:pStyle w:val="BodyText"/>
        <w:spacing w:line="468" w:lineRule="exact" w:before="10"/>
        <w:ind w:left="472" w:right="915"/>
        <w:jc w:val="left"/>
      </w:pPr>
      <w:r>
        <w:rPr/>
        <w:t>即期汇率是中国人民银行公布的人民币外汇牌价。 </w:t>
      </w:r>
      <w:r>
        <w:rPr>
          <w:spacing w:val="-2"/>
        </w:rPr>
        <w:t>年末外币货币性项目，采用资产负债表日的即期汇率折算。除与购建或者生产符合资本化条件资产有关的专门借款本金</w:t>
      </w:r>
    </w:p>
    <w:p>
      <w:pPr>
        <w:pStyle w:val="BodyText"/>
        <w:spacing w:line="316" w:lineRule="auto" w:before="8"/>
        <w:ind w:right="1130"/>
        <w:jc w:val="both"/>
      </w:pPr>
      <w:r>
        <w:rPr>
          <w:spacing w:val="-2"/>
        </w:rPr>
        <w:t>和利息的汇兑差额外，其他汇兑差额计入当期损益。以历史成本计量的外币非货币性项目，不改变其记账本位币金额。以公</w:t>
      </w:r>
      <w:r>
        <w:rPr>
          <w:spacing w:val="-64"/>
        </w:rPr>
        <w:t> </w:t>
      </w:r>
      <w:r>
        <w:rPr>
          <w:spacing w:val="-64"/>
        </w:rPr>
      </w:r>
      <w:r>
        <w:rPr>
          <w:spacing w:val="-2"/>
        </w:rPr>
        <w:t>允价值计量的外币非货币性项目，采用公允价值确定日的即期汇率折算，折算后的记账本位币金额与原记账本位币金额的差</w:t>
      </w:r>
      <w:r>
        <w:rPr>
          <w:spacing w:val="-64"/>
        </w:rPr>
        <w:t> </w:t>
      </w:r>
      <w:r>
        <w:rPr>
          <w:spacing w:val="-64"/>
        </w:rPr>
      </w:r>
      <w:r>
        <w:rPr>
          <w:spacing w:val="-2"/>
        </w:rPr>
        <w:t>额，属于可供出售金融资产的外币非货币性项目，其差额计入资本公积；属于以公允价值计量且其变动计入当期损益的外币</w:t>
      </w:r>
      <w:r>
        <w:rPr>
          <w:spacing w:val="-63"/>
        </w:rPr>
        <w:t> </w:t>
      </w:r>
      <w:r>
        <w:rPr>
          <w:spacing w:val="-63"/>
        </w:rPr>
      </w:r>
      <w:r>
        <w:rPr/>
        <w:t>非货币性项目，其差额计入当期损益。</w:t>
      </w:r>
    </w:p>
    <w:p>
      <w:pPr>
        <w:spacing w:line="240" w:lineRule="auto" w:before="8"/>
        <w:rPr>
          <w:rFonts w:ascii="宋体" w:hAnsi="宋体" w:cs="宋体" w:eastAsia="宋体" w:hint="default"/>
          <w:sz w:val="22"/>
          <w:szCs w:val="22"/>
        </w:rPr>
      </w:pPr>
    </w:p>
    <w:p>
      <w:pPr>
        <w:pStyle w:val="Heading3"/>
        <w:spacing w:line="240" w:lineRule="auto"/>
        <w:ind w:right="0"/>
        <w:jc w:val="both"/>
        <w:rPr>
          <w:b w:val="0"/>
          <w:bCs w:val="0"/>
        </w:rPr>
      </w:pPr>
      <w:bookmarkStart w:name="10、金融工具" w:id="181"/>
      <w:bookmarkEnd w:id="181"/>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4"/>
        <w:rPr>
          <w:rFonts w:ascii="宋体" w:hAnsi="宋体" w:cs="宋体" w:eastAsia="宋体" w:hint="default"/>
          <w:b/>
          <w:bCs/>
          <w:sz w:val="26"/>
          <w:szCs w:val="26"/>
        </w:rPr>
      </w:pPr>
    </w:p>
    <w:p>
      <w:pPr>
        <w:pStyle w:val="BodyText"/>
        <w:spacing w:line="477" w:lineRule="auto"/>
        <w:ind w:left="532" w:right="4934"/>
        <w:jc w:val="left"/>
      </w:pPr>
      <w:r>
        <w:rPr/>
        <w:t>1.金融工具的确认和终止确认 本公司于成为金融工具合同的一方时确认一项金融资产或金融负债。</w:t>
      </w:r>
    </w:p>
    <w:p>
      <w:pPr>
        <w:pStyle w:val="BodyText"/>
        <w:spacing w:line="316" w:lineRule="auto" w:before="54"/>
        <w:ind w:right="1132" w:firstLine="420"/>
        <w:jc w:val="both"/>
      </w:pPr>
      <w:r>
        <w:rPr/>
        <w:t>以常规方式买卖金融资产，按交易日会计进行确认和终止确认。常规方式买卖金融资产，是指按照合同条款的约定， 在法规或通行惯例规定的期限内收取或交付金融资产。交易日，是指本公司承诺买入或卖出金融资产的日期。</w:t>
      </w:r>
    </w:p>
    <w:p>
      <w:pPr>
        <w:spacing w:line="240" w:lineRule="auto" w:before="5"/>
        <w:rPr>
          <w:rFonts w:ascii="宋体" w:hAnsi="宋体" w:cs="宋体" w:eastAsia="宋体" w:hint="default"/>
          <w:sz w:val="13"/>
          <w:szCs w:val="13"/>
        </w:rPr>
      </w:pPr>
    </w:p>
    <w:p>
      <w:pPr>
        <w:pStyle w:val="BodyText"/>
        <w:spacing w:line="316" w:lineRule="auto"/>
        <w:ind w:right="1132" w:firstLine="420"/>
        <w:jc w:val="both"/>
      </w:pPr>
      <w:r>
        <w:rPr/>
        <w:t>满足下列条件的，终止确认金融资产(或金融资产的一部分，或一组类似金融资产的一部分)，即从其账户和资产负债 表内予以转销：</w:t>
      </w:r>
    </w:p>
    <w:p>
      <w:pPr>
        <w:spacing w:line="240" w:lineRule="auto" w:before="5"/>
        <w:rPr>
          <w:rFonts w:ascii="宋体" w:hAnsi="宋体" w:cs="宋体" w:eastAsia="宋体" w:hint="default"/>
          <w:sz w:val="13"/>
          <w:szCs w:val="13"/>
        </w:rPr>
      </w:pPr>
    </w:p>
    <w:p>
      <w:pPr>
        <w:pStyle w:val="BodyText"/>
        <w:spacing w:line="240" w:lineRule="auto"/>
        <w:ind w:left="532" w:right="915"/>
        <w:jc w:val="left"/>
      </w:pPr>
      <w:r>
        <w:rPr/>
        <w:t>（1）收取金融资产现金流量的权利届满；</w:t>
      </w:r>
    </w:p>
    <w:p>
      <w:pPr>
        <w:spacing w:line="240" w:lineRule="auto" w:before="10"/>
        <w:rPr>
          <w:rFonts w:ascii="宋体" w:hAnsi="宋体" w:cs="宋体" w:eastAsia="宋体" w:hint="default"/>
          <w:sz w:val="17"/>
          <w:szCs w:val="17"/>
        </w:rPr>
      </w:pPr>
    </w:p>
    <w:p>
      <w:pPr>
        <w:pStyle w:val="BodyText"/>
        <w:spacing w:line="316" w:lineRule="auto"/>
        <w:ind w:right="1130" w:firstLine="420"/>
        <w:jc w:val="both"/>
      </w:pPr>
      <w:r>
        <w:rPr>
          <w:spacing w:val="-1"/>
        </w:rPr>
        <w:t>（2）转移了收取金融资产现金流量的权利，或在“过手协议”下承担了及时将收取的现金流量全额支付给第三方的义</w:t>
      </w:r>
      <w:r>
        <w:rPr/>
        <w:t> </w:t>
      </w:r>
      <w:r>
        <w:rPr>
          <w:spacing w:val="-2"/>
        </w:rPr>
        <w:t>务；并且（a）实质上转让了金融资产所有权上几乎所有的风险和报酬，或（b）虽然实质上既没有转移也没有保留金融资产</w:t>
      </w:r>
      <w:r>
        <w:rPr>
          <w:spacing w:val="-62"/>
        </w:rPr>
        <w:t> </w:t>
      </w:r>
      <w:r>
        <w:rPr>
          <w:spacing w:val="-62"/>
        </w:rPr>
      </w:r>
      <w:r>
        <w:rPr/>
        <w:t>所有权上几乎所有的风险和报酬，但放弃了对该金融资产的控制。</w:t>
      </w:r>
    </w:p>
    <w:p>
      <w:pPr>
        <w:pStyle w:val="BodyText"/>
        <w:spacing w:line="468" w:lineRule="exact" w:before="10"/>
        <w:ind w:left="532" w:right="915"/>
        <w:jc w:val="left"/>
      </w:pPr>
      <w:r>
        <w:rPr/>
        <w:t>2.金融资产分类和计量 本公司的金融资产于初始确认时根据本公司管理金融资产的业务模式和金融资产的合同现金流量特征分类为：以摊余</w:t>
      </w:r>
    </w:p>
    <w:p>
      <w:pPr>
        <w:pStyle w:val="BodyText"/>
        <w:spacing w:line="316" w:lineRule="auto" w:before="8"/>
        <w:ind w:right="1132"/>
        <w:jc w:val="both"/>
      </w:pPr>
      <w:r>
        <w:rPr>
          <w:spacing w:val="-2"/>
        </w:rPr>
        <w:t>成本计量的金融资产、以公允价值计量且其变动计入其他综合收益的金融资产以及以公允价值计量且其变动计入当期损益的</w:t>
      </w:r>
      <w:r>
        <w:rPr>
          <w:spacing w:val="-64"/>
        </w:rPr>
        <w:t> </w:t>
      </w:r>
      <w:r>
        <w:rPr>
          <w:spacing w:val="-64"/>
        </w:rPr>
      </w:r>
      <w:r>
        <w:rPr/>
        <w:t>金融资产。金融资产的后续计量取决于其分类。</w:t>
      </w:r>
    </w:p>
    <w:p>
      <w:pPr>
        <w:spacing w:line="240" w:lineRule="auto" w:before="5"/>
        <w:rPr>
          <w:rFonts w:ascii="宋体" w:hAnsi="宋体" w:cs="宋体" w:eastAsia="宋体" w:hint="default"/>
          <w:sz w:val="13"/>
          <w:szCs w:val="13"/>
        </w:rPr>
      </w:pPr>
    </w:p>
    <w:p>
      <w:pPr>
        <w:pStyle w:val="BodyText"/>
        <w:spacing w:line="240" w:lineRule="auto"/>
        <w:ind w:left="532" w:right="915"/>
        <w:jc w:val="left"/>
      </w:pPr>
      <w:r>
        <w:rPr/>
        <w:t>本公司对金融资产的分类，依据本公司管理金融资产的业务模式和金融资产的现金流量特征进行分类。</w:t>
      </w:r>
    </w:p>
    <w:p>
      <w:pPr>
        <w:pStyle w:val="BodyText"/>
        <w:spacing w:line="470" w:lineRule="atLeast"/>
        <w:ind w:left="532" w:right="915"/>
        <w:jc w:val="left"/>
      </w:pPr>
      <w:r>
        <w:rPr/>
        <w:t>（1）以摊余成本计量的金融资产 金融资产同时符合下列条件的，分类为以摊余成本计量的金融资产：本公司管理该金融资产的业务模式是以收取合同</w:t>
      </w:r>
    </w:p>
    <w:p>
      <w:pPr>
        <w:pStyle w:val="BodyText"/>
        <w:spacing w:line="316" w:lineRule="auto" w:before="76"/>
        <w:ind w:right="1130"/>
        <w:jc w:val="both"/>
      </w:pPr>
      <w:r>
        <w:rPr>
          <w:spacing w:val="-2"/>
        </w:rPr>
        <w:t>现金流量为目标；该金融资产的合同条款规定，在特定日期产生的现金流量，仅为对本金和以未偿付本金金额为基础的利息</w:t>
      </w:r>
      <w:r>
        <w:rPr>
          <w:spacing w:val="-63"/>
        </w:rPr>
        <w:t> </w:t>
      </w:r>
      <w:r>
        <w:rPr>
          <w:spacing w:val="-63"/>
        </w:rPr>
      </w:r>
      <w:r>
        <w:rPr>
          <w:spacing w:val="-2"/>
        </w:rPr>
        <w:t>的支付。对于此类金融资产，采用实际利率法，按照摊余成本进行后续计量，其摊销或减值产生的利得或损失，均计入当期</w:t>
      </w:r>
      <w:r>
        <w:rPr>
          <w:spacing w:val="-63"/>
        </w:rPr>
        <w:t> </w:t>
      </w:r>
      <w:r>
        <w:rPr>
          <w:spacing w:val="-63"/>
        </w:rPr>
      </w:r>
      <w:r>
        <w:rPr/>
        <w:t>损益。</w:t>
      </w:r>
    </w:p>
    <w:p>
      <w:pPr>
        <w:pStyle w:val="BodyText"/>
        <w:spacing w:line="468" w:lineRule="exact" w:before="10"/>
        <w:ind w:left="532" w:right="915"/>
        <w:jc w:val="left"/>
      </w:pPr>
      <w:r>
        <w:rPr/>
        <w:t>（2）以公允价值计量且其变动计入其他综合收益的债务工具投资 金融资产同时符合下列条件的，分类为以公允价值计量且其变动计入其他综合收益的金融资产：本公司管理该金融资</w:t>
      </w:r>
    </w:p>
    <w:p>
      <w:pPr>
        <w:pStyle w:val="BodyText"/>
        <w:spacing w:line="240" w:lineRule="auto" w:before="8"/>
        <w:ind w:right="0"/>
        <w:jc w:val="both"/>
      </w:pPr>
      <w:r>
        <w:rPr/>
        <w:t>产的业务模式是既以收取合同现金流量为目标又以出售金融资产为目标；该金融资产的合同条款规定，在特定日期产生的现</w:t>
      </w:r>
    </w:p>
    <w:p>
      <w:pPr>
        <w:spacing w:after="0" w:line="240" w:lineRule="auto"/>
        <w:jc w:val="both"/>
        <w:sectPr>
          <w:pgSz w:w="11910" w:h="16840"/>
          <w:pgMar w:header="919" w:footer="1016" w:top="1120" w:bottom="1200" w:left="1020" w:right="0"/>
        </w:sectPr>
      </w:pPr>
    </w:p>
    <w:p>
      <w:pPr>
        <w:spacing w:line="240" w:lineRule="auto" w:before="12"/>
        <w:rPr>
          <w:rFonts w:ascii="宋体" w:hAnsi="宋体" w:cs="宋体" w:eastAsia="宋体" w:hint="default"/>
          <w:sz w:val="20"/>
          <w:szCs w:val="20"/>
        </w:rPr>
      </w:pPr>
    </w:p>
    <w:p>
      <w:pPr>
        <w:pStyle w:val="BodyText"/>
        <w:spacing w:line="316" w:lineRule="auto" w:before="44"/>
        <w:ind w:right="1034"/>
        <w:jc w:val="left"/>
      </w:pPr>
      <w:r>
        <w:rPr>
          <w:spacing w:val="-2"/>
        </w:rPr>
        <w:t>金流量，仅为对本金和以未偿付本金金额为基础的利息的支付。对于此类金融资产，采用公允价值进行后续计量。其折价或</w:t>
      </w:r>
      <w:r>
        <w:rPr>
          <w:spacing w:val="-64"/>
        </w:rPr>
        <w:t> </w:t>
      </w:r>
      <w:r>
        <w:rPr>
          <w:spacing w:val="-64"/>
        </w:rPr>
      </w:r>
      <w:r>
        <w:rPr/>
        <w:t>溢价采用实际利率法进行摊销并确认为利息收入或费用。除减值损失及外币货币性金融资产的汇兑差额确认为当期损益外， </w:t>
      </w:r>
      <w:r>
        <w:rPr>
          <w:spacing w:val="-2"/>
        </w:rPr>
        <w:t>此类金融资产的公允价值变动作为其他综合收益确认，直到该金融资产终止确认时，其累计利得或损失转入当期损益。与此</w:t>
      </w:r>
      <w:r>
        <w:rPr>
          <w:spacing w:val="-63"/>
        </w:rPr>
        <w:t> </w:t>
      </w:r>
      <w:r>
        <w:rPr>
          <w:spacing w:val="-63"/>
        </w:rPr>
      </w:r>
      <w:r>
        <w:rPr/>
        <w:t>类金融资产相关利息收入，计入当期损益。</w:t>
      </w:r>
    </w:p>
    <w:p>
      <w:pPr>
        <w:pStyle w:val="BodyText"/>
        <w:spacing w:line="468" w:lineRule="exact" w:before="10"/>
        <w:ind w:left="532" w:right="915"/>
        <w:jc w:val="left"/>
      </w:pPr>
      <w:r>
        <w:rPr/>
        <w:t>（3）以公允价值计量且其变动计入其他综合收益的权益工具投资 本公司不可撤销地选择将部分非交易性权益工具投资指定为以公允价值计量且其变动计入其他综合收益的金融资产，</w:t>
      </w:r>
    </w:p>
    <w:p>
      <w:pPr>
        <w:pStyle w:val="BodyText"/>
        <w:spacing w:line="316" w:lineRule="auto" w:before="8"/>
        <w:ind w:right="915"/>
        <w:jc w:val="left"/>
      </w:pPr>
      <w:r>
        <w:rPr>
          <w:spacing w:val="-2"/>
        </w:rPr>
        <w:t>仅将相关股利收入计入当期损益，公允价值变动作为其他综合收益确认，直到该金融资产终止确认时，其累计利得或损失转</w:t>
      </w:r>
      <w:r>
        <w:rPr>
          <w:spacing w:val="-63"/>
        </w:rPr>
        <w:t> </w:t>
      </w:r>
      <w:r>
        <w:rPr>
          <w:spacing w:val="-63"/>
        </w:rPr>
      </w:r>
      <w:r>
        <w:rPr/>
        <w:t>入留存收益。</w:t>
      </w:r>
    </w:p>
    <w:p>
      <w:pPr>
        <w:pStyle w:val="BodyText"/>
        <w:spacing w:line="468" w:lineRule="exact" w:before="10"/>
        <w:ind w:left="532" w:right="915"/>
        <w:jc w:val="left"/>
      </w:pPr>
      <w:r>
        <w:rPr/>
        <w:t>（4）以公允价值计量且其变动计入当期损益的金融资产 上述以摊余成本计量的金融资产和以公允价值计量且其变动计入其他综合收益的金融资产之外的金融资产，分类为以</w:t>
      </w:r>
    </w:p>
    <w:p>
      <w:pPr>
        <w:pStyle w:val="BodyText"/>
        <w:spacing w:line="316" w:lineRule="auto" w:before="8"/>
        <w:ind w:right="1130"/>
        <w:jc w:val="both"/>
      </w:pPr>
      <w:r>
        <w:rPr>
          <w:spacing w:val="-2"/>
        </w:rPr>
        <w:t>公允价值计量且其变动计入当期损益的金融资产。在初始确认时，为了能够消除或显著减少会计错配，可以将金融资产指定</w:t>
      </w:r>
      <w:r>
        <w:rPr>
          <w:spacing w:val="-63"/>
        </w:rPr>
        <w:t> </w:t>
      </w:r>
      <w:r>
        <w:rPr>
          <w:spacing w:val="-63"/>
        </w:rPr>
      </w:r>
      <w:r>
        <w:rPr>
          <w:spacing w:val="-2"/>
        </w:rPr>
        <w:t>为以公允价值计量且其变动计入当期损益的金融资产。对于此类金融资产，采用公允价值进行后续计量，所有公允价值变动</w:t>
      </w:r>
      <w:r>
        <w:rPr>
          <w:spacing w:val="-63"/>
        </w:rPr>
        <w:t> </w:t>
      </w:r>
      <w:r>
        <w:rPr>
          <w:spacing w:val="-63"/>
        </w:rPr>
      </w:r>
      <w:r>
        <w:rPr/>
        <w:t>计入当期损益。</w:t>
      </w:r>
    </w:p>
    <w:p>
      <w:pPr>
        <w:pStyle w:val="BodyText"/>
        <w:spacing w:line="468" w:lineRule="exact" w:before="10"/>
        <w:ind w:left="532" w:right="915"/>
        <w:jc w:val="left"/>
      </w:pPr>
      <w:r>
        <w:rPr/>
        <w:t>当且仅当本公司改变管理金融资产的业务模式时，才对所有受影响的相关金融资产进行重分类。 对于以公允价值计量且其变动计入当期损益的金融资产，相关交易费用直接计入当期损益，其他类别的金融资产相关</w:t>
      </w:r>
    </w:p>
    <w:p>
      <w:pPr>
        <w:pStyle w:val="BodyText"/>
        <w:spacing w:line="477" w:lineRule="auto" w:before="8"/>
        <w:ind w:left="532" w:right="8234" w:hanging="420"/>
        <w:jc w:val="left"/>
      </w:pPr>
      <w:r>
        <w:rPr/>
        <w:t>交易费用计入其初始确认金额。 3.金融负债分类和计量</w:t>
      </w:r>
    </w:p>
    <w:p>
      <w:pPr>
        <w:pStyle w:val="BodyText"/>
        <w:spacing w:line="316" w:lineRule="auto" w:before="54"/>
        <w:ind w:right="1132" w:firstLine="420"/>
        <w:jc w:val="both"/>
      </w:pPr>
      <w:r>
        <w:rPr/>
        <w:t>本公司的金融负债于初始确认时分类为：以摊余成本计量的金融负债与以公允价值计量且其变动计入当期损益的金融 负债。</w:t>
      </w:r>
    </w:p>
    <w:p>
      <w:pPr>
        <w:spacing w:line="240" w:lineRule="auto" w:before="5"/>
        <w:rPr>
          <w:rFonts w:ascii="宋体" w:hAnsi="宋体" w:cs="宋体" w:eastAsia="宋体" w:hint="default"/>
          <w:sz w:val="13"/>
          <w:szCs w:val="13"/>
        </w:rPr>
      </w:pPr>
    </w:p>
    <w:p>
      <w:pPr>
        <w:pStyle w:val="BodyText"/>
        <w:spacing w:line="316" w:lineRule="auto"/>
        <w:ind w:right="1130" w:firstLine="420"/>
        <w:jc w:val="both"/>
      </w:pPr>
      <w:r>
        <w:rPr>
          <w:spacing w:val="-2"/>
        </w:rPr>
        <w:t>符合以下条件之一的金融负债可在初始计量时指定为以公允价值计量且其变动计入当期损益的金融负债：（1）该项指</w:t>
      </w:r>
      <w:r>
        <w:rPr/>
        <w:t> </w:t>
      </w:r>
      <w:r>
        <w:rPr>
          <w:spacing w:val="-4"/>
        </w:rPr>
        <w:t>定能够消除或显著减少会计错配；（2）根据正式书面文件载明的公司风险管理或投资策略，以公允价值为基础对金融负债组</w:t>
      </w:r>
      <w:r>
        <w:rPr>
          <w:spacing w:val="-42"/>
        </w:rPr>
        <w:t> </w:t>
      </w:r>
      <w:r>
        <w:rPr>
          <w:spacing w:val="-42"/>
        </w:rPr>
      </w:r>
      <w:r>
        <w:rPr>
          <w:spacing w:val="-4"/>
        </w:rPr>
        <w:t>合或金融资产和金融负债组合进行管理和业绩评价，并在公司内部以此为基础向关键管理人员报告；（3）该金融负债包含需</w:t>
      </w:r>
      <w:r>
        <w:rPr>
          <w:spacing w:val="-42"/>
        </w:rPr>
        <w:t> </w:t>
      </w:r>
      <w:r>
        <w:rPr>
          <w:spacing w:val="-42"/>
        </w:rPr>
      </w:r>
      <w:r>
        <w:rPr/>
        <w:t>单独分拆的嵌入衍生工具。</w:t>
      </w:r>
    </w:p>
    <w:p>
      <w:pPr>
        <w:spacing w:line="240" w:lineRule="auto" w:before="5"/>
        <w:rPr>
          <w:rFonts w:ascii="宋体" w:hAnsi="宋体" w:cs="宋体" w:eastAsia="宋体" w:hint="default"/>
          <w:sz w:val="13"/>
          <w:szCs w:val="13"/>
        </w:rPr>
      </w:pPr>
    </w:p>
    <w:p>
      <w:pPr>
        <w:pStyle w:val="BodyText"/>
        <w:spacing w:line="316" w:lineRule="auto"/>
        <w:ind w:right="1132" w:firstLine="420"/>
        <w:jc w:val="both"/>
      </w:pPr>
      <w:r>
        <w:rPr/>
        <w:t>本公司在初始确认时确定金融负债的分类。对于以公允价值计量且其变动计入当期损益的金融负债，相关交易费用直 接计入当期损益，其他金融负债的相关交易费用计入其初始确认金额。</w:t>
      </w:r>
    </w:p>
    <w:p>
      <w:pPr>
        <w:spacing w:line="240" w:lineRule="auto" w:before="5"/>
        <w:rPr>
          <w:rFonts w:ascii="宋体" w:hAnsi="宋体" w:cs="宋体" w:eastAsia="宋体" w:hint="default"/>
          <w:sz w:val="13"/>
          <w:szCs w:val="13"/>
        </w:rPr>
      </w:pPr>
    </w:p>
    <w:p>
      <w:pPr>
        <w:pStyle w:val="BodyText"/>
        <w:spacing w:line="240" w:lineRule="auto"/>
        <w:ind w:left="532" w:right="915"/>
        <w:jc w:val="left"/>
      </w:pPr>
      <w:r>
        <w:rPr/>
        <w:t>金融负债的后续计量取决于其分类：</w:t>
      </w:r>
    </w:p>
    <w:p>
      <w:pPr>
        <w:spacing w:line="240" w:lineRule="auto" w:before="10"/>
        <w:rPr>
          <w:rFonts w:ascii="宋体" w:hAnsi="宋体" w:cs="宋体" w:eastAsia="宋体" w:hint="default"/>
          <w:sz w:val="17"/>
          <w:szCs w:val="17"/>
        </w:rPr>
      </w:pPr>
    </w:p>
    <w:p>
      <w:pPr>
        <w:pStyle w:val="BodyText"/>
        <w:spacing w:line="477" w:lineRule="auto"/>
        <w:ind w:left="532" w:right="4934"/>
        <w:jc w:val="left"/>
      </w:pPr>
      <w:r>
        <w:rPr/>
        <w:t>（1）以摊余成本计量的金融负债 对于此类金融负债，采用实际利率法，按照摊余成本进行后续计量。</w:t>
      </w:r>
    </w:p>
    <w:p>
      <w:pPr>
        <w:pStyle w:val="BodyText"/>
        <w:spacing w:line="240" w:lineRule="auto" w:before="54"/>
        <w:ind w:left="532" w:right="915"/>
        <w:jc w:val="left"/>
      </w:pPr>
      <w:r>
        <w:rPr/>
        <w:t>（2）以公允价值计量且其变动计入当期损益的金融负债</w:t>
      </w:r>
    </w:p>
    <w:p>
      <w:pPr>
        <w:spacing w:line="240" w:lineRule="auto" w:before="10"/>
        <w:rPr>
          <w:rFonts w:ascii="宋体" w:hAnsi="宋体" w:cs="宋体" w:eastAsia="宋体" w:hint="default"/>
          <w:sz w:val="17"/>
          <w:szCs w:val="17"/>
        </w:rPr>
      </w:pPr>
    </w:p>
    <w:p>
      <w:pPr>
        <w:pStyle w:val="BodyText"/>
        <w:spacing w:line="316" w:lineRule="auto"/>
        <w:ind w:right="1130" w:firstLine="420"/>
        <w:jc w:val="both"/>
      </w:pPr>
      <w:r>
        <w:rPr/>
        <w:t>以公允价值计量且其变动计入当期损益的金融负债，包括交易性金融负债(含属于金融负债的衍生工具)和初始确认时 指定为以公允价值计量且其变动计入当期损益的金融负债。</w:t>
      </w:r>
    </w:p>
    <w:p>
      <w:pPr>
        <w:pStyle w:val="BodyText"/>
        <w:spacing w:line="468" w:lineRule="exact" w:before="10"/>
        <w:ind w:left="532" w:right="915"/>
        <w:jc w:val="left"/>
      </w:pPr>
      <w:r>
        <w:rPr/>
        <w:t>4.金融工具抵销 同时满足下列条件的，金融资产和金融负债以相互抵销后的净额在资产负债表内列示：具有抵销已确认金额的法定权</w:t>
      </w:r>
    </w:p>
    <w:p>
      <w:pPr>
        <w:pStyle w:val="BodyText"/>
        <w:spacing w:line="477" w:lineRule="auto" w:before="8"/>
        <w:ind w:left="532" w:right="2834" w:hanging="420"/>
        <w:jc w:val="left"/>
      </w:pPr>
      <w:r>
        <w:rPr/>
        <w:t>利，且该种法定权利是当前可执行的；计划以净额结算，或同时变现该金融资产和清偿该金融负债。 5.金融资产减值</w:t>
      </w:r>
    </w:p>
    <w:p>
      <w:pPr>
        <w:spacing w:after="0" w:line="477" w:lineRule="auto"/>
        <w:jc w:val="left"/>
        <w:sectPr>
          <w:pgSz w:w="11910" w:h="16840"/>
          <w:pgMar w:header="919" w:footer="1016" w:top="1120" w:bottom="1200" w:left="1020" w:right="0"/>
        </w:sectPr>
      </w:pPr>
    </w:p>
    <w:p>
      <w:pPr>
        <w:spacing w:line="240" w:lineRule="auto" w:before="12"/>
        <w:rPr>
          <w:rFonts w:ascii="宋体" w:hAnsi="宋体" w:cs="宋体" w:eastAsia="宋体" w:hint="default"/>
          <w:sz w:val="20"/>
          <w:szCs w:val="20"/>
        </w:rPr>
      </w:pPr>
    </w:p>
    <w:p>
      <w:pPr>
        <w:pStyle w:val="BodyText"/>
        <w:spacing w:line="316" w:lineRule="auto" w:before="44"/>
        <w:ind w:right="1130" w:firstLine="420"/>
        <w:jc w:val="both"/>
      </w:pPr>
      <w:r>
        <w:rPr/>
        <w:t>本公司对于以摊余成本计量的金融资产、以公允价值计量且其变动计入其他综合收益的债务工具投资和财务担保合同 </w:t>
      </w:r>
      <w:r>
        <w:rPr>
          <w:spacing w:val="-2"/>
        </w:rPr>
        <w:t>等，以预期信用损失为基础确认损失准备。信用损失，是指本公司按照原实际利率折现的、根据合同应收的所有合同现金流</w:t>
      </w:r>
      <w:r>
        <w:rPr>
          <w:spacing w:val="-64"/>
        </w:rPr>
        <w:t> </w:t>
      </w:r>
      <w:r>
        <w:rPr>
          <w:spacing w:val="-64"/>
        </w:rPr>
      </w:r>
      <w:r>
        <w:rPr/>
        <w:t>量与预期收取的所有现金流量之间的差额，即全部现金短缺的现值。</w:t>
      </w:r>
    </w:p>
    <w:p>
      <w:pPr>
        <w:spacing w:line="240" w:lineRule="auto" w:before="5"/>
        <w:rPr>
          <w:rFonts w:ascii="宋体" w:hAnsi="宋体" w:cs="宋体" w:eastAsia="宋体" w:hint="default"/>
          <w:sz w:val="13"/>
          <w:szCs w:val="13"/>
        </w:rPr>
      </w:pPr>
    </w:p>
    <w:p>
      <w:pPr>
        <w:pStyle w:val="BodyText"/>
        <w:spacing w:line="316" w:lineRule="auto"/>
        <w:ind w:right="1132" w:firstLine="420"/>
        <w:jc w:val="both"/>
      </w:pPr>
      <w:r>
        <w:rPr/>
        <w:t>本公司考虑所有合理且有依据的信息，包括前瞻性信息，以单项或组合的方式对以摊余成本计量的金融资产和以公允 价值计量且其变动计入其他综合收益的金融资产（债务工具）的预期信用损失进行估计。</w:t>
      </w:r>
    </w:p>
    <w:p>
      <w:pPr>
        <w:pStyle w:val="BodyText"/>
        <w:spacing w:line="468" w:lineRule="exact" w:before="10"/>
        <w:ind w:left="532" w:right="915"/>
        <w:jc w:val="left"/>
      </w:pPr>
      <w:r>
        <w:rPr/>
        <w:t>（1）预期信用损失一般模型 如果该金融工具的信用风险自初始确认后已显著增加，本公司按照相当于该金融工具整个存续期内预期信用损失的金</w:t>
      </w:r>
    </w:p>
    <w:p>
      <w:pPr>
        <w:pStyle w:val="BodyText"/>
        <w:spacing w:line="316" w:lineRule="auto" w:before="8"/>
        <w:ind w:right="1130"/>
        <w:jc w:val="both"/>
      </w:pPr>
      <w:r>
        <w:rPr>
          <w:spacing w:val="-2"/>
        </w:rPr>
        <w:t>额计量其损失准备；如果该金融工具的信用风险自初始确认后并未显著增加，本公司按照相当于该金融工具未来12个月内预</w:t>
      </w:r>
      <w:r>
        <w:rPr>
          <w:spacing w:val="-63"/>
        </w:rPr>
        <w:t> </w:t>
      </w:r>
      <w:r>
        <w:rPr>
          <w:spacing w:val="-63"/>
        </w:rPr>
      </w:r>
      <w:r>
        <w:rPr>
          <w:spacing w:val="-2"/>
        </w:rPr>
        <w:t>期信用损失的金额计量其损失准备。由此形成的损失准备的增加或转回金额，作为减值损失或利得计入当期损益。本公司对</w:t>
      </w:r>
      <w:r>
        <w:rPr>
          <w:spacing w:val="-63"/>
        </w:rPr>
        <w:t> </w:t>
      </w:r>
      <w:r>
        <w:rPr>
          <w:spacing w:val="-63"/>
        </w:rPr>
      </w:r>
      <w:r>
        <w:rPr>
          <w:spacing w:val="-4"/>
        </w:rPr>
        <w:t>信用风险的具体评估，详见附注“九、与金融工具相关的风险”。</w:t>
      </w:r>
    </w:p>
    <w:p>
      <w:pPr>
        <w:spacing w:line="240" w:lineRule="auto" w:before="5"/>
        <w:rPr>
          <w:rFonts w:ascii="宋体" w:hAnsi="宋体" w:cs="宋体" w:eastAsia="宋体" w:hint="default"/>
          <w:sz w:val="13"/>
          <w:szCs w:val="13"/>
        </w:rPr>
      </w:pPr>
    </w:p>
    <w:p>
      <w:pPr>
        <w:pStyle w:val="BodyText"/>
        <w:spacing w:line="316" w:lineRule="auto"/>
        <w:ind w:right="1130" w:firstLine="420"/>
        <w:jc w:val="both"/>
      </w:pPr>
      <w:r>
        <w:rPr/>
        <w:t>通常逾期超过30日，本公司即认为该金融工具的信用风险已显著增加，除非有确凿证据证明该金融工具的信用风险自 初始确认后并未显著增加。</w:t>
      </w:r>
    </w:p>
    <w:p>
      <w:pPr>
        <w:spacing w:line="240" w:lineRule="auto" w:before="5"/>
        <w:rPr>
          <w:rFonts w:ascii="宋体" w:hAnsi="宋体" w:cs="宋体" w:eastAsia="宋体" w:hint="default"/>
          <w:sz w:val="13"/>
          <w:szCs w:val="13"/>
        </w:rPr>
      </w:pPr>
    </w:p>
    <w:p>
      <w:pPr>
        <w:pStyle w:val="BodyText"/>
        <w:spacing w:line="316" w:lineRule="auto"/>
        <w:ind w:right="1132" w:firstLine="420"/>
        <w:jc w:val="both"/>
      </w:pPr>
      <w:r>
        <w:rPr/>
        <w:t>具体来说，本公司将购买或源生时未发生信用减值的金融工具发生信用减值的过程分为三个阶段，对于不同阶段的金 融工具的减值有不同的会计处理方法：</w:t>
      </w:r>
    </w:p>
    <w:p>
      <w:pPr>
        <w:pStyle w:val="BodyText"/>
        <w:spacing w:line="468" w:lineRule="exact" w:before="10"/>
        <w:ind w:left="532" w:right="915"/>
        <w:jc w:val="left"/>
      </w:pPr>
      <w:r>
        <w:rPr/>
        <w:t>第一阶段：信用风险自初始确认后未显著增加 对于处于该阶段的金融工具，企业应当按照未来12个月的预期信用损失计量损失准备，并按其账面余额（即未扣除减</w:t>
      </w:r>
    </w:p>
    <w:p>
      <w:pPr>
        <w:pStyle w:val="BodyText"/>
        <w:spacing w:line="477" w:lineRule="auto" w:before="8"/>
        <w:ind w:left="532" w:right="915" w:hanging="420"/>
        <w:jc w:val="left"/>
      </w:pPr>
      <w:r>
        <w:rPr>
          <w:spacing w:val="-3"/>
        </w:rPr>
        <w:t>值准备）和实际利率计算利息收入（若该工具为金融资产，下同）。</w:t>
      </w:r>
      <w:r>
        <w:rPr/>
        <w:t> 第二阶段：信用风险自初始确认后己显著增加但尚未发生信用减值</w:t>
      </w:r>
    </w:p>
    <w:p>
      <w:pPr>
        <w:pStyle w:val="BodyText"/>
        <w:spacing w:line="316" w:lineRule="auto" w:before="54"/>
        <w:ind w:right="1132" w:firstLine="420"/>
        <w:jc w:val="both"/>
      </w:pPr>
      <w:r>
        <w:rPr/>
        <w:t>对于处于该阶段的金融工具，企业应当按照该工具整个存续期的预期信用损失计量损失准备，并按其账面余额和实际 利率计算利息收入。</w:t>
      </w:r>
    </w:p>
    <w:p>
      <w:pPr>
        <w:pStyle w:val="BodyText"/>
        <w:spacing w:line="468" w:lineRule="exact" w:before="10"/>
        <w:ind w:left="532" w:right="915"/>
        <w:jc w:val="left"/>
      </w:pPr>
      <w:r>
        <w:rPr/>
        <w:t>第三阶段：初始确认后发生信用减值 对于处于该阶段的金融工具，企业应当按照该工具整个存续期的预期信用损失计量损失准备，但对利息收入的计算不</w:t>
      </w:r>
    </w:p>
    <w:p>
      <w:pPr>
        <w:pStyle w:val="BodyText"/>
        <w:spacing w:line="316" w:lineRule="auto" w:before="8"/>
        <w:ind w:right="1130"/>
        <w:jc w:val="both"/>
      </w:pPr>
      <w:r>
        <w:rPr>
          <w:spacing w:val="-2"/>
        </w:rPr>
        <w:t>同于处于前两阶段的金融资产。对于已发生信用减值的金融资产，企业应当按其摊余成本（账面余额减已计提减值准备，也</w:t>
      </w:r>
      <w:r>
        <w:rPr>
          <w:spacing w:val="-64"/>
        </w:rPr>
        <w:t> </w:t>
      </w:r>
      <w:r>
        <w:rPr>
          <w:spacing w:val="-64"/>
        </w:rPr>
      </w:r>
      <w:r>
        <w:rPr/>
        <w:t>即账面价值）和实际利率计算利息收入。</w:t>
      </w:r>
    </w:p>
    <w:p>
      <w:pPr>
        <w:spacing w:line="240" w:lineRule="auto" w:before="5"/>
        <w:rPr>
          <w:rFonts w:ascii="宋体" w:hAnsi="宋体" w:cs="宋体" w:eastAsia="宋体" w:hint="default"/>
          <w:sz w:val="13"/>
          <w:szCs w:val="13"/>
        </w:rPr>
      </w:pPr>
    </w:p>
    <w:p>
      <w:pPr>
        <w:pStyle w:val="BodyText"/>
        <w:spacing w:line="316" w:lineRule="auto"/>
        <w:ind w:right="1132" w:firstLine="420"/>
        <w:jc w:val="both"/>
      </w:pPr>
      <w:r>
        <w:rPr/>
        <w:t>对于购买或源生时已发生信用减值的金融资产，企业应当仅将初始确认后整个存续期内预期信用损失的变动确认为损 失准备，并按其摊余成本和经信用调整的实际利率计算利息收入。</w:t>
      </w:r>
    </w:p>
    <w:p>
      <w:pPr>
        <w:spacing w:line="240" w:lineRule="auto" w:before="5"/>
        <w:rPr>
          <w:rFonts w:ascii="宋体" w:hAnsi="宋体" w:cs="宋体" w:eastAsia="宋体" w:hint="default"/>
          <w:sz w:val="13"/>
          <w:szCs w:val="13"/>
        </w:rPr>
      </w:pPr>
    </w:p>
    <w:p>
      <w:pPr>
        <w:pStyle w:val="BodyText"/>
        <w:spacing w:line="316" w:lineRule="auto"/>
        <w:ind w:right="1130" w:firstLine="420"/>
        <w:jc w:val="both"/>
      </w:pPr>
      <w:r>
        <w:rPr>
          <w:spacing w:val="-1"/>
        </w:rPr>
        <w:t>（2）本公司对在资产负债表日具有较低信用风险的金融工具，选择不与其初始确认时的信用风险进行比较，而直接做</w:t>
      </w:r>
      <w:r>
        <w:rPr/>
        <w:t> 出该工具的信用风险自初始确认后未显著增加的假定。</w:t>
      </w:r>
    </w:p>
    <w:p>
      <w:pPr>
        <w:spacing w:line="240" w:lineRule="auto" w:before="5"/>
        <w:rPr>
          <w:rFonts w:ascii="宋体" w:hAnsi="宋体" w:cs="宋体" w:eastAsia="宋体" w:hint="default"/>
          <w:sz w:val="13"/>
          <w:szCs w:val="13"/>
        </w:rPr>
      </w:pPr>
    </w:p>
    <w:p>
      <w:pPr>
        <w:pStyle w:val="BodyText"/>
        <w:spacing w:line="316" w:lineRule="auto"/>
        <w:ind w:right="1132" w:firstLine="420"/>
        <w:jc w:val="both"/>
      </w:pPr>
      <w:r>
        <w:rPr/>
        <w:t>如果企业确定金融工具的违约风险较低，借款人在短期内履行其支付合同现金流量义务的能力很强，并且即使较长时 </w:t>
      </w:r>
      <w:r>
        <w:rPr>
          <w:spacing w:val="-2"/>
        </w:rPr>
        <w:t>期内经济形势和经营环境存在不利变化，也不一定会降低借款人履行其支付合同现金流量义务的能力，那么该金融工具可被</w:t>
      </w:r>
      <w:r>
        <w:rPr>
          <w:spacing w:val="-64"/>
        </w:rPr>
        <w:t> </w:t>
      </w:r>
      <w:r>
        <w:rPr>
          <w:spacing w:val="-64"/>
        </w:rPr>
      </w:r>
      <w:r>
        <w:rPr/>
        <w:t>视为具有较低的信用风险。</w:t>
      </w:r>
    </w:p>
    <w:p>
      <w:pPr>
        <w:pStyle w:val="BodyText"/>
        <w:spacing w:line="468" w:lineRule="exact" w:before="10"/>
        <w:ind w:left="532" w:right="915"/>
        <w:jc w:val="left"/>
      </w:pPr>
      <w:r>
        <w:rPr/>
        <w:t>6.金融资产转移 本公司已将金融资产所有权上几乎所有的风险和报酬转移给转入方的，终止确认该金融资产；保留了金融资产所有权</w:t>
      </w:r>
    </w:p>
    <w:p>
      <w:pPr>
        <w:pStyle w:val="BodyText"/>
        <w:spacing w:line="240" w:lineRule="auto" w:before="8"/>
        <w:ind w:right="0"/>
        <w:jc w:val="both"/>
      </w:pPr>
      <w:r>
        <w:rPr/>
        <w:t>上几乎所有的风险和报酬的，不终止确认该金融资产。</w:t>
      </w:r>
    </w:p>
    <w:p>
      <w:pPr>
        <w:spacing w:line="240" w:lineRule="auto" w:before="10"/>
        <w:rPr>
          <w:rFonts w:ascii="宋体" w:hAnsi="宋体" w:cs="宋体" w:eastAsia="宋体" w:hint="default"/>
          <w:sz w:val="17"/>
          <w:szCs w:val="17"/>
        </w:rPr>
      </w:pPr>
    </w:p>
    <w:p>
      <w:pPr>
        <w:pStyle w:val="BodyText"/>
        <w:spacing w:line="316" w:lineRule="auto"/>
        <w:ind w:right="1130" w:firstLine="420"/>
        <w:jc w:val="both"/>
      </w:pPr>
      <w:r>
        <w:rPr/>
        <w:t>本公司既没有转移也没有保留金融资产所有权上几乎所有的风险和报酬的，分别下列情况处理：放弃了对该金融资产 </w:t>
      </w:r>
      <w:r>
        <w:rPr>
          <w:spacing w:val="-2"/>
        </w:rPr>
        <w:t>控制的，终止确认该金融资产并确认产生的资产和负债；未放弃对该金融资产控制的，按照其继续涉入所转移金融资产的程</w:t>
      </w:r>
    </w:p>
    <w:p>
      <w:pPr>
        <w:spacing w:after="0" w:line="316" w:lineRule="auto"/>
        <w:jc w:val="both"/>
        <w:sectPr>
          <w:pgSz w:w="11910" w:h="16840"/>
          <w:pgMar w:header="919" w:footer="1016" w:top="1120" w:bottom="1200" w:left="1020" w:right="0"/>
        </w:sectPr>
      </w:pPr>
    </w:p>
    <w:p>
      <w:pPr>
        <w:spacing w:line="240" w:lineRule="auto" w:before="12"/>
        <w:rPr>
          <w:rFonts w:ascii="宋体" w:hAnsi="宋体" w:cs="宋体" w:eastAsia="宋体" w:hint="default"/>
          <w:sz w:val="20"/>
          <w:szCs w:val="20"/>
        </w:rPr>
      </w:pPr>
    </w:p>
    <w:p>
      <w:pPr>
        <w:pStyle w:val="BodyText"/>
        <w:spacing w:line="240" w:lineRule="auto" w:before="44"/>
        <w:ind w:left="132" w:right="0"/>
        <w:jc w:val="both"/>
      </w:pPr>
      <w:r>
        <w:rPr/>
        <w:t>度确认有关金融资产，并相应确认有关负债。</w:t>
      </w:r>
    </w:p>
    <w:p>
      <w:pPr>
        <w:spacing w:line="240" w:lineRule="auto" w:before="10"/>
        <w:rPr>
          <w:rFonts w:ascii="宋体" w:hAnsi="宋体" w:cs="宋体" w:eastAsia="宋体" w:hint="default"/>
          <w:sz w:val="17"/>
          <w:szCs w:val="17"/>
        </w:rPr>
      </w:pPr>
    </w:p>
    <w:p>
      <w:pPr>
        <w:pStyle w:val="BodyText"/>
        <w:spacing w:line="316" w:lineRule="auto"/>
        <w:ind w:left="132" w:right="1124" w:firstLine="420"/>
        <w:jc w:val="left"/>
      </w:pPr>
      <w:r>
        <w:rPr/>
        <w:t>通过对所转移金融资产提供财务担保方式继续涉入的，按照金融资产的账面价值和财务担保金额两者之中的较低者， 确认继续涉入形成的资产。财务担保金额，是指所收到的对价中，将被要求偿还的最高金额。</w:t>
      </w:r>
    </w:p>
    <w:p>
      <w:pPr>
        <w:spacing w:line="240" w:lineRule="auto" w:before="6"/>
        <w:rPr>
          <w:rFonts w:ascii="宋体" w:hAnsi="宋体" w:cs="宋体" w:eastAsia="宋体" w:hint="default"/>
          <w:sz w:val="22"/>
          <w:szCs w:val="22"/>
        </w:rPr>
      </w:pPr>
    </w:p>
    <w:p>
      <w:pPr>
        <w:pStyle w:val="Heading3"/>
        <w:spacing w:line="240" w:lineRule="auto"/>
        <w:ind w:left="132" w:right="0"/>
        <w:jc w:val="both"/>
        <w:rPr>
          <w:b w:val="0"/>
          <w:bCs w:val="0"/>
        </w:rPr>
      </w:pPr>
      <w:bookmarkStart w:name="11、应收票据" w:id="182"/>
      <w:bookmarkEnd w:id="182"/>
      <w:r>
        <w:rPr>
          <w:b w:val="0"/>
          <w:bCs w:val="0"/>
        </w:rPr>
      </w:r>
      <w:r>
        <w:rPr>
          <w:rFonts w:ascii="Times New Roman" w:hAnsi="Times New Roman" w:cs="Times New Roman" w:eastAsia="Times New Roman" w:hint="default"/>
        </w:rPr>
        <w:t>11</w:t>
      </w:r>
      <w:r>
        <w:rPr/>
        <w:t>、应收票据</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32" w:right="0"/>
        <w:jc w:val="both"/>
      </w:pPr>
      <w:r>
        <w:rPr/>
        <w:t>无</w:t>
      </w:r>
    </w:p>
    <w:p>
      <w:pPr>
        <w:spacing w:line="240" w:lineRule="auto" w:before="0"/>
        <w:rPr>
          <w:rFonts w:ascii="宋体" w:hAnsi="宋体" w:cs="宋体" w:eastAsia="宋体" w:hint="default"/>
          <w:sz w:val="18"/>
          <w:szCs w:val="18"/>
        </w:rPr>
      </w:pPr>
    </w:p>
    <w:p>
      <w:pPr>
        <w:pStyle w:val="Heading3"/>
        <w:spacing w:line="240" w:lineRule="auto" w:before="118"/>
        <w:ind w:left="132" w:right="0"/>
        <w:jc w:val="both"/>
        <w:rPr>
          <w:b w:val="0"/>
          <w:bCs w:val="0"/>
        </w:rPr>
      </w:pPr>
      <w:bookmarkStart w:name="12、应收账款" w:id="183"/>
      <w:bookmarkEnd w:id="183"/>
      <w:r>
        <w:rPr>
          <w:b w:val="0"/>
          <w:bCs w:val="0"/>
        </w:rPr>
      </w:r>
      <w:r>
        <w:rPr>
          <w:rFonts w:ascii="Times New Roman" w:hAnsi="Times New Roman" w:cs="Times New Roman" w:eastAsia="Times New Roman" w:hint="default"/>
        </w:rPr>
        <w:t>12</w:t>
      </w:r>
      <w:r>
        <w:rPr/>
        <w:t>、应收账款</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132" w:right="1124" w:firstLine="420"/>
        <w:jc w:val="left"/>
      </w:pPr>
      <w:r>
        <w:rPr/>
        <w:t>本公司对外销售商品或提供劳务形成的应收账款，按从购货方应收的合同或协议价款的公允价值作为初始确认金额。 应收款项采用实际利率法，以摊余成本减去坏账准备后的净额列示。</w:t>
      </w:r>
    </w:p>
    <w:p>
      <w:pPr>
        <w:pStyle w:val="BodyText"/>
        <w:spacing w:line="468" w:lineRule="exact" w:before="10"/>
        <w:ind w:left="492" w:right="1124" w:firstLine="60"/>
        <w:jc w:val="left"/>
      </w:pPr>
      <w:r>
        <w:rPr/>
        <w:t>对于应收款项，本公司按照整个存续期的预期信用损失计量损失准备。 单项金额重大的应收款项坏账准备的确认标准、计提方法 公司将单项金额超过100万元人民币的应收账款认定为单项金额重大的应收账款，公司将单项金额超过50万元人民币的</w:t>
      </w:r>
    </w:p>
    <w:p>
      <w:pPr>
        <w:pStyle w:val="BodyText"/>
        <w:spacing w:line="316" w:lineRule="auto" w:before="8"/>
        <w:ind w:left="132" w:right="1130"/>
        <w:jc w:val="both"/>
      </w:pPr>
      <w:r>
        <w:rPr>
          <w:spacing w:val="-2"/>
        </w:rPr>
        <w:t>其他应收款认定为单项金额重大的其他应收款。年末对单项金额重大的应收款项单独进行减值测试，如有客观证据表明其已</w:t>
      </w:r>
      <w:r>
        <w:rPr>
          <w:spacing w:val="-64"/>
        </w:rPr>
        <w:t> </w:t>
      </w:r>
      <w:r>
        <w:rPr>
          <w:spacing w:val="-64"/>
        </w:rPr>
      </w:r>
      <w:r>
        <w:rPr>
          <w:spacing w:val="-2"/>
        </w:rPr>
        <w:t>发生减值，根据其预计未来现金流量现值低于其账面价值的差额，单独进行减值测试，确认减值损失，计入当期损益。对单</w:t>
      </w:r>
      <w:r>
        <w:rPr>
          <w:spacing w:val="-65"/>
        </w:rPr>
        <w:t> </w:t>
      </w:r>
      <w:r>
        <w:rPr>
          <w:spacing w:val="-65"/>
        </w:rPr>
      </w:r>
      <w:r>
        <w:rPr>
          <w:spacing w:val="-2"/>
        </w:rPr>
        <w:t>项测试未减值单项金额重大的的应收款项，会同对单项金额非重大的应收款项，按类似的信用风险特征划分为若干组合，根</w:t>
      </w:r>
      <w:r>
        <w:rPr>
          <w:spacing w:val="-63"/>
        </w:rPr>
        <w:t> </w:t>
      </w:r>
      <w:r>
        <w:rPr>
          <w:spacing w:val="-63"/>
        </w:rPr>
      </w:r>
      <w:r>
        <w:rPr>
          <w:spacing w:val="-2"/>
        </w:rPr>
        <w:t>据以前年度与之相同或相类似的、具有类似信用风险特征的应收款项组合的实际损失率为基础，结合现时情况确定本年度各</w:t>
      </w:r>
      <w:r>
        <w:rPr>
          <w:spacing w:val="-64"/>
        </w:rPr>
        <w:t> </w:t>
      </w:r>
      <w:r>
        <w:rPr>
          <w:spacing w:val="-64"/>
        </w:rPr>
      </w:r>
      <w:r>
        <w:rPr/>
        <w:t>项组合计提坏账准备的比例。</w:t>
      </w:r>
    </w:p>
    <w:p>
      <w:pPr>
        <w:pStyle w:val="BodyText"/>
        <w:spacing w:line="468" w:lineRule="exact" w:before="10"/>
        <w:ind w:left="492" w:right="1124"/>
        <w:jc w:val="left"/>
      </w:pPr>
      <w:r>
        <w:rPr/>
        <w:t>单项金额不重大的应收款项坏账准备的确认标准、计提方法 公司将单项金额小于100万元人民币的应收账款认定为单项金额不重大的应收账款，将单项金额小于50万元人民币的其</w:t>
      </w:r>
    </w:p>
    <w:p>
      <w:pPr>
        <w:pStyle w:val="BodyText"/>
        <w:spacing w:line="316" w:lineRule="auto" w:before="8"/>
        <w:ind w:left="132" w:right="1130"/>
        <w:jc w:val="both"/>
      </w:pPr>
      <w:r>
        <w:rPr>
          <w:spacing w:val="-2"/>
        </w:rPr>
        <w:t>他应收款认定为单项金额不重大的其他应收款。年末如有客观证据表明其已发生减值，根据其预计未来现金流量现值低于其</w:t>
      </w:r>
      <w:r>
        <w:rPr>
          <w:spacing w:val="-64"/>
        </w:rPr>
        <w:t> </w:t>
      </w:r>
      <w:r>
        <w:rPr>
          <w:spacing w:val="-64"/>
        </w:rPr>
      </w:r>
      <w:r>
        <w:rPr>
          <w:spacing w:val="-2"/>
        </w:rPr>
        <w:t>账面价值的差额，单独进行减值测试，确认减值损失，计入当期损益。对其他的不重大的应收款项，按类似的信用风险特征</w:t>
      </w:r>
      <w:r>
        <w:rPr>
          <w:spacing w:val="-63"/>
        </w:rPr>
        <w:t> </w:t>
      </w:r>
      <w:r>
        <w:rPr>
          <w:spacing w:val="-63"/>
        </w:rPr>
      </w:r>
      <w:r>
        <w:rPr>
          <w:spacing w:val="-2"/>
        </w:rPr>
        <w:t>划分为若干组合，根据以前年度与之相同或相类似的、具有类似信用风险特征的应收款项组合的实际损失率为基础，结合现</w:t>
      </w:r>
      <w:r>
        <w:rPr>
          <w:spacing w:val="-63"/>
        </w:rPr>
        <w:t> </w:t>
      </w:r>
      <w:r>
        <w:rPr>
          <w:spacing w:val="-63"/>
        </w:rPr>
      </w:r>
      <w:r>
        <w:rPr/>
        <w:t>时情况确定本年度各项组合计提坏账准备的比例。</w:t>
      </w:r>
    </w:p>
    <w:p>
      <w:pPr>
        <w:spacing w:line="240" w:lineRule="auto" w:before="5"/>
        <w:rPr>
          <w:rFonts w:ascii="宋体" w:hAnsi="宋体" w:cs="宋体" w:eastAsia="宋体" w:hint="default"/>
          <w:sz w:val="13"/>
          <w:szCs w:val="13"/>
        </w:rPr>
      </w:pPr>
    </w:p>
    <w:p>
      <w:pPr>
        <w:pStyle w:val="BodyText"/>
        <w:spacing w:line="240" w:lineRule="auto"/>
        <w:ind w:left="492" w:right="1124"/>
        <w:jc w:val="left"/>
      </w:pPr>
      <w:r>
        <w:rPr/>
        <w:t>信用风险组合计提坏账准备的应收款项的确定依据、坏账准备计提方法</w:t>
      </w:r>
    </w:p>
    <w:p>
      <w:pPr>
        <w:pStyle w:val="BodyText"/>
        <w:spacing w:line="460" w:lineRule="atLeast" w:before="8"/>
        <w:ind w:left="492" w:right="1124"/>
        <w:jc w:val="left"/>
      </w:pPr>
      <w:r>
        <w:rPr/>
        <w:t>（1）信用风险特征组合的确定依据 </w:t>
      </w:r>
      <w:r>
        <w:rPr>
          <w:spacing w:val="-2"/>
        </w:rPr>
        <w:t>本公司对单项金额不重大以及金额重大但单项测试未发生减值的应收款项，按信用风险特征的相似性和相关性对金融资</w:t>
      </w:r>
    </w:p>
    <w:p>
      <w:pPr>
        <w:pStyle w:val="BodyText"/>
        <w:spacing w:line="316" w:lineRule="auto" w:before="76"/>
        <w:ind w:left="132" w:right="1132"/>
        <w:jc w:val="both"/>
      </w:pPr>
      <w:r>
        <w:rPr>
          <w:spacing w:val="-2"/>
        </w:rPr>
        <w:t>产进行分组。这些信用风险通常反映债务人按照该等资产的合同条款偿还所有到期金额的能力，并且与被检查资产的未来现</w:t>
      </w:r>
      <w:r>
        <w:rPr>
          <w:spacing w:val="-64"/>
        </w:rPr>
        <w:t> </w:t>
      </w:r>
      <w:r>
        <w:rPr>
          <w:spacing w:val="-64"/>
        </w:rPr>
      </w:r>
      <w:r>
        <w:rPr/>
        <w:t>金流量测算相关。</w:t>
      </w:r>
    </w:p>
    <w:p>
      <w:pPr>
        <w:spacing w:line="240" w:lineRule="auto" w:before="5"/>
        <w:rPr>
          <w:rFonts w:ascii="宋体" w:hAnsi="宋体" w:cs="宋体" w:eastAsia="宋体" w:hint="default"/>
          <w:sz w:val="13"/>
          <w:szCs w:val="13"/>
        </w:rPr>
      </w:pPr>
    </w:p>
    <w:p>
      <w:pPr>
        <w:pStyle w:val="BodyText"/>
        <w:spacing w:line="504" w:lineRule="auto"/>
        <w:ind w:left="132" w:right="4994" w:firstLine="420"/>
        <w:jc w:val="left"/>
      </w:pPr>
      <w:r>
        <w:rPr/>
        <w:pict>
          <v:group style="position:absolute;margin-left:56.200001pt;margin-top:23.331718pt;width:482.9pt;height:.1pt;mso-position-horizontal-relative:page;mso-position-vertical-relative:paragraph;z-index:-1300576" coordorigin="1124,467" coordsize="9658,2">
            <v:shape style="position:absolute;left:1124;top:467;width:9658;height:2" coordorigin="1124,467" coordsize="9658,0" path="m1124,467l10782,467e" filled="false" stroked="true" strokeweight=".72pt" strokecolor="#000000">
              <v:path arrowok="t"/>
            </v:shape>
            <w10:wrap type="none"/>
          </v:group>
        </w:pict>
      </w:r>
      <w:r>
        <w:rPr/>
        <w:pict>
          <v:shape style="position:absolute;margin-left:55.84pt;margin-top:40.32172pt;width:484pt;height:35.1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98"/>
                    <w:gridCol w:w="4860"/>
                  </w:tblGrid>
                  <w:tr>
                    <w:trPr>
                      <w:trHeight w:val="347" w:hRule="exact"/>
                    </w:trPr>
                    <w:tc>
                      <w:tcPr>
                        <w:tcW w:w="4798"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19"/>
                          <w:ind w:left="8"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86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9"/>
                          <w:ind w:right="8"/>
                          <w:jc w:val="right"/>
                          <w:rPr>
                            <w:rFonts w:ascii="宋体" w:hAnsi="宋体" w:cs="宋体" w:eastAsia="宋体" w:hint="default"/>
                            <w:sz w:val="18"/>
                            <w:szCs w:val="18"/>
                          </w:rPr>
                        </w:pPr>
                        <w:r>
                          <w:rPr>
                            <w:rFonts w:ascii="宋体" w:hAnsi="宋体" w:cs="宋体" w:eastAsia="宋体" w:hint="default"/>
                            <w:sz w:val="18"/>
                            <w:szCs w:val="18"/>
                          </w:rPr>
                          <w:t>以应收款项的账龄作为信用风险特征划分组合</w:t>
                        </w:r>
                      </w:p>
                    </w:tc>
                  </w:tr>
                  <w:tr>
                    <w:trPr>
                      <w:trHeight w:val="340" w:hRule="exact"/>
                    </w:trPr>
                    <w:tc>
                      <w:tcPr>
                        <w:tcW w:w="4798" w:type="dxa"/>
                        <w:tcBorders>
                          <w:top w:val="single" w:sz="6" w:space="0" w:color="000000"/>
                          <w:left w:val="nil" w:sz="6" w:space="0" w:color="auto"/>
                          <w:bottom w:val="nil" w:sz="6" w:space="0" w:color="auto"/>
                          <w:right w:val="single" w:sz="4" w:space="0" w:color="000000"/>
                        </w:tcBorders>
                      </w:tcPr>
                      <w:p>
                        <w:pPr>
                          <w:pStyle w:val="TableParagraph"/>
                          <w:spacing w:line="240" w:lineRule="auto" w:before="20"/>
                          <w:ind w:left="8" w:right="0"/>
                          <w:jc w:val="left"/>
                          <w:rPr>
                            <w:rFonts w:ascii="宋体" w:hAnsi="宋体" w:cs="宋体" w:eastAsia="宋体" w:hint="default"/>
                            <w:sz w:val="18"/>
                            <w:szCs w:val="18"/>
                          </w:rPr>
                        </w:pPr>
                        <w:r>
                          <w:rPr>
                            <w:rFonts w:ascii="宋体" w:hAnsi="宋体" w:cs="宋体" w:eastAsia="宋体" w:hint="default"/>
                            <w:sz w:val="18"/>
                            <w:szCs w:val="18"/>
                          </w:rPr>
                          <w:t>风险类型组合（应收保理款）</w:t>
                        </w:r>
                      </w:p>
                    </w:tc>
                    <w:tc>
                      <w:tcPr>
                        <w:tcW w:w="4860" w:type="dxa"/>
                        <w:tcBorders>
                          <w:top w:val="single" w:sz="6" w:space="0" w:color="000000"/>
                          <w:left w:val="single" w:sz="4" w:space="0" w:color="000000"/>
                          <w:bottom w:val="nil" w:sz="6" w:space="0" w:color="auto"/>
                          <w:right w:val="nil" w:sz="6" w:space="0" w:color="auto"/>
                        </w:tcBorders>
                      </w:tcPr>
                      <w:p>
                        <w:pPr>
                          <w:pStyle w:val="TableParagraph"/>
                          <w:spacing w:line="240" w:lineRule="auto" w:before="20"/>
                          <w:ind w:right="8"/>
                          <w:jc w:val="right"/>
                          <w:rPr>
                            <w:rFonts w:ascii="宋体" w:hAnsi="宋体" w:cs="宋体" w:eastAsia="宋体" w:hint="default"/>
                            <w:sz w:val="18"/>
                            <w:szCs w:val="18"/>
                          </w:rPr>
                        </w:pPr>
                        <w:r>
                          <w:rPr>
                            <w:rFonts w:ascii="宋体" w:hAnsi="宋体" w:cs="宋体" w:eastAsia="宋体" w:hint="default"/>
                            <w:sz w:val="18"/>
                            <w:szCs w:val="18"/>
                          </w:rPr>
                          <w:t>按风险类型计提</w:t>
                        </w:r>
                      </w:p>
                    </w:tc>
                  </w:tr>
                </w:tbl>
                <w:p>
                  <w:pPr/>
                </w:p>
              </w:txbxContent>
            </v:textbox>
            <w10:wrap type="none"/>
          </v:shape>
        </w:pict>
      </w:r>
      <w:r>
        <w:rPr/>
        <w:t>不同组合的确定依据： 按信用风险特征组合计提坏账准备的计提方法（账龄分析法、其他方法）</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477" w:lineRule="auto" w:before="44"/>
        <w:ind w:left="552" w:right="1124"/>
        <w:jc w:val="left"/>
      </w:pPr>
      <w:r>
        <w:rPr/>
        <w:t>（2）根据信用风险特征组合确定的坏账准备计提方法 整个存续期预期信用损失率基于历史实际信用损失经验计算，并考虑了历史数据收集期间的经济状况、当前的经济状</w:t>
      </w:r>
    </w:p>
    <w:p>
      <w:pPr>
        <w:spacing w:after="0" w:line="477" w:lineRule="auto"/>
        <w:jc w:val="left"/>
        <w:sectPr>
          <w:pgSz w:w="11910" w:h="16840"/>
          <w:pgMar w:header="919" w:footer="1016" w:top="1120" w:bottom="1200" w:left="1000" w:right="0"/>
        </w:sectPr>
      </w:pPr>
    </w:p>
    <w:p>
      <w:pPr>
        <w:spacing w:line="240" w:lineRule="auto" w:before="12"/>
        <w:rPr>
          <w:rFonts w:ascii="宋体" w:hAnsi="宋体" w:cs="宋体" w:eastAsia="宋体" w:hint="default"/>
          <w:sz w:val="20"/>
          <w:szCs w:val="20"/>
        </w:rPr>
      </w:pPr>
    </w:p>
    <w:p>
      <w:pPr>
        <w:pStyle w:val="BodyText"/>
        <w:spacing w:line="477" w:lineRule="auto" w:before="44"/>
        <w:ind w:left="552" w:right="6974" w:hanging="420"/>
        <w:jc w:val="left"/>
      </w:pPr>
      <w:r>
        <w:rPr/>
        <w:t>况与本公司所认为的预计存续期内的经济状况。 不同组合计提坏账准备的计提方法：</w:t>
      </w:r>
    </w:p>
    <w:p>
      <w:pPr>
        <w:spacing w:line="240" w:lineRule="auto" w:before="3"/>
        <w:rPr>
          <w:rFonts w:ascii="宋体" w:hAnsi="宋体" w:cs="宋体" w:eastAsia="宋体"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4789"/>
        <w:gridCol w:w="4861"/>
      </w:tblGrid>
      <w:tr>
        <w:trPr>
          <w:trHeight w:val="347" w:hRule="exact"/>
        </w:trPr>
        <w:tc>
          <w:tcPr>
            <w:tcW w:w="4789"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21"/>
              <w:ind w:left="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861"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21"/>
              <w:ind w:right="3"/>
              <w:jc w:val="right"/>
              <w:rPr>
                <w:rFonts w:ascii="宋体" w:hAnsi="宋体" w:cs="宋体" w:eastAsia="宋体" w:hint="default"/>
                <w:sz w:val="18"/>
                <w:szCs w:val="18"/>
              </w:rPr>
            </w:pPr>
            <w:r>
              <w:rPr>
                <w:rFonts w:ascii="宋体" w:hAnsi="宋体" w:cs="宋体" w:eastAsia="宋体" w:hint="default"/>
                <w:b/>
                <w:bCs/>
                <w:w w:val="95"/>
                <w:sz w:val="18"/>
                <w:szCs w:val="18"/>
              </w:rPr>
              <w:t>确认组合的依据</w:t>
            </w:r>
            <w:r>
              <w:rPr>
                <w:rFonts w:ascii="宋体" w:hAnsi="宋体" w:cs="宋体" w:eastAsia="宋体" w:hint="default"/>
                <w:sz w:val="18"/>
                <w:szCs w:val="18"/>
              </w:rPr>
            </w:r>
          </w:p>
        </w:tc>
      </w:tr>
      <w:tr>
        <w:trPr>
          <w:trHeight w:val="340" w:hRule="exact"/>
        </w:trPr>
        <w:tc>
          <w:tcPr>
            <w:tcW w:w="4789" w:type="dxa"/>
            <w:tcBorders>
              <w:top w:val="single" w:sz="6" w:space="0" w:color="000000"/>
              <w:left w:val="nil" w:sz="6" w:space="0" w:color="auto"/>
              <w:bottom w:val="nil" w:sz="6" w:space="0" w:color="auto"/>
              <w:right w:val="single" w:sz="4" w:space="0" w:color="000000"/>
            </w:tcBorders>
          </w:tcPr>
          <w:p>
            <w:pPr>
              <w:pStyle w:val="TableParagraph"/>
              <w:spacing w:line="240" w:lineRule="auto" w:before="22"/>
              <w:ind w:left="8"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861" w:type="dxa"/>
            <w:tcBorders>
              <w:top w:val="single" w:sz="6" w:space="0" w:color="000000"/>
              <w:left w:val="single" w:sz="4" w:space="0" w:color="000000"/>
              <w:bottom w:val="nil" w:sz="6" w:space="0" w:color="auto"/>
              <w:right w:val="nil" w:sz="6" w:space="0" w:color="auto"/>
            </w:tcBorders>
          </w:tcPr>
          <w:p>
            <w:pPr>
              <w:pStyle w:val="TableParagraph"/>
              <w:spacing w:line="240" w:lineRule="auto" w:before="22"/>
              <w:ind w:right="9"/>
              <w:jc w:val="right"/>
              <w:rPr>
                <w:rFonts w:ascii="宋体" w:hAnsi="宋体" w:cs="宋体" w:eastAsia="宋体" w:hint="default"/>
                <w:sz w:val="18"/>
                <w:szCs w:val="18"/>
              </w:rPr>
            </w:pPr>
            <w:r>
              <w:rPr>
                <w:rFonts w:ascii="宋体" w:hAnsi="宋体" w:cs="宋体" w:eastAsia="宋体" w:hint="default"/>
                <w:sz w:val="18"/>
                <w:szCs w:val="18"/>
              </w:rPr>
              <w:t>按整个存续期信用损失率计提坏账准备</w:t>
            </w:r>
          </w:p>
        </w:tc>
      </w:tr>
    </w:tbl>
    <w:p>
      <w:pPr>
        <w:pStyle w:val="BodyText"/>
        <w:spacing w:line="240" w:lineRule="auto" w:before="4"/>
        <w:ind w:left="552" w:right="1124"/>
        <w:jc w:val="left"/>
      </w:pPr>
      <w:r>
        <w:rPr/>
        <w:t>组合中，采用整个存续期信用损失率计提坏账准备的组合计提方法：</w:t>
      </w:r>
    </w:p>
    <w:p>
      <w:pPr>
        <w:spacing w:line="240" w:lineRule="auto" w:before="12"/>
        <w:rPr>
          <w:rFonts w:ascii="宋体" w:hAnsi="宋体" w:cs="宋体" w:eastAsia="宋体" w:hint="default"/>
          <w:sz w:val="16"/>
          <w:szCs w:val="16"/>
        </w:rPr>
      </w:pPr>
    </w:p>
    <w:tbl>
      <w:tblPr>
        <w:tblW w:w="0" w:type="auto"/>
        <w:jc w:val="left"/>
        <w:tblInd w:w="116" w:type="dxa"/>
        <w:tblLayout w:type="fixed"/>
        <w:tblCellMar>
          <w:top w:w="0" w:type="dxa"/>
          <w:left w:w="0" w:type="dxa"/>
          <w:bottom w:w="0" w:type="dxa"/>
          <w:right w:w="0" w:type="dxa"/>
        </w:tblCellMar>
        <w:tblLook w:val="01E0"/>
      </w:tblPr>
      <w:tblGrid>
        <w:gridCol w:w="3228"/>
        <w:gridCol w:w="3579"/>
        <w:gridCol w:w="2845"/>
      </w:tblGrid>
      <w:tr>
        <w:trPr>
          <w:trHeight w:val="347" w:hRule="exact"/>
        </w:trPr>
        <w:tc>
          <w:tcPr>
            <w:tcW w:w="3228"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20"/>
              <w:ind w:left="8" w:right="0"/>
              <w:jc w:val="lef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3579"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0"/>
              <w:ind w:right="-6"/>
              <w:jc w:val="right"/>
              <w:rPr>
                <w:rFonts w:ascii="宋体" w:hAnsi="宋体" w:cs="宋体" w:eastAsia="宋体" w:hint="default"/>
                <w:sz w:val="18"/>
                <w:szCs w:val="18"/>
              </w:rPr>
            </w:pPr>
            <w:r>
              <w:rPr>
                <w:rFonts w:ascii="宋体" w:hAnsi="宋体" w:cs="宋体" w:eastAsia="宋体" w:hint="default"/>
                <w:b/>
                <w:bCs/>
                <w:w w:val="95"/>
                <w:sz w:val="18"/>
                <w:szCs w:val="18"/>
              </w:rPr>
              <w:t>应收账款、其他应收款信用损失率（%）</w:t>
            </w:r>
            <w:r>
              <w:rPr>
                <w:rFonts w:ascii="宋体" w:hAnsi="宋体" w:cs="宋体" w:eastAsia="宋体" w:hint="default"/>
                <w:sz w:val="18"/>
                <w:szCs w:val="18"/>
              </w:rPr>
            </w:r>
          </w:p>
        </w:tc>
        <w:tc>
          <w:tcPr>
            <w:tcW w:w="2845"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20"/>
              <w:ind w:right="-1"/>
              <w:jc w:val="right"/>
              <w:rPr>
                <w:rFonts w:ascii="宋体" w:hAnsi="宋体" w:cs="宋体" w:eastAsia="宋体" w:hint="default"/>
                <w:sz w:val="18"/>
                <w:szCs w:val="18"/>
              </w:rPr>
            </w:pPr>
            <w:r>
              <w:rPr>
                <w:rFonts w:ascii="宋体" w:hAnsi="宋体" w:cs="宋体" w:eastAsia="宋体" w:hint="default"/>
                <w:b/>
                <w:bCs/>
                <w:w w:val="95"/>
                <w:sz w:val="18"/>
                <w:szCs w:val="18"/>
              </w:rPr>
              <w:t>供应链代付款信用损失率（%）</w:t>
            </w:r>
            <w:r>
              <w:rPr>
                <w:rFonts w:ascii="宋体" w:hAnsi="宋体" w:cs="宋体" w:eastAsia="宋体" w:hint="default"/>
                <w:sz w:val="18"/>
                <w:szCs w:val="18"/>
              </w:rPr>
            </w:r>
          </w:p>
        </w:tc>
      </w:tr>
      <w:tr>
        <w:trPr>
          <w:trHeight w:val="347" w:hRule="exact"/>
        </w:trPr>
        <w:tc>
          <w:tcPr>
            <w:tcW w:w="3228"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21"/>
              <w:ind w:left="8" w:right="0"/>
              <w:jc w:val="left"/>
              <w:rPr>
                <w:rFonts w:ascii="宋体" w:hAnsi="宋体" w:cs="宋体" w:eastAsia="宋体" w:hint="default"/>
                <w:sz w:val="18"/>
                <w:szCs w:val="18"/>
              </w:rPr>
            </w:pPr>
            <w:r>
              <w:rPr>
                <w:rFonts w:ascii="宋体" w:hAnsi="宋体" w:cs="宋体" w:eastAsia="宋体" w:hint="default"/>
                <w:sz w:val="18"/>
                <w:szCs w:val="18"/>
              </w:rPr>
              <w:t>1年以内（含1年）</w:t>
            </w:r>
          </w:p>
        </w:tc>
        <w:tc>
          <w:tcPr>
            <w:tcW w:w="3579"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5</w:t>
            </w:r>
          </w:p>
        </w:tc>
        <w:tc>
          <w:tcPr>
            <w:tcW w:w="2845"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21"/>
              <w:ind w:right="8"/>
              <w:jc w:val="right"/>
              <w:rPr>
                <w:rFonts w:ascii="宋体" w:hAnsi="宋体" w:cs="宋体" w:eastAsia="宋体" w:hint="default"/>
                <w:sz w:val="18"/>
                <w:szCs w:val="18"/>
              </w:rPr>
            </w:pPr>
            <w:r>
              <w:rPr>
                <w:rFonts w:ascii="宋体"/>
                <w:spacing w:val="-1"/>
                <w:sz w:val="18"/>
              </w:rPr>
              <w:t>0.1</w:t>
            </w:r>
          </w:p>
        </w:tc>
      </w:tr>
      <w:tr>
        <w:trPr>
          <w:trHeight w:val="347" w:hRule="exact"/>
        </w:trPr>
        <w:tc>
          <w:tcPr>
            <w:tcW w:w="3228"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20"/>
              <w:ind w:left="8" w:right="0"/>
              <w:jc w:val="left"/>
              <w:rPr>
                <w:rFonts w:ascii="宋体" w:hAnsi="宋体" w:cs="宋体" w:eastAsia="宋体" w:hint="default"/>
                <w:sz w:val="18"/>
                <w:szCs w:val="18"/>
              </w:rPr>
            </w:pPr>
            <w:r>
              <w:rPr>
                <w:rFonts w:ascii="宋体" w:hAnsi="宋体" w:cs="宋体" w:eastAsia="宋体" w:hint="default"/>
                <w:sz w:val="18"/>
                <w:szCs w:val="18"/>
              </w:rPr>
              <w:t>1—2年（含2年）</w:t>
            </w:r>
          </w:p>
        </w:tc>
        <w:tc>
          <w:tcPr>
            <w:tcW w:w="3579"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z w:val="18"/>
              </w:rPr>
              <w:t>10</w:t>
            </w:r>
          </w:p>
        </w:tc>
        <w:tc>
          <w:tcPr>
            <w:tcW w:w="2845"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20"/>
              <w:ind w:right="8"/>
              <w:jc w:val="right"/>
              <w:rPr>
                <w:rFonts w:ascii="宋体" w:hAnsi="宋体" w:cs="宋体" w:eastAsia="宋体" w:hint="default"/>
                <w:sz w:val="18"/>
                <w:szCs w:val="18"/>
              </w:rPr>
            </w:pPr>
            <w:r>
              <w:rPr>
                <w:rFonts w:ascii="宋体"/>
                <w:sz w:val="18"/>
              </w:rPr>
              <w:t>1</w:t>
            </w:r>
          </w:p>
        </w:tc>
      </w:tr>
      <w:tr>
        <w:trPr>
          <w:trHeight w:val="347" w:hRule="exact"/>
        </w:trPr>
        <w:tc>
          <w:tcPr>
            <w:tcW w:w="3228"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21"/>
              <w:ind w:left="8" w:right="0"/>
              <w:jc w:val="left"/>
              <w:rPr>
                <w:rFonts w:ascii="宋体" w:hAnsi="宋体" w:cs="宋体" w:eastAsia="宋体" w:hint="default"/>
                <w:sz w:val="18"/>
                <w:szCs w:val="18"/>
              </w:rPr>
            </w:pPr>
            <w:r>
              <w:rPr>
                <w:rFonts w:ascii="宋体" w:hAnsi="宋体" w:cs="宋体" w:eastAsia="宋体" w:hint="default"/>
                <w:sz w:val="18"/>
                <w:szCs w:val="18"/>
              </w:rPr>
              <w:t>2—3年（含3年）</w:t>
            </w:r>
          </w:p>
        </w:tc>
        <w:tc>
          <w:tcPr>
            <w:tcW w:w="3579"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30</w:t>
            </w:r>
          </w:p>
        </w:tc>
        <w:tc>
          <w:tcPr>
            <w:tcW w:w="2845"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21"/>
              <w:ind w:right="6"/>
              <w:jc w:val="right"/>
              <w:rPr>
                <w:rFonts w:ascii="宋体" w:hAnsi="宋体" w:cs="宋体" w:eastAsia="宋体" w:hint="default"/>
                <w:sz w:val="18"/>
                <w:szCs w:val="18"/>
              </w:rPr>
            </w:pPr>
            <w:r>
              <w:rPr>
                <w:rFonts w:ascii="宋体"/>
                <w:sz w:val="18"/>
              </w:rPr>
              <w:t>10</w:t>
            </w:r>
          </w:p>
        </w:tc>
      </w:tr>
      <w:tr>
        <w:trPr>
          <w:trHeight w:val="340" w:hRule="exact"/>
        </w:trPr>
        <w:tc>
          <w:tcPr>
            <w:tcW w:w="3228" w:type="dxa"/>
            <w:tcBorders>
              <w:top w:val="single" w:sz="6" w:space="0" w:color="000000"/>
              <w:left w:val="nil" w:sz="6" w:space="0" w:color="auto"/>
              <w:bottom w:val="nil" w:sz="6" w:space="0" w:color="auto"/>
              <w:right w:val="single" w:sz="4" w:space="0" w:color="000000"/>
            </w:tcBorders>
          </w:tcPr>
          <w:p>
            <w:pPr>
              <w:pStyle w:val="TableParagraph"/>
              <w:spacing w:line="240" w:lineRule="auto" w:before="22"/>
              <w:ind w:left="8" w:right="0"/>
              <w:jc w:val="left"/>
              <w:rPr>
                <w:rFonts w:ascii="宋体" w:hAnsi="宋体" w:cs="宋体" w:eastAsia="宋体" w:hint="default"/>
                <w:sz w:val="18"/>
                <w:szCs w:val="18"/>
              </w:rPr>
            </w:pPr>
            <w:r>
              <w:rPr>
                <w:rFonts w:ascii="宋体" w:hAnsi="宋体" w:cs="宋体" w:eastAsia="宋体" w:hint="default"/>
                <w:sz w:val="18"/>
                <w:szCs w:val="18"/>
              </w:rPr>
              <w:t>3年以上</w:t>
            </w:r>
          </w:p>
        </w:tc>
        <w:tc>
          <w:tcPr>
            <w:tcW w:w="3579" w:type="dxa"/>
            <w:tcBorders>
              <w:top w:val="single" w:sz="6" w:space="0" w:color="000000"/>
              <w:left w:val="single" w:sz="4" w:space="0" w:color="000000"/>
              <w:bottom w:val="nil" w:sz="6" w:space="0" w:color="auto"/>
              <w:right w:val="single" w:sz="4" w:space="0" w:color="000000"/>
            </w:tcBorders>
          </w:tcPr>
          <w:p>
            <w:pPr>
              <w:pStyle w:val="TableParagraph"/>
              <w:spacing w:line="240" w:lineRule="auto" w:before="22"/>
              <w:ind w:right="3"/>
              <w:jc w:val="right"/>
              <w:rPr>
                <w:rFonts w:ascii="宋体" w:hAnsi="宋体" w:cs="宋体" w:eastAsia="宋体" w:hint="default"/>
                <w:sz w:val="18"/>
                <w:szCs w:val="18"/>
              </w:rPr>
            </w:pPr>
            <w:r>
              <w:rPr>
                <w:rFonts w:ascii="宋体"/>
                <w:spacing w:val="-1"/>
                <w:sz w:val="18"/>
              </w:rPr>
              <w:t>100</w:t>
            </w:r>
          </w:p>
        </w:tc>
        <w:tc>
          <w:tcPr>
            <w:tcW w:w="2845" w:type="dxa"/>
            <w:tcBorders>
              <w:top w:val="single" w:sz="6" w:space="0" w:color="000000"/>
              <w:left w:val="single" w:sz="4" w:space="0" w:color="000000"/>
              <w:bottom w:val="nil" w:sz="6" w:space="0" w:color="auto"/>
              <w:right w:val="nil" w:sz="6" w:space="0" w:color="auto"/>
            </w:tcBorders>
          </w:tcPr>
          <w:p>
            <w:pPr>
              <w:pStyle w:val="TableParagraph"/>
              <w:spacing w:line="240" w:lineRule="auto" w:before="22"/>
              <w:ind w:right="8"/>
              <w:jc w:val="right"/>
              <w:rPr>
                <w:rFonts w:ascii="宋体" w:hAnsi="宋体" w:cs="宋体" w:eastAsia="宋体" w:hint="default"/>
                <w:sz w:val="18"/>
                <w:szCs w:val="18"/>
              </w:rPr>
            </w:pPr>
            <w:r>
              <w:rPr>
                <w:rFonts w:ascii="宋体"/>
                <w:spacing w:val="-1"/>
                <w:sz w:val="18"/>
              </w:rPr>
              <w:t>100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240" w:lineRule="auto"/>
        <w:ind w:left="492" w:right="1124"/>
        <w:jc w:val="left"/>
      </w:pPr>
      <w:r>
        <w:rPr/>
        <w:t>（3）应收保理款组合按照款项的风险类型作为划分信用风险特征组合的标准，风险类型的划分及计提比例如下：</w:t>
      </w:r>
    </w:p>
    <w:p>
      <w:pPr>
        <w:spacing w:line="240" w:lineRule="auto" w:before="12"/>
        <w:rPr>
          <w:rFonts w:ascii="宋体" w:hAnsi="宋体" w:cs="宋体" w:eastAsia="宋体" w:hint="default"/>
          <w:sz w:val="16"/>
          <w:szCs w:val="16"/>
        </w:rPr>
      </w:pPr>
    </w:p>
    <w:tbl>
      <w:tblPr>
        <w:tblW w:w="0" w:type="auto"/>
        <w:jc w:val="left"/>
        <w:tblInd w:w="116" w:type="dxa"/>
        <w:tblLayout w:type="fixed"/>
        <w:tblCellMar>
          <w:top w:w="0" w:type="dxa"/>
          <w:left w:w="0" w:type="dxa"/>
          <w:bottom w:w="0" w:type="dxa"/>
          <w:right w:w="0" w:type="dxa"/>
        </w:tblCellMar>
        <w:tblLook w:val="01E0"/>
      </w:tblPr>
      <w:tblGrid>
        <w:gridCol w:w="3215"/>
        <w:gridCol w:w="3574"/>
        <w:gridCol w:w="2863"/>
      </w:tblGrid>
      <w:tr>
        <w:trPr>
          <w:trHeight w:val="347" w:hRule="exact"/>
        </w:trPr>
        <w:tc>
          <w:tcPr>
            <w:tcW w:w="3215"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21"/>
              <w:ind w:left="8" w:right="0"/>
              <w:jc w:val="left"/>
              <w:rPr>
                <w:rFonts w:ascii="宋体" w:hAnsi="宋体" w:cs="宋体" w:eastAsia="宋体" w:hint="default"/>
                <w:sz w:val="18"/>
                <w:szCs w:val="18"/>
              </w:rPr>
            </w:pPr>
            <w:r>
              <w:rPr>
                <w:rFonts w:ascii="宋体" w:hAnsi="宋体" w:cs="宋体" w:eastAsia="宋体" w:hint="default"/>
                <w:b/>
                <w:bCs/>
                <w:sz w:val="18"/>
                <w:szCs w:val="18"/>
              </w:rPr>
              <w:t>组合名称</w:t>
            </w:r>
            <w:r>
              <w:rPr>
                <w:rFonts w:ascii="宋体" w:hAnsi="宋体" w:cs="宋体" w:eastAsia="宋体" w:hint="default"/>
                <w:sz w:val="18"/>
                <w:szCs w:val="18"/>
              </w:rPr>
            </w:r>
          </w:p>
        </w:tc>
        <w:tc>
          <w:tcPr>
            <w:tcW w:w="3574"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1"/>
              <w:ind w:left="1668" w:right="-3"/>
              <w:jc w:val="left"/>
              <w:rPr>
                <w:rFonts w:ascii="宋体" w:hAnsi="宋体" w:cs="宋体" w:eastAsia="宋体" w:hint="default"/>
                <w:sz w:val="18"/>
                <w:szCs w:val="18"/>
              </w:rPr>
            </w:pPr>
            <w:r>
              <w:rPr>
                <w:rFonts w:ascii="宋体" w:hAnsi="宋体" w:cs="宋体" w:eastAsia="宋体" w:hint="default"/>
                <w:b/>
                <w:bCs/>
                <w:sz w:val="18"/>
                <w:szCs w:val="18"/>
              </w:rPr>
              <w:t>应收账款计提比例（%）</w:t>
            </w:r>
            <w:r>
              <w:rPr>
                <w:rFonts w:ascii="宋体" w:hAnsi="宋体" w:cs="宋体" w:eastAsia="宋体" w:hint="default"/>
                <w:sz w:val="18"/>
                <w:szCs w:val="18"/>
              </w:rPr>
            </w:r>
          </w:p>
        </w:tc>
        <w:tc>
          <w:tcPr>
            <w:tcW w:w="2863"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b/>
                <w:bCs/>
                <w:w w:val="95"/>
                <w:sz w:val="18"/>
                <w:szCs w:val="18"/>
              </w:rPr>
              <w:t>应收保理款计提比例（%）</w:t>
            </w:r>
            <w:r>
              <w:rPr>
                <w:rFonts w:ascii="宋体" w:hAnsi="宋体" w:cs="宋体" w:eastAsia="宋体" w:hint="default"/>
                <w:sz w:val="18"/>
                <w:szCs w:val="18"/>
              </w:rPr>
            </w:r>
          </w:p>
        </w:tc>
      </w:tr>
      <w:tr>
        <w:trPr>
          <w:trHeight w:val="347" w:hRule="exact"/>
        </w:trPr>
        <w:tc>
          <w:tcPr>
            <w:tcW w:w="3215"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22"/>
              <w:ind w:left="8" w:right="0"/>
              <w:jc w:val="left"/>
              <w:rPr>
                <w:rFonts w:ascii="宋体" w:hAnsi="宋体" w:cs="宋体" w:eastAsia="宋体" w:hint="default"/>
                <w:sz w:val="18"/>
                <w:szCs w:val="18"/>
              </w:rPr>
            </w:pPr>
            <w:r>
              <w:rPr>
                <w:rFonts w:ascii="宋体" w:hAnsi="宋体" w:cs="宋体" w:eastAsia="宋体" w:hint="default"/>
                <w:sz w:val="18"/>
                <w:szCs w:val="18"/>
              </w:rPr>
              <w:t>正常类</w:t>
            </w:r>
          </w:p>
        </w:tc>
        <w:tc>
          <w:tcPr>
            <w:tcW w:w="3574" w:type="dxa"/>
            <w:tcBorders>
              <w:top w:val="single" w:sz="6" w:space="0" w:color="000000"/>
              <w:left w:val="single" w:sz="4" w:space="0" w:color="000000"/>
              <w:bottom w:val="single" w:sz="6" w:space="0" w:color="000000"/>
              <w:right w:val="single" w:sz="4" w:space="0" w:color="000000"/>
            </w:tcBorders>
          </w:tcPr>
          <w:p>
            <w:pPr/>
          </w:p>
        </w:tc>
        <w:tc>
          <w:tcPr>
            <w:tcW w:w="2863"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22"/>
              <w:ind w:right="8"/>
              <w:jc w:val="right"/>
              <w:rPr>
                <w:rFonts w:ascii="宋体" w:hAnsi="宋体" w:cs="宋体" w:eastAsia="宋体" w:hint="default"/>
                <w:sz w:val="18"/>
                <w:szCs w:val="18"/>
              </w:rPr>
            </w:pPr>
            <w:r>
              <w:rPr>
                <w:rFonts w:ascii="宋体"/>
                <w:sz w:val="18"/>
              </w:rPr>
              <w:t>0</w:t>
            </w:r>
          </w:p>
        </w:tc>
      </w:tr>
      <w:tr>
        <w:trPr>
          <w:trHeight w:val="347" w:hRule="exact"/>
        </w:trPr>
        <w:tc>
          <w:tcPr>
            <w:tcW w:w="3215"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20"/>
              <w:ind w:left="8" w:right="0"/>
              <w:jc w:val="left"/>
              <w:rPr>
                <w:rFonts w:ascii="宋体" w:hAnsi="宋体" w:cs="宋体" w:eastAsia="宋体" w:hint="default"/>
                <w:sz w:val="18"/>
                <w:szCs w:val="18"/>
              </w:rPr>
            </w:pPr>
            <w:r>
              <w:rPr>
                <w:rFonts w:ascii="宋体" w:hAnsi="宋体" w:cs="宋体" w:eastAsia="宋体" w:hint="default"/>
                <w:sz w:val="18"/>
                <w:szCs w:val="18"/>
              </w:rPr>
              <w:t>关注类</w:t>
            </w:r>
          </w:p>
        </w:tc>
        <w:tc>
          <w:tcPr>
            <w:tcW w:w="3574" w:type="dxa"/>
            <w:tcBorders>
              <w:top w:val="single" w:sz="6" w:space="0" w:color="000000"/>
              <w:left w:val="single" w:sz="4" w:space="0" w:color="000000"/>
              <w:bottom w:val="single" w:sz="6" w:space="0" w:color="000000"/>
              <w:right w:val="single" w:sz="4" w:space="0" w:color="000000"/>
            </w:tcBorders>
          </w:tcPr>
          <w:p>
            <w:pPr/>
          </w:p>
        </w:tc>
        <w:tc>
          <w:tcPr>
            <w:tcW w:w="2863"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20"/>
              <w:ind w:right="6"/>
              <w:jc w:val="right"/>
              <w:rPr>
                <w:rFonts w:ascii="宋体" w:hAnsi="宋体" w:cs="宋体" w:eastAsia="宋体" w:hint="default"/>
                <w:sz w:val="18"/>
                <w:szCs w:val="18"/>
              </w:rPr>
            </w:pPr>
            <w:r>
              <w:rPr>
                <w:rFonts w:ascii="宋体"/>
                <w:sz w:val="18"/>
              </w:rPr>
              <w:t>10</w:t>
            </w:r>
          </w:p>
        </w:tc>
      </w:tr>
      <w:tr>
        <w:trPr>
          <w:trHeight w:val="347" w:hRule="exact"/>
        </w:trPr>
        <w:tc>
          <w:tcPr>
            <w:tcW w:w="3215"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21"/>
              <w:ind w:left="8" w:right="0"/>
              <w:jc w:val="left"/>
              <w:rPr>
                <w:rFonts w:ascii="宋体" w:hAnsi="宋体" w:cs="宋体" w:eastAsia="宋体" w:hint="default"/>
                <w:sz w:val="18"/>
                <w:szCs w:val="18"/>
              </w:rPr>
            </w:pPr>
            <w:r>
              <w:rPr>
                <w:rFonts w:ascii="宋体" w:hAnsi="宋体" w:cs="宋体" w:eastAsia="宋体" w:hint="default"/>
                <w:sz w:val="18"/>
                <w:szCs w:val="18"/>
              </w:rPr>
              <w:t>次级类</w:t>
            </w:r>
          </w:p>
        </w:tc>
        <w:tc>
          <w:tcPr>
            <w:tcW w:w="3574" w:type="dxa"/>
            <w:tcBorders>
              <w:top w:val="single" w:sz="6" w:space="0" w:color="000000"/>
              <w:left w:val="single" w:sz="4" w:space="0" w:color="000000"/>
              <w:bottom w:val="single" w:sz="6" w:space="0" w:color="000000"/>
              <w:right w:val="single" w:sz="4" w:space="0" w:color="000000"/>
            </w:tcBorders>
          </w:tcPr>
          <w:p>
            <w:pPr/>
          </w:p>
        </w:tc>
        <w:tc>
          <w:tcPr>
            <w:tcW w:w="2863"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21"/>
              <w:ind w:right="6"/>
              <w:jc w:val="right"/>
              <w:rPr>
                <w:rFonts w:ascii="宋体" w:hAnsi="宋体" w:cs="宋体" w:eastAsia="宋体" w:hint="default"/>
                <w:sz w:val="18"/>
                <w:szCs w:val="18"/>
              </w:rPr>
            </w:pPr>
            <w:r>
              <w:rPr>
                <w:rFonts w:ascii="宋体"/>
                <w:sz w:val="18"/>
              </w:rPr>
              <w:t>50</w:t>
            </w:r>
          </w:p>
        </w:tc>
      </w:tr>
      <w:tr>
        <w:trPr>
          <w:trHeight w:val="340" w:hRule="exact"/>
        </w:trPr>
        <w:tc>
          <w:tcPr>
            <w:tcW w:w="3215" w:type="dxa"/>
            <w:tcBorders>
              <w:top w:val="single" w:sz="6" w:space="0" w:color="000000"/>
              <w:left w:val="nil" w:sz="6" w:space="0" w:color="auto"/>
              <w:bottom w:val="nil" w:sz="6" w:space="0" w:color="auto"/>
              <w:right w:val="single" w:sz="4" w:space="0" w:color="000000"/>
            </w:tcBorders>
          </w:tcPr>
          <w:p>
            <w:pPr>
              <w:pStyle w:val="TableParagraph"/>
              <w:spacing w:line="240" w:lineRule="auto" w:before="20"/>
              <w:ind w:left="8" w:right="0"/>
              <w:jc w:val="left"/>
              <w:rPr>
                <w:rFonts w:ascii="宋体" w:hAnsi="宋体" w:cs="宋体" w:eastAsia="宋体" w:hint="default"/>
                <w:sz w:val="18"/>
                <w:szCs w:val="18"/>
              </w:rPr>
            </w:pPr>
            <w:r>
              <w:rPr>
                <w:rFonts w:ascii="宋体" w:hAnsi="宋体" w:cs="宋体" w:eastAsia="宋体" w:hint="default"/>
                <w:sz w:val="18"/>
                <w:szCs w:val="18"/>
              </w:rPr>
              <w:t>损失类</w:t>
            </w:r>
          </w:p>
        </w:tc>
        <w:tc>
          <w:tcPr>
            <w:tcW w:w="3574" w:type="dxa"/>
            <w:tcBorders>
              <w:top w:val="single" w:sz="6" w:space="0" w:color="000000"/>
              <w:left w:val="single" w:sz="4" w:space="0" w:color="000000"/>
              <w:bottom w:val="nil" w:sz="6" w:space="0" w:color="auto"/>
              <w:right w:val="single" w:sz="4" w:space="0" w:color="000000"/>
            </w:tcBorders>
          </w:tcPr>
          <w:p>
            <w:pPr/>
          </w:p>
        </w:tc>
        <w:tc>
          <w:tcPr>
            <w:tcW w:w="2863" w:type="dxa"/>
            <w:tcBorders>
              <w:top w:val="single" w:sz="6" w:space="0" w:color="000000"/>
              <w:left w:val="single" w:sz="4" w:space="0" w:color="000000"/>
              <w:bottom w:val="nil" w:sz="6" w:space="0" w:color="auto"/>
              <w:right w:val="nil" w:sz="6" w:space="0" w:color="auto"/>
            </w:tcBorders>
          </w:tcPr>
          <w:p>
            <w:pPr>
              <w:pStyle w:val="TableParagraph"/>
              <w:spacing w:line="240" w:lineRule="auto" w:before="20"/>
              <w:ind w:right="8"/>
              <w:jc w:val="right"/>
              <w:rPr>
                <w:rFonts w:ascii="宋体" w:hAnsi="宋体" w:cs="宋体" w:eastAsia="宋体" w:hint="default"/>
                <w:sz w:val="18"/>
                <w:szCs w:val="18"/>
              </w:rPr>
            </w:pPr>
            <w:r>
              <w:rPr>
                <w:rFonts w:ascii="宋体"/>
                <w:spacing w:val="-1"/>
                <w:sz w:val="18"/>
              </w:rPr>
              <w:t>100</w:t>
            </w:r>
          </w:p>
        </w:tc>
      </w:tr>
    </w:tbl>
    <w:p>
      <w:pPr>
        <w:pStyle w:val="BodyText"/>
        <w:spacing w:line="240" w:lineRule="auto" w:before="4"/>
        <w:ind w:left="552" w:right="1124"/>
        <w:jc w:val="left"/>
      </w:pPr>
      <w:r>
        <w:rPr/>
        <w:t>保理款项按照逾期天数分为正常、关注、次级和损失 4</w:t>
      </w:r>
      <w:r>
        <w:rPr>
          <w:spacing w:val="1"/>
        </w:rPr>
        <w:t> </w:t>
      </w:r>
      <w:r>
        <w:rPr/>
        <w:t>类，后两类为不良应收款项。</w:t>
      </w:r>
    </w:p>
    <w:p>
      <w:pPr>
        <w:spacing w:line="240" w:lineRule="auto" w:before="10"/>
        <w:rPr>
          <w:rFonts w:ascii="宋体" w:hAnsi="宋体" w:cs="宋体" w:eastAsia="宋体" w:hint="default"/>
          <w:sz w:val="17"/>
          <w:szCs w:val="17"/>
        </w:rPr>
      </w:pPr>
    </w:p>
    <w:p>
      <w:pPr>
        <w:pStyle w:val="BodyText"/>
        <w:spacing w:line="316" w:lineRule="auto"/>
        <w:ind w:left="132" w:right="1118" w:firstLine="420"/>
        <w:jc w:val="left"/>
      </w:pPr>
      <w:r>
        <w:rPr/>
        <w:t>1） 尚未到期的应收保理款，以及以国债、银行存单、金融债券等变现能力较强的资产</w:t>
      </w:r>
      <w:r>
        <w:rPr>
          <w:spacing w:val="-54"/>
        </w:rPr>
        <w:t> </w:t>
      </w:r>
      <w:r>
        <w:rPr/>
        <w:t>100%保证做为质押的逾期保理</w:t>
      </w:r>
      <w:r>
        <w:rPr/>
        <w:t> 款属于正常类。</w:t>
      </w:r>
    </w:p>
    <w:p>
      <w:pPr>
        <w:spacing w:line="240" w:lineRule="auto" w:before="5"/>
        <w:rPr>
          <w:rFonts w:ascii="宋体" w:hAnsi="宋体" w:cs="宋体" w:eastAsia="宋体" w:hint="default"/>
          <w:sz w:val="13"/>
          <w:szCs w:val="13"/>
        </w:rPr>
      </w:pPr>
    </w:p>
    <w:p>
      <w:pPr>
        <w:pStyle w:val="BodyText"/>
        <w:spacing w:line="316" w:lineRule="auto"/>
        <w:ind w:left="132" w:right="1115" w:firstLine="420"/>
        <w:jc w:val="left"/>
      </w:pPr>
      <w:r>
        <w:rPr>
          <w:spacing w:val="-3"/>
        </w:rPr>
        <w:t>2）逾期1-90 </w:t>
      </w:r>
      <w:r>
        <w:rPr/>
        <w:t>天的应收保理款，以及除上述 1</w:t>
      </w:r>
      <w:r>
        <w:rPr>
          <w:spacing w:val="-24"/>
        </w:rPr>
        <w:t> </w:t>
      </w:r>
      <w:r>
        <w:rPr/>
        <w:t>中变现能力较强的资产之外的其他资产做为抵押或质押的，且价值能够</w:t>
      </w:r>
      <w:r>
        <w:rPr/>
        <w:t> 覆盖应收保理款的逾期90</w:t>
      </w:r>
      <w:r>
        <w:rPr>
          <w:spacing w:val="1"/>
        </w:rPr>
        <w:t> </w:t>
      </w:r>
      <w:r>
        <w:rPr/>
        <w:t>天以上的应收保理款属于关注类。</w:t>
      </w:r>
    </w:p>
    <w:p>
      <w:pPr>
        <w:spacing w:line="240" w:lineRule="auto" w:before="5"/>
        <w:rPr>
          <w:rFonts w:ascii="宋体" w:hAnsi="宋体" w:cs="宋体" w:eastAsia="宋体" w:hint="default"/>
          <w:sz w:val="13"/>
          <w:szCs w:val="13"/>
        </w:rPr>
      </w:pPr>
    </w:p>
    <w:p>
      <w:pPr>
        <w:pStyle w:val="BodyText"/>
        <w:spacing w:line="240" w:lineRule="auto"/>
        <w:ind w:left="552" w:right="1124"/>
        <w:jc w:val="left"/>
      </w:pPr>
      <w:r>
        <w:rPr/>
        <w:t>3）逾期91-180天的应收保理款属于次级类。</w:t>
      </w:r>
    </w:p>
    <w:p>
      <w:pPr>
        <w:pStyle w:val="BodyText"/>
        <w:spacing w:line="460" w:lineRule="atLeast" w:before="8"/>
        <w:ind w:left="492" w:right="1124" w:firstLine="60"/>
        <w:jc w:val="left"/>
      </w:pPr>
      <w:r>
        <w:rPr/>
        <w:t>4）逾期181天以上的应收保理款属于损失类。 </w:t>
      </w:r>
      <w:r>
        <w:rPr>
          <w:spacing w:val="-2"/>
        </w:rPr>
        <w:t>本公司对于应收款项确认减值损失后，如有客观证据表明其价值已恢复，且客观上与确认该损失后发生的事项有关，原</w:t>
      </w:r>
    </w:p>
    <w:p>
      <w:pPr>
        <w:pStyle w:val="BodyText"/>
        <w:spacing w:line="316" w:lineRule="auto" w:before="76"/>
        <w:ind w:left="132" w:right="1124"/>
        <w:jc w:val="left"/>
      </w:pPr>
      <w:r>
        <w:rPr>
          <w:spacing w:val="-2"/>
        </w:rPr>
        <w:t>确认的减值损失予以转回，计入当期损益。但是，该转回后的账面价值不超过假定不计提减值准备情况下该应收款项在转回</w:t>
      </w:r>
      <w:r>
        <w:rPr>
          <w:spacing w:val="-65"/>
        </w:rPr>
        <w:t> </w:t>
      </w:r>
      <w:r>
        <w:rPr>
          <w:spacing w:val="-65"/>
        </w:rPr>
      </w:r>
      <w:r>
        <w:rPr/>
        <w:t>日的摊余成本。</w:t>
      </w:r>
    </w:p>
    <w:p>
      <w:pPr>
        <w:spacing w:line="240" w:lineRule="auto" w:before="5"/>
        <w:rPr>
          <w:rFonts w:ascii="宋体" w:hAnsi="宋体" w:cs="宋体" w:eastAsia="宋体" w:hint="default"/>
          <w:sz w:val="13"/>
          <w:szCs w:val="13"/>
        </w:rPr>
      </w:pPr>
    </w:p>
    <w:p>
      <w:pPr>
        <w:pStyle w:val="BodyText"/>
        <w:spacing w:line="316" w:lineRule="auto"/>
        <w:ind w:left="132" w:right="1124" w:firstLine="360"/>
        <w:jc w:val="left"/>
      </w:pPr>
      <w:r>
        <w:rPr>
          <w:spacing w:val="-2"/>
        </w:rPr>
        <w:t>本公司向金融机构转让不附追索权的应收账款，按交易款项扣除已转销应收账款的账面价值和相关税费后的差额计入当</w:t>
      </w:r>
      <w:r>
        <w:rPr/>
        <w:t> 期损益。</w:t>
      </w:r>
    </w:p>
    <w:p>
      <w:pPr>
        <w:spacing w:line="240" w:lineRule="auto" w:before="6"/>
        <w:rPr>
          <w:rFonts w:ascii="宋体" w:hAnsi="宋体" w:cs="宋体" w:eastAsia="宋体" w:hint="default"/>
          <w:sz w:val="22"/>
          <w:szCs w:val="22"/>
        </w:rPr>
      </w:pPr>
    </w:p>
    <w:p>
      <w:pPr>
        <w:pStyle w:val="Heading3"/>
        <w:spacing w:line="240" w:lineRule="auto"/>
        <w:ind w:left="132" w:right="1124"/>
        <w:jc w:val="left"/>
        <w:rPr>
          <w:b w:val="0"/>
          <w:bCs w:val="0"/>
        </w:rPr>
      </w:pPr>
      <w:bookmarkStart w:name="13、应收款项融资" w:id="184"/>
      <w:bookmarkEnd w:id="184"/>
      <w:r>
        <w:rPr>
          <w:b w:val="0"/>
          <w:bCs w:val="0"/>
        </w:rPr>
      </w:r>
      <w:r>
        <w:rPr>
          <w:rFonts w:ascii="Times New Roman" w:hAnsi="Times New Roman" w:cs="Times New Roman" w:eastAsia="Times New Roman" w:hint="default"/>
        </w:rPr>
        <w:t>13</w:t>
      </w:r>
      <w:r>
        <w:rPr/>
        <w:t>、应收款项融资</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32" w:right="1124"/>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left="132" w:right="1124"/>
        <w:jc w:val="left"/>
        <w:rPr>
          <w:b w:val="0"/>
          <w:bCs w:val="0"/>
        </w:rPr>
      </w:pPr>
      <w:bookmarkStart w:name="14、其他应收款" w:id="185"/>
      <w:bookmarkEnd w:id="185"/>
      <w:r>
        <w:rPr>
          <w:b w:val="0"/>
          <w:bCs w:val="0"/>
        </w:rPr>
      </w:r>
      <w:r>
        <w:rPr>
          <w:rFonts w:ascii="Times New Roman" w:hAnsi="Times New Roman" w:cs="Times New Roman" w:eastAsia="Times New Roman" w:hint="default"/>
        </w:rPr>
        <w:t>14</w:t>
      </w:r>
      <w:r>
        <w:rPr/>
        <w:t>、其他应收款</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left="492" w:right="5264" w:hanging="360"/>
        <w:jc w:val="left"/>
      </w:pPr>
      <w:r>
        <w:rPr/>
        <w:t>其他应收款的预期信用损失的确定方法及会计处理方法 1、单项金额重大的其他应收款项坏账准备的确认标准、计提方法</w:t>
      </w:r>
    </w:p>
    <w:p>
      <w:pPr>
        <w:spacing w:after="0" w:line="360" w:lineRule="auto"/>
        <w:jc w:val="left"/>
        <w:sectPr>
          <w:pgSz w:w="11910" w:h="16840"/>
          <w:pgMar w:header="919" w:footer="1016" w:top="1120" w:bottom="1200" w:left="1000" w:right="0"/>
        </w:sectPr>
      </w:pPr>
    </w:p>
    <w:p>
      <w:pPr>
        <w:spacing w:line="240" w:lineRule="auto" w:before="12"/>
        <w:rPr>
          <w:rFonts w:ascii="宋体" w:hAnsi="宋体" w:cs="宋体" w:eastAsia="宋体" w:hint="default"/>
          <w:sz w:val="20"/>
          <w:szCs w:val="20"/>
        </w:rPr>
      </w:pPr>
    </w:p>
    <w:p>
      <w:pPr>
        <w:pStyle w:val="BodyText"/>
        <w:spacing w:line="316" w:lineRule="auto" w:before="44"/>
        <w:ind w:left="132" w:right="1130" w:firstLine="360"/>
        <w:jc w:val="both"/>
      </w:pPr>
      <w:r>
        <w:rPr/>
        <w:t>公司将单项金额超过100万元人民币的其他应收款认定为单项金额重大的其他应收款，公司将单项金额超过50万元人民 </w:t>
      </w:r>
      <w:r>
        <w:rPr>
          <w:spacing w:val="-2"/>
        </w:rPr>
        <w:t>币的其他应收款认定为单项金额重大的其他应收款。年末对单项金额重大的其他应收款项单独进行减值测试，如有客观证据</w:t>
      </w:r>
      <w:r>
        <w:rPr>
          <w:spacing w:val="-64"/>
        </w:rPr>
        <w:t> </w:t>
      </w:r>
      <w:r>
        <w:rPr>
          <w:spacing w:val="-64"/>
        </w:rPr>
      </w:r>
      <w:r>
        <w:rPr>
          <w:spacing w:val="-2"/>
        </w:rPr>
        <w:t>表明其已发生减值，根据其预计未来现金流量现值低于其账面价值的差额，单独进行减值测试，确认减值损失，计入当期损</w:t>
      </w:r>
      <w:r>
        <w:rPr>
          <w:spacing w:val="-64"/>
        </w:rPr>
        <w:t> </w:t>
      </w:r>
      <w:r>
        <w:rPr>
          <w:spacing w:val="-64"/>
        </w:rPr>
      </w:r>
      <w:r>
        <w:rPr>
          <w:spacing w:val="-2"/>
        </w:rPr>
        <w:t>益。对单项测试未减值单项金额重大的的其他应收款项，会同对单项金额非重大的其他应收款项，按类似的信用风险特征划</w:t>
      </w:r>
      <w:r>
        <w:rPr>
          <w:spacing w:val="-63"/>
        </w:rPr>
        <w:t> </w:t>
      </w:r>
      <w:r>
        <w:rPr>
          <w:spacing w:val="-63"/>
        </w:rPr>
      </w:r>
      <w:r>
        <w:rPr>
          <w:spacing w:val="-2"/>
        </w:rPr>
        <w:t>分为若干组合，根据以前年度与之相同或相类似的、具有类似信用风险特征的其他应收款项组合的实际损失率为基础，结合</w:t>
      </w:r>
      <w:r>
        <w:rPr>
          <w:spacing w:val="-63"/>
        </w:rPr>
        <w:t> </w:t>
      </w:r>
      <w:r>
        <w:rPr>
          <w:spacing w:val="-63"/>
        </w:rPr>
      </w:r>
      <w:r>
        <w:rPr/>
        <w:t>现时情况确定本年度各项组合计提坏账准备的比例。</w:t>
      </w:r>
    </w:p>
    <w:p>
      <w:pPr>
        <w:pStyle w:val="BodyText"/>
        <w:spacing w:line="468" w:lineRule="exact" w:before="10"/>
        <w:ind w:left="492" w:right="1124"/>
        <w:jc w:val="left"/>
      </w:pPr>
      <w:r>
        <w:rPr/>
        <w:t>2、单项金额不重大的其他应收款项坏账准备的确认标准、计提方法 公司将单项金额小于100万元人民币的其他应收款认定为单项金额不重大的其他应收款，将单项金额小于50万元人民币</w:t>
      </w:r>
    </w:p>
    <w:p>
      <w:pPr>
        <w:pStyle w:val="BodyText"/>
        <w:spacing w:line="316" w:lineRule="auto" w:before="8"/>
        <w:ind w:left="132" w:right="1130"/>
        <w:jc w:val="both"/>
      </w:pPr>
      <w:r>
        <w:rPr>
          <w:spacing w:val="-2"/>
        </w:rPr>
        <w:t>的其他其他应收款认定为单项金额不重大的其他其他应收款。年末如有客观证据表明其已发生减值，根据其预计未来现金流</w:t>
      </w:r>
      <w:r>
        <w:rPr>
          <w:spacing w:val="-64"/>
        </w:rPr>
        <w:t> </w:t>
      </w:r>
      <w:r>
        <w:rPr>
          <w:spacing w:val="-64"/>
        </w:rPr>
      </w:r>
      <w:r>
        <w:rPr>
          <w:spacing w:val="-2"/>
        </w:rPr>
        <w:t>量现值低于其账面价值的差额，单独进行减值测试，确认减值损失，计入当期损益。对其他的不重大的其他应收款项，按类</w:t>
      </w:r>
      <w:r>
        <w:rPr>
          <w:spacing w:val="-64"/>
        </w:rPr>
        <w:t> </w:t>
      </w:r>
      <w:r>
        <w:rPr>
          <w:spacing w:val="-64"/>
        </w:rPr>
      </w:r>
      <w:r>
        <w:rPr>
          <w:spacing w:val="-2"/>
        </w:rPr>
        <w:t>似的信用风险特征划分为若干组合，根据以前年度与之相同或相类似的、具有类似信用风险特征的其他应收款项组合的实际</w:t>
      </w:r>
      <w:r>
        <w:rPr>
          <w:spacing w:val="-64"/>
        </w:rPr>
        <w:t> </w:t>
      </w:r>
      <w:r>
        <w:rPr>
          <w:spacing w:val="-64"/>
        </w:rPr>
      </w:r>
      <w:r>
        <w:rPr/>
        <w:t>损失率为基础，结合现时情况确定本年度各项组合计提坏账准备的比例。</w:t>
      </w:r>
    </w:p>
    <w:p>
      <w:pPr>
        <w:spacing w:line="240" w:lineRule="auto" w:before="5"/>
        <w:rPr>
          <w:rFonts w:ascii="宋体" w:hAnsi="宋体" w:cs="宋体" w:eastAsia="宋体" w:hint="default"/>
          <w:sz w:val="13"/>
          <w:szCs w:val="13"/>
        </w:rPr>
      </w:pPr>
    </w:p>
    <w:p>
      <w:pPr>
        <w:pStyle w:val="BodyText"/>
        <w:spacing w:line="240" w:lineRule="auto"/>
        <w:ind w:left="492" w:right="1124"/>
        <w:jc w:val="left"/>
      </w:pPr>
      <w:r>
        <w:rPr/>
        <w:t>信用风险组合计提坏账准备的其他应收款项的确定依据、坏账准备计提方法</w:t>
      </w:r>
    </w:p>
    <w:p>
      <w:pPr>
        <w:pStyle w:val="BodyText"/>
        <w:spacing w:line="460" w:lineRule="atLeast" w:before="8"/>
        <w:ind w:left="492" w:right="1124"/>
        <w:jc w:val="left"/>
      </w:pPr>
      <w:r>
        <w:rPr/>
        <w:t>（1）信用风险特征组合的确定依据 </w:t>
      </w:r>
      <w:r>
        <w:rPr>
          <w:spacing w:val="-2"/>
        </w:rPr>
        <w:t>本公司对单项金额不重大以及金额重大但单项测试未发生减值的其他应收款项，按信用风险特征的相似性和相关性对金</w:t>
      </w:r>
    </w:p>
    <w:p>
      <w:pPr>
        <w:pStyle w:val="BodyText"/>
        <w:spacing w:line="316" w:lineRule="auto" w:before="76"/>
        <w:ind w:left="132" w:right="1132"/>
        <w:jc w:val="both"/>
      </w:pPr>
      <w:r>
        <w:rPr>
          <w:spacing w:val="-2"/>
        </w:rPr>
        <w:t>融资产进行分组。这些信用风险通常反映债务人按照该等资产的合同条款偿还所有到期金额的能力，并且与被检查资产的未</w:t>
      </w:r>
      <w:r>
        <w:rPr>
          <w:spacing w:val="-64"/>
        </w:rPr>
        <w:t> </w:t>
      </w:r>
      <w:r>
        <w:rPr>
          <w:spacing w:val="-64"/>
        </w:rPr>
      </w:r>
      <w:r>
        <w:rPr/>
        <w:t>来现金流量测算相关。</w:t>
      </w:r>
    </w:p>
    <w:p>
      <w:pPr>
        <w:spacing w:line="240" w:lineRule="auto" w:before="5"/>
        <w:rPr>
          <w:rFonts w:ascii="宋体" w:hAnsi="宋体" w:cs="宋体" w:eastAsia="宋体" w:hint="default"/>
          <w:sz w:val="13"/>
          <w:szCs w:val="13"/>
        </w:rPr>
      </w:pPr>
    </w:p>
    <w:p>
      <w:pPr>
        <w:pStyle w:val="BodyText"/>
        <w:spacing w:line="501" w:lineRule="auto"/>
        <w:ind w:left="132" w:right="4994" w:firstLine="360"/>
        <w:jc w:val="left"/>
      </w:pPr>
      <w:r>
        <w:rPr/>
        <w:pict>
          <v:group style="position:absolute;margin-left:56.200001pt;margin-top:23.181717pt;width:482.9pt;height:.1pt;mso-position-horizontal-relative:page;mso-position-vertical-relative:paragraph;z-index:-1300528" coordorigin="1124,464" coordsize="9658,2">
            <v:shape style="position:absolute;left:1124;top:464;width:9658;height:2" coordorigin="1124,464" coordsize="9658,0" path="m1124,464l10782,464e" filled="false" stroked="true" strokeweight=".72pt" strokecolor="#000000">
              <v:path arrowok="t"/>
            </v:shape>
            <w10:wrap type="none"/>
          </v:group>
        </w:pict>
      </w:r>
      <w:r>
        <w:rPr/>
        <w:pict>
          <v:shape style="position:absolute;margin-left:55.84pt;margin-top:40.171715pt;width:484pt;height:35.1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949"/>
                    <w:gridCol w:w="4709"/>
                  </w:tblGrid>
                  <w:tr>
                    <w:trPr>
                      <w:trHeight w:val="347" w:hRule="exact"/>
                    </w:trPr>
                    <w:tc>
                      <w:tcPr>
                        <w:tcW w:w="4949"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22"/>
                          <w:ind w:left="8"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09"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22"/>
                          <w:ind w:right="8"/>
                          <w:jc w:val="right"/>
                          <w:rPr>
                            <w:rFonts w:ascii="宋体" w:hAnsi="宋体" w:cs="宋体" w:eastAsia="宋体" w:hint="default"/>
                            <w:sz w:val="18"/>
                            <w:szCs w:val="18"/>
                          </w:rPr>
                        </w:pPr>
                        <w:r>
                          <w:rPr>
                            <w:rFonts w:ascii="宋体" w:hAnsi="宋体" w:cs="宋体" w:eastAsia="宋体" w:hint="default"/>
                            <w:sz w:val="18"/>
                            <w:szCs w:val="18"/>
                          </w:rPr>
                          <w:t>以其他应收款项的账龄作为信用风险特征划分组合</w:t>
                        </w:r>
                      </w:p>
                    </w:tc>
                  </w:tr>
                  <w:tr>
                    <w:trPr>
                      <w:trHeight w:val="340" w:hRule="exact"/>
                    </w:trPr>
                    <w:tc>
                      <w:tcPr>
                        <w:tcW w:w="4949" w:type="dxa"/>
                        <w:tcBorders>
                          <w:top w:val="single" w:sz="6" w:space="0" w:color="000000"/>
                          <w:left w:val="nil" w:sz="6" w:space="0" w:color="auto"/>
                          <w:bottom w:val="nil" w:sz="6" w:space="0" w:color="auto"/>
                          <w:right w:val="single" w:sz="4" w:space="0" w:color="000000"/>
                        </w:tcBorders>
                      </w:tcPr>
                      <w:p>
                        <w:pPr>
                          <w:pStyle w:val="TableParagraph"/>
                          <w:spacing w:line="240" w:lineRule="auto" w:before="20"/>
                          <w:ind w:left="8" w:right="0"/>
                          <w:jc w:val="left"/>
                          <w:rPr>
                            <w:rFonts w:ascii="宋体" w:hAnsi="宋体" w:cs="宋体" w:eastAsia="宋体" w:hint="default"/>
                            <w:sz w:val="18"/>
                            <w:szCs w:val="18"/>
                          </w:rPr>
                        </w:pPr>
                        <w:r>
                          <w:rPr>
                            <w:rFonts w:ascii="宋体" w:hAnsi="宋体" w:cs="宋体" w:eastAsia="宋体" w:hint="default"/>
                            <w:sz w:val="18"/>
                            <w:szCs w:val="18"/>
                          </w:rPr>
                          <w:t>风险类型组合（应收保理款）</w:t>
                        </w:r>
                      </w:p>
                    </w:tc>
                    <w:tc>
                      <w:tcPr>
                        <w:tcW w:w="4709" w:type="dxa"/>
                        <w:tcBorders>
                          <w:top w:val="single" w:sz="6" w:space="0" w:color="000000"/>
                          <w:left w:val="single" w:sz="4" w:space="0" w:color="000000"/>
                          <w:bottom w:val="nil" w:sz="6" w:space="0" w:color="auto"/>
                          <w:right w:val="nil" w:sz="6" w:space="0" w:color="auto"/>
                        </w:tcBorders>
                      </w:tcPr>
                      <w:p>
                        <w:pPr>
                          <w:pStyle w:val="TableParagraph"/>
                          <w:spacing w:line="240" w:lineRule="auto" w:before="20"/>
                          <w:ind w:right="8"/>
                          <w:jc w:val="right"/>
                          <w:rPr>
                            <w:rFonts w:ascii="宋体" w:hAnsi="宋体" w:cs="宋体" w:eastAsia="宋体" w:hint="default"/>
                            <w:sz w:val="18"/>
                            <w:szCs w:val="18"/>
                          </w:rPr>
                        </w:pPr>
                        <w:r>
                          <w:rPr>
                            <w:rFonts w:ascii="宋体" w:hAnsi="宋体" w:cs="宋体" w:eastAsia="宋体" w:hint="default"/>
                            <w:sz w:val="18"/>
                            <w:szCs w:val="18"/>
                          </w:rPr>
                          <w:t>按风险类型计提</w:t>
                        </w:r>
                      </w:p>
                    </w:tc>
                  </w:tr>
                </w:tbl>
                <w:p>
                  <w:pPr/>
                </w:p>
              </w:txbxContent>
            </v:textbox>
            <w10:wrap type="none"/>
          </v:shape>
        </w:pict>
      </w:r>
      <w:r>
        <w:rPr/>
        <w:t>不同组合的确定依据： 按信用风险特征组合计提坏账准备的计提方法（账龄分析法、其他方法）</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BodyText"/>
        <w:spacing w:line="240" w:lineRule="auto" w:before="44"/>
        <w:ind w:left="552" w:right="1124"/>
        <w:jc w:val="left"/>
      </w:pPr>
      <w:r>
        <w:rPr/>
        <w:t>（2）根据信用风险特征组合确定的坏账准备计提方法</w:t>
      </w:r>
    </w:p>
    <w:p>
      <w:pPr>
        <w:spacing w:line="240" w:lineRule="auto" w:before="10"/>
        <w:rPr>
          <w:rFonts w:ascii="宋体" w:hAnsi="宋体" w:cs="宋体" w:eastAsia="宋体" w:hint="default"/>
          <w:sz w:val="17"/>
          <w:szCs w:val="17"/>
        </w:rPr>
      </w:pPr>
    </w:p>
    <w:p>
      <w:pPr>
        <w:pStyle w:val="BodyText"/>
        <w:spacing w:line="316" w:lineRule="auto"/>
        <w:ind w:left="132" w:right="1124" w:firstLine="360"/>
        <w:jc w:val="left"/>
      </w:pPr>
      <w:r>
        <w:rPr>
          <w:spacing w:val="-2"/>
        </w:rPr>
        <w:t>整个存续期预期信用损失率基于历史实际信用损失经验计算，并考虑了历史数据收集期间的经济状况、当前的经济状况</w:t>
      </w:r>
      <w:r>
        <w:rPr/>
        <w:t> 与本公司所认为的预计存续期内的经济状况。</w:t>
      </w:r>
    </w:p>
    <w:p>
      <w:pPr>
        <w:spacing w:line="240" w:lineRule="auto" w:before="5"/>
        <w:rPr>
          <w:rFonts w:ascii="宋体" w:hAnsi="宋体" w:cs="宋体" w:eastAsia="宋体" w:hint="default"/>
          <w:sz w:val="13"/>
          <w:szCs w:val="13"/>
        </w:rPr>
      </w:pPr>
    </w:p>
    <w:p>
      <w:pPr>
        <w:pStyle w:val="BodyText"/>
        <w:spacing w:line="240" w:lineRule="auto"/>
        <w:ind w:left="492" w:right="1124"/>
        <w:jc w:val="left"/>
      </w:pPr>
      <w:r>
        <w:rPr/>
        <w:t>不同组合计提坏账准备的计提方法：</w:t>
      </w:r>
    </w:p>
    <w:p>
      <w:pPr>
        <w:spacing w:line="240" w:lineRule="auto" w:before="0"/>
        <w:rPr>
          <w:rFonts w:ascii="宋体" w:hAnsi="宋体" w:cs="宋体" w:eastAsia="宋体" w:hint="default"/>
          <w:sz w:val="17"/>
          <w:szCs w:val="17"/>
        </w:rPr>
      </w:pPr>
    </w:p>
    <w:tbl>
      <w:tblPr>
        <w:tblW w:w="0" w:type="auto"/>
        <w:jc w:val="left"/>
        <w:tblInd w:w="116" w:type="dxa"/>
        <w:tblLayout w:type="fixed"/>
        <w:tblCellMar>
          <w:top w:w="0" w:type="dxa"/>
          <w:left w:w="0" w:type="dxa"/>
          <w:bottom w:w="0" w:type="dxa"/>
          <w:right w:w="0" w:type="dxa"/>
        </w:tblCellMar>
        <w:tblLook w:val="01E0"/>
      </w:tblPr>
      <w:tblGrid>
        <w:gridCol w:w="4942"/>
        <w:gridCol w:w="4712"/>
      </w:tblGrid>
      <w:tr>
        <w:trPr>
          <w:trHeight w:val="347" w:hRule="exact"/>
        </w:trPr>
        <w:tc>
          <w:tcPr>
            <w:tcW w:w="4942"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21"/>
              <w:ind w:left="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712"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21"/>
              <w:ind w:right="2"/>
              <w:jc w:val="right"/>
              <w:rPr>
                <w:rFonts w:ascii="宋体" w:hAnsi="宋体" w:cs="宋体" w:eastAsia="宋体" w:hint="default"/>
                <w:sz w:val="18"/>
                <w:szCs w:val="18"/>
              </w:rPr>
            </w:pPr>
            <w:r>
              <w:rPr>
                <w:rFonts w:ascii="宋体" w:hAnsi="宋体" w:cs="宋体" w:eastAsia="宋体" w:hint="default"/>
                <w:b/>
                <w:bCs/>
                <w:w w:val="95"/>
                <w:sz w:val="18"/>
                <w:szCs w:val="18"/>
              </w:rPr>
              <w:t>确认组合的依据</w:t>
            </w:r>
            <w:r>
              <w:rPr>
                <w:rFonts w:ascii="宋体" w:hAnsi="宋体" w:cs="宋体" w:eastAsia="宋体" w:hint="default"/>
                <w:sz w:val="18"/>
                <w:szCs w:val="18"/>
              </w:rPr>
            </w:r>
          </w:p>
        </w:tc>
      </w:tr>
      <w:tr>
        <w:trPr>
          <w:trHeight w:val="340" w:hRule="exact"/>
        </w:trPr>
        <w:tc>
          <w:tcPr>
            <w:tcW w:w="4942" w:type="dxa"/>
            <w:tcBorders>
              <w:top w:val="single" w:sz="6" w:space="0" w:color="000000"/>
              <w:left w:val="nil" w:sz="6" w:space="0" w:color="auto"/>
              <w:bottom w:val="nil" w:sz="6" w:space="0" w:color="auto"/>
              <w:right w:val="single" w:sz="4" w:space="0" w:color="000000"/>
            </w:tcBorders>
          </w:tcPr>
          <w:p>
            <w:pPr>
              <w:pStyle w:val="TableParagraph"/>
              <w:spacing w:line="240" w:lineRule="auto" w:before="20"/>
              <w:ind w:left="8"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12" w:type="dxa"/>
            <w:tcBorders>
              <w:top w:val="single" w:sz="6" w:space="0" w:color="000000"/>
              <w:left w:val="single" w:sz="4" w:space="0" w:color="000000"/>
              <w:bottom w:val="nil" w:sz="6" w:space="0" w:color="auto"/>
              <w:right w:val="nil" w:sz="6" w:space="0" w:color="auto"/>
            </w:tcBorders>
          </w:tcPr>
          <w:p>
            <w:pPr>
              <w:pStyle w:val="TableParagraph"/>
              <w:spacing w:line="240" w:lineRule="auto" w:before="20"/>
              <w:ind w:right="7"/>
              <w:jc w:val="right"/>
              <w:rPr>
                <w:rFonts w:ascii="宋体" w:hAnsi="宋体" w:cs="宋体" w:eastAsia="宋体" w:hint="default"/>
                <w:sz w:val="18"/>
                <w:szCs w:val="18"/>
              </w:rPr>
            </w:pPr>
            <w:r>
              <w:rPr>
                <w:rFonts w:ascii="宋体" w:hAnsi="宋体" w:cs="宋体" w:eastAsia="宋体" w:hint="default"/>
                <w:sz w:val="18"/>
                <w:szCs w:val="18"/>
              </w:rPr>
              <w:t>按整个存续期信用损失率计提坏账准备</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240" w:lineRule="auto"/>
        <w:ind w:left="492" w:right="1124"/>
        <w:jc w:val="left"/>
      </w:pPr>
      <w:r>
        <w:rPr/>
        <w:t>组合中，采用整个存续期信用损失率计提坏账准备的组合计提方法：</w:t>
      </w:r>
    </w:p>
    <w:p>
      <w:pPr>
        <w:spacing w:line="240" w:lineRule="auto" w:before="11"/>
        <w:rPr>
          <w:rFonts w:ascii="宋体" w:hAnsi="宋体" w:cs="宋体" w:eastAsia="宋体" w:hint="default"/>
          <w:sz w:val="16"/>
          <w:szCs w:val="16"/>
        </w:rPr>
      </w:pPr>
    </w:p>
    <w:tbl>
      <w:tblPr>
        <w:tblW w:w="0" w:type="auto"/>
        <w:jc w:val="left"/>
        <w:tblInd w:w="116" w:type="dxa"/>
        <w:tblLayout w:type="fixed"/>
        <w:tblCellMar>
          <w:top w:w="0" w:type="dxa"/>
          <w:left w:w="0" w:type="dxa"/>
          <w:bottom w:w="0" w:type="dxa"/>
          <w:right w:w="0" w:type="dxa"/>
        </w:tblCellMar>
        <w:tblLook w:val="01E0"/>
      </w:tblPr>
      <w:tblGrid>
        <w:gridCol w:w="3316"/>
        <w:gridCol w:w="3488"/>
        <w:gridCol w:w="2844"/>
      </w:tblGrid>
      <w:tr>
        <w:trPr>
          <w:trHeight w:val="347" w:hRule="exact"/>
        </w:trPr>
        <w:tc>
          <w:tcPr>
            <w:tcW w:w="3316"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21"/>
              <w:ind w:left="8" w:right="0"/>
              <w:jc w:val="lef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348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hAnsi="宋体" w:cs="宋体" w:eastAsia="宋体" w:hint="default"/>
                <w:b/>
                <w:bCs/>
                <w:w w:val="95"/>
                <w:sz w:val="18"/>
                <w:szCs w:val="18"/>
              </w:rPr>
              <w:t>其他其他应收款信用损失率（%）</w:t>
            </w:r>
            <w:r>
              <w:rPr>
                <w:rFonts w:ascii="宋体" w:hAnsi="宋体" w:cs="宋体" w:eastAsia="宋体" w:hint="default"/>
                <w:sz w:val="18"/>
                <w:szCs w:val="18"/>
              </w:rPr>
            </w:r>
          </w:p>
        </w:tc>
        <w:tc>
          <w:tcPr>
            <w:tcW w:w="2844"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b/>
                <w:bCs/>
                <w:w w:val="95"/>
                <w:sz w:val="18"/>
                <w:szCs w:val="18"/>
              </w:rPr>
              <w:t>供应链代付款信用损失率（%）</w:t>
            </w:r>
            <w:r>
              <w:rPr>
                <w:rFonts w:ascii="宋体" w:hAnsi="宋体" w:cs="宋体" w:eastAsia="宋体" w:hint="default"/>
                <w:sz w:val="18"/>
                <w:szCs w:val="18"/>
              </w:rPr>
            </w:r>
          </w:p>
        </w:tc>
      </w:tr>
      <w:tr>
        <w:trPr>
          <w:trHeight w:val="347" w:hRule="exact"/>
        </w:trPr>
        <w:tc>
          <w:tcPr>
            <w:tcW w:w="3316"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22"/>
              <w:ind w:left="8" w:right="0"/>
              <w:jc w:val="left"/>
              <w:rPr>
                <w:rFonts w:ascii="宋体" w:hAnsi="宋体" w:cs="宋体" w:eastAsia="宋体" w:hint="default"/>
                <w:sz w:val="18"/>
                <w:szCs w:val="18"/>
              </w:rPr>
            </w:pPr>
            <w:r>
              <w:rPr>
                <w:rFonts w:ascii="宋体" w:hAnsi="宋体" w:cs="宋体" w:eastAsia="宋体" w:hint="default"/>
                <w:sz w:val="18"/>
                <w:szCs w:val="18"/>
              </w:rPr>
              <w:t>1年以内（含1年）</w:t>
            </w:r>
          </w:p>
        </w:tc>
        <w:tc>
          <w:tcPr>
            <w:tcW w:w="348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sz w:val="18"/>
              </w:rPr>
              <w:t>5</w:t>
            </w:r>
          </w:p>
        </w:tc>
        <w:tc>
          <w:tcPr>
            <w:tcW w:w="2844"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22"/>
              <w:ind w:right="7"/>
              <w:jc w:val="right"/>
              <w:rPr>
                <w:rFonts w:ascii="宋体" w:hAnsi="宋体" w:cs="宋体" w:eastAsia="宋体" w:hint="default"/>
                <w:sz w:val="18"/>
                <w:szCs w:val="18"/>
              </w:rPr>
            </w:pPr>
            <w:r>
              <w:rPr>
                <w:rFonts w:ascii="宋体"/>
                <w:spacing w:val="-1"/>
                <w:sz w:val="18"/>
              </w:rPr>
              <w:t>0.1</w:t>
            </w:r>
          </w:p>
        </w:tc>
      </w:tr>
      <w:tr>
        <w:trPr>
          <w:trHeight w:val="347" w:hRule="exact"/>
        </w:trPr>
        <w:tc>
          <w:tcPr>
            <w:tcW w:w="3316"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21"/>
              <w:ind w:left="8" w:right="0"/>
              <w:jc w:val="left"/>
              <w:rPr>
                <w:rFonts w:ascii="宋体" w:hAnsi="宋体" w:cs="宋体" w:eastAsia="宋体" w:hint="default"/>
                <w:sz w:val="18"/>
                <w:szCs w:val="18"/>
              </w:rPr>
            </w:pPr>
            <w:r>
              <w:rPr>
                <w:rFonts w:ascii="宋体" w:hAnsi="宋体" w:cs="宋体" w:eastAsia="宋体" w:hint="default"/>
                <w:sz w:val="18"/>
                <w:szCs w:val="18"/>
              </w:rPr>
              <w:t>1—2年（含2年）</w:t>
            </w:r>
          </w:p>
        </w:tc>
        <w:tc>
          <w:tcPr>
            <w:tcW w:w="348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10</w:t>
            </w:r>
          </w:p>
        </w:tc>
        <w:tc>
          <w:tcPr>
            <w:tcW w:w="2844"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21"/>
              <w:ind w:right="7"/>
              <w:jc w:val="right"/>
              <w:rPr>
                <w:rFonts w:ascii="宋体" w:hAnsi="宋体" w:cs="宋体" w:eastAsia="宋体" w:hint="default"/>
                <w:sz w:val="18"/>
                <w:szCs w:val="18"/>
              </w:rPr>
            </w:pPr>
            <w:r>
              <w:rPr>
                <w:rFonts w:ascii="宋体"/>
                <w:sz w:val="18"/>
              </w:rPr>
              <w:t>1</w:t>
            </w:r>
          </w:p>
        </w:tc>
      </w:tr>
      <w:tr>
        <w:trPr>
          <w:trHeight w:val="347" w:hRule="exact"/>
        </w:trPr>
        <w:tc>
          <w:tcPr>
            <w:tcW w:w="3316"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22"/>
              <w:ind w:left="8" w:right="0"/>
              <w:jc w:val="left"/>
              <w:rPr>
                <w:rFonts w:ascii="宋体" w:hAnsi="宋体" w:cs="宋体" w:eastAsia="宋体" w:hint="default"/>
                <w:sz w:val="18"/>
                <w:szCs w:val="18"/>
              </w:rPr>
            </w:pPr>
            <w:r>
              <w:rPr>
                <w:rFonts w:ascii="宋体" w:hAnsi="宋体" w:cs="宋体" w:eastAsia="宋体" w:hint="default"/>
                <w:sz w:val="18"/>
                <w:szCs w:val="18"/>
              </w:rPr>
              <w:t>2—3年（含3年）</w:t>
            </w:r>
          </w:p>
        </w:tc>
        <w:tc>
          <w:tcPr>
            <w:tcW w:w="348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sz w:val="18"/>
              </w:rPr>
              <w:t>30</w:t>
            </w:r>
          </w:p>
        </w:tc>
        <w:tc>
          <w:tcPr>
            <w:tcW w:w="2844"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22"/>
              <w:ind w:right="7"/>
              <w:jc w:val="right"/>
              <w:rPr>
                <w:rFonts w:ascii="宋体" w:hAnsi="宋体" w:cs="宋体" w:eastAsia="宋体" w:hint="default"/>
                <w:sz w:val="18"/>
                <w:szCs w:val="18"/>
              </w:rPr>
            </w:pPr>
            <w:r>
              <w:rPr>
                <w:rFonts w:ascii="宋体"/>
                <w:sz w:val="18"/>
              </w:rPr>
              <w:t>10</w:t>
            </w:r>
          </w:p>
        </w:tc>
      </w:tr>
      <w:tr>
        <w:trPr>
          <w:trHeight w:val="340" w:hRule="exact"/>
        </w:trPr>
        <w:tc>
          <w:tcPr>
            <w:tcW w:w="3316" w:type="dxa"/>
            <w:tcBorders>
              <w:top w:val="single" w:sz="6" w:space="0" w:color="000000"/>
              <w:left w:val="nil" w:sz="6" w:space="0" w:color="auto"/>
              <w:bottom w:val="nil" w:sz="6" w:space="0" w:color="auto"/>
              <w:right w:val="single" w:sz="4" w:space="0" w:color="000000"/>
            </w:tcBorders>
          </w:tcPr>
          <w:p>
            <w:pPr>
              <w:pStyle w:val="TableParagraph"/>
              <w:spacing w:line="240" w:lineRule="auto" w:before="20"/>
              <w:ind w:left="8" w:right="0"/>
              <w:jc w:val="left"/>
              <w:rPr>
                <w:rFonts w:ascii="宋体" w:hAnsi="宋体" w:cs="宋体" w:eastAsia="宋体" w:hint="default"/>
                <w:sz w:val="18"/>
                <w:szCs w:val="18"/>
              </w:rPr>
            </w:pPr>
            <w:r>
              <w:rPr>
                <w:rFonts w:ascii="宋体" w:hAnsi="宋体" w:cs="宋体" w:eastAsia="宋体" w:hint="default"/>
                <w:sz w:val="18"/>
                <w:szCs w:val="18"/>
              </w:rPr>
              <w:t>3年以上</w:t>
            </w:r>
          </w:p>
        </w:tc>
        <w:tc>
          <w:tcPr>
            <w:tcW w:w="3488" w:type="dxa"/>
            <w:tcBorders>
              <w:top w:val="single" w:sz="6" w:space="0" w:color="000000"/>
              <w:left w:val="single" w:sz="4" w:space="0" w:color="000000"/>
              <w:bottom w:val="nil" w:sz="6" w:space="0" w:color="auto"/>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100</w:t>
            </w:r>
          </w:p>
        </w:tc>
        <w:tc>
          <w:tcPr>
            <w:tcW w:w="2844" w:type="dxa"/>
            <w:tcBorders>
              <w:top w:val="single" w:sz="6" w:space="0" w:color="000000"/>
              <w:left w:val="single" w:sz="4" w:space="0" w:color="000000"/>
              <w:bottom w:val="nil" w:sz="6" w:space="0" w:color="auto"/>
              <w:right w:val="nil" w:sz="6" w:space="0" w:color="auto"/>
            </w:tcBorders>
          </w:tcPr>
          <w:p>
            <w:pPr>
              <w:pStyle w:val="TableParagraph"/>
              <w:spacing w:line="240" w:lineRule="auto" w:before="20"/>
              <w:ind w:right="7"/>
              <w:jc w:val="right"/>
              <w:rPr>
                <w:rFonts w:ascii="宋体" w:hAnsi="宋体" w:cs="宋体" w:eastAsia="宋体" w:hint="default"/>
                <w:sz w:val="18"/>
                <w:szCs w:val="18"/>
              </w:rPr>
            </w:pPr>
            <w:r>
              <w:rPr>
                <w:rFonts w:ascii="宋体"/>
                <w:spacing w:val="-1"/>
                <w:sz w:val="18"/>
              </w:rPr>
              <w:t>100</w:t>
            </w:r>
          </w:p>
        </w:tc>
      </w:tr>
    </w:tbl>
    <w:p>
      <w:pPr>
        <w:spacing w:after="0" w:line="240" w:lineRule="auto"/>
        <w:jc w:val="right"/>
        <w:rPr>
          <w:rFonts w:ascii="宋体" w:hAnsi="宋体" w:cs="宋体" w:eastAsia="宋体" w:hint="default"/>
          <w:sz w:val="18"/>
          <w:szCs w:val="18"/>
        </w:rPr>
        <w:sectPr>
          <w:pgSz w:w="11910" w:h="16840"/>
          <w:pgMar w:header="919" w:footer="1016" w:top="1120" w:bottom="1200" w:left="1000" w:right="0"/>
        </w:sectPr>
      </w:pPr>
    </w:p>
    <w:p>
      <w:pPr>
        <w:spacing w:line="240" w:lineRule="auto" w:before="10"/>
        <w:rPr>
          <w:rFonts w:ascii="宋体" w:hAnsi="宋体" w:cs="宋体" w:eastAsia="宋体" w:hint="default"/>
          <w:sz w:val="19"/>
          <w:szCs w:val="19"/>
        </w:rPr>
      </w:pPr>
    </w:p>
    <w:p>
      <w:pPr>
        <w:pStyle w:val="Heading3"/>
        <w:spacing w:line="240" w:lineRule="auto" w:before="34"/>
        <w:ind w:right="0"/>
        <w:jc w:val="both"/>
        <w:rPr>
          <w:b w:val="0"/>
          <w:bCs w:val="0"/>
        </w:rPr>
      </w:pPr>
      <w:bookmarkStart w:name="15、存货" w:id="186"/>
      <w:bookmarkEnd w:id="186"/>
      <w:r>
        <w:rPr>
          <w:b w:val="0"/>
          <w:bCs w:val="0"/>
        </w:rPr>
      </w:r>
      <w:r>
        <w:rPr>
          <w:rFonts w:ascii="Times New Roman" w:hAnsi="Times New Roman" w:cs="Times New Roman" w:eastAsia="Times New Roman" w:hint="default"/>
        </w:rPr>
        <w:t>15</w:t>
      </w:r>
      <w:r>
        <w:rPr/>
        <w:t>、存货</w:t>
      </w:r>
      <w:r>
        <w:rPr>
          <w:b w:val="0"/>
          <w:bCs w:val="0"/>
        </w:rPr>
      </w:r>
    </w:p>
    <w:p>
      <w:pPr>
        <w:pStyle w:val="BodyText"/>
        <w:spacing w:line="470" w:lineRule="atLeast" w:before="112"/>
        <w:ind w:left="532" w:right="915"/>
        <w:jc w:val="left"/>
      </w:pPr>
      <w:r>
        <w:rPr/>
        <w:t>1. 存货的分类 存货包括在日常活动中持有以备出售的产成品或商品、处在生产过程中的在产品、在生产过程或提供劳务过程中耗用</w:t>
      </w:r>
    </w:p>
    <w:p>
      <w:pPr>
        <w:pStyle w:val="BodyText"/>
        <w:spacing w:line="240" w:lineRule="auto" w:before="76"/>
        <w:ind w:right="0"/>
        <w:jc w:val="both"/>
      </w:pPr>
      <w:r>
        <w:rPr/>
        <w:t>的材料和物料等。</w:t>
      </w:r>
    </w:p>
    <w:p>
      <w:pPr>
        <w:pStyle w:val="BodyText"/>
        <w:spacing w:line="470" w:lineRule="atLeast"/>
        <w:ind w:left="532" w:right="915"/>
        <w:jc w:val="left"/>
      </w:pPr>
      <w:r>
        <w:rPr/>
        <w:t>2. 取得和发出的计价方法 存货在取得时按实际成本计量，存货成本包括采购成本、加工成本和其他成本；发出存货的实际成本采用加权平均法</w:t>
      </w:r>
    </w:p>
    <w:p>
      <w:pPr>
        <w:pStyle w:val="BodyText"/>
        <w:spacing w:line="240" w:lineRule="auto" w:before="76"/>
        <w:ind w:right="0"/>
        <w:jc w:val="both"/>
      </w:pPr>
      <w:r>
        <w:rPr/>
        <w:t>计量。</w:t>
      </w:r>
    </w:p>
    <w:p>
      <w:pPr>
        <w:pStyle w:val="BodyText"/>
        <w:spacing w:line="460" w:lineRule="atLeast" w:before="8"/>
        <w:ind w:left="532" w:right="915"/>
        <w:jc w:val="left"/>
      </w:pPr>
      <w:r>
        <w:rPr/>
        <w:t>3. 周转材料的摊销方法 周转材料指能够多次使用、但不符合固定资产定义的低值易耗品、包装物和其他材料。周转材料采用一次摊销法进行</w:t>
      </w:r>
    </w:p>
    <w:p>
      <w:pPr>
        <w:pStyle w:val="BodyText"/>
        <w:spacing w:line="477" w:lineRule="auto" w:before="76"/>
        <w:ind w:left="472" w:right="7334" w:hanging="360"/>
        <w:jc w:val="left"/>
      </w:pPr>
      <w:r>
        <w:rPr/>
        <w:t>摊销，计入相关资产的成本或者当期损益。 4.存货的盘存制度</w:t>
      </w:r>
    </w:p>
    <w:p>
      <w:pPr>
        <w:pStyle w:val="BodyText"/>
        <w:spacing w:line="240" w:lineRule="auto" w:before="54"/>
        <w:ind w:left="532" w:right="915"/>
        <w:jc w:val="left"/>
      </w:pPr>
      <w:r>
        <w:rPr/>
        <w:t>采用永续盘存制。</w:t>
      </w:r>
    </w:p>
    <w:p>
      <w:pPr>
        <w:pStyle w:val="BodyText"/>
        <w:spacing w:line="460" w:lineRule="atLeast" w:before="8"/>
        <w:ind w:left="532" w:right="915"/>
        <w:jc w:val="left"/>
      </w:pPr>
      <w:r>
        <w:rPr/>
        <w:t>5. 存货可变现净值的确定依据及存货跌价准备的计提方法 年末对存货进行全面清查后，按存货的成本与可变现净值孰低提取或调整存货跌价准备。 产成品、库存商品和用于出售的材料等直接用于出售的商品存货，在正常生产经营过程中，以该存货的估计售价减去</w:t>
      </w:r>
    </w:p>
    <w:p>
      <w:pPr>
        <w:pStyle w:val="BodyText"/>
        <w:spacing w:line="316" w:lineRule="auto" w:before="76"/>
        <w:ind w:right="1130"/>
        <w:jc w:val="both"/>
      </w:pPr>
      <w:r>
        <w:rPr>
          <w:spacing w:val="-2"/>
        </w:rPr>
        <w:t>估计的销售费用和相关税费后的金额，确定其可变现净值；需要经过加工的材料存货，在正常生产经营过程中，以所生产的</w:t>
      </w:r>
      <w:r>
        <w:rPr>
          <w:spacing w:val="-64"/>
        </w:rPr>
        <w:t> </w:t>
      </w:r>
      <w:r>
        <w:rPr>
          <w:spacing w:val="-64"/>
        </w:rPr>
      </w:r>
      <w:r>
        <w:rPr>
          <w:spacing w:val="-2"/>
        </w:rPr>
        <w:t>产成品的估计售价减去至完工时估计将要发生的成本、估计的销售费用和相关税费后的金额，确定其可变现净值；为执行销</w:t>
      </w:r>
      <w:r>
        <w:rPr>
          <w:spacing w:val="-63"/>
        </w:rPr>
        <w:t> </w:t>
      </w:r>
      <w:r>
        <w:rPr>
          <w:spacing w:val="-63"/>
        </w:rPr>
      </w:r>
      <w:r>
        <w:rPr>
          <w:spacing w:val="-2"/>
        </w:rPr>
        <w:t>售合同或者劳务合同而持有的存货，其可变现净值以合同价格为基础计算，若持有存货的数量多于销售合同订购数量的，超</w:t>
      </w:r>
      <w:r>
        <w:rPr>
          <w:spacing w:val="-63"/>
        </w:rPr>
        <w:t> </w:t>
      </w:r>
      <w:r>
        <w:rPr>
          <w:spacing w:val="-63"/>
        </w:rPr>
      </w:r>
      <w:r>
        <w:rPr/>
        <w:t>出部分的存货的可变现净值以一般销售价格为基础计算。</w:t>
      </w:r>
    </w:p>
    <w:p>
      <w:pPr>
        <w:spacing w:line="240" w:lineRule="auto" w:before="5"/>
        <w:rPr>
          <w:rFonts w:ascii="宋体" w:hAnsi="宋体" w:cs="宋体" w:eastAsia="宋体" w:hint="default"/>
          <w:sz w:val="13"/>
          <w:szCs w:val="13"/>
        </w:rPr>
      </w:pPr>
    </w:p>
    <w:p>
      <w:pPr>
        <w:pStyle w:val="BodyText"/>
        <w:spacing w:line="316" w:lineRule="auto"/>
        <w:ind w:right="1130" w:firstLine="420"/>
        <w:jc w:val="both"/>
      </w:pPr>
      <w:r>
        <w:rPr/>
        <w:t>年末按照单个存货项目计提存货跌价准备；但对于数量繁多、单价较低的存货，按照存货类别计提存货跌价准备；与 </w:t>
      </w:r>
      <w:r>
        <w:rPr>
          <w:spacing w:val="-2"/>
        </w:rPr>
        <w:t>在同一地区生产和销售的产品系列相关、具有相同或类似最终用途或目的，且难以与其他项目分开计量的存货，则合并计提</w:t>
      </w:r>
      <w:r>
        <w:rPr>
          <w:spacing w:val="-63"/>
        </w:rPr>
        <w:t> </w:t>
      </w:r>
      <w:r>
        <w:rPr>
          <w:spacing w:val="-63"/>
        </w:rPr>
      </w:r>
      <w:r>
        <w:rPr/>
        <w:t>存货跌价准备。</w:t>
      </w:r>
    </w:p>
    <w:p>
      <w:pPr>
        <w:spacing w:line="240" w:lineRule="auto" w:before="5"/>
        <w:rPr>
          <w:rFonts w:ascii="宋体" w:hAnsi="宋体" w:cs="宋体" w:eastAsia="宋体" w:hint="default"/>
          <w:sz w:val="13"/>
          <w:szCs w:val="13"/>
        </w:rPr>
      </w:pPr>
    </w:p>
    <w:p>
      <w:pPr>
        <w:pStyle w:val="BodyText"/>
        <w:spacing w:line="316" w:lineRule="auto"/>
        <w:ind w:right="1132" w:firstLine="420"/>
        <w:jc w:val="both"/>
      </w:pPr>
      <w:r>
        <w:rPr/>
        <w:t>以前减记存货价值的影响因素已经消失的，减记的金额予以恢复，并在原已计提的存货跌价准备金额内转回，转回的 金额计入当期损益。</w:t>
      </w:r>
    </w:p>
    <w:p>
      <w:pPr>
        <w:spacing w:line="240" w:lineRule="auto" w:before="8"/>
        <w:rPr>
          <w:rFonts w:ascii="宋体" w:hAnsi="宋体" w:cs="宋体" w:eastAsia="宋体" w:hint="default"/>
          <w:sz w:val="22"/>
          <w:szCs w:val="22"/>
        </w:rPr>
      </w:pPr>
    </w:p>
    <w:p>
      <w:pPr>
        <w:pStyle w:val="Heading3"/>
        <w:spacing w:line="240" w:lineRule="auto"/>
        <w:ind w:right="0"/>
        <w:jc w:val="both"/>
        <w:rPr>
          <w:b w:val="0"/>
          <w:bCs w:val="0"/>
        </w:rPr>
      </w:pPr>
      <w:bookmarkStart w:name="16、合同资产" w:id="187"/>
      <w:bookmarkEnd w:id="187"/>
      <w:r>
        <w:rPr>
          <w:b w:val="0"/>
          <w:bCs w:val="0"/>
        </w:rPr>
      </w:r>
      <w:r>
        <w:rPr>
          <w:rFonts w:ascii="Times New Roman" w:hAnsi="Times New Roman" w:cs="Times New Roman" w:eastAsia="Times New Roman" w:hint="default"/>
        </w:rPr>
        <w:t>16</w:t>
      </w:r>
      <w:r>
        <w:rPr/>
        <w:t>、合同资产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both"/>
        <w:rPr>
          <w:b w:val="0"/>
          <w:bCs w:val="0"/>
        </w:rPr>
      </w:pPr>
      <w:bookmarkStart w:name="17、合同成本" w:id="188"/>
      <w:bookmarkEnd w:id="188"/>
      <w:r>
        <w:rPr>
          <w:b w:val="0"/>
          <w:bCs w:val="0"/>
        </w:rPr>
      </w:r>
      <w:r>
        <w:rPr>
          <w:rFonts w:ascii="Times New Roman" w:hAnsi="Times New Roman" w:cs="Times New Roman" w:eastAsia="Times New Roman" w:hint="default"/>
        </w:rPr>
        <w:t>17</w:t>
      </w:r>
      <w:r>
        <w:rPr/>
        <w:t>、合同成本</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t>无</w:t>
      </w:r>
    </w:p>
    <w:p>
      <w:pPr>
        <w:spacing w:line="240" w:lineRule="auto" w:before="11"/>
        <w:rPr>
          <w:rFonts w:ascii="宋体" w:hAnsi="宋体" w:cs="宋体" w:eastAsia="宋体" w:hint="default"/>
          <w:sz w:val="26"/>
          <w:szCs w:val="26"/>
        </w:rPr>
      </w:pPr>
    </w:p>
    <w:p>
      <w:pPr>
        <w:pStyle w:val="Heading3"/>
        <w:spacing w:line="240" w:lineRule="auto"/>
        <w:ind w:right="0"/>
        <w:jc w:val="both"/>
        <w:rPr>
          <w:b w:val="0"/>
          <w:bCs w:val="0"/>
        </w:rPr>
      </w:pPr>
      <w:bookmarkStart w:name="18、持有待售资产" w:id="189"/>
      <w:bookmarkEnd w:id="189"/>
      <w:r>
        <w:rPr>
          <w:b w:val="0"/>
          <w:bCs w:val="0"/>
        </w:rPr>
      </w:r>
      <w:r>
        <w:rPr>
          <w:rFonts w:ascii="Times New Roman" w:hAnsi="Times New Roman" w:cs="Times New Roman" w:eastAsia="Times New Roman" w:hint="default"/>
        </w:rPr>
        <w:t>18</w:t>
      </w:r>
      <w:r>
        <w:rPr/>
        <w:t>、持有待售资产</w:t>
      </w:r>
      <w:r>
        <w:rPr>
          <w:b w:val="0"/>
          <w:bCs w:val="0"/>
        </w:rPr>
      </w:r>
    </w:p>
    <w:p>
      <w:pPr>
        <w:spacing w:line="240" w:lineRule="auto" w:before="9"/>
        <w:rPr>
          <w:rFonts w:ascii="宋体" w:hAnsi="宋体" w:cs="宋体" w:eastAsia="宋体" w:hint="default"/>
          <w:b/>
          <w:bCs/>
          <w:sz w:val="26"/>
          <w:szCs w:val="26"/>
        </w:rPr>
      </w:pPr>
    </w:p>
    <w:p>
      <w:pPr>
        <w:pStyle w:val="BodyText"/>
        <w:spacing w:line="316" w:lineRule="auto"/>
        <w:ind w:right="1130" w:firstLine="420"/>
        <w:jc w:val="both"/>
      </w:pPr>
      <w:r>
        <w:rPr/>
        <w:t>本公司将同时满足下列条件的企业组成部分（或非流动资产）划分为持有待售：(1)</w:t>
      </w:r>
      <w:r>
        <w:rPr>
          <w:spacing w:val="25"/>
        </w:rPr>
        <w:t> </w:t>
      </w:r>
      <w:r>
        <w:rPr/>
        <w:t>根据类似交易中出售此类资产或</w:t>
      </w:r>
      <w:r>
        <w:rPr/>
        <w:t> </w:t>
      </w:r>
      <w:r>
        <w:rPr>
          <w:spacing w:val="-6"/>
        </w:rPr>
        <w:t>处置组的惯例，在当前状况下即可立即出售；(2)</w:t>
      </w:r>
      <w:r>
        <w:rPr>
          <w:spacing w:val="3"/>
        </w:rPr>
        <w:t> </w:t>
      </w:r>
      <w:r>
        <w:rPr>
          <w:spacing w:val="-4"/>
        </w:rPr>
        <w:t>出售极可能发生，已经就一项出售计划作出决议且获得确定的购买承诺（确</w:t>
      </w:r>
      <w:r>
        <w:rPr/>
        <w:t> </w:t>
      </w:r>
      <w:r>
        <w:rPr>
          <w:spacing w:val="-2"/>
        </w:rPr>
        <w:t>定的购买承诺，是指企业与其他方签订的具有法律约束力的购买协议，该协议包含交易价格、时间和足够严厉的违约惩罚等</w:t>
      </w:r>
    </w:p>
    <w:p>
      <w:pPr>
        <w:spacing w:after="0" w:line="316" w:lineRule="auto"/>
        <w:jc w:val="both"/>
        <w:sectPr>
          <w:pgSz w:w="11910" w:h="16840"/>
          <w:pgMar w:header="919" w:footer="1016" w:top="1120" w:bottom="1200" w:left="1020" w:right="0"/>
        </w:sectPr>
      </w:pPr>
    </w:p>
    <w:p>
      <w:pPr>
        <w:spacing w:line="240" w:lineRule="auto" w:before="12"/>
        <w:rPr>
          <w:rFonts w:ascii="宋体" w:hAnsi="宋体" w:cs="宋体" w:eastAsia="宋体" w:hint="default"/>
          <w:sz w:val="20"/>
          <w:szCs w:val="20"/>
        </w:rPr>
      </w:pPr>
    </w:p>
    <w:p>
      <w:pPr>
        <w:pStyle w:val="BodyText"/>
        <w:spacing w:line="316" w:lineRule="auto" w:before="44"/>
        <w:ind w:right="915"/>
        <w:jc w:val="left"/>
      </w:pPr>
      <w:r>
        <w:rPr>
          <w:spacing w:val="-2"/>
        </w:rPr>
        <w:t>重要条款，使协议出现重大调整或者撤销的可能性极小），预计出售将在一年内完成。已经获得按照有关规定需得到相关权</w:t>
      </w:r>
      <w:r>
        <w:rPr>
          <w:spacing w:val="-67"/>
        </w:rPr>
        <w:t> </w:t>
      </w:r>
      <w:r>
        <w:rPr>
          <w:spacing w:val="-67"/>
        </w:rPr>
      </w:r>
      <w:r>
        <w:rPr/>
        <w:t>力机构或者监管部门的批准。</w:t>
      </w:r>
    </w:p>
    <w:p>
      <w:pPr>
        <w:spacing w:line="240" w:lineRule="auto" w:before="5"/>
        <w:rPr>
          <w:rFonts w:ascii="宋体" w:hAnsi="宋体" w:cs="宋体" w:eastAsia="宋体" w:hint="default"/>
          <w:sz w:val="13"/>
          <w:szCs w:val="13"/>
        </w:rPr>
      </w:pPr>
    </w:p>
    <w:p>
      <w:pPr>
        <w:pStyle w:val="BodyText"/>
        <w:spacing w:line="316" w:lineRule="auto"/>
        <w:ind w:right="1132" w:firstLine="420"/>
        <w:jc w:val="both"/>
      </w:pPr>
      <w:r>
        <w:rPr/>
        <w:t>本公司将持有待售的预计净残值调整为反映其公允价值减去出售费用后的净额（但不得超过该项持有待售的原账面价 </w:t>
      </w:r>
      <w:r>
        <w:rPr>
          <w:spacing w:val="-2"/>
        </w:rPr>
        <w:t>值），原账面价值高于调整后预计净残值的差额，作为资产减值损失计入当期损益，同时计提持有待售资产减值准备。对于</w:t>
      </w:r>
      <w:r>
        <w:rPr>
          <w:spacing w:val="-65"/>
        </w:rPr>
        <w:t> </w:t>
      </w:r>
      <w:r>
        <w:rPr>
          <w:spacing w:val="-65"/>
        </w:rPr>
      </w:r>
      <w:r>
        <w:rPr>
          <w:spacing w:val="-2"/>
        </w:rPr>
        <w:t>持有待售的处置组确认的资产减值损失金额，应当先抵减处置组中商誉的账面价值，再根据处置组中适用本准则计量规定的</w:t>
      </w:r>
      <w:r>
        <w:rPr>
          <w:spacing w:val="-64"/>
        </w:rPr>
        <w:t> </w:t>
      </w:r>
      <w:r>
        <w:rPr>
          <w:spacing w:val="-64"/>
        </w:rPr>
      </w:r>
      <w:r>
        <w:rPr/>
        <w:t>各项非流动资产账面价值所占比重，按比例抵减其账面价值。</w:t>
      </w:r>
    </w:p>
    <w:p>
      <w:pPr>
        <w:spacing w:line="240" w:lineRule="auto" w:before="5"/>
        <w:rPr>
          <w:rFonts w:ascii="宋体" w:hAnsi="宋体" w:cs="宋体" w:eastAsia="宋体" w:hint="default"/>
          <w:sz w:val="13"/>
          <w:szCs w:val="13"/>
        </w:rPr>
      </w:pPr>
    </w:p>
    <w:p>
      <w:pPr>
        <w:pStyle w:val="BodyText"/>
        <w:spacing w:line="316" w:lineRule="auto"/>
        <w:ind w:right="915" w:firstLine="420"/>
        <w:jc w:val="left"/>
      </w:pPr>
      <w:r>
        <w:rPr/>
        <w:t>后续资产负债表日持有待售的非流动资产公允价值减去出售费用后的净额增加的，以前减记的金额应当予以恢复，并 </w:t>
      </w:r>
      <w:r>
        <w:rPr>
          <w:spacing w:val="-2"/>
        </w:rPr>
        <w:t>在划分为持有待售类别后确认的资产减值损失金额内转回，转回金额计入当期损益。划分为持有待售类别前确认的资产减值</w:t>
      </w:r>
      <w:r>
        <w:rPr>
          <w:spacing w:val="-64"/>
        </w:rPr>
        <w:t> </w:t>
      </w:r>
      <w:r>
        <w:rPr>
          <w:spacing w:val="-64"/>
        </w:rPr>
      </w:r>
      <w:r>
        <w:rPr>
          <w:spacing w:val="-4"/>
        </w:rPr>
        <w:t>损失不得转回。后续资产负债表日持有待售的处置组公允价值减去出售费用后的净额增加的，以前减记的金额应当予以恢复，</w:t>
      </w:r>
      <w:r>
        <w:rPr>
          <w:spacing w:val="-41"/>
        </w:rPr>
        <w:t> </w:t>
      </w:r>
      <w:r>
        <w:rPr>
          <w:spacing w:val="-41"/>
        </w:rPr>
      </w:r>
      <w:r>
        <w:rPr>
          <w:spacing w:val="-2"/>
        </w:rPr>
        <w:t>并在划分为持有待售类别后适用本准则计量规定的非流动资产确认的资产减值损失金额内转回，转回金额计入当期损益。已</w:t>
      </w:r>
      <w:r>
        <w:rPr>
          <w:spacing w:val="-64"/>
        </w:rPr>
        <w:t> </w:t>
      </w:r>
      <w:r>
        <w:rPr>
          <w:spacing w:val="-64"/>
        </w:rPr>
      </w:r>
      <w:r>
        <w:rPr>
          <w:spacing w:val="-2"/>
        </w:rPr>
        <w:t>抵减的商誉账面价值，以及适用本准则计量规定的非流动资产在划分为持有待售类别前确认的资产减值损失不得转回。持有</w:t>
      </w:r>
      <w:r>
        <w:rPr>
          <w:spacing w:val="-64"/>
        </w:rPr>
        <w:t> </w:t>
      </w:r>
      <w:r>
        <w:rPr>
          <w:spacing w:val="-64"/>
        </w:rPr>
      </w:r>
      <w:r>
        <w:rPr>
          <w:spacing w:val="-2"/>
        </w:rPr>
        <w:t>待售的处置组确认的资产减值损失后续转回金额，应当根据处置组中除商誉外适用本准则计量规定的各项非流动资产账面价</w:t>
      </w:r>
      <w:r>
        <w:rPr>
          <w:spacing w:val="-64"/>
        </w:rPr>
        <w:t> </w:t>
      </w:r>
      <w:r>
        <w:rPr>
          <w:spacing w:val="-64"/>
        </w:rPr>
      </w:r>
      <w:r>
        <w:rPr/>
        <w:t>值所占比重，按比例增加其账面价值。</w:t>
      </w:r>
    </w:p>
    <w:p>
      <w:pPr>
        <w:spacing w:line="240" w:lineRule="auto" w:before="5"/>
        <w:rPr>
          <w:rFonts w:ascii="宋体" w:hAnsi="宋体" w:cs="宋体" w:eastAsia="宋体" w:hint="default"/>
          <w:sz w:val="13"/>
          <w:szCs w:val="13"/>
        </w:rPr>
      </w:pPr>
    </w:p>
    <w:p>
      <w:pPr>
        <w:pStyle w:val="BodyText"/>
        <w:spacing w:line="316" w:lineRule="auto"/>
        <w:ind w:right="1034" w:firstLine="420"/>
        <w:jc w:val="left"/>
      </w:pPr>
      <w:r>
        <w:rPr/>
        <w:t>企业因出售对子公司的投资等原因导致其丧失对子公司控制权的，无论出售后企业是否保留部分权益性投资，应当在 拟出售的对子公司投资满足持有待售类别划分条件时，在母公司个别财务报表中将对子公司投资整体划分为持有待售类别， 在合并财务报表中将子公司所有资产和负债划分为持有待售类别。</w:t>
      </w:r>
    </w:p>
    <w:p>
      <w:pPr>
        <w:spacing w:line="240" w:lineRule="auto" w:before="6"/>
        <w:rPr>
          <w:rFonts w:ascii="宋体" w:hAnsi="宋体" w:cs="宋体" w:eastAsia="宋体" w:hint="default"/>
          <w:sz w:val="22"/>
          <w:szCs w:val="22"/>
        </w:rPr>
      </w:pPr>
    </w:p>
    <w:p>
      <w:pPr>
        <w:pStyle w:val="Heading3"/>
        <w:spacing w:line="240" w:lineRule="auto"/>
        <w:ind w:right="915"/>
        <w:jc w:val="left"/>
        <w:rPr>
          <w:b w:val="0"/>
          <w:bCs w:val="0"/>
        </w:rPr>
      </w:pPr>
      <w:bookmarkStart w:name="19、债权投资" w:id="190"/>
      <w:bookmarkEnd w:id="190"/>
      <w:r>
        <w:rPr>
          <w:b w:val="0"/>
          <w:bCs w:val="0"/>
        </w:rPr>
      </w:r>
      <w:r>
        <w:rPr>
          <w:rFonts w:ascii="Times New Roman" w:hAnsi="Times New Roman" w:cs="Times New Roman" w:eastAsia="Times New Roman" w:hint="default"/>
        </w:rPr>
        <w:t>19</w:t>
      </w:r>
      <w:r>
        <w:rPr/>
        <w:t>、债权投资</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15"/>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15"/>
        <w:jc w:val="left"/>
        <w:rPr>
          <w:b w:val="0"/>
          <w:bCs w:val="0"/>
        </w:rPr>
      </w:pPr>
      <w:bookmarkStart w:name="20、其他债权投资" w:id="191"/>
      <w:bookmarkEnd w:id="191"/>
      <w:r>
        <w:rPr>
          <w:b w:val="0"/>
          <w:bCs w:val="0"/>
        </w:rPr>
      </w:r>
      <w:r>
        <w:rPr>
          <w:rFonts w:ascii="Times New Roman" w:hAnsi="Times New Roman" w:cs="Times New Roman" w:eastAsia="Times New Roman" w:hint="default"/>
        </w:rPr>
        <w:t>20</w:t>
      </w:r>
      <w:r>
        <w:rPr/>
        <w:t>、其他债权投资</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15"/>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15"/>
        <w:jc w:val="left"/>
        <w:rPr>
          <w:b w:val="0"/>
          <w:bCs w:val="0"/>
        </w:rPr>
      </w:pPr>
      <w:bookmarkStart w:name="21、长期应收款" w:id="192"/>
      <w:bookmarkEnd w:id="192"/>
      <w:r>
        <w:rPr>
          <w:b w:val="0"/>
          <w:bCs w:val="0"/>
        </w:rPr>
      </w:r>
      <w:r>
        <w:rPr>
          <w:rFonts w:ascii="Times New Roman" w:hAnsi="Times New Roman" w:cs="Times New Roman" w:eastAsia="Times New Roman" w:hint="default"/>
        </w:rPr>
        <w:t>21</w:t>
      </w:r>
      <w:r>
        <w:rPr/>
        <w:t>、长期应收款</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15"/>
        <w:jc w:val="left"/>
      </w:pPr>
      <w:r>
        <w:rPr/>
        <w:t>无</w:t>
      </w:r>
    </w:p>
    <w:p>
      <w:pPr>
        <w:spacing w:line="240" w:lineRule="auto" w:before="11"/>
        <w:rPr>
          <w:rFonts w:ascii="宋体" w:hAnsi="宋体" w:cs="宋体" w:eastAsia="宋体" w:hint="default"/>
          <w:sz w:val="26"/>
          <w:szCs w:val="26"/>
        </w:rPr>
      </w:pPr>
    </w:p>
    <w:p>
      <w:pPr>
        <w:pStyle w:val="Heading3"/>
        <w:spacing w:line="240" w:lineRule="auto"/>
        <w:ind w:right="915"/>
        <w:jc w:val="left"/>
        <w:rPr>
          <w:b w:val="0"/>
          <w:bCs w:val="0"/>
        </w:rPr>
      </w:pPr>
      <w:bookmarkStart w:name="22、长期股权投资" w:id="193"/>
      <w:bookmarkEnd w:id="193"/>
      <w:r>
        <w:rPr>
          <w:b w:val="0"/>
          <w:bCs w:val="0"/>
        </w:rPr>
      </w:r>
      <w:r>
        <w:rPr>
          <w:rFonts w:ascii="Times New Roman" w:hAnsi="Times New Roman" w:cs="Times New Roman" w:eastAsia="Times New Roman" w:hint="default"/>
        </w:rPr>
        <w:t>22</w:t>
      </w:r>
      <w:r>
        <w:rPr/>
        <w:t>、长期股权投资</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32" w:right="915"/>
        <w:jc w:val="left"/>
      </w:pPr>
      <w:r>
        <w:rPr/>
        <w:t>1.</w:t>
      </w:r>
      <w:r>
        <w:rPr>
          <w:spacing w:val="1"/>
        </w:rPr>
        <w:t> </w:t>
      </w:r>
      <w:r>
        <w:rPr/>
        <w:t>投资成本的确定</w:t>
      </w:r>
    </w:p>
    <w:p>
      <w:pPr>
        <w:spacing w:line="240" w:lineRule="auto" w:before="10"/>
        <w:rPr>
          <w:rFonts w:ascii="宋体" w:hAnsi="宋体" w:cs="宋体" w:eastAsia="宋体" w:hint="default"/>
          <w:sz w:val="17"/>
          <w:szCs w:val="17"/>
        </w:rPr>
      </w:pPr>
    </w:p>
    <w:p>
      <w:pPr>
        <w:pStyle w:val="BodyText"/>
        <w:spacing w:line="316" w:lineRule="auto"/>
        <w:ind w:right="1132" w:firstLine="420"/>
        <w:jc w:val="both"/>
      </w:pPr>
      <w:r>
        <w:rPr/>
        <w:t>（1）</w:t>
      </w:r>
      <w:r>
        <w:rPr>
          <w:spacing w:val="27"/>
        </w:rPr>
        <w:t> </w:t>
      </w:r>
      <w:r>
        <w:rPr/>
        <w:t>同一控制下的企业合并形成的，合并方以支付现金、转让非现金资产、承担债务或发行权益性证券作为合并对</w:t>
      </w:r>
      <w:r>
        <w:rPr/>
        <w:t> </w:t>
      </w:r>
      <w:r>
        <w:rPr>
          <w:spacing w:val="-2"/>
        </w:rPr>
        <w:t>价的，在合并日按照被合并方所有者权益在最终控制方合并财务报表中的账面价值的份额作为其初始投资成本。长期股权投</w:t>
      </w:r>
      <w:r>
        <w:rPr>
          <w:spacing w:val="-64"/>
        </w:rPr>
        <w:t> </w:t>
      </w:r>
      <w:r>
        <w:rPr>
          <w:spacing w:val="-64"/>
        </w:rPr>
      </w:r>
      <w:r>
        <w:rPr>
          <w:spacing w:val="-2"/>
        </w:rPr>
        <w:t>资初始投资成本与支付的合并对价的账面价值或发行股份的面值总额之间的差额调整资本公积(资本溢价或股本溢价)；资本</w:t>
      </w:r>
      <w:r>
        <w:rPr>
          <w:spacing w:val="-63"/>
        </w:rPr>
        <w:t> </w:t>
      </w:r>
      <w:r>
        <w:rPr>
          <w:spacing w:val="-63"/>
        </w:rPr>
      </w:r>
      <w:r>
        <w:rPr/>
        <w:t>公积不足冲减的，调整留存收益。</w:t>
      </w:r>
    </w:p>
    <w:p>
      <w:pPr>
        <w:spacing w:line="240" w:lineRule="auto" w:before="5"/>
        <w:rPr>
          <w:rFonts w:ascii="宋体" w:hAnsi="宋体" w:cs="宋体" w:eastAsia="宋体" w:hint="default"/>
          <w:sz w:val="13"/>
          <w:szCs w:val="13"/>
        </w:rPr>
      </w:pPr>
    </w:p>
    <w:p>
      <w:pPr>
        <w:pStyle w:val="BodyText"/>
        <w:spacing w:line="316" w:lineRule="auto"/>
        <w:ind w:right="1034" w:firstLine="420"/>
        <w:jc w:val="left"/>
      </w:pPr>
      <w:r>
        <w:rPr/>
        <w:t>分步实现同一控制下企业合并的，应当以持股比例计算的合并日应享有被合并方账面所有者权益份额作为该项投资的 初始投资成本。初始投资成本与其原长期股权投资账面价值加上合并日取得进一步股份新支付对价的账面价值之和的差额， </w:t>
      </w:r>
      <w:r>
        <w:rPr>
          <w:spacing w:val="-3"/>
        </w:rPr>
        <w:t>调整资本公积（资本溢价或股本溢价），资本公积不足冲减的，冲减留存收益。</w:t>
      </w:r>
    </w:p>
    <w:p>
      <w:pPr>
        <w:spacing w:line="240" w:lineRule="auto" w:before="5"/>
        <w:rPr>
          <w:rFonts w:ascii="宋体" w:hAnsi="宋体" w:cs="宋体" w:eastAsia="宋体" w:hint="default"/>
          <w:sz w:val="13"/>
          <w:szCs w:val="13"/>
        </w:rPr>
      </w:pPr>
    </w:p>
    <w:p>
      <w:pPr>
        <w:pStyle w:val="BodyText"/>
        <w:spacing w:line="240" w:lineRule="auto"/>
        <w:ind w:left="532" w:right="915"/>
        <w:jc w:val="left"/>
      </w:pPr>
      <w:r>
        <w:rPr/>
        <w:t>（2）</w:t>
      </w:r>
      <w:r>
        <w:rPr>
          <w:spacing w:val="-1"/>
        </w:rPr>
        <w:t> </w:t>
      </w:r>
      <w:r>
        <w:rPr/>
        <w:t>非同一控制下的企业合并形成的，在购买日按照支付的合并对价的公允价值作为其初始投资成本。</w:t>
      </w:r>
    </w:p>
    <w:p>
      <w:pPr>
        <w:spacing w:line="240" w:lineRule="auto" w:before="10"/>
        <w:rPr>
          <w:rFonts w:ascii="宋体" w:hAnsi="宋体" w:cs="宋体" w:eastAsia="宋体" w:hint="default"/>
          <w:sz w:val="17"/>
          <w:szCs w:val="17"/>
        </w:rPr>
      </w:pPr>
    </w:p>
    <w:p>
      <w:pPr>
        <w:pStyle w:val="BodyText"/>
        <w:spacing w:line="240" w:lineRule="auto"/>
        <w:ind w:left="532" w:right="915"/>
        <w:jc w:val="left"/>
      </w:pPr>
      <w:r>
        <w:rPr/>
        <w:t>（3）</w:t>
      </w:r>
      <w:r>
        <w:rPr>
          <w:spacing w:val="31"/>
        </w:rPr>
        <w:t> </w:t>
      </w:r>
      <w:r>
        <w:rPr/>
        <w:t>除企业合并形成以外的：以支付现金取得的，按照实际支付的购买价款作为其初始投资成本；以发行权益性证</w:t>
      </w:r>
    </w:p>
    <w:p>
      <w:pPr>
        <w:spacing w:after="0" w:line="240" w:lineRule="auto"/>
        <w:jc w:val="left"/>
        <w:sectPr>
          <w:footerReference w:type="default" r:id="rId28"/>
          <w:pgSz w:w="11910" w:h="16840"/>
          <w:pgMar w:footer="1016" w:header="919" w:top="1120" w:bottom="1200" w:left="1020" w:right="0"/>
          <w:pgNumType w:start="120"/>
        </w:sectPr>
      </w:pPr>
    </w:p>
    <w:p>
      <w:pPr>
        <w:spacing w:line="240" w:lineRule="auto" w:before="12"/>
        <w:rPr>
          <w:rFonts w:ascii="宋体" w:hAnsi="宋体" w:cs="宋体" w:eastAsia="宋体" w:hint="default"/>
          <w:sz w:val="20"/>
          <w:szCs w:val="20"/>
        </w:rPr>
      </w:pPr>
    </w:p>
    <w:p>
      <w:pPr>
        <w:pStyle w:val="BodyText"/>
        <w:spacing w:line="316" w:lineRule="auto" w:before="44"/>
        <w:ind w:right="1130"/>
        <w:jc w:val="both"/>
      </w:pPr>
      <w:r>
        <w:rPr>
          <w:spacing w:val="-2"/>
        </w:rPr>
        <w:t>券取得的，按照发行权益性证券的公允价值作为其初始投资成本；投资者投入的，按照投资合同或协议约定的价值作为其初</w:t>
      </w:r>
      <w:r>
        <w:rPr>
          <w:spacing w:val="-63"/>
        </w:rPr>
        <w:t> </w:t>
      </w:r>
      <w:r>
        <w:rPr>
          <w:spacing w:val="-63"/>
        </w:rPr>
      </w:r>
      <w:r>
        <w:rPr>
          <w:spacing w:val="-4"/>
        </w:rPr>
        <w:t>始投资成本（合同或协议约定价值不公允的除外）。</w:t>
      </w:r>
    </w:p>
    <w:p>
      <w:pPr>
        <w:pStyle w:val="BodyText"/>
        <w:spacing w:line="468" w:lineRule="exact" w:before="10"/>
        <w:ind w:left="532" w:right="1116"/>
        <w:jc w:val="left"/>
      </w:pPr>
      <w:r>
        <w:rPr/>
        <w:t>2. 后续计量及损益确认方法 </w:t>
      </w:r>
      <w:r>
        <w:rPr>
          <w:spacing w:val="-1"/>
        </w:rPr>
        <w:t>本公司能够对被投资单位实施控制的长期股权投资,在本公司个别财务报表中采用成本法核算；对具有共同控制或重大</w:t>
      </w:r>
    </w:p>
    <w:p>
      <w:pPr>
        <w:pStyle w:val="BodyText"/>
        <w:spacing w:line="240" w:lineRule="auto" w:before="8"/>
        <w:ind w:right="0"/>
        <w:jc w:val="both"/>
      </w:pPr>
      <w:r>
        <w:rPr/>
        <w:t>影响的长期股权投资，采用权益法核算。</w:t>
      </w:r>
    </w:p>
    <w:p>
      <w:pPr>
        <w:spacing w:line="240" w:lineRule="auto" w:before="10"/>
        <w:rPr>
          <w:rFonts w:ascii="宋体" w:hAnsi="宋体" w:cs="宋体" w:eastAsia="宋体" w:hint="default"/>
          <w:sz w:val="17"/>
          <w:szCs w:val="17"/>
        </w:rPr>
      </w:pPr>
    </w:p>
    <w:p>
      <w:pPr>
        <w:pStyle w:val="BodyText"/>
        <w:spacing w:line="316" w:lineRule="auto"/>
        <w:ind w:right="1130" w:firstLine="420"/>
        <w:jc w:val="both"/>
      </w:pPr>
      <w:r>
        <w:rPr/>
        <w:t>采用成本法时,长期股权投资按初始投资成本计价,除取得投资时实际支付的价款或对价中包含的已宣告但尚未发放的 现金股利或利润外,按享有被投资单位宣告分派的现金股利或利润,确认为当期投资收益,并同时根据有关资产减值政策考虑</w:t>
      </w:r>
      <w:r>
        <w:rPr>
          <w:spacing w:val="-86"/>
        </w:rPr>
        <w:t> </w:t>
      </w:r>
      <w:r>
        <w:rPr>
          <w:spacing w:val="-86"/>
        </w:rPr>
      </w:r>
      <w:r>
        <w:rPr/>
        <w:t>长期投资是否减值。</w:t>
      </w:r>
    </w:p>
    <w:p>
      <w:pPr>
        <w:spacing w:line="240" w:lineRule="auto" w:before="5"/>
        <w:rPr>
          <w:rFonts w:ascii="宋体" w:hAnsi="宋体" w:cs="宋体" w:eastAsia="宋体" w:hint="default"/>
          <w:sz w:val="13"/>
          <w:szCs w:val="13"/>
        </w:rPr>
      </w:pPr>
    </w:p>
    <w:p>
      <w:pPr>
        <w:pStyle w:val="BodyText"/>
        <w:spacing w:line="316" w:lineRule="auto"/>
        <w:ind w:right="1132" w:firstLine="420"/>
        <w:jc w:val="both"/>
      </w:pPr>
      <w:r>
        <w:rPr/>
        <w:t>采用权益法时,长期股权投资的初始投资成本大于投资时应享有被投资单位可辨认净资产公允价值份额的,归入长期股 权投资的初始投资成本；长期股权投资的初始投资成本小于投资时应享有被投资单位可辨认净资产公允价值份额的,其差额</w:t>
      </w:r>
      <w:r>
        <w:rPr>
          <w:spacing w:val="-84"/>
        </w:rPr>
        <w:t> </w:t>
      </w:r>
      <w:r>
        <w:rPr>
          <w:spacing w:val="-84"/>
        </w:rPr>
      </w:r>
      <w:r>
        <w:rPr/>
        <w:t>计入当期损益,同时调整长期股权投资的成本。</w:t>
      </w:r>
    </w:p>
    <w:p>
      <w:pPr>
        <w:spacing w:line="240" w:lineRule="auto" w:before="5"/>
        <w:rPr>
          <w:rFonts w:ascii="宋体" w:hAnsi="宋体" w:cs="宋体" w:eastAsia="宋体" w:hint="default"/>
          <w:sz w:val="13"/>
          <w:szCs w:val="13"/>
        </w:rPr>
      </w:pPr>
    </w:p>
    <w:p>
      <w:pPr>
        <w:pStyle w:val="BodyText"/>
        <w:spacing w:line="316" w:lineRule="auto"/>
        <w:ind w:right="1132" w:firstLine="420"/>
        <w:jc w:val="both"/>
      </w:pPr>
      <w:r>
        <w:rPr>
          <w:spacing w:val="2"/>
        </w:rPr>
        <w:t>采用权益法时,取得长期股权投资后,按照应享有或应分担的被投资单位实现的净损益的份额,确认投资损益并调整长</w:t>
      </w:r>
      <w:r>
        <w:rPr/>
        <w:t> 期股权投资的账面价值。在确认应享有被投资单位净损益的份额时,以取得投资时被投资单位各项可辨认资产等的公允价值</w:t>
      </w:r>
      <w:r>
        <w:rPr>
          <w:spacing w:val="-84"/>
        </w:rPr>
        <w:t> </w:t>
      </w:r>
      <w:r>
        <w:rPr>
          <w:spacing w:val="-84"/>
        </w:rPr>
      </w:r>
      <w:r>
        <w:rPr/>
        <w:t>为基础,按照本公司的会计政策及会计期间,并抵销与联营企业及合营企业之间发生的内部交易损益按照持股比例计算归属</w:t>
      </w:r>
      <w:r>
        <w:rPr>
          <w:spacing w:val="-12"/>
        </w:rPr>
        <w:t> </w:t>
      </w:r>
      <w:r>
        <w:rPr>
          <w:spacing w:val="-12"/>
        </w:rPr>
      </w:r>
      <w:r>
        <w:rPr>
          <w:spacing w:val="-2"/>
        </w:rPr>
        <w:t>于投资企业的部分(但内部交易损失属于资产减值损失的,应全额确认),对被投资单位的净利润进行调整后确认。按照被投资</w:t>
      </w:r>
      <w:r>
        <w:rPr>
          <w:spacing w:val="-62"/>
        </w:rPr>
        <w:t> </w:t>
      </w:r>
      <w:r>
        <w:rPr>
          <w:spacing w:val="-62"/>
        </w:rPr>
      </w:r>
      <w:r>
        <w:rPr/>
        <w:t>单位宣告分派的利润或现金股利计算应分得的部分,相应减少长期股权投资的账面价值。本公司确认被投资单位发生的净亏</w:t>
      </w:r>
      <w:r>
        <w:rPr>
          <w:spacing w:val="-85"/>
        </w:rPr>
        <w:t> </w:t>
      </w:r>
      <w:r>
        <w:rPr>
          <w:spacing w:val="-85"/>
        </w:rPr>
      </w:r>
      <w:r>
        <w:rPr/>
        <w:t>损,以长期股权投资的账面价值以及其他实质上构成对被投资单位净投资的长期权益减记至零为限,本公司负有承担额外损</w:t>
      </w:r>
      <w:r>
        <w:rPr>
          <w:spacing w:val="-9"/>
        </w:rPr>
        <w:t> </w:t>
      </w:r>
      <w:r>
        <w:rPr>
          <w:spacing w:val="-9"/>
        </w:rPr>
      </w:r>
      <w:r>
        <w:rPr/>
        <w:t>失义务的除外。对于被投资单位除净损益以外所有者权益的其他变动,调整长期股权投资的账面价值并计入所有者权益。</w:t>
      </w:r>
    </w:p>
    <w:p>
      <w:pPr>
        <w:pStyle w:val="BodyText"/>
        <w:spacing w:line="468" w:lineRule="exact" w:before="10"/>
        <w:ind w:left="532" w:right="915"/>
        <w:jc w:val="left"/>
      </w:pPr>
      <w:r>
        <w:rPr/>
        <w:t>3. 确定对被投资单位具有控制、重大影响的依据 控制，是指拥有对被投资方的权力，通过参与被投资方的相关活动而享有可变回报，并且有能力运用对被投资方的权</w:t>
      </w:r>
    </w:p>
    <w:p>
      <w:pPr>
        <w:pStyle w:val="BodyText"/>
        <w:spacing w:line="316" w:lineRule="auto" w:before="8"/>
        <w:ind w:right="1130"/>
        <w:jc w:val="both"/>
      </w:pPr>
      <w:r>
        <w:rPr>
          <w:spacing w:val="-2"/>
        </w:rPr>
        <w:t>力影响回报金额；重大影响，是指投资方对被投资单位的财务和经营政策有参与决策的权力，但并不能够控制或者与其他方</w:t>
      </w:r>
      <w:r>
        <w:rPr>
          <w:spacing w:val="-63"/>
        </w:rPr>
        <w:t> </w:t>
      </w:r>
      <w:r>
        <w:rPr>
          <w:spacing w:val="-63"/>
        </w:rPr>
      </w:r>
      <w:r>
        <w:rPr/>
        <w:t>一起共同控制这些政策的制定。</w:t>
      </w:r>
    </w:p>
    <w:p>
      <w:pPr>
        <w:spacing w:line="240" w:lineRule="auto" w:before="5"/>
        <w:rPr>
          <w:rFonts w:ascii="宋体" w:hAnsi="宋体" w:cs="宋体" w:eastAsia="宋体" w:hint="default"/>
          <w:sz w:val="13"/>
          <w:szCs w:val="13"/>
        </w:rPr>
      </w:pPr>
    </w:p>
    <w:p>
      <w:pPr>
        <w:pStyle w:val="BodyText"/>
        <w:spacing w:line="240" w:lineRule="auto"/>
        <w:ind w:left="532" w:right="915"/>
        <w:jc w:val="left"/>
      </w:pPr>
      <w:r>
        <w:rPr/>
        <w:t>4.</w:t>
      </w:r>
      <w:r>
        <w:rPr>
          <w:spacing w:val="1"/>
        </w:rPr>
        <w:t> </w:t>
      </w:r>
      <w:r>
        <w:rPr/>
        <w:t>长期股权投资的处置</w:t>
      </w:r>
    </w:p>
    <w:p>
      <w:pPr>
        <w:pStyle w:val="BodyText"/>
        <w:spacing w:line="460" w:lineRule="atLeast" w:before="8"/>
        <w:ind w:left="532" w:right="915"/>
        <w:jc w:val="left"/>
      </w:pPr>
      <w:r>
        <w:rPr/>
        <w:t>（1）部分处置对子公司的长期股权投资，但不丧失控制权的情形 部分处置对子公司的长期股权投资，但不丧失控制权时，应当将处置价款与处置投资对应的账面价值的差额确认为当</w:t>
      </w:r>
    </w:p>
    <w:p>
      <w:pPr>
        <w:pStyle w:val="BodyText"/>
        <w:spacing w:line="240" w:lineRule="auto" w:before="76"/>
        <w:ind w:right="0"/>
        <w:jc w:val="both"/>
      </w:pPr>
      <w:r>
        <w:rPr/>
        <w:t>期投资收益。</w:t>
      </w:r>
    </w:p>
    <w:p>
      <w:pPr>
        <w:pStyle w:val="BodyText"/>
        <w:spacing w:line="470" w:lineRule="atLeast"/>
        <w:ind w:left="532" w:right="915"/>
        <w:jc w:val="left"/>
      </w:pPr>
      <w:r>
        <w:rPr/>
        <w:t>（2）部分处置股权投资或其他原因丧失了对子公司控制权的情形 部分处置股权投资或其他原因丧失了对子公司控制权的，对于处置的股权，应结转与所售股权相对应的长期股权投资</w:t>
      </w:r>
    </w:p>
    <w:p>
      <w:pPr>
        <w:pStyle w:val="BodyText"/>
        <w:spacing w:line="316" w:lineRule="auto" w:before="76"/>
        <w:ind w:right="1132"/>
        <w:jc w:val="both"/>
      </w:pPr>
      <w:r>
        <w:rPr>
          <w:spacing w:val="-2"/>
        </w:rPr>
        <w:t>的账面价值，出售所得价款与处置长期股权投资账面价值之间差额，确认为投资收益（损失）；同时，对于剩余股权，应当</w:t>
      </w:r>
      <w:r>
        <w:rPr>
          <w:spacing w:val="-67"/>
        </w:rPr>
        <w:t> </w:t>
      </w:r>
      <w:r>
        <w:rPr>
          <w:spacing w:val="-67"/>
        </w:rPr>
      </w:r>
      <w:r>
        <w:rPr>
          <w:spacing w:val="-2"/>
        </w:rPr>
        <w:t>按其账面价值确认为长期股权投资或其它相关金融资产。处置后的剩余股权能够对子公司实施共同控制或重大影响的，应按</w:t>
      </w:r>
      <w:r>
        <w:rPr>
          <w:spacing w:val="-64"/>
        </w:rPr>
        <w:t> </w:t>
      </w:r>
      <w:r>
        <w:rPr>
          <w:spacing w:val="-64"/>
        </w:rPr>
      </w:r>
      <w:r>
        <w:rPr/>
        <w:t>有关成本法转为权益法的相关规定进行会计处理。</w:t>
      </w:r>
    </w:p>
    <w:p>
      <w:pPr>
        <w:pStyle w:val="BodyText"/>
        <w:spacing w:line="468" w:lineRule="exact" w:before="10"/>
        <w:ind w:left="532" w:right="915"/>
        <w:jc w:val="left"/>
      </w:pPr>
      <w:r>
        <w:rPr/>
        <w:t>5. 减值测试方法及减值准备计提方法 对子公司、联营企业及合营企业的投资，在资产负债表日有客观证据表明其发生减值的，按照账面价值与可收回金额</w:t>
      </w:r>
    </w:p>
    <w:p>
      <w:pPr>
        <w:pStyle w:val="BodyText"/>
        <w:spacing w:line="240" w:lineRule="auto" w:before="8"/>
        <w:ind w:right="0"/>
        <w:jc w:val="both"/>
      </w:pPr>
      <w:r>
        <w:rPr/>
        <w:t>的差额计提相应的减值准备。</w:t>
      </w:r>
    </w:p>
    <w:p>
      <w:pPr>
        <w:spacing w:after="0" w:line="240" w:lineRule="auto"/>
        <w:jc w:val="both"/>
        <w:sectPr>
          <w:pgSz w:w="11910" w:h="16840"/>
          <w:pgMar w:header="919" w:footer="1016" w:top="1120" w:bottom="1200" w:left="1020" w:right="0"/>
        </w:sectPr>
      </w:pPr>
    </w:p>
    <w:p>
      <w:pPr>
        <w:spacing w:line="240" w:lineRule="auto" w:before="10"/>
        <w:rPr>
          <w:rFonts w:ascii="宋体" w:hAnsi="宋体" w:cs="宋体" w:eastAsia="宋体" w:hint="default"/>
          <w:sz w:val="19"/>
          <w:szCs w:val="19"/>
        </w:rPr>
      </w:pPr>
    </w:p>
    <w:p>
      <w:pPr>
        <w:pStyle w:val="Heading3"/>
        <w:spacing w:line="240" w:lineRule="auto" w:before="34"/>
        <w:ind w:left="132" w:right="1124"/>
        <w:jc w:val="left"/>
        <w:rPr>
          <w:b w:val="0"/>
          <w:bCs w:val="0"/>
        </w:rPr>
      </w:pPr>
      <w:bookmarkStart w:name="23、投资性房地产" w:id="194"/>
      <w:bookmarkEnd w:id="194"/>
      <w:r>
        <w:rPr>
          <w:b w:val="0"/>
          <w:bCs w:val="0"/>
        </w:rPr>
      </w:r>
      <w:r>
        <w:rPr>
          <w:rFonts w:ascii="Times New Roman" w:hAnsi="Times New Roman" w:cs="Times New Roman" w:eastAsia="Times New Roman" w:hint="default"/>
        </w:rPr>
        <w:t>23</w:t>
      </w:r>
      <w:r>
        <w:rPr/>
        <w:t>、投资性房地产</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132" w:right="8954"/>
        <w:jc w:val="left"/>
      </w:pPr>
      <w:r>
        <w:rPr/>
        <w:t>投资性房地产计量模式 成本法计量 折旧或摊销方法</w:t>
      </w:r>
    </w:p>
    <w:p>
      <w:pPr>
        <w:pStyle w:val="BodyText"/>
        <w:spacing w:line="240" w:lineRule="auto" w:before="29"/>
        <w:ind w:left="552" w:right="1124"/>
        <w:jc w:val="left"/>
      </w:pPr>
      <w:r>
        <w:rPr/>
        <w:t>1.</w:t>
      </w:r>
      <w:r>
        <w:rPr>
          <w:spacing w:val="1"/>
        </w:rPr>
        <w:t> </w:t>
      </w:r>
      <w:r>
        <w:rPr/>
        <w:t>投资性房地产包括已出租的土地使用权、持有并准备增值后转让的土地使用权和已出租的建筑物。</w:t>
      </w:r>
    </w:p>
    <w:p>
      <w:pPr>
        <w:spacing w:line="240" w:lineRule="auto" w:before="10"/>
        <w:rPr>
          <w:rFonts w:ascii="宋体" w:hAnsi="宋体" w:cs="宋体" w:eastAsia="宋体" w:hint="default"/>
          <w:sz w:val="17"/>
          <w:szCs w:val="17"/>
        </w:rPr>
      </w:pPr>
    </w:p>
    <w:p>
      <w:pPr>
        <w:pStyle w:val="BodyText"/>
        <w:spacing w:line="240" w:lineRule="auto"/>
        <w:ind w:left="552" w:right="1124"/>
        <w:jc w:val="left"/>
      </w:pPr>
      <w:r>
        <w:rPr/>
        <w:t>2.</w:t>
      </w:r>
      <w:r>
        <w:rPr>
          <w:spacing w:val="1"/>
        </w:rPr>
        <w:t> </w:t>
      </w:r>
      <w:r>
        <w:rPr/>
        <w:t>公司取得的投资性房地产按照成本进行初始计量。</w:t>
      </w:r>
    </w:p>
    <w:p>
      <w:pPr>
        <w:spacing w:line="240" w:lineRule="auto" w:before="10"/>
        <w:rPr>
          <w:rFonts w:ascii="宋体" w:hAnsi="宋体" w:cs="宋体" w:eastAsia="宋体" w:hint="default"/>
          <w:sz w:val="17"/>
          <w:szCs w:val="17"/>
        </w:rPr>
      </w:pPr>
    </w:p>
    <w:p>
      <w:pPr>
        <w:pStyle w:val="BodyText"/>
        <w:spacing w:line="240" w:lineRule="auto"/>
        <w:ind w:left="552" w:right="1124"/>
        <w:jc w:val="left"/>
      </w:pPr>
      <w:r>
        <w:rPr/>
        <w:t>（1）外购投资性房地产的成本，包括购买价款、相关税费和可直接归属于该资产的相关支出。</w:t>
      </w:r>
    </w:p>
    <w:p>
      <w:pPr>
        <w:spacing w:line="240" w:lineRule="auto" w:before="10"/>
        <w:rPr>
          <w:rFonts w:ascii="宋体" w:hAnsi="宋体" w:cs="宋体" w:eastAsia="宋体" w:hint="default"/>
          <w:sz w:val="17"/>
          <w:szCs w:val="17"/>
        </w:rPr>
      </w:pPr>
    </w:p>
    <w:p>
      <w:pPr>
        <w:pStyle w:val="BodyText"/>
        <w:spacing w:line="240" w:lineRule="auto"/>
        <w:ind w:left="552" w:right="1124"/>
        <w:jc w:val="left"/>
      </w:pPr>
      <w:r>
        <w:rPr/>
        <w:t>（2）自行建造投资性房地产的成本，由建造该项资产达到预定可使用状态前所发生的必要支出构成。</w:t>
      </w:r>
    </w:p>
    <w:p>
      <w:pPr>
        <w:spacing w:line="240" w:lineRule="auto" w:before="10"/>
        <w:rPr>
          <w:rFonts w:ascii="宋体" w:hAnsi="宋体" w:cs="宋体" w:eastAsia="宋体" w:hint="default"/>
          <w:sz w:val="17"/>
          <w:szCs w:val="17"/>
        </w:rPr>
      </w:pPr>
    </w:p>
    <w:p>
      <w:pPr>
        <w:pStyle w:val="BodyText"/>
        <w:spacing w:line="477" w:lineRule="auto"/>
        <w:ind w:left="492" w:right="4094" w:firstLine="60"/>
        <w:jc w:val="left"/>
      </w:pPr>
      <w:r>
        <w:rPr/>
        <w:t>（3）以其他方式取得的投资性房地产的成本，按照相关会计准则的规定确认。 3. 公司在资产负债表日采用成本模式对投资性房地产进行后续计量。 本公司对投资性房地产在使用寿命内扣除预计净残值后按年限平均法计提折旧。</w:t>
      </w:r>
    </w:p>
    <w:p>
      <w:pPr>
        <w:spacing w:line="240" w:lineRule="auto" w:before="4"/>
        <w:rPr>
          <w:rFonts w:ascii="宋体" w:hAnsi="宋体" w:cs="宋体" w:eastAsia="宋体"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3272"/>
        <w:gridCol w:w="3143"/>
        <w:gridCol w:w="3233"/>
      </w:tblGrid>
      <w:tr>
        <w:trPr>
          <w:trHeight w:val="347" w:hRule="exact"/>
        </w:trPr>
        <w:tc>
          <w:tcPr>
            <w:tcW w:w="3272"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20"/>
              <w:ind w:left="8" w:right="0"/>
              <w:jc w:val="left"/>
              <w:rPr>
                <w:rFonts w:ascii="宋体" w:hAnsi="宋体" w:cs="宋体" w:eastAsia="宋体" w:hint="default"/>
                <w:sz w:val="18"/>
                <w:szCs w:val="18"/>
              </w:rPr>
            </w:pPr>
            <w:r>
              <w:rPr>
                <w:rFonts w:ascii="宋体" w:hAnsi="宋体" w:cs="宋体" w:eastAsia="宋体" w:hint="default"/>
                <w:b/>
                <w:bCs/>
                <w:sz w:val="18"/>
                <w:szCs w:val="18"/>
              </w:rPr>
              <w:t>使用寿命</w:t>
            </w:r>
            <w:r>
              <w:rPr>
                <w:rFonts w:ascii="宋体" w:hAnsi="宋体" w:cs="宋体" w:eastAsia="宋体" w:hint="default"/>
                <w:sz w:val="18"/>
                <w:szCs w:val="18"/>
              </w:rPr>
            </w:r>
          </w:p>
        </w:tc>
        <w:tc>
          <w:tcPr>
            <w:tcW w:w="3143"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hAnsi="宋体" w:cs="宋体" w:eastAsia="宋体" w:hint="default"/>
                <w:b/>
                <w:bCs/>
                <w:w w:val="95"/>
                <w:sz w:val="18"/>
                <w:szCs w:val="18"/>
              </w:rPr>
              <w:t>残值率（%）</w:t>
            </w:r>
            <w:r>
              <w:rPr>
                <w:rFonts w:ascii="宋体" w:hAnsi="宋体" w:cs="宋体" w:eastAsia="宋体" w:hint="default"/>
                <w:sz w:val="18"/>
                <w:szCs w:val="18"/>
              </w:rPr>
            </w:r>
          </w:p>
        </w:tc>
        <w:tc>
          <w:tcPr>
            <w:tcW w:w="3233"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20"/>
              <w:ind w:right="7"/>
              <w:jc w:val="right"/>
              <w:rPr>
                <w:rFonts w:ascii="宋体" w:hAnsi="宋体" w:cs="宋体" w:eastAsia="宋体" w:hint="default"/>
                <w:sz w:val="18"/>
                <w:szCs w:val="18"/>
              </w:rPr>
            </w:pPr>
            <w:r>
              <w:rPr>
                <w:rFonts w:ascii="宋体" w:hAnsi="宋体" w:cs="宋体" w:eastAsia="宋体" w:hint="default"/>
                <w:b/>
                <w:bCs/>
                <w:w w:val="95"/>
                <w:sz w:val="18"/>
                <w:szCs w:val="18"/>
              </w:rPr>
              <w:t>折旧率（%）</w:t>
            </w:r>
            <w:r>
              <w:rPr>
                <w:rFonts w:ascii="宋体" w:hAnsi="宋体" w:cs="宋体" w:eastAsia="宋体" w:hint="default"/>
                <w:sz w:val="18"/>
                <w:szCs w:val="18"/>
              </w:rPr>
            </w:r>
          </w:p>
        </w:tc>
      </w:tr>
      <w:tr>
        <w:trPr>
          <w:trHeight w:val="340" w:hRule="exact"/>
        </w:trPr>
        <w:tc>
          <w:tcPr>
            <w:tcW w:w="3272" w:type="dxa"/>
            <w:tcBorders>
              <w:top w:val="single" w:sz="6" w:space="0" w:color="000000"/>
              <w:left w:val="nil" w:sz="6" w:space="0" w:color="auto"/>
              <w:bottom w:val="nil" w:sz="6" w:space="0" w:color="auto"/>
              <w:right w:val="single" w:sz="4" w:space="0" w:color="000000"/>
            </w:tcBorders>
          </w:tcPr>
          <w:p>
            <w:pPr>
              <w:pStyle w:val="TableParagraph"/>
              <w:spacing w:line="240" w:lineRule="auto" w:before="21"/>
              <w:ind w:left="8" w:right="0"/>
              <w:jc w:val="left"/>
              <w:rPr>
                <w:rFonts w:ascii="宋体" w:hAnsi="宋体" w:cs="宋体" w:eastAsia="宋体" w:hint="default"/>
                <w:sz w:val="18"/>
                <w:szCs w:val="18"/>
              </w:rPr>
            </w:pPr>
            <w:r>
              <w:rPr>
                <w:rFonts w:ascii="宋体" w:hAnsi="宋体" w:cs="宋体" w:eastAsia="宋体" w:hint="default"/>
                <w:sz w:val="18"/>
                <w:szCs w:val="18"/>
              </w:rPr>
              <w:t>20-45年</w:t>
            </w:r>
          </w:p>
        </w:tc>
        <w:tc>
          <w:tcPr>
            <w:tcW w:w="3143" w:type="dxa"/>
            <w:tcBorders>
              <w:top w:val="single" w:sz="6" w:space="0" w:color="000000"/>
              <w:left w:val="single" w:sz="4" w:space="0" w:color="000000"/>
              <w:bottom w:val="nil" w:sz="6" w:space="0" w:color="auto"/>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5</w:t>
            </w:r>
          </w:p>
        </w:tc>
        <w:tc>
          <w:tcPr>
            <w:tcW w:w="3233" w:type="dxa"/>
            <w:tcBorders>
              <w:top w:val="single" w:sz="6" w:space="0" w:color="000000"/>
              <w:left w:val="single" w:sz="4" w:space="0" w:color="000000"/>
              <w:bottom w:val="nil" w:sz="6" w:space="0" w:color="auto"/>
              <w:right w:val="nil" w:sz="6" w:space="0" w:color="auto"/>
            </w:tcBorders>
          </w:tcPr>
          <w:p>
            <w:pPr>
              <w:pStyle w:val="TableParagraph"/>
              <w:spacing w:line="240" w:lineRule="auto" w:before="21"/>
              <w:ind w:right="7"/>
              <w:jc w:val="right"/>
              <w:rPr>
                <w:rFonts w:ascii="宋体" w:hAnsi="宋体" w:cs="宋体" w:eastAsia="宋体" w:hint="default"/>
                <w:sz w:val="18"/>
                <w:szCs w:val="18"/>
              </w:rPr>
            </w:pPr>
            <w:r>
              <w:rPr>
                <w:rFonts w:ascii="宋体"/>
                <w:spacing w:val="-1"/>
                <w:sz w:val="18"/>
              </w:rPr>
              <w:t>2.11-4.75</w:t>
            </w:r>
          </w:p>
        </w:tc>
      </w:tr>
    </w:tbl>
    <w:p>
      <w:pPr>
        <w:pStyle w:val="BodyText"/>
        <w:spacing w:line="240" w:lineRule="auto" w:before="3"/>
        <w:ind w:left="492" w:right="1124"/>
        <w:jc w:val="left"/>
      </w:pPr>
      <w:r>
        <w:rPr/>
        <w:t>投资性房地产的减值按照“非金融长期资产减值”的核算方法所述的规定处理。</w:t>
      </w:r>
    </w:p>
    <w:p>
      <w:pPr>
        <w:spacing w:line="240" w:lineRule="auto" w:before="0"/>
        <w:rPr>
          <w:rFonts w:ascii="宋体" w:hAnsi="宋体" w:cs="宋体" w:eastAsia="宋体" w:hint="default"/>
          <w:sz w:val="18"/>
          <w:szCs w:val="18"/>
        </w:rPr>
      </w:pPr>
    </w:p>
    <w:p>
      <w:pPr>
        <w:pStyle w:val="Heading3"/>
        <w:spacing w:line="240" w:lineRule="auto" w:before="118"/>
        <w:ind w:left="132" w:right="1124"/>
        <w:jc w:val="left"/>
        <w:rPr>
          <w:b w:val="0"/>
          <w:bCs w:val="0"/>
        </w:rPr>
      </w:pPr>
      <w:bookmarkStart w:name="24、固定资产" w:id="195"/>
      <w:bookmarkEnd w:id="195"/>
      <w:r>
        <w:rPr>
          <w:b w:val="0"/>
          <w:bCs w:val="0"/>
        </w:rPr>
      </w:r>
      <w:r>
        <w:rPr>
          <w:rFonts w:ascii="Times New Roman" w:hAnsi="Times New Roman" w:cs="Times New Roman" w:eastAsia="Times New Roman" w:hint="default"/>
        </w:rPr>
        <w:t>24</w:t>
      </w:r>
      <w:r>
        <w:rPr/>
        <w:t>、固定资产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32" w:right="1124"/>
        <w:jc w:val="left"/>
        <w:rPr>
          <w:b w:val="0"/>
          <w:bCs w:val="0"/>
        </w:rPr>
      </w:pPr>
      <w:bookmarkStart w:name="（1）确认条件" w:id="196"/>
      <w:bookmarkEnd w:id="196"/>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left="132" w:right="1132" w:firstLine="360"/>
        <w:jc w:val="both"/>
      </w:pPr>
      <w:r>
        <w:rPr>
          <w:spacing w:val="-2"/>
        </w:rPr>
        <w:t>本公司的固定资产是指为生产商品、提供劳务、出租或经营管理而持有的、使用寿命超过一个会计年度的有形资产。固</w:t>
      </w:r>
      <w:r>
        <w:rPr/>
        <w:t> </w:t>
      </w:r>
      <w:r>
        <w:rPr>
          <w:spacing w:val="-5"/>
        </w:rPr>
        <w:t>定资产在同时满足下列条件时予以确认：（</w:t>
      </w:r>
      <w:r>
        <w:rPr>
          <w:rFonts w:ascii="Times New Roman" w:hAnsi="Times New Roman" w:cs="Times New Roman" w:eastAsia="Times New Roman" w:hint="default"/>
          <w:spacing w:val="-5"/>
        </w:rPr>
        <w:t>1</w:t>
      </w:r>
      <w:r>
        <w:rPr>
          <w:spacing w:val="-5"/>
        </w:rPr>
        <w:t>）与该固定资产有关的经济利益很可能流入企业；（</w:t>
      </w:r>
      <w:r>
        <w:rPr>
          <w:rFonts w:ascii="Times New Roman" w:hAnsi="Times New Roman" w:cs="Times New Roman" w:eastAsia="Times New Roman" w:hint="default"/>
          <w:spacing w:val="-5"/>
        </w:rPr>
        <w:t>2</w:t>
      </w:r>
      <w:r>
        <w:rPr>
          <w:spacing w:val="-5"/>
        </w:rPr>
        <w:t>）该固定资产的成本能够可</w:t>
      </w:r>
      <w:r>
        <w:rPr>
          <w:spacing w:val="-74"/>
        </w:rPr>
        <w:t> </w:t>
      </w:r>
      <w:r>
        <w:rPr>
          <w:spacing w:val="-74"/>
        </w:rPr>
      </w:r>
      <w:r>
        <w:rPr/>
        <w:t>靠地计量。</w:t>
      </w:r>
    </w:p>
    <w:p>
      <w:pPr>
        <w:spacing w:line="240" w:lineRule="auto" w:before="0"/>
        <w:rPr>
          <w:rFonts w:ascii="宋体" w:hAnsi="宋体" w:cs="宋体" w:eastAsia="宋体" w:hint="default"/>
          <w:sz w:val="23"/>
          <w:szCs w:val="23"/>
        </w:rPr>
      </w:pPr>
    </w:p>
    <w:p>
      <w:pPr>
        <w:pStyle w:val="Heading3"/>
        <w:spacing w:line="240" w:lineRule="auto"/>
        <w:ind w:left="132" w:right="1124"/>
        <w:jc w:val="left"/>
        <w:rPr>
          <w:b w:val="0"/>
          <w:bCs w:val="0"/>
        </w:rPr>
      </w:pPr>
      <w:bookmarkStart w:name="（2）折旧方法" w:id="197"/>
      <w:bookmarkEnd w:id="197"/>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20-45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2.11-4.75</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31.67</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19</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19</w:t>
            </w:r>
          </w:p>
        </w:tc>
      </w:tr>
    </w:tbl>
    <w:p>
      <w:pPr>
        <w:pStyle w:val="BodyText"/>
        <w:spacing w:line="240" w:lineRule="auto" w:before="12"/>
        <w:ind w:left="132" w:right="1124"/>
        <w:jc w:val="left"/>
      </w:pPr>
      <w:r>
        <w:rPr/>
        <w:t>在考虑减值准备的情况下，按单项固定资产扣除减值准备后的账面净额和剩余折旧年限，分项确定并计提各期折旧。</w:t>
      </w:r>
    </w:p>
    <w:p>
      <w:pPr>
        <w:spacing w:after="0" w:line="240" w:lineRule="auto"/>
        <w:jc w:val="left"/>
        <w:sectPr>
          <w:pgSz w:w="11910" w:h="16840"/>
          <w:pgMar w:header="919" w:footer="1016" w:top="1120" w:bottom="1200" w:left="1000" w:right="0"/>
        </w:sectPr>
      </w:pPr>
    </w:p>
    <w:p>
      <w:pPr>
        <w:spacing w:line="240" w:lineRule="auto" w:before="10"/>
        <w:rPr>
          <w:rFonts w:ascii="宋体" w:hAnsi="宋体" w:cs="宋体" w:eastAsia="宋体" w:hint="default"/>
          <w:sz w:val="19"/>
          <w:szCs w:val="19"/>
        </w:rPr>
      </w:pPr>
    </w:p>
    <w:p>
      <w:pPr>
        <w:pStyle w:val="Heading3"/>
        <w:spacing w:line="240" w:lineRule="auto" w:before="34"/>
        <w:ind w:right="915"/>
        <w:jc w:val="left"/>
        <w:rPr>
          <w:b w:val="0"/>
          <w:bCs w:val="0"/>
        </w:rPr>
      </w:pPr>
      <w:bookmarkStart w:name="（3）融资租入固定资产的认定依据、计价和折旧方法" w:id="198"/>
      <w:bookmarkEnd w:id="198"/>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15"/>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15"/>
        <w:jc w:val="left"/>
        <w:rPr>
          <w:b w:val="0"/>
          <w:bCs w:val="0"/>
        </w:rPr>
      </w:pPr>
      <w:bookmarkStart w:name="25、在建工程" w:id="199"/>
      <w:bookmarkEnd w:id="199"/>
      <w:r>
        <w:rPr>
          <w:b w:val="0"/>
          <w:bCs w:val="0"/>
        </w:rPr>
      </w:r>
      <w:r>
        <w:rPr>
          <w:rFonts w:ascii="Times New Roman" w:hAnsi="Times New Roman" w:cs="Times New Roman" w:eastAsia="Times New Roman" w:hint="default"/>
        </w:rPr>
        <w:t>25</w:t>
      </w:r>
      <w:r>
        <w:rPr/>
        <w:t>、在建工程</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0" w:firstLine="420"/>
        <w:jc w:val="both"/>
      </w:pPr>
      <w:r>
        <w:rPr/>
        <w:t>本公司在建工程以实际发生金额核算，并于达到预定可使用状态时转作固定资产。在建设期或安装期间为该工程所发 </w:t>
      </w:r>
      <w:r>
        <w:rPr>
          <w:spacing w:val="-2"/>
        </w:rPr>
        <w:t>生的借款利息支出、汇兑损益计入该工程成本。已交付使用的在建工程不能按时办理竣工决算的，暂估转入固定资产，待正</w:t>
      </w:r>
      <w:r>
        <w:rPr>
          <w:spacing w:val="-64"/>
        </w:rPr>
        <w:t> </w:t>
      </w:r>
      <w:r>
        <w:rPr>
          <w:spacing w:val="-64"/>
        </w:rPr>
      </w:r>
      <w:r>
        <w:rPr/>
        <w:t>式办理竣工决算后，再按照实际成本调整原来的暂估价值，但不调整原已计提的折旧。</w:t>
      </w:r>
    </w:p>
    <w:p>
      <w:pPr>
        <w:spacing w:line="240" w:lineRule="auto" w:before="5"/>
        <w:rPr>
          <w:rFonts w:ascii="宋体" w:hAnsi="宋体" w:cs="宋体" w:eastAsia="宋体" w:hint="default"/>
          <w:sz w:val="13"/>
          <w:szCs w:val="13"/>
        </w:rPr>
      </w:pPr>
    </w:p>
    <w:p>
      <w:pPr>
        <w:pStyle w:val="BodyText"/>
        <w:spacing w:line="240" w:lineRule="auto"/>
        <w:ind w:left="532" w:right="915"/>
        <w:jc w:val="left"/>
      </w:pPr>
      <w:r>
        <w:rPr/>
        <w:t>在建工程的减值按照“非金融长期资产减值”的核算方法所述的规定处理。</w:t>
      </w:r>
    </w:p>
    <w:p>
      <w:pPr>
        <w:spacing w:line="240" w:lineRule="auto" w:before="0"/>
        <w:rPr>
          <w:rFonts w:ascii="宋体" w:hAnsi="宋体" w:cs="宋体" w:eastAsia="宋体" w:hint="default"/>
          <w:sz w:val="18"/>
          <w:szCs w:val="18"/>
        </w:rPr>
      </w:pPr>
    </w:p>
    <w:p>
      <w:pPr>
        <w:pStyle w:val="Heading3"/>
        <w:spacing w:line="240" w:lineRule="auto" w:before="118"/>
        <w:ind w:right="915"/>
        <w:jc w:val="left"/>
        <w:rPr>
          <w:b w:val="0"/>
          <w:bCs w:val="0"/>
        </w:rPr>
      </w:pPr>
      <w:bookmarkStart w:name="26、借款费用" w:id="200"/>
      <w:bookmarkEnd w:id="200"/>
      <w:r>
        <w:rPr>
          <w:b w:val="0"/>
          <w:bCs w:val="0"/>
        </w:rPr>
      </w:r>
      <w:r>
        <w:rPr>
          <w:rFonts w:ascii="Times New Roman" w:hAnsi="Times New Roman" w:cs="Times New Roman" w:eastAsia="Times New Roman" w:hint="default"/>
        </w:rPr>
        <w:t>26</w:t>
      </w:r>
      <w:r>
        <w:rPr/>
        <w:t>、借款费用</w:t>
      </w:r>
      <w:r>
        <w:rPr>
          <w:b w:val="0"/>
          <w:bCs w:val="0"/>
        </w:rPr>
      </w:r>
    </w:p>
    <w:p>
      <w:pPr>
        <w:pStyle w:val="BodyText"/>
        <w:spacing w:line="470" w:lineRule="atLeast" w:before="112"/>
        <w:ind w:left="532" w:right="915"/>
        <w:jc w:val="left"/>
      </w:pPr>
      <w:r>
        <w:rPr/>
        <w:t>1. 借款费用资本化的确认原则 公司发生的借款费用，可直接归属于符合资本化条件的资产的购建或者生产的，予以资本化，计入相关资产成本；其</w:t>
      </w:r>
    </w:p>
    <w:p>
      <w:pPr>
        <w:pStyle w:val="BodyText"/>
        <w:spacing w:line="240" w:lineRule="auto" w:before="76"/>
        <w:ind w:right="915"/>
        <w:jc w:val="left"/>
      </w:pPr>
      <w:r>
        <w:rPr/>
        <w:t>他借款费用，在发生时根据其发生额确认为费用，计入当期损益。</w:t>
      </w:r>
    </w:p>
    <w:p>
      <w:pPr>
        <w:spacing w:line="240" w:lineRule="auto" w:before="10"/>
        <w:rPr>
          <w:rFonts w:ascii="宋体" w:hAnsi="宋体" w:cs="宋体" w:eastAsia="宋体" w:hint="default"/>
          <w:sz w:val="17"/>
          <w:szCs w:val="17"/>
        </w:rPr>
      </w:pPr>
    </w:p>
    <w:p>
      <w:pPr>
        <w:pStyle w:val="BodyText"/>
        <w:spacing w:line="316" w:lineRule="auto"/>
        <w:ind w:right="1132" w:firstLine="420"/>
        <w:jc w:val="both"/>
      </w:pPr>
      <w:r>
        <w:rPr/>
        <w:t>符合资本化条件的资产，是指需要经过相当长时间的购建或者生产活动才能达到预定可使用或者可销售状态的固定资 产、投资性房地产和存货等资产。</w:t>
      </w:r>
    </w:p>
    <w:p>
      <w:pPr>
        <w:spacing w:line="240" w:lineRule="auto" w:before="5"/>
        <w:rPr>
          <w:rFonts w:ascii="宋体" w:hAnsi="宋体" w:cs="宋体" w:eastAsia="宋体" w:hint="default"/>
          <w:sz w:val="13"/>
          <w:szCs w:val="13"/>
        </w:rPr>
      </w:pPr>
    </w:p>
    <w:p>
      <w:pPr>
        <w:pStyle w:val="BodyText"/>
        <w:spacing w:line="240" w:lineRule="auto"/>
        <w:ind w:left="532" w:right="915"/>
        <w:jc w:val="left"/>
      </w:pPr>
      <w:r>
        <w:rPr/>
        <w:t>借款费用同时满足下列条件时开始资本化：</w:t>
      </w:r>
    </w:p>
    <w:p>
      <w:pPr>
        <w:spacing w:line="240" w:lineRule="auto" w:before="10"/>
        <w:rPr>
          <w:rFonts w:ascii="宋体" w:hAnsi="宋体" w:cs="宋体" w:eastAsia="宋体" w:hint="default"/>
          <w:sz w:val="17"/>
          <w:szCs w:val="17"/>
        </w:rPr>
      </w:pPr>
    </w:p>
    <w:p>
      <w:pPr>
        <w:pStyle w:val="BodyText"/>
        <w:spacing w:line="316" w:lineRule="auto"/>
        <w:ind w:right="1130" w:firstLine="420"/>
        <w:jc w:val="both"/>
      </w:pPr>
      <w:r>
        <w:rPr>
          <w:spacing w:val="-1"/>
        </w:rPr>
        <w:t>（1）资产支出已经发生，资产支出包括为购建或者生产符合资本化条件的资产而以支付现金、转移非现金资产或者承</w:t>
      </w:r>
      <w:r>
        <w:rPr/>
        <w:t> 担带息债务形式发生的支出；</w:t>
      </w:r>
    </w:p>
    <w:p>
      <w:pPr>
        <w:spacing w:line="240" w:lineRule="auto" w:before="5"/>
        <w:rPr>
          <w:rFonts w:ascii="宋体" w:hAnsi="宋体" w:cs="宋体" w:eastAsia="宋体" w:hint="default"/>
          <w:sz w:val="13"/>
          <w:szCs w:val="13"/>
        </w:rPr>
      </w:pPr>
    </w:p>
    <w:p>
      <w:pPr>
        <w:pStyle w:val="BodyText"/>
        <w:spacing w:line="240" w:lineRule="auto"/>
        <w:ind w:left="532" w:right="915"/>
        <w:jc w:val="left"/>
      </w:pPr>
      <w:r>
        <w:rPr/>
        <w:t>（2）借款费用已经发生；</w:t>
      </w:r>
    </w:p>
    <w:p>
      <w:pPr>
        <w:spacing w:line="240" w:lineRule="auto" w:before="10"/>
        <w:rPr>
          <w:rFonts w:ascii="宋体" w:hAnsi="宋体" w:cs="宋体" w:eastAsia="宋体" w:hint="default"/>
          <w:sz w:val="17"/>
          <w:szCs w:val="17"/>
        </w:rPr>
      </w:pPr>
    </w:p>
    <w:p>
      <w:pPr>
        <w:pStyle w:val="BodyText"/>
        <w:spacing w:line="477" w:lineRule="auto"/>
        <w:ind w:left="532" w:right="915"/>
        <w:jc w:val="left"/>
      </w:pPr>
      <w:r>
        <w:rPr/>
        <w:t>（3）为使资产达到预定可使用或者可销售状态所必要的购建或者生产活动已经开始。 </w:t>
      </w:r>
      <w:r>
        <w:rPr>
          <w:spacing w:val="-3"/>
        </w:rPr>
        <w:t>当符合资本化条件的资产在购建或者生产过程中发生非正常中断、且中断时间连续超过3个月的，借款费用暂停资本化。</w:t>
      </w:r>
      <w:r>
        <w:rPr>
          <w:spacing w:val="-73"/>
        </w:rPr>
        <w:t> </w:t>
      </w:r>
      <w:r>
        <w:rPr>
          <w:spacing w:val="-73"/>
        </w:rPr>
      </w:r>
      <w:r>
        <w:rPr/>
        <w:t>当购建或者生产符合资本化条件的资产达到预定可使用或者可销售状态时，借款费用停止资本化。 当购建或者生产符合资本化条件的资产中部分项目分别完工且可单独使用时，该部分资产借款费用停止资本化。 2．借款费用资本化期间</w:t>
      </w:r>
      <w:r>
        <w:rPr/>
        <w:t> 资本化期间，指从借款费用开始资本化时点到停止资本化时点的期间，借款费用暂停资本化的期间不包括在内。 3．借款费用资本化金额</w:t>
      </w:r>
    </w:p>
    <w:p>
      <w:pPr>
        <w:pStyle w:val="BodyText"/>
        <w:spacing w:line="240" w:lineRule="auto" w:before="54"/>
        <w:ind w:left="532" w:right="915"/>
        <w:jc w:val="left"/>
      </w:pPr>
      <w:r>
        <w:rPr/>
        <w:t>借款费用资本化金额的计算方法</w:t>
      </w:r>
    </w:p>
    <w:p>
      <w:pPr>
        <w:spacing w:line="240" w:lineRule="auto" w:before="10"/>
        <w:rPr>
          <w:rFonts w:ascii="宋体" w:hAnsi="宋体" w:cs="宋体" w:eastAsia="宋体" w:hint="default"/>
          <w:sz w:val="17"/>
          <w:szCs w:val="17"/>
        </w:rPr>
      </w:pPr>
    </w:p>
    <w:p>
      <w:pPr>
        <w:pStyle w:val="BodyText"/>
        <w:spacing w:line="316" w:lineRule="auto"/>
        <w:ind w:right="1130" w:firstLine="420"/>
        <w:jc w:val="both"/>
      </w:pPr>
      <w:r>
        <w:rPr>
          <w:spacing w:val="-1"/>
        </w:rPr>
        <w:t>（1）借款利息的资本化金额：为购建或者生产符合资本化条件的资产而借入专门借款的，每一会计期间的利息资本化</w:t>
      </w:r>
      <w:r>
        <w:rPr/>
        <w:t> </w:t>
      </w:r>
      <w:r>
        <w:rPr>
          <w:spacing w:val="-2"/>
        </w:rPr>
        <w:t>金额，不超过专门借款当期实际发生的利息费用，减去将尚未动用的借款资金存入银行取得的利息收入或进行暂时性投资取</w:t>
      </w:r>
      <w:r>
        <w:rPr>
          <w:spacing w:val="-64"/>
        </w:rPr>
        <w:t> </w:t>
      </w:r>
      <w:r>
        <w:rPr>
          <w:spacing w:val="-64"/>
        </w:rPr>
      </w:r>
      <w:r>
        <w:rPr/>
        <w:t>得的投资收益后的金额。</w:t>
      </w:r>
    </w:p>
    <w:p>
      <w:pPr>
        <w:spacing w:line="240" w:lineRule="auto" w:before="5"/>
        <w:rPr>
          <w:rFonts w:ascii="宋体" w:hAnsi="宋体" w:cs="宋体" w:eastAsia="宋体" w:hint="default"/>
          <w:sz w:val="13"/>
          <w:szCs w:val="13"/>
        </w:rPr>
      </w:pPr>
    </w:p>
    <w:p>
      <w:pPr>
        <w:pStyle w:val="BodyText"/>
        <w:spacing w:line="316" w:lineRule="auto"/>
        <w:ind w:right="1132" w:firstLine="420"/>
        <w:jc w:val="both"/>
      </w:pPr>
      <w:r>
        <w:rPr/>
        <w:t>为购建或者生产开发符合资本化条件的资产而占用了一般借款的，根据累计资产支出超过专门借款部分的资产支出加 </w:t>
      </w:r>
      <w:r>
        <w:rPr>
          <w:spacing w:val="-2"/>
        </w:rPr>
        <w:t>权平均数乘以所占用一般借款的资本化率，计算确定一般借款应予资本化的利息金额。资本化率根据一般借款加权平均利率</w:t>
      </w:r>
      <w:r>
        <w:rPr>
          <w:spacing w:val="-64"/>
        </w:rPr>
        <w:t> </w:t>
      </w:r>
      <w:r>
        <w:rPr>
          <w:spacing w:val="-64"/>
        </w:rPr>
      </w:r>
      <w:r>
        <w:rPr/>
        <w:t>计算确定。每一会计期间的利息资本化金额，不超过当期相关借款实际发生的利息金额。</w:t>
      </w:r>
    </w:p>
    <w:p>
      <w:pPr>
        <w:spacing w:after="0" w:line="316" w:lineRule="auto"/>
        <w:jc w:val="both"/>
        <w:sectPr>
          <w:pgSz w:w="11910" w:h="16840"/>
          <w:pgMar w:header="919" w:footer="1016" w:top="1120" w:bottom="1200" w:left="1020" w:right="0"/>
        </w:sectPr>
      </w:pPr>
    </w:p>
    <w:p>
      <w:pPr>
        <w:spacing w:line="240" w:lineRule="auto" w:before="12"/>
        <w:rPr>
          <w:rFonts w:ascii="宋体" w:hAnsi="宋体" w:cs="宋体" w:eastAsia="宋体" w:hint="default"/>
          <w:sz w:val="20"/>
          <w:szCs w:val="20"/>
        </w:rPr>
      </w:pPr>
    </w:p>
    <w:p>
      <w:pPr>
        <w:pStyle w:val="BodyText"/>
        <w:spacing w:line="240" w:lineRule="auto" w:before="44"/>
        <w:ind w:left="532" w:right="915"/>
        <w:jc w:val="left"/>
      </w:pPr>
      <w:r>
        <w:rPr/>
        <w:t>借款存在折价或溢价的，按照实际利率法确定每一会计期间应摊销的折价或者溢价金额，调整每期利息金额。</w:t>
      </w:r>
    </w:p>
    <w:p>
      <w:pPr>
        <w:spacing w:line="240" w:lineRule="auto" w:before="10"/>
        <w:rPr>
          <w:rFonts w:ascii="宋体" w:hAnsi="宋体" w:cs="宋体" w:eastAsia="宋体" w:hint="default"/>
          <w:sz w:val="17"/>
          <w:szCs w:val="17"/>
        </w:rPr>
      </w:pPr>
    </w:p>
    <w:p>
      <w:pPr>
        <w:pStyle w:val="BodyText"/>
        <w:spacing w:line="316" w:lineRule="auto"/>
        <w:ind w:right="1130" w:firstLine="420"/>
        <w:jc w:val="both"/>
      </w:pPr>
      <w:r>
        <w:rPr>
          <w:spacing w:val="-1"/>
        </w:rPr>
        <w:t>（2）辅助费用：专门借款发生的辅助费用，在所购建或者生产的符合资本化条件的资产达到预定可使用或者可销售状</w:t>
      </w:r>
      <w:r>
        <w:rPr/>
        <w:t> </w:t>
      </w:r>
      <w:r>
        <w:rPr>
          <w:spacing w:val="-2"/>
        </w:rPr>
        <w:t>态之前发生的，应当在发生时根据其发生额予以资本化，计入符合资本化条件的资产成本；在所购建或者生产的符合资本化</w:t>
      </w:r>
      <w:r>
        <w:rPr>
          <w:spacing w:val="-63"/>
        </w:rPr>
        <w:t> </w:t>
      </w:r>
      <w:r>
        <w:rPr>
          <w:spacing w:val="-63"/>
        </w:rPr>
      </w:r>
      <w:r>
        <w:rPr/>
        <w:t>条件的资产达到预定可使用或者可销售状态之后发生的，在发生时根据其发生额确认为费用，计入当期损益。</w:t>
      </w:r>
    </w:p>
    <w:p>
      <w:pPr>
        <w:spacing w:line="240" w:lineRule="auto" w:before="5"/>
        <w:rPr>
          <w:rFonts w:ascii="宋体" w:hAnsi="宋体" w:cs="宋体" w:eastAsia="宋体" w:hint="default"/>
          <w:sz w:val="13"/>
          <w:szCs w:val="13"/>
        </w:rPr>
      </w:pPr>
    </w:p>
    <w:p>
      <w:pPr>
        <w:pStyle w:val="BodyText"/>
        <w:spacing w:line="240" w:lineRule="auto"/>
        <w:ind w:left="532" w:right="915"/>
        <w:jc w:val="left"/>
      </w:pPr>
      <w:r>
        <w:rPr/>
        <w:t>一般借款发生的辅助费用，在发生时根据其发生额确认为费用，计入当期损益。</w:t>
      </w:r>
    </w:p>
    <w:p>
      <w:pPr>
        <w:spacing w:line="240" w:lineRule="auto" w:before="10"/>
        <w:rPr>
          <w:rFonts w:ascii="宋体" w:hAnsi="宋体" w:cs="宋体" w:eastAsia="宋体" w:hint="default"/>
          <w:sz w:val="17"/>
          <w:szCs w:val="17"/>
        </w:rPr>
      </w:pPr>
    </w:p>
    <w:p>
      <w:pPr>
        <w:pStyle w:val="BodyText"/>
        <w:spacing w:line="316" w:lineRule="auto"/>
        <w:ind w:right="1041" w:firstLine="420"/>
        <w:jc w:val="both"/>
      </w:pPr>
      <w:r>
        <w:rPr>
          <w:spacing w:val="-3"/>
        </w:rPr>
        <w:t>（3）外币专门借款汇兑差额资本化金额的确定：在资本化期间内，外币专门借款本金及利息的汇兑差额，予以资本化，</w:t>
      </w:r>
      <w:r>
        <w:rPr/>
        <w:t> 除此之外的其他外币借款本金及利息所产生的汇兑差额在发生时根据其发生额确认为费用，计入当期损益。</w:t>
      </w:r>
    </w:p>
    <w:p>
      <w:pPr>
        <w:spacing w:line="240" w:lineRule="auto" w:before="6"/>
        <w:rPr>
          <w:rFonts w:ascii="宋体" w:hAnsi="宋体" w:cs="宋体" w:eastAsia="宋体" w:hint="default"/>
          <w:sz w:val="22"/>
          <w:szCs w:val="22"/>
        </w:rPr>
      </w:pPr>
    </w:p>
    <w:p>
      <w:pPr>
        <w:pStyle w:val="Heading3"/>
        <w:spacing w:line="240" w:lineRule="auto"/>
        <w:ind w:right="915"/>
        <w:jc w:val="left"/>
        <w:rPr>
          <w:b w:val="0"/>
          <w:bCs w:val="0"/>
        </w:rPr>
      </w:pPr>
      <w:bookmarkStart w:name="27、生物资产" w:id="201"/>
      <w:bookmarkEnd w:id="201"/>
      <w:r>
        <w:rPr>
          <w:b w:val="0"/>
          <w:bCs w:val="0"/>
        </w:rPr>
      </w:r>
      <w:r>
        <w:rPr>
          <w:rFonts w:ascii="Times New Roman" w:hAnsi="Times New Roman" w:cs="Times New Roman" w:eastAsia="Times New Roman" w:hint="default"/>
        </w:rPr>
        <w:t>27</w:t>
      </w:r>
      <w:r>
        <w:rPr/>
        <w:t>、生物资产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15"/>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15"/>
        <w:jc w:val="left"/>
        <w:rPr>
          <w:b w:val="0"/>
          <w:bCs w:val="0"/>
        </w:rPr>
      </w:pPr>
      <w:bookmarkStart w:name="28、油气资产" w:id="202"/>
      <w:bookmarkEnd w:id="202"/>
      <w:r>
        <w:rPr>
          <w:b w:val="0"/>
          <w:bCs w:val="0"/>
        </w:rPr>
      </w:r>
      <w:r>
        <w:rPr>
          <w:rFonts w:ascii="Times New Roman" w:hAnsi="Times New Roman" w:cs="Times New Roman" w:eastAsia="Times New Roman" w:hint="default"/>
        </w:rPr>
        <w:t>28</w:t>
      </w:r>
      <w:r>
        <w:rPr/>
        <w:t>、油气资产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15"/>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15"/>
        <w:jc w:val="left"/>
        <w:rPr>
          <w:b w:val="0"/>
          <w:bCs w:val="0"/>
        </w:rPr>
      </w:pPr>
      <w:bookmarkStart w:name="29、使用权资产" w:id="203"/>
      <w:bookmarkEnd w:id="203"/>
      <w:r>
        <w:rPr>
          <w:b w:val="0"/>
          <w:bCs w:val="0"/>
        </w:rPr>
      </w:r>
      <w:r>
        <w:rPr>
          <w:rFonts w:ascii="Times New Roman" w:hAnsi="Times New Roman" w:cs="Times New Roman" w:eastAsia="Times New Roman" w:hint="default"/>
        </w:rPr>
        <w:t>29</w:t>
      </w:r>
      <w:r>
        <w:rPr/>
        <w:t>、使用权资产</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15"/>
        <w:jc w:val="left"/>
      </w:pPr>
      <w:r>
        <w:rPr/>
        <w:t>无</w:t>
      </w:r>
    </w:p>
    <w:p>
      <w:pPr>
        <w:spacing w:line="240" w:lineRule="auto" w:before="11"/>
        <w:rPr>
          <w:rFonts w:ascii="宋体" w:hAnsi="宋体" w:cs="宋体" w:eastAsia="宋体" w:hint="default"/>
          <w:sz w:val="26"/>
          <w:szCs w:val="26"/>
        </w:rPr>
      </w:pPr>
    </w:p>
    <w:p>
      <w:pPr>
        <w:pStyle w:val="Heading3"/>
        <w:spacing w:line="240" w:lineRule="auto"/>
        <w:ind w:right="915"/>
        <w:jc w:val="left"/>
        <w:rPr>
          <w:b w:val="0"/>
          <w:bCs w:val="0"/>
        </w:rPr>
      </w:pPr>
      <w:bookmarkStart w:name="30、无形资产" w:id="204"/>
      <w:bookmarkEnd w:id="204"/>
      <w:r>
        <w:rPr>
          <w:b w:val="0"/>
          <w:bCs w:val="0"/>
        </w:rPr>
      </w:r>
      <w:r>
        <w:rPr>
          <w:rFonts w:ascii="Times New Roman" w:hAnsi="Times New Roman" w:cs="Times New Roman" w:eastAsia="Times New Roman" w:hint="default"/>
        </w:rPr>
        <w:t>30</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15"/>
        <w:jc w:val="left"/>
        <w:rPr>
          <w:b w:val="0"/>
          <w:bCs w:val="0"/>
        </w:rPr>
      </w:pPr>
      <w:bookmarkStart w:name="（1）计价方法、使用寿命、减值测试" w:id="205"/>
      <w:bookmarkEnd w:id="205"/>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2" w:firstLine="420"/>
        <w:jc w:val="both"/>
      </w:pPr>
      <w:r>
        <w:rPr/>
        <w:t>本公司的无形资产是指企业拥有或控制的没有实物形态的可辨认非货币性资产。包括专利权、非专利技术、商标权、 著作权、土地使用权、特许权等。</w:t>
      </w:r>
    </w:p>
    <w:p>
      <w:pPr>
        <w:spacing w:line="240" w:lineRule="auto" w:before="5"/>
        <w:rPr>
          <w:rFonts w:ascii="宋体" w:hAnsi="宋体" w:cs="宋体" w:eastAsia="宋体" w:hint="default"/>
          <w:sz w:val="13"/>
          <w:szCs w:val="13"/>
        </w:rPr>
      </w:pPr>
    </w:p>
    <w:p>
      <w:pPr>
        <w:pStyle w:val="BodyText"/>
        <w:spacing w:line="316" w:lineRule="auto"/>
        <w:ind w:right="1130" w:firstLine="420"/>
        <w:jc w:val="both"/>
      </w:pPr>
      <w:r>
        <w:rPr/>
        <w:t>公司于取得无形资产时分析判断其使用寿命，将其分为使用寿命有限的无形资产和使用寿命不确定的无形资产。使用 </w:t>
      </w:r>
      <w:r>
        <w:rPr>
          <w:spacing w:val="-2"/>
        </w:rPr>
        <w:t>寿命有限的无形资产，其应摊销金额在使用寿命内按直线法摊销，计入当期损益，本公司至少于每年年度终了，对使用寿命</w:t>
      </w:r>
      <w:r>
        <w:rPr>
          <w:spacing w:val="-64"/>
        </w:rPr>
        <w:t> </w:t>
      </w:r>
      <w:r>
        <w:rPr>
          <w:spacing w:val="-64"/>
        </w:rPr>
      </w:r>
      <w:r>
        <w:rPr>
          <w:spacing w:val="-2"/>
        </w:rPr>
        <w:t>有限的无形资产的使用寿命及摊销方法进行复核，必要时进行调整。经复核本年末无形资产的使用寿命及摊销方法与以前估</w:t>
      </w:r>
      <w:r>
        <w:rPr>
          <w:spacing w:val="-64"/>
        </w:rPr>
        <w:t> </w:t>
      </w:r>
      <w:r>
        <w:rPr>
          <w:spacing w:val="-64"/>
        </w:rPr>
      </w:r>
      <w:r>
        <w:rPr>
          <w:spacing w:val="-2"/>
        </w:rPr>
        <w:t>计未有不同。无法预见无形资产为公司带来经济利益期限的，视为使用寿命不确定的无形资产。每年末，对使用寿命不确定</w:t>
      </w:r>
      <w:r>
        <w:rPr>
          <w:spacing w:val="-64"/>
        </w:rPr>
        <w:t> </w:t>
      </w:r>
      <w:r>
        <w:rPr>
          <w:spacing w:val="-64"/>
        </w:rPr>
      </w:r>
      <w:r>
        <w:rPr/>
        <w:t>的无形资产的使用寿命进行复核。本年公司无使用寿命不确定的无形资产。</w:t>
      </w:r>
    </w:p>
    <w:p>
      <w:pPr>
        <w:spacing w:line="240" w:lineRule="auto" w:before="5"/>
        <w:rPr>
          <w:rFonts w:ascii="宋体" w:hAnsi="宋体" w:cs="宋体" w:eastAsia="宋体" w:hint="default"/>
          <w:sz w:val="13"/>
          <w:szCs w:val="13"/>
        </w:rPr>
      </w:pPr>
    </w:p>
    <w:p>
      <w:pPr>
        <w:pStyle w:val="BodyText"/>
        <w:spacing w:line="316" w:lineRule="auto"/>
        <w:ind w:right="1132" w:firstLine="420"/>
        <w:jc w:val="both"/>
      </w:pPr>
      <w:r>
        <w:rPr/>
        <w:t>公司无形项目的支出，除符合无形资产的确认条件构成无形资产成本的部分或非同一控制下企业合并中取得的、不能 单独确认为无形资产、构成购买日确认的商誉的部分外，均应于发生时计入当期损益。</w:t>
      </w:r>
    </w:p>
    <w:p>
      <w:pPr>
        <w:spacing w:line="240" w:lineRule="auto" w:before="5"/>
        <w:rPr>
          <w:rFonts w:ascii="宋体" w:hAnsi="宋体" w:cs="宋体" w:eastAsia="宋体" w:hint="default"/>
          <w:sz w:val="13"/>
          <w:szCs w:val="13"/>
        </w:rPr>
      </w:pPr>
    </w:p>
    <w:p>
      <w:pPr>
        <w:pStyle w:val="BodyText"/>
        <w:spacing w:line="316" w:lineRule="auto"/>
        <w:ind w:right="1132" w:firstLine="420"/>
        <w:jc w:val="both"/>
      </w:pPr>
      <w:r>
        <w:rPr/>
        <w:t>公司在每年年度终了，对使用寿命有限的无形资产的使用寿命及摊销方法进行复核。无形资产的预计使用寿命及摊销 方法与以前估计不同的，根据该项无形资产的预期消耗方式修改摊销期限和摊销方法。</w:t>
      </w:r>
    </w:p>
    <w:p>
      <w:pPr>
        <w:spacing w:line="240" w:lineRule="auto" w:before="5"/>
        <w:rPr>
          <w:rFonts w:ascii="宋体" w:hAnsi="宋体" w:cs="宋体" w:eastAsia="宋体" w:hint="default"/>
          <w:sz w:val="13"/>
          <w:szCs w:val="13"/>
        </w:rPr>
      </w:pPr>
    </w:p>
    <w:p>
      <w:pPr>
        <w:pStyle w:val="BodyText"/>
        <w:spacing w:line="477" w:lineRule="auto"/>
        <w:ind w:left="532" w:right="3674"/>
        <w:jc w:val="left"/>
      </w:pPr>
      <w:r>
        <w:rPr/>
        <w:t>无形资产的减值按照“非金融长期资产减值”的核算方法所述的规定处理。 当无形资产预期不能为本公司带来经济利益时，将该无形资产的账面价值予以转销。</w:t>
      </w:r>
    </w:p>
    <w:p>
      <w:pPr>
        <w:spacing w:after="0" w:line="477" w:lineRule="auto"/>
        <w:jc w:val="left"/>
        <w:sectPr>
          <w:pgSz w:w="11910" w:h="16840"/>
          <w:pgMar w:header="919" w:footer="1016" w:top="1120" w:bottom="1200" w:left="1020" w:right="0"/>
        </w:sectPr>
      </w:pPr>
    </w:p>
    <w:p>
      <w:pPr>
        <w:spacing w:line="240" w:lineRule="auto" w:before="10"/>
        <w:rPr>
          <w:rFonts w:ascii="宋体" w:hAnsi="宋体" w:cs="宋体" w:eastAsia="宋体" w:hint="default"/>
          <w:sz w:val="19"/>
          <w:szCs w:val="19"/>
        </w:rPr>
      </w:pPr>
    </w:p>
    <w:p>
      <w:pPr>
        <w:pStyle w:val="Heading3"/>
        <w:spacing w:line="240" w:lineRule="auto" w:before="34"/>
        <w:ind w:right="915"/>
        <w:jc w:val="left"/>
        <w:rPr>
          <w:b w:val="0"/>
          <w:bCs w:val="0"/>
        </w:rPr>
      </w:pPr>
      <w:bookmarkStart w:name="（2）内部研究开发支出会计政策" w:id="206"/>
      <w:bookmarkEnd w:id="206"/>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15" w:firstLine="420"/>
        <w:jc w:val="left"/>
      </w:pPr>
      <w:r>
        <w:rPr/>
        <w:t>内部研究开发项目研究阶段的支出，于发生时计入当期损益。内部研究开发项目开发阶段的支出，同时满足下列条件 </w:t>
      </w:r>
      <w:r>
        <w:rPr>
          <w:spacing w:val="-5"/>
        </w:rPr>
        <w:t>的，确认为无形资产：（1）完成该无形资产以使其能够使用或出售在技术上具有可行性；（2）具有完成该无形资产并使用或</w:t>
      </w:r>
      <w:r>
        <w:rPr>
          <w:spacing w:val="-73"/>
        </w:rPr>
        <w:t> </w:t>
      </w:r>
      <w:r>
        <w:rPr>
          <w:spacing w:val="-73"/>
        </w:rPr>
      </w:r>
      <w:r>
        <w:rPr>
          <w:spacing w:val="-4"/>
        </w:rPr>
        <w:t>出售的意图；（3）无形资产产生经济利益的方式，包括能够证明运用该无形资产生产的产品存在市场或无形资产自身存在市</w:t>
      </w:r>
      <w:r>
        <w:rPr>
          <w:spacing w:val="-44"/>
        </w:rPr>
        <w:t> </w:t>
      </w:r>
      <w:r>
        <w:rPr>
          <w:spacing w:val="-44"/>
        </w:rPr>
      </w:r>
      <w:r>
        <w:rPr>
          <w:spacing w:val="-5"/>
        </w:rPr>
        <w:t>场，无形资产将在内部使用的，能证明其有用性；（4）有足够的技术、财务资源和其他资源支持，以完成该无形资产的开发，</w:t>
      </w:r>
      <w:r>
        <w:rPr>
          <w:spacing w:val="-73"/>
        </w:rPr>
        <w:t> </w:t>
      </w:r>
      <w:r>
        <w:rPr>
          <w:spacing w:val="-73"/>
        </w:rPr>
      </w:r>
      <w:r>
        <w:rPr>
          <w:spacing w:val="-3"/>
        </w:rPr>
        <w:t>并有能力使用或出售该无形资产；（5）归属于该无形资产开发阶段的支出能够可靠地计量。</w:t>
      </w:r>
    </w:p>
    <w:p>
      <w:pPr>
        <w:spacing w:line="240" w:lineRule="auto" w:before="8"/>
        <w:rPr>
          <w:rFonts w:ascii="宋体" w:hAnsi="宋体" w:cs="宋体" w:eastAsia="宋体" w:hint="default"/>
          <w:sz w:val="22"/>
          <w:szCs w:val="22"/>
        </w:rPr>
      </w:pPr>
    </w:p>
    <w:p>
      <w:pPr>
        <w:pStyle w:val="Heading3"/>
        <w:spacing w:line="240" w:lineRule="auto"/>
        <w:ind w:right="915"/>
        <w:jc w:val="left"/>
        <w:rPr>
          <w:b w:val="0"/>
          <w:bCs w:val="0"/>
        </w:rPr>
      </w:pPr>
      <w:bookmarkStart w:name="31、长期资产减值" w:id="207"/>
      <w:bookmarkEnd w:id="207"/>
      <w:r>
        <w:rPr>
          <w:b w:val="0"/>
          <w:bCs w:val="0"/>
        </w:rPr>
      </w:r>
      <w:r>
        <w:rPr>
          <w:rFonts w:ascii="Times New Roman" w:hAnsi="Times New Roman" w:cs="Times New Roman" w:eastAsia="Times New Roman" w:hint="default"/>
        </w:rPr>
        <w:t>31</w:t>
      </w:r>
      <w:r>
        <w:rPr/>
        <w:t>、长期资产减值</w:t>
      </w:r>
      <w:r>
        <w:rPr>
          <w:b w:val="0"/>
          <w:bCs w:val="0"/>
        </w:rPr>
      </w:r>
    </w:p>
    <w:p>
      <w:pPr>
        <w:pStyle w:val="BodyText"/>
        <w:spacing w:line="460" w:lineRule="atLeast" w:before="120"/>
        <w:ind w:left="472" w:right="915"/>
        <w:jc w:val="left"/>
      </w:pPr>
      <w:r>
        <w:rPr/>
        <w:t>1、非金融长期资产减值 </w:t>
      </w:r>
      <w:r>
        <w:rPr>
          <w:spacing w:val="-2"/>
        </w:rPr>
        <w:t>资产减值，是指资产的可收回金额低于其账面价值。资产，包括单项资产和资产组。资产组是指企业可以认定的最小资</w:t>
      </w:r>
    </w:p>
    <w:p>
      <w:pPr>
        <w:pStyle w:val="BodyText"/>
        <w:spacing w:line="477" w:lineRule="auto" w:before="76"/>
        <w:ind w:left="472" w:right="4094" w:hanging="360"/>
        <w:jc w:val="left"/>
      </w:pPr>
      <w:r>
        <w:rPr/>
        <w:t>产组合，其产生的现金流入应当基本上独立于其他资产或者资产组产生的现金流入。 2.</w:t>
      </w:r>
      <w:r>
        <w:rPr>
          <w:spacing w:val="1"/>
        </w:rPr>
        <w:t> </w:t>
      </w:r>
      <w:r>
        <w:rPr/>
        <w:t>可能发生减值资产的认定</w:t>
      </w:r>
    </w:p>
    <w:p>
      <w:pPr>
        <w:pStyle w:val="BodyText"/>
        <w:spacing w:line="240" w:lineRule="auto" w:before="54"/>
        <w:ind w:left="532" w:right="915"/>
        <w:jc w:val="left"/>
      </w:pPr>
      <w:r>
        <w:rPr/>
        <w:t>存在下列迹象的，表明资产可能发生了减值：</w:t>
      </w:r>
    </w:p>
    <w:p>
      <w:pPr>
        <w:spacing w:line="240" w:lineRule="auto" w:before="10"/>
        <w:rPr>
          <w:rFonts w:ascii="宋体" w:hAnsi="宋体" w:cs="宋体" w:eastAsia="宋体" w:hint="default"/>
          <w:sz w:val="17"/>
          <w:szCs w:val="17"/>
        </w:rPr>
      </w:pPr>
    </w:p>
    <w:p>
      <w:pPr>
        <w:pStyle w:val="BodyText"/>
        <w:spacing w:line="240" w:lineRule="auto"/>
        <w:ind w:left="472" w:right="915"/>
        <w:jc w:val="left"/>
      </w:pPr>
      <w:r>
        <w:rPr/>
        <w:t>（1）资产的市价当期大幅度下跌，其跌幅明显高于因时间的推移或者正常使用而预计的下跌。</w:t>
      </w:r>
    </w:p>
    <w:p>
      <w:pPr>
        <w:spacing w:line="240" w:lineRule="auto" w:before="10"/>
        <w:rPr>
          <w:rFonts w:ascii="宋体" w:hAnsi="宋体" w:cs="宋体" w:eastAsia="宋体" w:hint="default"/>
          <w:sz w:val="17"/>
          <w:szCs w:val="17"/>
        </w:rPr>
      </w:pPr>
    </w:p>
    <w:p>
      <w:pPr>
        <w:pStyle w:val="BodyText"/>
        <w:spacing w:line="316" w:lineRule="auto"/>
        <w:ind w:right="1124" w:firstLine="360"/>
        <w:jc w:val="left"/>
      </w:pPr>
      <w:r>
        <w:rPr/>
        <w:t>（2）企业经营所处的经济、技术或法律等环境以及资产所处的市场在当期或将在近期发生重大变化，从而对企业产生 不利影响。</w:t>
      </w:r>
    </w:p>
    <w:p>
      <w:pPr>
        <w:spacing w:line="240" w:lineRule="auto" w:before="5"/>
        <w:rPr>
          <w:rFonts w:ascii="宋体" w:hAnsi="宋体" w:cs="宋体" w:eastAsia="宋体" w:hint="default"/>
          <w:sz w:val="13"/>
          <w:szCs w:val="13"/>
        </w:rPr>
      </w:pPr>
    </w:p>
    <w:p>
      <w:pPr>
        <w:pStyle w:val="BodyText"/>
        <w:spacing w:line="316" w:lineRule="auto"/>
        <w:ind w:right="1124" w:firstLine="360"/>
        <w:jc w:val="left"/>
      </w:pPr>
      <w:r>
        <w:rPr/>
        <w:t>（3）市场利率或者其他市场投资回报率在当期已经提高，从而影响企业计算资产预计未来现金流量现值的折现率，导 致资产可收回金额大幅度降低。</w:t>
      </w:r>
    </w:p>
    <w:p>
      <w:pPr>
        <w:spacing w:line="240" w:lineRule="auto" w:before="5"/>
        <w:rPr>
          <w:rFonts w:ascii="宋体" w:hAnsi="宋体" w:cs="宋体" w:eastAsia="宋体" w:hint="default"/>
          <w:sz w:val="13"/>
          <w:szCs w:val="13"/>
        </w:rPr>
      </w:pPr>
    </w:p>
    <w:p>
      <w:pPr>
        <w:pStyle w:val="BodyText"/>
        <w:spacing w:line="240" w:lineRule="auto"/>
        <w:ind w:left="472" w:right="915"/>
        <w:jc w:val="left"/>
      </w:pPr>
      <w:r>
        <w:rPr/>
        <w:t>（4）有证据表明资产已经陈旧过时或其实体已经损坏。</w:t>
      </w:r>
    </w:p>
    <w:p>
      <w:pPr>
        <w:spacing w:line="240" w:lineRule="auto" w:before="10"/>
        <w:rPr>
          <w:rFonts w:ascii="宋体" w:hAnsi="宋体" w:cs="宋体" w:eastAsia="宋体" w:hint="default"/>
          <w:sz w:val="17"/>
          <w:szCs w:val="17"/>
        </w:rPr>
      </w:pPr>
    </w:p>
    <w:p>
      <w:pPr>
        <w:pStyle w:val="BodyText"/>
        <w:spacing w:line="240" w:lineRule="auto"/>
        <w:ind w:left="472" w:right="915"/>
        <w:jc w:val="left"/>
      </w:pPr>
      <w:r>
        <w:rPr/>
        <w:t>（5）资产已经或者将被闲置、终止使用或者计划提前处置。</w:t>
      </w:r>
    </w:p>
    <w:p>
      <w:pPr>
        <w:spacing w:line="240" w:lineRule="auto" w:before="10"/>
        <w:rPr>
          <w:rFonts w:ascii="宋体" w:hAnsi="宋体" w:cs="宋体" w:eastAsia="宋体" w:hint="default"/>
          <w:sz w:val="17"/>
          <w:szCs w:val="17"/>
        </w:rPr>
      </w:pPr>
    </w:p>
    <w:p>
      <w:pPr>
        <w:pStyle w:val="BodyText"/>
        <w:spacing w:line="316" w:lineRule="auto"/>
        <w:ind w:right="1124" w:firstLine="360"/>
        <w:jc w:val="left"/>
      </w:pPr>
      <w:r>
        <w:rPr/>
        <w:t>（6）企业内部报告的证据表明资产的经济绩效已经低于或者将低于预期，如资产所创造的净现金流量或者实现的营业 利润（或者亏损）远远低于（或者高于）预计金额等。</w:t>
      </w:r>
    </w:p>
    <w:p>
      <w:pPr>
        <w:spacing w:line="240" w:lineRule="auto" w:before="5"/>
        <w:rPr>
          <w:rFonts w:ascii="宋体" w:hAnsi="宋体" w:cs="宋体" w:eastAsia="宋体" w:hint="default"/>
          <w:sz w:val="13"/>
          <w:szCs w:val="13"/>
        </w:rPr>
      </w:pPr>
    </w:p>
    <w:p>
      <w:pPr>
        <w:pStyle w:val="BodyText"/>
        <w:spacing w:line="477" w:lineRule="auto"/>
        <w:ind w:left="472" w:right="6704"/>
        <w:jc w:val="left"/>
      </w:pPr>
      <w:r>
        <w:rPr/>
        <w:t>（7）其他表明资产可能已经发生减值的迹象。 3.</w:t>
      </w:r>
      <w:r>
        <w:rPr>
          <w:spacing w:val="1"/>
        </w:rPr>
        <w:t> </w:t>
      </w:r>
      <w:r>
        <w:rPr/>
        <w:t>资产可收回金额的计量</w:t>
      </w:r>
    </w:p>
    <w:p>
      <w:pPr>
        <w:pStyle w:val="BodyText"/>
        <w:spacing w:line="316" w:lineRule="auto" w:before="54"/>
        <w:ind w:right="1124" w:firstLine="360"/>
        <w:jc w:val="left"/>
      </w:pPr>
      <w:r>
        <w:rPr/>
        <w:t>（1）可收回金额根据资产的公允价值减去处置费用后的净额与资产预计未来现金流量的现值两者之间较高者确定。处 置费用包括与资产处置有关的法律费用、相关税费、搬运费以及为使资产达到可销售状态所发生的直接费用等。</w:t>
      </w:r>
    </w:p>
    <w:p>
      <w:pPr>
        <w:spacing w:line="240" w:lineRule="auto" w:before="5"/>
        <w:rPr>
          <w:rFonts w:ascii="宋体" w:hAnsi="宋体" w:cs="宋体" w:eastAsia="宋体" w:hint="default"/>
          <w:sz w:val="13"/>
          <w:szCs w:val="13"/>
        </w:rPr>
      </w:pPr>
    </w:p>
    <w:p>
      <w:pPr>
        <w:pStyle w:val="BodyText"/>
        <w:spacing w:line="316" w:lineRule="auto"/>
        <w:ind w:right="1130" w:firstLine="360"/>
        <w:jc w:val="both"/>
      </w:pPr>
      <w:r>
        <w:rPr/>
        <w:t>（2）资产的公允价值减去处置费用后的净额，是根据公平交易中销售协议价格减去直接归属于该资产处置费用的金额 </w:t>
      </w:r>
      <w:r>
        <w:rPr>
          <w:spacing w:val="-2"/>
        </w:rPr>
        <w:t>确定；不存在销售协议但存在活跃市场的，按照资产的市场价格减去处置费用后的金额确定，资产的市场价格通常根据资产</w:t>
      </w:r>
      <w:r>
        <w:rPr>
          <w:spacing w:val="-63"/>
        </w:rPr>
        <w:t> </w:t>
      </w:r>
      <w:r>
        <w:rPr>
          <w:spacing w:val="-63"/>
        </w:rPr>
      </w:r>
      <w:r>
        <w:rPr>
          <w:spacing w:val="-2"/>
        </w:rPr>
        <w:t>的买方出价确定；在不存在销售协议和资产活跃市场的情况下，以可获取的最佳信息为基础，估计资产的公允价值减去处置</w:t>
      </w:r>
      <w:r>
        <w:rPr>
          <w:spacing w:val="-63"/>
        </w:rPr>
        <w:t> </w:t>
      </w:r>
      <w:r>
        <w:rPr>
          <w:spacing w:val="-63"/>
        </w:rPr>
      </w:r>
      <w:r>
        <w:rPr>
          <w:spacing w:val="-2"/>
        </w:rPr>
        <w:t>费用后的净额，参考同行业类似资产的最近交易价格或者结果进行估计；按照上述规定仍然无法可靠估计资产的公允价值减</w:t>
      </w:r>
      <w:r>
        <w:rPr>
          <w:spacing w:val="-64"/>
        </w:rPr>
        <w:t> </w:t>
      </w:r>
      <w:r>
        <w:rPr>
          <w:spacing w:val="-64"/>
        </w:rPr>
      </w:r>
      <w:r>
        <w:rPr/>
        <w:t>去处置费用后的净额的，以该资产预计未来现金流量的现值作为其可收回金额。</w:t>
      </w:r>
    </w:p>
    <w:p>
      <w:pPr>
        <w:spacing w:line="240" w:lineRule="auto" w:before="5"/>
        <w:rPr>
          <w:rFonts w:ascii="宋体" w:hAnsi="宋体" w:cs="宋体" w:eastAsia="宋体" w:hint="default"/>
          <w:sz w:val="13"/>
          <w:szCs w:val="13"/>
        </w:rPr>
      </w:pPr>
    </w:p>
    <w:p>
      <w:pPr>
        <w:pStyle w:val="BodyText"/>
        <w:spacing w:line="477" w:lineRule="auto"/>
        <w:ind w:left="472" w:right="6704"/>
        <w:jc w:val="left"/>
      </w:pPr>
      <w:r>
        <w:rPr/>
        <w:t>（3）预计的资产未来现金流量包括： 1）资产持续使用过程中预计产生的现金流入；</w:t>
      </w:r>
    </w:p>
    <w:p>
      <w:pPr>
        <w:pStyle w:val="BodyText"/>
        <w:spacing w:line="240" w:lineRule="auto" w:before="54"/>
        <w:ind w:left="472" w:right="915"/>
        <w:jc w:val="left"/>
      </w:pPr>
      <w:r>
        <w:rPr/>
        <w:t>2）为实现资产持续使用过程中产生的现金流入所必需的预计现金流出（包括为使资产达到预定可使用状态所发生的现</w:t>
      </w:r>
    </w:p>
    <w:p>
      <w:pPr>
        <w:spacing w:after="0" w:line="240" w:lineRule="auto"/>
        <w:jc w:val="left"/>
        <w:sectPr>
          <w:pgSz w:w="11910" w:h="16840"/>
          <w:pgMar w:header="919" w:footer="1016" w:top="1120" w:bottom="1200" w:left="1020" w:right="0"/>
        </w:sectPr>
      </w:pPr>
    </w:p>
    <w:p>
      <w:pPr>
        <w:spacing w:line="240" w:lineRule="auto" w:before="12"/>
        <w:rPr>
          <w:rFonts w:ascii="宋体" w:hAnsi="宋体" w:cs="宋体" w:eastAsia="宋体" w:hint="default"/>
          <w:sz w:val="20"/>
          <w:szCs w:val="20"/>
        </w:rPr>
      </w:pPr>
    </w:p>
    <w:p>
      <w:pPr>
        <w:pStyle w:val="BodyText"/>
        <w:spacing w:line="240" w:lineRule="auto" w:before="44"/>
        <w:ind w:right="915"/>
        <w:jc w:val="left"/>
      </w:pPr>
      <w:r>
        <w:rPr/>
        <w:t>金流出</w:t>
      </w:r>
      <w:r>
        <w:rPr>
          <w:spacing w:val="-89"/>
        </w:rPr>
        <w:t>）</w:t>
      </w:r>
      <w:r>
        <w:rPr/>
        <w:t>。该现金流出是可直接归属于或者可通过合理而一致的基础分配到资产中的现金流出；</w:t>
      </w:r>
    </w:p>
    <w:p>
      <w:pPr>
        <w:spacing w:line="240" w:lineRule="auto" w:before="10"/>
        <w:rPr>
          <w:rFonts w:ascii="宋体" w:hAnsi="宋体" w:cs="宋体" w:eastAsia="宋体" w:hint="default"/>
          <w:sz w:val="17"/>
          <w:szCs w:val="17"/>
        </w:rPr>
      </w:pPr>
    </w:p>
    <w:p>
      <w:pPr>
        <w:pStyle w:val="BodyText"/>
        <w:spacing w:line="316" w:lineRule="auto"/>
        <w:ind w:right="1132" w:firstLine="360"/>
        <w:jc w:val="both"/>
      </w:pPr>
      <w:r>
        <w:rPr/>
        <w:t>3）资产使用寿命结束时，处置资产所收到或支付的净现金流量。该现金流量是在公平交易中，熟悉情况的交易双方自 愿进行交易时，企业预期可从资产的处置中获取或者支付的、减去预计处置费用后的金额。</w:t>
      </w:r>
    </w:p>
    <w:p>
      <w:pPr>
        <w:spacing w:line="240" w:lineRule="auto" w:before="5"/>
        <w:rPr>
          <w:rFonts w:ascii="宋体" w:hAnsi="宋体" w:cs="宋体" w:eastAsia="宋体" w:hint="default"/>
          <w:sz w:val="13"/>
          <w:szCs w:val="13"/>
        </w:rPr>
      </w:pPr>
    </w:p>
    <w:p>
      <w:pPr>
        <w:pStyle w:val="BodyText"/>
        <w:spacing w:line="240" w:lineRule="auto"/>
        <w:ind w:left="472" w:right="915"/>
        <w:jc w:val="left"/>
      </w:pPr>
      <w:r>
        <w:rPr/>
        <w:t>4.</w:t>
      </w:r>
      <w:r>
        <w:rPr>
          <w:spacing w:val="1"/>
        </w:rPr>
        <w:t> </w:t>
      </w:r>
      <w:r>
        <w:rPr/>
        <w:t>资产减值损失的确定</w:t>
      </w:r>
    </w:p>
    <w:p>
      <w:pPr>
        <w:spacing w:line="240" w:lineRule="auto" w:before="10"/>
        <w:rPr>
          <w:rFonts w:ascii="宋体" w:hAnsi="宋体" w:cs="宋体" w:eastAsia="宋体" w:hint="default"/>
          <w:sz w:val="17"/>
          <w:szCs w:val="17"/>
        </w:rPr>
      </w:pPr>
    </w:p>
    <w:p>
      <w:pPr>
        <w:pStyle w:val="BodyText"/>
        <w:spacing w:line="316" w:lineRule="auto"/>
        <w:ind w:right="1132" w:firstLine="360"/>
        <w:jc w:val="both"/>
      </w:pPr>
      <w:r>
        <w:rPr/>
        <w:t>（1）可收回金额的计量结果表明，资产的可收回金额低于其账面价值的，将资产的账面价值减记至可收回金额，减记 的金额确认为资产减值损失，计入当期损益，同时计提相应的资产减值准备。</w:t>
      </w:r>
    </w:p>
    <w:p>
      <w:pPr>
        <w:spacing w:line="240" w:lineRule="auto" w:before="5"/>
        <w:rPr>
          <w:rFonts w:ascii="宋体" w:hAnsi="宋体" w:cs="宋体" w:eastAsia="宋体" w:hint="default"/>
          <w:sz w:val="13"/>
          <w:szCs w:val="13"/>
        </w:rPr>
      </w:pPr>
    </w:p>
    <w:p>
      <w:pPr>
        <w:pStyle w:val="BodyText"/>
        <w:spacing w:line="316" w:lineRule="auto"/>
        <w:ind w:right="1132" w:firstLine="360"/>
        <w:jc w:val="both"/>
      </w:pPr>
      <w:r>
        <w:rPr/>
        <w:t>（2）资产减值损失确认后，减值资产的折旧或者摊销费用在未来期间作相应调整，以使该资产在剩余使用寿命内，系 </w:t>
      </w:r>
      <w:r>
        <w:rPr>
          <w:spacing w:val="-4"/>
        </w:rPr>
        <w:t>统地分摊调整后的资产账面价值（扣除预计净残值）。</w:t>
      </w:r>
    </w:p>
    <w:p>
      <w:pPr>
        <w:spacing w:line="240" w:lineRule="auto" w:before="5"/>
        <w:rPr>
          <w:rFonts w:ascii="宋体" w:hAnsi="宋体" w:cs="宋体" w:eastAsia="宋体" w:hint="default"/>
          <w:sz w:val="13"/>
          <w:szCs w:val="13"/>
        </w:rPr>
      </w:pPr>
    </w:p>
    <w:p>
      <w:pPr>
        <w:pStyle w:val="BodyText"/>
        <w:spacing w:line="240" w:lineRule="auto"/>
        <w:ind w:left="532" w:right="915"/>
        <w:jc w:val="left"/>
      </w:pPr>
      <w:r>
        <w:rPr/>
        <w:t>5.</w:t>
      </w:r>
      <w:r>
        <w:rPr>
          <w:spacing w:val="1"/>
        </w:rPr>
        <w:t> </w:t>
      </w:r>
      <w:r>
        <w:rPr/>
        <w:t>资产组的认定及减值处理</w:t>
      </w:r>
    </w:p>
    <w:p>
      <w:pPr>
        <w:spacing w:line="240" w:lineRule="auto" w:before="10"/>
        <w:rPr>
          <w:rFonts w:ascii="宋体" w:hAnsi="宋体" w:cs="宋体" w:eastAsia="宋体" w:hint="default"/>
          <w:sz w:val="17"/>
          <w:szCs w:val="17"/>
        </w:rPr>
      </w:pPr>
    </w:p>
    <w:p>
      <w:pPr>
        <w:pStyle w:val="BodyText"/>
        <w:spacing w:line="316" w:lineRule="auto"/>
        <w:ind w:right="1132" w:firstLine="360"/>
        <w:jc w:val="both"/>
      </w:pPr>
      <w:r>
        <w:rPr/>
        <w:t>（1）有迹象表明一项资产可能发生减值的，本公司以单项资产为基础估计其可收回金额。难以对单项资产的可收回金 额进行估计的，按照该资产所属的资产组为基础确定资产组的可收回金额。</w:t>
      </w:r>
    </w:p>
    <w:p>
      <w:pPr>
        <w:spacing w:line="240" w:lineRule="auto" w:before="5"/>
        <w:rPr>
          <w:rFonts w:ascii="宋体" w:hAnsi="宋体" w:cs="宋体" w:eastAsia="宋体" w:hint="default"/>
          <w:sz w:val="13"/>
          <w:szCs w:val="13"/>
        </w:rPr>
      </w:pPr>
    </w:p>
    <w:p>
      <w:pPr>
        <w:pStyle w:val="BodyText"/>
        <w:spacing w:line="316" w:lineRule="auto"/>
        <w:ind w:right="1130" w:firstLine="360"/>
        <w:jc w:val="both"/>
      </w:pPr>
      <w:r>
        <w:rPr>
          <w:spacing w:val="-2"/>
        </w:rPr>
        <w:t>资产组的认定，以资产组产生的主要现金流入是否独立于其他资产或者资产组的现金流入为依据。同时，在认定资产组</w:t>
      </w:r>
      <w:r>
        <w:rPr/>
        <w:t> </w:t>
      </w:r>
      <w:r>
        <w:rPr>
          <w:spacing w:val="-2"/>
        </w:rPr>
        <w:t>时，考虑公司管理层管理生产经营活动的方式（如是按照生产线、业务种类还是按照地区或者区域等）和对资产的持续使用</w:t>
      </w:r>
      <w:r>
        <w:rPr>
          <w:spacing w:val="-65"/>
        </w:rPr>
        <w:t> </w:t>
      </w:r>
      <w:r>
        <w:rPr>
          <w:spacing w:val="-65"/>
        </w:rPr>
      </w:r>
      <w:r>
        <w:rPr/>
        <w:t>或者处置的决策方式等。</w:t>
      </w:r>
    </w:p>
    <w:p>
      <w:pPr>
        <w:spacing w:line="240" w:lineRule="auto" w:before="5"/>
        <w:rPr>
          <w:rFonts w:ascii="宋体" w:hAnsi="宋体" w:cs="宋体" w:eastAsia="宋体" w:hint="default"/>
          <w:sz w:val="13"/>
          <w:szCs w:val="13"/>
        </w:rPr>
      </w:pPr>
    </w:p>
    <w:p>
      <w:pPr>
        <w:pStyle w:val="BodyText"/>
        <w:spacing w:line="316" w:lineRule="auto"/>
        <w:ind w:right="1130" w:firstLine="360"/>
        <w:jc w:val="both"/>
      </w:pPr>
      <w:r>
        <w:rPr>
          <w:spacing w:val="-2"/>
        </w:rPr>
        <w:t>几项资产的组合生产的产品（或者其他产出）存在活跃市场的，即使部分或者所有这些产品（或者其他产出）均供内部</w:t>
      </w:r>
      <w:r>
        <w:rPr/>
        <w:t> </w:t>
      </w:r>
      <w:r>
        <w:rPr>
          <w:spacing w:val="-2"/>
        </w:rPr>
        <w:t>使用，也在符合前款规定的情况下，将这几项资产的组合认定为一个资产组。如果该资产组的现金流入受内部转移价格的影</w:t>
      </w:r>
      <w:r>
        <w:rPr>
          <w:spacing w:val="-63"/>
        </w:rPr>
        <w:t> </w:t>
      </w:r>
      <w:r>
        <w:rPr>
          <w:spacing w:val="-63"/>
        </w:rPr>
      </w:r>
      <w:r>
        <w:rPr/>
        <w:t>响，按照其管理层在公平交易中对未来价格的最佳估计数来确定资产组的未来现金流量。</w:t>
      </w:r>
    </w:p>
    <w:p>
      <w:pPr>
        <w:spacing w:line="240" w:lineRule="auto" w:before="5"/>
        <w:rPr>
          <w:rFonts w:ascii="宋体" w:hAnsi="宋体" w:cs="宋体" w:eastAsia="宋体" w:hint="default"/>
          <w:sz w:val="13"/>
          <w:szCs w:val="13"/>
        </w:rPr>
      </w:pPr>
    </w:p>
    <w:p>
      <w:pPr>
        <w:pStyle w:val="BodyText"/>
        <w:spacing w:line="316" w:lineRule="auto"/>
        <w:ind w:right="1132" w:firstLine="360"/>
        <w:jc w:val="both"/>
      </w:pPr>
      <w:r>
        <w:rPr/>
        <w:t>（2）资产组的可收回金额按照该资产组的公允价值减去处置费用后的净额与其预计未来现金流量的现值两者之间较高 者确定。</w:t>
      </w:r>
    </w:p>
    <w:p>
      <w:pPr>
        <w:spacing w:line="240" w:lineRule="auto" w:before="5"/>
        <w:rPr>
          <w:rFonts w:ascii="宋体" w:hAnsi="宋体" w:cs="宋体" w:eastAsia="宋体" w:hint="default"/>
          <w:sz w:val="13"/>
          <w:szCs w:val="13"/>
        </w:rPr>
      </w:pPr>
    </w:p>
    <w:p>
      <w:pPr>
        <w:pStyle w:val="BodyText"/>
        <w:spacing w:line="316" w:lineRule="auto"/>
        <w:ind w:right="1034" w:firstLine="360"/>
        <w:jc w:val="left"/>
      </w:pPr>
      <w:r>
        <w:rPr>
          <w:spacing w:val="-2"/>
        </w:rPr>
        <w:t>资产组在处置时如要求购买者承担一项负债（如环境恢复负债等）、该负债金额已经确认并计入相关资产账面价值，而</w:t>
      </w:r>
      <w:r>
        <w:rPr/>
        <w:t> 且只能取得包括上述资产和负债在内的单一公允价值减去处置费用后的净额的，为了比较资产组的账面价值和可收回金额， 在确定资产组的账面价值及其未来现金流量的现值时，将已确认的负债金额从中扣除。</w:t>
      </w:r>
    </w:p>
    <w:p>
      <w:pPr>
        <w:spacing w:line="240" w:lineRule="auto" w:before="5"/>
        <w:rPr>
          <w:rFonts w:ascii="宋体" w:hAnsi="宋体" w:cs="宋体" w:eastAsia="宋体" w:hint="default"/>
          <w:sz w:val="13"/>
          <w:szCs w:val="13"/>
        </w:rPr>
      </w:pPr>
    </w:p>
    <w:p>
      <w:pPr>
        <w:pStyle w:val="BodyText"/>
        <w:spacing w:line="316" w:lineRule="auto"/>
        <w:ind w:right="1130" w:firstLine="360"/>
        <w:jc w:val="both"/>
      </w:pPr>
      <w:r>
        <w:rPr>
          <w:spacing w:val="-2"/>
        </w:rPr>
        <w:t>资产组组合，是指由若干个资产组组成的最小资产组组合，包括资产组或者资产组组合，以及按合理方法分摊的总部资</w:t>
      </w:r>
      <w:r>
        <w:rPr/>
        <w:t> 产部分。</w:t>
      </w:r>
    </w:p>
    <w:p>
      <w:pPr>
        <w:spacing w:line="240" w:lineRule="auto" w:before="5"/>
        <w:rPr>
          <w:rFonts w:ascii="宋体" w:hAnsi="宋体" w:cs="宋体" w:eastAsia="宋体" w:hint="default"/>
          <w:sz w:val="13"/>
          <w:szCs w:val="13"/>
        </w:rPr>
      </w:pPr>
    </w:p>
    <w:p>
      <w:pPr>
        <w:pStyle w:val="BodyText"/>
        <w:spacing w:line="316" w:lineRule="auto"/>
        <w:ind w:right="1130" w:firstLine="360"/>
        <w:jc w:val="both"/>
      </w:pPr>
      <w:r>
        <w:rPr>
          <w:spacing w:val="-2"/>
        </w:rPr>
        <w:t>对某一资产组作减值测试时，首先应当认定所有与该资产组相关的总部资产。然后，根据相关总部资产能否按照合理和</w:t>
      </w:r>
      <w:r>
        <w:rPr/>
        <w:t> 一致的基础分摊至该资产组分别处理。</w:t>
      </w:r>
    </w:p>
    <w:p>
      <w:pPr>
        <w:spacing w:line="240" w:lineRule="auto" w:before="5"/>
        <w:rPr>
          <w:rFonts w:ascii="宋体" w:hAnsi="宋体" w:cs="宋体" w:eastAsia="宋体" w:hint="default"/>
          <w:sz w:val="13"/>
          <w:szCs w:val="13"/>
        </w:rPr>
      </w:pPr>
    </w:p>
    <w:p>
      <w:pPr>
        <w:pStyle w:val="BodyText"/>
        <w:spacing w:line="316" w:lineRule="auto"/>
        <w:ind w:right="1130" w:firstLine="360"/>
        <w:jc w:val="both"/>
      </w:pPr>
      <w:r>
        <w:rPr>
          <w:spacing w:val="-2"/>
        </w:rPr>
        <w:t>对于相关总部资产能够按照合理和一致的基础分摊至该资产组的部分，公司将该部分总部资产的账面价值分摊至该资产</w:t>
      </w:r>
      <w:r>
        <w:rPr/>
        <w:t> </w:t>
      </w:r>
      <w:r>
        <w:rPr>
          <w:spacing w:val="-2"/>
        </w:rPr>
        <w:t>组，再据以比较该资产组的账面价值（包括已分摊的总部资产的账面价值部分）和可收回金额，资产组或者资产组组合的可</w:t>
      </w:r>
      <w:r>
        <w:rPr>
          <w:spacing w:val="-65"/>
        </w:rPr>
        <w:t> </w:t>
      </w:r>
      <w:r>
        <w:rPr>
          <w:spacing w:val="-65"/>
        </w:rPr>
      </w:r>
      <w:r>
        <w:rPr>
          <w:spacing w:val="-2"/>
        </w:rPr>
        <w:t>收回金额低于其账面价值的（总部资产和商誉分摊至某资产组或者资产组组合的，该资产组或者资产组组合的账面价值包括</w:t>
      </w:r>
      <w:r>
        <w:rPr>
          <w:spacing w:val="-64"/>
        </w:rPr>
        <w:t> </w:t>
      </w:r>
      <w:r>
        <w:rPr>
          <w:spacing w:val="-64"/>
        </w:rPr>
      </w:r>
      <w:r>
        <w:rPr>
          <w:spacing w:val="-2"/>
        </w:rPr>
        <w:t>相关总部资产和商誉的分摊额），确认相应的减值损失，减值损失的金额应当先抵减分摊至资产组或者资产组组合中商誉的</w:t>
      </w:r>
      <w:r>
        <w:rPr>
          <w:spacing w:val="-65"/>
        </w:rPr>
        <w:t> </w:t>
      </w:r>
      <w:r>
        <w:rPr>
          <w:spacing w:val="-65"/>
        </w:rPr>
      </w:r>
      <w:r>
        <w:rPr>
          <w:spacing w:val="-2"/>
        </w:rPr>
        <w:t>账面价值，再根据资产组或者资产组组合中除商誉之外的其他各项资产的账面价值所占比重，按比例抵减其他各项资产的账</w:t>
      </w:r>
      <w:r>
        <w:rPr>
          <w:spacing w:val="-64"/>
        </w:rPr>
        <w:t> </w:t>
      </w:r>
      <w:r>
        <w:rPr>
          <w:spacing w:val="-64"/>
        </w:rPr>
      </w:r>
      <w:r>
        <w:rPr/>
        <w:t>面价值。</w:t>
      </w:r>
    </w:p>
    <w:p>
      <w:pPr>
        <w:spacing w:line="240" w:lineRule="auto" w:before="5"/>
        <w:rPr>
          <w:rFonts w:ascii="宋体" w:hAnsi="宋体" w:cs="宋体" w:eastAsia="宋体" w:hint="default"/>
          <w:sz w:val="13"/>
          <w:szCs w:val="13"/>
        </w:rPr>
      </w:pPr>
    </w:p>
    <w:p>
      <w:pPr>
        <w:pStyle w:val="BodyText"/>
        <w:spacing w:line="316" w:lineRule="auto"/>
        <w:ind w:right="1130" w:firstLine="360"/>
        <w:jc w:val="both"/>
      </w:pPr>
      <w:r>
        <w:rPr>
          <w:spacing w:val="-2"/>
        </w:rPr>
        <w:t>以上资产账面价值的抵减，作为单项资产（包括商誉）的减值损失处理，计入当期损益。抵减后的各资产的账面价值不</w:t>
      </w:r>
      <w:r>
        <w:rPr/>
        <w:t> </w:t>
      </w:r>
      <w:r>
        <w:rPr>
          <w:spacing w:val="-5"/>
        </w:rPr>
        <w:t>得低于以下三者之中最高者：该资产的公允减值减去处置费用后的净额（如可确定的）、该资产预计未来现金流量的现值（如</w:t>
      </w:r>
      <w:r>
        <w:rPr>
          <w:spacing w:val="-80"/>
        </w:rPr>
        <w:t> </w:t>
      </w:r>
      <w:r>
        <w:rPr>
          <w:spacing w:val="-80"/>
        </w:rPr>
      </w:r>
      <w:r>
        <w:rPr>
          <w:spacing w:val="-2"/>
        </w:rPr>
        <w:t>可确定的）和零。因此而导致的未能分摊的减值损失金额，按照相关资产组或者资产组组合中其他各项资产的账面价值所占</w:t>
      </w:r>
      <w:r>
        <w:rPr>
          <w:spacing w:val="-65"/>
        </w:rPr>
        <w:t> </w:t>
      </w:r>
      <w:r>
        <w:rPr>
          <w:spacing w:val="-65"/>
        </w:rPr>
      </w:r>
      <w:r>
        <w:rPr/>
        <w:t>比重进行分摊。</w:t>
      </w:r>
    </w:p>
    <w:p>
      <w:pPr>
        <w:spacing w:line="240" w:lineRule="auto" w:before="5"/>
        <w:rPr>
          <w:rFonts w:ascii="宋体" w:hAnsi="宋体" w:cs="宋体" w:eastAsia="宋体" w:hint="default"/>
          <w:sz w:val="13"/>
          <w:szCs w:val="13"/>
        </w:rPr>
      </w:pPr>
    </w:p>
    <w:p>
      <w:pPr>
        <w:pStyle w:val="BodyText"/>
        <w:spacing w:line="240" w:lineRule="auto"/>
        <w:ind w:left="472" w:right="915"/>
        <w:jc w:val="left"/>
      </w:pPr>
      <w:r>
        <w:rPr/>
        <w:t>6.</w:t>
      </w:r>
      <w:r>
        <w:rPr>
          <w:spacing w:val="1"/>
        </w:rPr>
        <w:t> </w:t>
      </w:r>
      <w:r>
        <w:rPr/>
        <w:t>商誉减值的处理</w:t>
      </w:r>
    </w:p>
    <w:p>
      <w:pPr>
        <w:spacing w:after="0" w:line="240" w:lineRule="auto"/>
        <w:jc w:val="left"/>
        <w:sectPr>
          <w:pgSz w:w="11910" w:h="16840"/>
          <w:pgMar w:header="919" w:footer="1016" w:top="1120" w:bottom="1200" w:left="1020" w:right="0"/>
        </w:sectPr>
      </w:pPr>
    </w:p>
    <w:p>
      <w:pPr>
        <w:spacing w:line="240" w:lineRule="auto" w:before="12"/>
        <w:rPr>
          <w:rFonts w:ascii="宋体" w:hAnsi="宋体" w:cs="宋体" w:eastAsia="宋体" w:hint="default"/>
          <w:sz w:val="20"/>
          <w:szCs w:val="20"/>
        </w:rPr>
      </w:pPr>
    </w:p>
    <w:p>
      <w:pPr>
        <w:pStyle w:val="BodyText"/>
        <w:spacing w:line="240" w:lineRule="auto" w:before="44"/>
        <w:ind w:left="472" w:right="915"/>
        <w:jc w:val="left"/>
      </w:pPr>
      <w:r>
        <w:rPr/>
        <w:t>（1）企业合并所形成的商誉，在每年年度终了进行减值测试，结合与其相关的资产组或者资产组组合进行减值测试。</w:t>
      </w:r>
    </w:p>
    <w:p>
      <w:pPr>
        <w:spacing w:line="240" w:lineRule="auto" w:before="10"/>
        <w:rPr>
          <w:rFonts w:ascii="宋体" w:hAnsi="宋体" w:cs="宋体" w:eastAsia="宋体" w:hint="default"/>
          <w:sz w:val="17"/>
          <w:szCs w:val="17"/>
        </w:rPr>
      </w:pPr>
    </w:p>
    <w:p>
      <w:pPr>
        <w:pStyle w:val="BodyText"/>
        <w:spacing w:line="316" w:lineRule="auto"/>
        <w:ind w:right="1132" w:firstLine="420"/>
        <w:jc w:val="both"/>
      </w:pPr>
      <w:r>
        <w:rPr>
          <w:spacing w:val="-1"/>
        </w:rPr>
        <w:t>（2）公司进行减值测试，对于因企业合并形成的商誉的账面价值，自购买日起按合理的方法分摊至相关的资产组；难</w:t>
      </w:r>
      <w:r>
        <w:rPr/>
        <w:t> 以分摊至相关的资产组的，将其分摊至相关的资产组组合。</w:t>
      </w:r>
    </w:p>
    <w:p>
      <w:pPr>
        <w:spacing w:line="240" w:lineRule="auto" w:before="5"/>
        <w:rPr>
          <w:rFonts w:ascii="宋体" w:hAnsi="宋体" w:cs="宋体" w:eastAsia="宋体" w:hint="default"/>
          <w:sz w:val="13"/>
          <w:szCs w:val="13"/>
        </w:rPr>
      </w:pPr>
    </w:p>
    <w:p>
      <w:pPr>
        <w:pStyle w:val="BodyText"/>
        <w:spacing w:line="316" w:lineRule="auto"/>
        <w:ind w:right="1132" w:firstLine="360"/>
        <w:jc w:val="both"/>
      </w:pPr>
      <w:r>
        <w:rPr>
          <w:spacing w:val="-2"/>
        </w:rPr>
        <w:t>在将商誉的账面价值分摊至相关的资产组或者资产组组合时，按照各资产组或者资产组组合的公允价值占相关资产组或</w:t>
      </w:r>
      <w:r>
        <w:rPr/>
        <w:t> </w:t>
      </w:r>
      <w:r>
        <w:rPr>
          <w:spacing w:val="-2"/>
        </w:rPr>
        <w:t>者资产组组合公允价值总额的比例进行分摊。公允价值难以可靠计量的，按照各资产组或者资产组组合的账面价值占相关资</w:t>
      </w:r>
      <w:r>
        <w:rPr>
          <w:spacing w:val="-64"/>
        </w:rPr>
        <w:t> </w:t>
      </w:r>
      <w:r>
        <w:rPr>
          <w:spacing w:val="-64"/>
        </w:rPr>
      </w:r>
      <w:r>
        <w:rPr/>
        <w:t>产组或者资产组组合账面价值总额的比例进行分摊。</w:t>
      </w:r>
    </w:p>
    <w:p>
      <w:pPr>
        <w:spacing w:line="240" w:lineRule="auto" w:before="5"/>
        <w:rPr>
          <w:rFonts w:ascii="宋体" w:hAnsi="宋体" w:cs="宋体" w:eastAsia="宋体" w:hint="default"/>
          <w:sz w:val="13"/>
          <w:szCs w:val="13"/>
        </w:rPr>
      </w:pPr>
    </w:p>
    <w:p>
      <w:pPr>
        <w:pStyle w:val="BodyText"/>
        <w:spacing w:line="316" w:lineRule="auto"/>
        <w:ind w:right="1132" w:firstLine="360"/>
        <w:jc w:val="both"/>
      </w:pPr>
      <w:r>
        <w:rPr>
          <w:spacing w:val="-2"/>
        </w:rPr>
        <w:t>因重组等原因改变了其报告结构，从而影响到已分摊商誉的一个或者若干个资产组或者资产组组合构成的，按照与本条</w:t>
      </w:r>
      <w:r>
        <w:rPr/>
        <w:t> 前款规定相似的分摊方法，将商誉重新分摊至受影响的资产组或者资产组组合。</w:t>
      </w:r>
    </w:p>
    <w:p>
      <w:pPr>
        <w:spacing w:line="240" w:lineRule="auto" w:before="5"/>
        <w:rPr>
          <w:rFonts w:ascii="宋体" w:hAnsi="宋体" w:cs="宋体" w:eastAsia="宋体" w:hint="default"/>
          <w:sz w:val="13"/>
          <w:szCs w:val="13"/>
        </w:rPr>
      </w:pPr>
    </w:p>
    <w:p>
      <w:pPr>
        <w:pStyle w:val="BodyText"/>
        <w:spacing w:line="316" w:lineRule="auto"/>
        <w:ind w:right="1130" w:firstLine="360"/>
        <w:jc w:val="both"/>
      </w:pPr>
      <w:r>
        <w:rPr/>
        <w:t>（3）在对包含商誉的相关资产组或者资产组组合进行减值测试时，如与商誉相关的资产组或者资产组组合存在减值迹 </w:t>
      </w:r>
      <w:r>
        <w:rPr>
          <w:spacing w:val="-2"/>
        </w:rPr>
        <w:t>象的，首先对不包含商誉的资产组或者资产组组合进行减值测试，计算可收回金额，并与相关账面价值相比较，确认相应的</w:t>
      </w:r>
      <w:r>
        <w:rPr>
          <w:spacing w:val="-64"/>
        </w:rPr>
        <w:t> </w:t>
      </w:r>
      <w:r>
        <w:rPr>
          <w:spacing w:val="-64"/>
        </w:rPr>
      </w:r>
      <w:r>
        <w:rPr>
          <w:spacing w:val="-2"/>
        </w:rPr>
        <w:t>减值损失。再对包含商誉的资产组或者资产组组合进行减值测试，比较这些相关资产组或者资产组组合的账面价值（包括所</w:t>
      </w:r>
      <w:r>
        <w:rPr>
          <w:spacing w:val="-63"/>
        </w:rPr>
        <w:t> </w:t>
      </w:r>
      <w:r>
        <w:rPr>
          <w:spacing w:val="-63"/>
        </w:rPr>
      </w:r>
      <w:r>
        <w:rPr>
          <w:spacing w:val="-2"/>
        </w:rPr>
        <w:t>分摊的商誉的账面价值部分）与其可收回金额，如相关资产组或者资产组组合的可收回金额低于其账面价值的，按照上述资</w:t>
      </w:r>
      <w:r>
        <w:rPr>
          <w:spacing w:val="-63"/>
        </w:rPr>
        <w:t> </w:t>
      </w:r>
      <w:r>
        <w:rPr>
          <w:spacing w:val="-63"/>
        </w:rPr>
      </w:r>
      <w:r>
        <w:rPr/>
        <w:t>产减值准备核算方法的规定处理，确认减值损失。</w:t>
      </w:r>
    </w:p>
    <w:p>
      <w:pPr>
        <w:pStyle w:val="BodyText"/>
        <w:spacing w:line="468" w:lineRule="exact" w:before="10"/>
        <w:ind w:left="472" w:right="1124" w:firstLine="60"/>
        <w:jc w:val="left"/>
      </w:pPr>
      <w:r>
        <w:rPr/>
        <w:t>7. 资产减值的对象 </w:t>
      </w:r>
      <w:r>
        <w:rPr>
          <w:spacing w:val="-5"/>
        </w:rPr>
        <w:t>资产减值对象主要包括以下资产：（1）对子公司、联营企业和合营企业的长期股权投资；（2）采用成本模式进行后续计</w:t>
      </w:r>
    </w:p>
    <w:p>
      <w:pPr>
        <w:pStyle w:val="BodyText"/>
        <w:spacing w:line="240" w:lineRule="auto" w:before="8"/>
        <w:ind w:right="915"/>
        <w:jc w:val="left"/>
      </w:pPr>
      <w:r>
        <w:rPr/>
        <w:t>量的投资性房地产</w:t>
      </w:r>
      <w:r>
        <w:rPr>
          <w:spacing w:val="-89"/>
        </w:rPr>
        <w:t>；</w:t>
      </w:r>
      <w:r>
        <w:rPr/>
        <w:t>（</w:t>
      </w:r>
      <w:r>
        <w:rPr>
          <w:spacing w:val="-2"/>
        </w:rPr>
        <w:t>3</w:t>
      </w:r>
      <w:r>
        <w:rPr/>
        <w:t>）固定资产</w:t>
      </w:r>
      <w:r>
        <w:rPr>
          <w:spacing w:val="-89"/>
        </w:rPr>
        <w:t>；</w:t>
      </w:r>
      <w:r>
        <w:rPr/>
        <w:t>（</w:t>
      </w:r>
      <w:r>
        <w:rPr>
          <w:spacing w:val="-2"/>
        </w:rPr>
        <w:t>4</w:t>
      </w:r>
      <w:r>
        <w:rPr/>
        <w:t>）在建工程</w:t>
      </w:r>
      <w:r>
        <w:rPr>
          <w:spacing w:val="-89"/>
        </w:rPr>
        <w:t>；</w:t>
      </w:r>
      <w:r>
        <w:rPr/>
        <w:t>（</w:t>
      </w:r>
      <w:r>
        <w:rPr>
          <w:spacing w:val="-2"/>
        </w:rPr>
        <w:t>5</w:t>
      </w:r>
      <w:r>
        <w:rPr/>
        <w:t>）无形资产</w:t>
      </w:r>
      <w:r>
        <w:rPr>
          <w:spacing w:val="-89"/>
        </w:rPr>
        <w:t>；</w:t>
      </w:r>
      <w:r>
        <w:rPr/>
        <w:t>（</w:t>
      </w:r>
      <w:r>
        <w:rPr>
          <w:spacing w:val="-2"/>
        </w:rPr>
        <w:t>6</w:t>
      </w:r>
      <w:r>
        <w:rPr/>
        <w:t>）商誉。</w:t>
      </w:r>
    </w:p>
    <w:p>
      <w:pPr>
        <w:spacing w:line="240" w:lineRule="auto" w:before="10"/>
        <w:rPr>
          <w:rFonts w:ascii="宋体" w:hAnsi="宋体" w:cs="宋体" w:eastAsia="宋体" w:hint="default"/>
          <w:sz w:val="17"/>
          <w:szCs w:val="17"/>
        </w:rPr>
      </w:pPr>
    </w:p>
    <w:p>
      <w:pPr>
        <w:pStyle w:val="BodyText"/>
        <w:spacing w:line="316" w:lineRule="auto"/>
        <w:ind w:right="1039" w:firstLine="360"/>
        <w:jc w:val="both"/>
      </w:pPr>
      <w:r>
        <w:rPr>
          <w:spacing w:val="-4"/>
        </w:rPr>
        <w:t>资产减值损失一经确认，在以后会计期间不得转回，如遇到资产处置、出售、对外投资、以非货币性资产交换方式换出、</w:t>
      </w:r>
      <w:r>
        <w:rPr/>
        <w:t> 在债务重组中抵偿债务等情况，同时符合资产终止确认条件的，应将相关资产减值准备予以转销。</w:t>
      </w:r>
    </w:p>
    <w:p>
      <w:pPr>
        <w:spacing w:line="240" w:lineRule="auto" w:before="6"/>
        <w:rPr>
          <w:rFonts w:ascii="宋体" w:hAnsi="宋体" w:cs="宋体" w:eastAsia="宋体" w:hint="default"/>
          <w:sz w:val="22"/>
          <w:szCs w:val="22"/>
        </w:rPr>
      </w:pPr>
    </w:p>
    <w:p>
      <w:pPr>
        <w:pStyle w:val="Heading3"/>
        <w:spacing w:line="240" w:lineRule="auto"/>
        <w:ind w:right="915"/>
        <w:jc w:val="left"/>
        <w:rPr>
          <w:b w:val="0"/>
          <w:bCs w:val="0"/>
        </w:rPr>
      </w:pPr>
      <w:bookmarkStart w:name="32、长期待摊费用" w:id="208"/>
      <w:bookmarkEnd w:id="208"/>
      <w:r>
        <w:rPr>
          <w:b w:val="0"/>
          <w:bCs w:val="0"/>
        </w:rPr>
      </w:r>
      <w:r>
        <w:rPr>
          <w:rFonts w:ascii="Times New Roman" w:hAnsi="Times New Roman" w:cs="Times New Roman" w:eastAsia="Times New Roman" w:hint="default"/>
        </w:rPr>
        <w:t>32</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0" w:firstLine="360"/>
        <w:jc w:val="both"/>
      </w:pPr>
      <w:r>
        <w:rPr>
          <w:spacing w:val="-2"/>
        </w:rPr>
        <w:t>本公司的长期待摊费用是指已经支出，但摊销期限在1年以上（不含1年）的各项费用，如以经营租赁方式租入的固定资</w:t>
      </w:r>
      <w:r>
        <w:rPr/>
        <w:t> </w:t>
      </w:r>
      <w:r>
        <w:rPr>
          <w:spacing w:val="-2"/>
        </w:rPr>
        <w:t>产发生的改良支出等。长期待摊费用按实际发生额入账，在受益期或规定的期限内分期平均摊销。如果长期待摊的费用项目</w:t>
      </w:r>
      <w:r>
        <w:rPr>
          <w:spacing w:val="-63"/>
        </w:rPr>
        <w:t> </w:t>
      </w:r>
      <w:r>
        <w:rPr>
          <w:spacing w:val="-63"/>
        </w:rPr>
      </w:r>
      <w:r>
        <w:rPr/>
        <w:t>不能使以后会计期间受益则将尚未摊销的该项目的摊余价值全部转入当期损益。</w:t>
      </w:r>
    </w:p>
    <w:p>
      <w:pPr>
        <w:spacing w:line="240" w:lineRule="auto" w:before="8"/>
        <w:rPr>
          <w:rFonts w:ascii="宋体" w:hAnsi="宋体" w:cs="宋体" w:eastAsia="宋体" w:hint="default"/>
          <w:sz w:val="22"/>
          <w:szCs w:val="22"/>
        </w:rPr>
      </w:pPr>
    </w:p>
    <w:p>
      <w:pPr>
        <w:pStyle w:val="Heading3"/>
        <w:spacing w:line="240" w:lineRule="auto"/>
        <w:ind w:right="915"/>
        <w:jc w:val="left"/>
        <w:rPr>
          <w:b w:val="0"/>
          <w:bCs w:val="0"/>
        </w:rPr>
      </w:pPr>
      <w:bookmarkStart w:name="33、合同负债" w:id="209"/>
      <w:bookmarkEnd w:id="209"/>
      <w:r>
        <w:rPr>
          <w:b w:val="0"/>
          <w:bCs w:val="0"/>
        </w:rPr>
      </w:r>
      <w:r>
        <w:rPr>
          <w:rFonts w:ascii="Times New Roman" w:hAnsi="Times New Roman" w:cs="Times New Roman" w:eastAsia="Times New Roman" w:hint="default"/>
        </w:rPr>
        <w:t>33</w:t>
      </w:r>
      <w:r>
        <w:rPr/>
        <w:t>、合同负债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15"/>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15"/>
        <w:jc w:val="left"/>
        <w:rPr>
          <w:b w:val="0"/>
          <w:bCs w:val="0"/>
        </w:rPr>
      </w:pPr>
      <w:bookmarkStart w:name="34、职工薪酬" w:id="210"/>
      <w:bookmarkEnd w:id="210"/>
      <w:r>
        <w:rPr>
          <w:b w:val="0"/>
          <w:bCs w:val="0"/>
        </w:rPr>
      </w:r>
      <w:r>
        <w:rPr>
          <w:rFonts w:ascii="Times New Roman" w:hAnsi="Times New Roman" w:cs="Times New Roman" w:eastAsia="Times New Roman" w:hint="default"/>
        </w:rPr>
        <w:t>34</w:t>
      </w:r>
      <w:r>
        <w:rPr/>
        <w:t>、职工薪酬</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15"/>
        <w:jc w:val="left"/>
        <w:rPr>
          <w:b w:val="0"/>
          <w:bCs w:val="0"/>
        </w:rPr>
      </w:pPr>
      <w:bookmarkStart w:name="（1）短期薪酬的会计处理方法" w:id="211"/>
      <w:bookmarkEnd w:id="211"/>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9"/>
        <w:rPr>
          <w:rFonts w:ascii="宋体" w:hAnsi="宋体" w:cs="宋体" w:eastAsia="宋体" w:hint="default"/>
          <w:b/>
          <w:bCs/>
          <w:sz w:val="26"/>
          <w:szCs w:val="26"/>
        </w:rPr>
      </w:pPr>
    </w:p>
    <w:p>
      <w:pPr>
        <w:pStyle w:val="BodyText"/>
        <w:spacing w:line="316" w:lineRule="auto"/>
        <w:ind w:right="1132" w:firstLine="420"/>
        <w:jc w:val="both"/>
      </w:pPr>
      <w:r>
        <w:rPr/>
        <w:t>本公司在职工提供服务的会计期间，将实际发生的短期薪酬确认为负债，并计入当期损益或相关资产成本。其中，非 货币性福利按照公允价值计量。</w:t>
      </w:r>
    </w:p>
    <w:p>
      <w:pPr>
        <w:spacing w:line="240" w:lineRule="auto" w:before="6"/>
        <w:rPr>
          <w:rFonts w:ascii="宋体" w:hAnsi="宋体" w:cs="宋体" w:eastAsia="宋体" w:hint="default"/>
          <w:sz w:val="22"/>
          <w:szCs w:val="22"/>
        </w:rPr>
      </w:pPr>
    </w:p>
    <w:p>
      <w:pPr>
        <w:pStyle w:val="Heading3"/>
        <w:spacing w:line="240" w:lineRule="auto"/>
        <w:ind w:right="915"/>
        <w:jc w:val="left"/>
        <w:rPr>
          <w:b w:val="0"/>
          <w:bCs w:val="0"/>
        </w:rPr>
      </w:pPr>
      <w:bookmarkStart w:name="（2）离职后福利的会计处理方法" w:id="212"/>
      <w:bookmarkEnd w:id="212"/>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15"/>
        <w:jc w:val="left"/>
      </w:pPr>
      <w:r>
        <w:rPr/>
        <w:t>无</w:t>
      </w:r>
    </w:p>
    <w:p>
      <w:pPr>
        <w:spacing w:after="0" w:line="240" w:lineRule="auto"/>
        <w:jc w:val="left"/>
        <w:sectPr>
          <w:pgSz w:w="11910" w:h="16840"/>
          <w:pgMar w:header="919" w:footer="1016" w:top="1120" w:bottom="1200" w:left="1020" w:right="0"/>
        </w:sectPr>
      </w:pPr>
    </w:p>
    <w:p>
      <w:pPr>
        <w:spacing w:line="240" w:lineRule="auto" w:before="10"/>
        <w:rPr>
          <w:rFonts w:ascii="宋体" w:hAnsi="宋体" w:cs="宋体" w:eastAsia="宋体" w:hint="default"/>
          <w:sz w:val="19"/>
          <w:szCs w:val="19"/>
        </w:rPr>
      </w:pPr>
    </w:p>
    <w:p>
      <w:pPr>
        <w:pStyle w:val="Heading3"/>
        <w:spacing w:line="240" w:lineRule="auto" w:before="34"/>
        <w:ind w:right="915"/>
        <w:jc w:val="left"/>
        <w:rPr>
          <w:b w:val="0"/>
          <w:bCs w:val="0"/>
        </w:rPr>
      </w:pPr>
      <w:bookmarkStart w:name="（3）辞退福利的会计处理方法" w:id="213"/>
      <w:bookmarkEnd w:id="213"/>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2" w:firstLine="360"/>
        <w:jc w:val="both"/>
      </w:pPr>
      <w:r>
        <w:rPr>
          <w:spacing w:val="-2"/>
        </w:rPr>
        <w:t>本公司在职工劳动合同到期之前解除与职工的劳动关系、或者为鼓励职工自愿接受裁减而提出给予补偿，在本公司不能</w:t>
      </w:r>
      <w:r>
        <w:rPr/>
        <w:t> </w:t>
      </w:r>
      <w:r>
        <w:rPr>
          <w:spacing w:val="-2"/>
        </w:rPr>
        <w:t>单方面撤回解除劳动关系计划或裁减建议时和确认与涉及支付辞退福利的重组相关的成本费用时两者孰早日，确认因解除与</w:t>
      </w:r>
      <w:r>
        <w:rPr>
          <w:spacing w:val="-64"/>
        </w:rPr>
        <w:t> </w:t>
      </w:r>
      <w:r>
        <w:rPr>
          <w:spacing w:val="-64"/>
        </w:rPr>
      </w:r>
      <w:r>
        <w:rPr/>
        <w:t>职工的劳动关系给予补偿而产生的负债，同时计入当期损益。</w:t>
      </w:r>
    </w:p>
    <w:p>
      <w:pPr>
        <w:spacing w:line="240" w:lineRule="auto" w:before="8"/>
        <w:rPr>
          <w:rFonts w:ascii="宋体" w:hAnsi="宋体" w:cs="宋体" w:eastAsia="宋体" w:hint="default"/>
          <w:sz w:val="22"/>
          <w:szCs w:val="22"/>
        </w:rPr>
      </w:pPr>
    </w:p>
    <w:p>
      <w:pPr>
        <w:pStyle w:val="Heading3"/>
        <w:spacing w:line="240" w:lineRule="auto"/>
        <w:ind w:right="915"/>
        <w:jc w:val="left"/>
        <w:rPr>
          <w:b w:val="0"/>
          <w:bCs w:val="0"/>
        </w:rPr>
      </w:pPr>
      <w:bookmarkStart w:name="（4）其他长期职工福利的会计处理方法" w:id="214"/>
      <w:bookmarkEnd w:id="214"/>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0" w:firstLine="360"/>
        <w:jc w:val="both"/>
      </w:pPr>
      <w:r>
        <w:rPr>
          <w:spacing w:val="-2"/>
        </w:rPr>
        <w:t>本公司职工参加了由当地劳动和社会保障部门组织实施的社会基本养老保险。本公司以当地规定的社会基本养老保险缴</w:t>
      </w:r>
      <w:r>
        <w:rPr/>
        <w:t> </w:t>
      </w:r>
      <w:r>
        <w:rPr>
          <w:spacing w:val="-2"/>
        </w:rPr>
        <w:t>纳基数和比例，按月向当地社会基本养老保险经办机构缴纳养老保险费。职工退休后，当地劳动及社会保障部门有责任向已</w:t>
      </w:r>
      <w:r>
        <w:rPr>
          <w:spacing w:val="-63"/>
        </w:rPr>
        <w:t> </w:t>
      </w:r>
      <w:r>
        <w:rPr>
          <w:spacing w:val="-63"/>
        </w:rPr>
      </w:r>
      <w:r>
        <w:rPr>
          <w:spacing w:val="-2"/>
        </w:rPr>
        <w:t>退休员工支付社会基本养老金。本公司在职工提供服务的会计期间，将根据上述社保规定计算应缴纳的金额确认为负债，并</w:t>
      </w:r>
      <w:r>
        <w:rPr>
          <w:spacing w:val="-63"/>
        </w:rPr>
        <w:t> </w:t>
      </w:r>
      <w:r>
        <w:rPr>
          <w:spacing w:val="-63"/>
        </w:rPr>
      </w:r>
      <w:r>
        <w:rPr/>
        <w:t>计入当期损益或相关资产成本。</w:t>
      </w:r>
    </w:p>
    <w:p>
      <w:pPr>
        <w:spacing w:line="240" w:lineRule="auto" w:before="8"/>
        <w:rPr>
          <w:rFonts w:ascii="宋体" w:hAnsi="宋体" w:cs="宋体" w:eastAsia="宋体" w:hint="default"/>
          <w:sz w:val="22"/>
          <w:szCs w:val="22"/>
        </w:rPr>
      </w:pPr>
    </w:p>
    <w:p>
      <w:pPr>
        <w:pStyle w:val="Heading3"/>
        <w:spacing w:line="240" w:lineRule="auto"/>
        <w:ind w:right="915"/>
        <w:jc w:val="left"/>
        <w:rPr>
          <w:b w:val="0"/>
          <w:bCs w:val="0"/>
        </w:rPr>
      </w:pPr>
      <w:bookmarkStart w:name="35、租赁负债" w:id="215"/>
      <w:bookmarkEnd w:id="215"/>
      <w:r>
        <w:rPr>
          <w:b w:val="0"/>
          <w:bCs w:val="0"/>
        </w:rPr>
      </w:r>
      <w:r>
        <w:rPr>
          <w:rFonts w:ascii="Times New Roman" w:hAnsi="Times New Roman" w:cs="Times New Roman" w:eastAsia="Times New Roman" w:hint="default"/>
        </w:rPr>
        <w:t>35</w:t>
      </w:r>
      <w:r>
        <w:rPr/>
        <w:t>、租赁负债</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15"/>
        <w:jc w:val="left"/>
      </w:pPr>
      <w:r>
        <w:rPr/>
        <w:t>无</w:t>
      </w:r>
    </w:p>
    <w:p>
      <w:pPr>
        <w:spacing w:line="240" w:lineRule="auto" w:before="11"/>
        <w:rPr>
          <w:rFonts w:ascii="宋体" w:hAnsi="宋体" w:cs="宋体" w:eastAsia="宋体" w:hint="default"/>
          <w:sz w:val="26"/>
          <w:szCs w:val="26"/>
        </w:rPr>
      </w:pPr>
    </w:p>
    <w:p>
      <w:pPr>
        <w:pStyle w:val="Heading3"/>
        <w:spacing w:line="240" w:lineRule="auto"/>
        <w:ind w:right="915"/>
        <w:jc w:val="left"/>
        <w:rPr>
          <w:b w:val="0"/>
          <w:bCs w:val="0"/>
        </w:rPr>
      </w:pPr>
      <w:bookmarkStart w:name="36、预计负债" w:id="216"/>
      <w:bookmarkEnd w:id="216"/>
      <w:r>
        <w:rPr>
          <w:b w:val="0"/>
          <w:bCs w:val="0"/>
        </w:rPr>
      </w:r>
      <w:r>
        <w:rPr>
          <w:rFonts w:ascii="Times New Roman" w:hAnsi="Times New Roman" w:cs="Times New Roman" w:eastAsia="Times New Roman" w:hint="default"/>
        </w:rPr>
        <w:t>36</w:t>
      </w:r>
      <w:r>
        <w:rPr/>
        <w:t>、预计负债</w:t>
      </w:r>
      <w:r>
        <w:rPr>
          <w:b w:val="0"/>
          <w:bCs w:val="0"/>
        </w:rPr>
      </w:r>
    </w:p>
    <w:p>
      <w:pPr>
        <w:spacing w:line="240" w:lineRule="auto" w:before="9"/>
        <w:rPr>
          <w:rFonts w:ascii="宋体" w:hAnsi="宋体" w:cs="宋体" w:eastAsia="宋体" w:hint="default"/>
          <w:b/>
          <w:bCs/>
          <w:sz w:val="26"/>
          <w:szCs w:val="26"/>
        </w:rPr>
      </w:pPr>
    </w:p>
    <w:p>
      <w:pPr>
        <w:pStyle w:val="BodyText"/>
        <w:spacing w:line="316" w:lineRule="auto"/>
        <w:ind w:right="1130" w:firstLine="360"/>
        <w:jc w:val="both"/>
      </w:pPr>
      <w:r>
        <w:rPr>
          <w:spacing w:val="-2"/>
        </w:rPr>
        <w:t>如果与或有事项相关的义务是本公司承担的现时义务，且该义务的履行很可能会导致经济利益流出本公司，以及有关金</w:t>
      </w:r>
      <w:r>
        <w:rPr/>
        <w:t> </w:t>
      </w:r>
      <w:r>
        <w:rPr>
          <w:spacing w:val="-2"/>
        </w:rPr>
        <w:t>额能够可靠地计量，则本公司会确认预计负债。对于货币时间价值影响重大的，预计负债以预计未来现金流量折现后的金额</w:t>
      </w:r>
      <w:r>
        <w:rPr>
          <w:spacing w:val="-63"/>
        </w:rPr>
        <w:t> </w:t>
      </w:r>
      <w:r>
        <w:rPr>
          <w:spacing w:val="-63"/>
        </w:rPr>
      </w:r>
      <w:r>
        <w:rPr/>
        <w:t>确定。</w:t>
      </w:r>
    </w:p>
    <w:p>
      <w:pPr>
        <w:spacing w:line="240" w:lineRule="auto" w:before="5"/>
        <w:rPr>
          <w:rFonts w:ascii="宋体" w:hAnsi="宋体" w:cs="宋体" w:eastAsia="宋体" w:hint="default"/>
          <w:sz w:val="13"/>
          <w:szCs w:val="13"/>
        </w:rPr>
      </w:pPr>
    </w:p>
    <w:p>
      <w:pPr>
        <w:pStyle w:val="BodyText"/>
        <w:spacing w:line="316" w:lineRule="auto"/>
        <w:ind w:right="1132" w:firstLine="360"/>
        <w:jc w:val="both"/>
      </w:pPr>
      <w:r>
        <w:rPr>
          <w:spacing w:val="-2"/>
        </w:rPr>
        <w:t>对过去的交易或者事项形成的潜在义务，其存在须通过未来不确定事项的发生或不发生予以证实；或过去的交易或者事</w:t>
      </w:r>
      <w:r>
        <w:rPr/>
        <w:t> </w:t>
      </w:r>
      <w:r>
        <w:rPr>
          <w:spacing w:val="-2"/>
        </w:rPr>
        <w:t>项形成的现时义务，履行该义务不是很可能导致经济利益流出本公司或该义务的金额不能可靠计量，则本公司会将该潜在义</w:t>
      </w:r>
      <w:r>
        <w:rPr>
          <w:spacing w:val="-64"/>
        </w:rPr>
        <w:t> </w:t>
      </w:r>
      <w:r>
        <w:rPr>
          <w:spacing w:val="-64"/>
        </w:rPr>
      </w:r>
      <w:r>
        <w:rPr/>
        <w:t>务或现时义务披露为或有负债。</w:t>
      </w:r>
    </w:p>
    <w:p>
      <w:pPr>
        <w:spacing w:line="240" w:lineRule="auto" w:before="6"/>
        <w:rPr>
          <w:rFonts w:ascii="宋体" w:hAnsi="宋体" w:cs="宋体" w:eastAsia="宋体" w:hint="default"/>
          <w:sz w:val="22"/>
          <w:szCs w:val="22"/>
        </w:rPr>
      </w:pPr>
    </w:p>
    <w:p>
      <w:pPr>
        <w:pStyle w:val="Heading3"/>
        <w:spacing w:line="240" w:lineRule="auto"/>
        <w:ind w:right="915"/>
        <w:jc w:val="left"/>
        <w:rPr>
          <w:b w:val="0"/>
          <w:bCs w:val="0"/>
        </w:rPr>
      </w:pPr>
      <w:bookmarkStart w:name="37、股份支付" w:id="217"/>
      <w:bookmarkEnd w:id="217"/>
      <w:r>
        <w:rPr>
          <w:b w:val="0"/>
          <w:bCs w:val="0"/>
        </w:rPr>
      </w:r>
      <w:r>
        <w:rPr>
          <w:rFonts w:ascii="Times New Roman" w:hAnsi="Times New Roman" w:cs="Times New Roman" w:eastAsia="Times New Roman" w:hint="default"/>
        </w:rPr>
        <w:t>37</w:t>
      </w:r>
      <w:r>
        <w:rPr/>
        <w:t>、股份支付</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2" w:firstLine="420"/>
        <w:jc w:val="both"/>
      </w:pPr>
      <w:r>
        <w:rPr/>
        <w:t>股份支付，是指为获取职工和其他方提供服务而授予权益工具或者承担以权益工具为基础确定的负债的交易。股份支 付分为以权益结算的股份支付和以现金结算的股份支付。</w:t>
      </w:r>
    </w:p>
    <w:p>
      <w:pPr>
        <w:spacing w:line="240" w:lineRule="auto" w:before="5"/>
        <w:rPr>
          <w:rFonts w:ascii="宋体" w:hAnsi="宋体" w:cs="宋体" w:eastAsia="宋体" w:hint="default"/>
          <w:sz w:val="13"/>
          <w:szCs w:val="13"/>
        </w:rPr>
      </w:pPr>
    </w:p>
    <w:p>
      <w:pPr>
        <w:pStyle w:val="BodyText"/>
        <w:spacing w:line="316" w:lineRule="auto"/>
        <w:ind w:right="1132" w:firstLine="420"/>
        <w:jc w:val="both"/>
      </w:pPr>
      <w:r>
        <w:rPr/>
        <w:t>以权益结算的股份支付换取职工提供服务的，以授予职工权益工具的公允价值计量。以现金结算的股份支付，按照公 司承担的以股份或其他权益工具为基础计算确定的负债的公允价值计量。</w:t>
      </w:r>
    </w:p>
    <w:p>
      <w:pPr>
        <w:spacing w:line="240" w:lineRule="auto" w:before="5"/>
        <w:rPr>
          <w:rFonts w:ascii="宋体" w:hAnsi="宋体" w:cs="宋体" w:eastAsia="宋体" w:hint="default"/>
          <w:sz w:val="13"/>
          <w:szCs w:val="13"/>
        </w:rPr>
      </w:pPr>
    </w:p>
    <w:p>
      <w:pPr>
        <w:pStyle w:val="BodyText"/>
        <w:spacing w:line="316" w:lineRule="auto"/>
        <w:ind w:right="1130" w:firstLine="420"/>
        <w:jc w:val="both"/>
      </w:pPr>
      <w:r>
        <w:rPr/>
        <w:t>授予后立即可行权的换取职工服务或其他方类似服务的以权益结算的股份支付，在授予日按权益工具的公允价值计入 </w:t>
      </w:r>
      <w:r>
        <w:rPr>
          <w:spacing w:val="-2"/>
        </w:rPr>
        <w:t>相关成本或费用，相应增加资本公积。完成等待期内的服务或达到规定业绩条件才可行权的换取职工服务或其他方类似服务</w:t>
      </w:r>
      <w:r>
        <w:rPr>
          <w:spacing w:val="-64"/>
        </w:rPr>
        <w:t> </w:t>
      </w:r>
      <w:r>
        <w:rPr>
          <w:spacing w:val="-64"/>
        </w:rPr>
      </w:r>
      <w:r>
        <w:rPr>
          <w:spacing w:val="-2"/>
        </w:rPr>
        <w:t>的以权益结算的股份支付，在等待期内的每个资产负债表日，以对可行权权益工具数量的最佳估计为基础，按照权益工具授</w:t>
      </w:r>
      <w:r>
        <w:rPr>
          <w:spacing w:val="-63"/>
        </w:rPr>
        <w:t> </w:t>
      </w:r>
      <w:r>
        <w:rPr>
          <w:spacing w:val="-63"/>
        </w:rPr>
      </w:r>
      <w:r>
        <w:rPr/>
        <w:t>予日的公允价值，将当期取得的服务计入相关成本或费用和资本公积。</w:t>
      </w:r>
    </w:p>
    <w:p>
      <w:pPr>
        <w:spacing w:line="240" w:lineRule="auto" w:before="5"/>
        <w:rPr>
          <w:rFonts w:ascii="宋体" w:hAnsi="宋体" w:cs="宋体" w:eastAsia="宋体" w:hint="default"/>
          <w:sz w:val="13"/>
          <w:szCs w:val="13"/>
        </w:rPr>
      </w:pPr>
    </w:p>
    <w:p>
      <w:pPr>
        <w:pStyle w:val="BodyText"/>
        <w:spacing w:line="316" w:lineRule="auto"/>
        <w:ind w:right="915" w:firstLine="360"/>
        <w:jc w:val="left"/>
      </w:pPr>
      <w:r>
        <w:rPr>
          <w:spacing w:val="-4"/>
        </w:rPr>
        <w:t>授予后立即可行权的以现金结算的股份支付，在授予日以公司承担负债的公允价值计入相关成本或费用，相应增加负债。</w:t>
      </w:r>
      <w:r>
        <w:rPr/>
        <w:t> </w:t>
      </w:r>
      <w:r>
        <w:rPr>
          <w:spacing w:val="-2"/>
        </w:rPr>
        <w:t>完成等待期内的服务或达到规定业绩条件以后才可行权的以现金结算的股份支付，在等待期内的每个资产负债表日，以对可</w:t>
      </w:r>
      <w:r>
        <w:rPr>
          <w:spacing w:val="-64"/>
        </w:rPr>
        <w:t> </w:t>
      </w:r>
      <w:r>
        <w:rPr>
          <w:spacing w:val="-64"/>
        </w:rPr>
      </w:r>
      <w:r>
        <w:rPr/>
        <w:t>行权情况的最佳估计为基础，按照公司承担负债的公允价值金额，将当期取得的服务计入成本或费用和相应的负债。</w:t>
      </w:r>
    </w:p>
    <w:p>
      <w:pPr>
        <w:spacing w:line="240" w:lineRule="auto" w:before="8"/>
        <w:rPr>
          <w:rFonts w:ascii="宋体" w:hAnsi="宋体" w:cs="宋体" w:eastAsia="宋体" w:hint="default"/>
          <w:sz w:val="22"/>
          <w:szCs w:val="22"/>
        </w:rPr>
      </w:pPr>
    </w:p>
    <w:p>
      <w:pPr>
        <w:pStyle w:val="Heading3"/>
        <w:spacing w:line="240" w:lineRule="auto"/>
        <w:ind w:right="915"/>
        <w:jc w:val="left"/>
        <w:rPr>
          <w:b w:val="0"/>
          <w:bCs w:val="0"/>
        </w:rPr>
      </w:pPr>
      <w:bookmarkStart w:name="38、优先股、永续债等其他金融工具" w:id="218"/>
      <w:bookmarkEnd w:id="218"/>
      <w:r>
        <w:rPr>
          <w:b w:val="0"/>
          <w:bCs w:val="0"/>
        </w:rPr>
      </w:r>
      <w:r>
        <w:rPr>
          <w:rFonts w:ascii="Times New Roman" w:hAnsi="Times New Roman" w:cs="Times New Roman" w:eastAsia="Times New Roman" w:hint="default"/>
        </w:rPr>
        <w:t>38</w:t>
      </w:r>
      <w:r>
        <w:rPr/>
        <w:t>、优先股、永续债等其他金融工具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15"/>
        <w:jc w:val="left"/>
      </w:pPr>
      <w:r>
        <w:rPr/>
        <w:t>无</w:t>
      </w:r>
    </w:p>
    <w:p>
      <w:pPr>
        <w:spacing w:after="0" w:line="240" w:lineRule="auto"/>
        <w:jc w:val="left"/>
        <w:sectPr>
          <w:pgSz w:w="11910" w:h="16840"/>
          <w:pgMar w:header="919" w:footer="1016" w:top="1120" w:bottom="1200" w:left="1020" w:right="0"/>
        </w:sectPr>
      </w:pPr>
    </w:p>
    <w:p>
      <w:pPr>
        <w:spacing w:line="240" w:lineRule="auto" w:before="10"/>
        <w:rPr>
          <w:rFonts w:ascii="宋体" w:hAnsi="宋体" w:cs="宋体" w:eastAsia="宋体" w:hint="default"/>
          <w:sz w:val="19"/>
          <w:szCs w:val="19"/>
        </w:rPr>
      </w:pPr>
    </w:p>
    <w:p>
      <w:pPr>
        <w:pStyle w:val="Heading3"/>
        <w:spacing w:line="240" w:lineRule="auto" w:before="34"/>
        <w:ind w:right="915"/>
        <w:jc w:val="left"/>
        <w:rPr>
          <w:b w:val="0"/>
          <w:bCs w:val="0"/>
        </w:rPr>
      </w:pPr>
      <w:bookmarkStart w:name="39、收入" w:id="219"/>
      <w:bookmarkEnd w:id="219"/>
      <w:r>
        <w:rPr>
          <w:b w:val="0"/>
          <w:bCs w:val="0"/>
        </w:rPr>
      </w:r>
      <w:r>
        <w:rPr>
          <w:rFonts w:ascii="Times New Roman" w:hAnsi="Times New Roman" w:cs="Times New Roman" w:eastAsia="Times New Roman" w:hint="default"/>
        </w:rPr>
        <w:t>39</w:t>
      </w:r>
      <w:r>
        <w:rPr/>
        <w:t>、收入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15"/>
        <w:jc w:val="left"/>
      </w:pPr>
      <w:r>
        <w:rPr/>
        <w:t>是否已执行新收入准则</w:t>
      </w:r>
    </w:p>
    <w:p>
      <w:pPr>
        <w:pStyle w:val="BodyText"/>
        <w:spacing w:line="240" w:lineRule="auto" w:before="117"/>
        <w:ind w:right="915"/>
        <w:jc w:val="left"/>
      </w:pPr>
      <w:r>
        <w:rPr/>
        <w:t>□ 是 √ 否</w:t>
      </w:r>
    </w:p>
    <w:p>
      <w:pPr>
        <w:pStyle w:val="BodyText"/>
        <w:spacing w:line="240" w:lineRule="auto" w:before="115"/>
        <w:ind w:left="472" w:right="915"/>
        <w:jc w:val="left"/>
      </w:pPr>
      <w:r>
        <w:rPr/>
        <w:t>1．收入确认的一般原则</w:t>
      </w:r>
    </w:p>
    <w:p>
      <w:pPr>
        <w:spacing w:line="240" w:lineRule="auto" w:before="10"/>
        <w:rPr>
          <w:rFonts w:ascii="宋体" w:hAnsi="宋体" w:cs="宋体" w:eastAsia="宋体" w:hint="default"/>
          <w:sz w:val="17"/>
          <w:szCs w:val="17"/>
        </w:rPr>
      </w:pPr>
    </w:p>
    <w:p>
      <w:pPr>
        <w:pStyle w:val="BodyText"/>
        <w:spacing w:line="477" w:lineRule="auto"/>
        <w:ind w:left="472" w:right="6254"/>
        <w:jc w:val="left"/>
      </w:pPr>
      <w:r>
        <w:rPr/>
        <w:t>（1）销售商品收入的确认条件 已将商品所有权上的主要风险和报酬转移给购货方；</w:t>
      </w:r>
    </w:p>
    <w:p>
      <w:pPr>
        <w:pStyle w:val="BodyText"/>
        <w:spacing w:line="477" w:lineRule="auto" w:before="54"/>
        <w:ind w:left="472" w:right="3194"/>
        <w:jc w:val="left"/>
      </w:pPr>
      <w:r>
        <w:rPr/>
        <w:t>企业既没有保留通常与所有权相联系的继续管理权，也没有对已出售的商品实施有效控制； 收入的金额能够可靠地计量；</w:t>
      </w:r>
    </w:p>
    <w:p>
      <w:pPr>
        <w:pStyle w:val="BodyText"/>
        <w:spacing w:line="477" w:lineRule="auto" w:before="54"/>
        <w:ind w:left="472" w:right="6614"/>
        <w:jc w:val="left"/>
      </w:pPr>
      <w:r>
        <w:rPr/>
        <w:t>与交易相关的经济利益很可能流入企业； 相关的已发生或将发生的成本能够可靠地计量。</w:t>
      </w:r>
    </w:p>
    <w:p>
      <w:pPr>
        <w:pStyle w:val="BodyText"/>
        <w:spacing w:line="477" w:lineRule="auto" w:before="54"/>
        <w:ind w:left="472" w:right="915"/>
        <w:jc w:val="left"/>
      </w:pPr>
      <w:r>
        <w:rPr/>
        <w:t>（2）提供劳务收入的确认和计量方法 在资产负债表日提供劳务交易的结果能够可靠估计的，应当采用完工百分比法确认提供劳务收入。</w:t>
      </w:r>
    </w:p>
    <w:p>
      <w:pPr>
        <w:pStyle w:val="BodyText"/>
        <w:spacing w:line="316" w:lineRule="auto" w:before="54"/>
        <w:ind w:right="1034" w:firstLine="360"/>
        <w:jc w:val="left"/>
      </w:pPr>
      <w:r>
        <w:rPr/>
        <w:t>在资产负债表日提供劳务交易结果不能够可靠估计的，应当分别下列情况处理：己发生的劳务成本预计能够得到补偿， </w:t>
      </w:r>
      <w:r>
        <w:rPr>
          <w:spacing w:val="-2"/>
        </w:rPr>
        <w:t>应按己经发生的劳务成本金额确认收入，并按相同金额结转成本；己发生的劳务成本预计不能够得到补偿的，应当将己经发</w:t>
      </w:r>
      <w:r>
        <w:rPr>
          <w:spacing w:val="-63"/>
        </w:rPr>
        <w:t> </w:t>
      </w:r>
      <w:r>
        <w:rPr>
          <w:spacing w:val="-63"/>
        </w:rPr>
      </w:r>
      <w:r>
        <w:rPr/>
        <w:t>生的劳务成本计入当期损益，不确认提供劳务收入。</w:t>
      </w:r>
    </w:p>
    <w:p>
      <w:pPr>
        <w:spacing w:line="240" w:lineRule="auto" w:before="5"/>
        <w:rPr>
          <w:rFonts w:ascii="宋体" w:hAnsi="宋体" w:cs="宋体" w:eastAsia="宋体" w:hint="default"/>
          <w:sz w:val="13"/>
          <w:szCs w:val="13"/>
        </w:rPr>
      </w:pPr>
    </w:p>
    <w:p>
      <w:pPr>
        <w:pStyle w:val="BodyText"/>
        <w:spacing w:line="477" w:lineRule="auto"/>
        <w:ind w:left="472" w:right="7064"/>
        <w:jc w:val="left"/>
      </w:pPr>
      <w:r>
        <w:rPr/>
        <w:t>(3)让渡资产使用权收入的确认和计量方法 相关的经济利益很可能流入公司； 收入的金额能够可靠地计量。</w:t>
      </w:r>
    </w:p>
    <w:p>
      <w:pPr>
        <w:pStyle w:val="BodyText"/>
        <w:spacing w:line="240" w:lineRule="auto" w:before="54"/>
        <w:ind w:left="472" w:right="915"/>
        <w:jc w:val="left"/>
      </w:pPr>
      <w:r>
        <w:rPr/>
        <w:t>2.</w:t>
      </w:r>
      <w:r>
        <w:rPr>
          <w:spacing w:val="1"/>
        </w:rPr>
        <w:t> </w:t>
      </w:r>
      <w:r>
        <w:rPr/>
        <w:t>收入确认的具体方法</w:t>
      </w:r>
    </w:p>
    <w:p>
      <w:pPr>
        <w:pStyle w:val="BodyText"/>
        <w:spacing w:line="460" w:lineRule="atLeast" w:before="8"/>
        <w:ind w:left="472" w:right="915"/>
        <w:jc w:val="left"/>
      </w:pPr>
      <w:r>
        <w:rPr/>
        <w:t>（1）定制软件销售收入确认和计量方法 </w:t>
      </w:r>
      <w:r>
        <w:rPr>
          <w:spacing w:val="-2"/>
        </w:rPr>
        <w:t>定制软件是指根据与客户签订的技术开发、技术转让合同，对用户的业务进行充分实地调查，并根据用户的实际需求进</w:t>
      </w:r>
    </w:p>
    <w:p>
      <w:pPr>
        <w:pStyle w:val="BodyText"/>
        <w:spacing w:line="316" w:lineRule="auto" w:before="76"/>
        <w:ind w:right="915"/>
        <w:jc w:val="left"/>
      </w:pPr>
      <w:r>
        <w:rPr>
          <w:spacing w:val="-2"/>
        </w:rPr>
        <w:t>行专门的软件设计与开发，由此开发出来的软件不具有通用性。定制软件项目按合同约定在项目实施完成，并经对方验收合</w:t>
      </w:r>
      <w:r>
        <w:rPr>
          <w:spacing w:val="-65"/>
        </w:rPr>
        <w:t> </w:t>
      </w:r>
      <w:r>
        <w:rPr>
          <w:spacing w:val="-65"/>
        </w:rPr>
      </w:r>
      <w:r>
        <w:rPr/>
        <w:t>格后确认收入。</w:t>
      </w:r>
    </w:p>
    <w:p>
      <w:pPr>
        <w:pStyle w:val="BodyText"/>
        <w:spacing w:line="468" w:lineRule="exact" w:before="10"/>
        <w:ind w:left="472" w:right="915"/>
        <w:jc w:val="left"/>
      </w:pPr>
      <w:r>
        <w:rPr/>
        <w:t>（2）技术服务收入确认和计量方法 </w:t>
      </w:r>
      <w:r>
        <w:rPr>
          <w:spacing w:val="-2"/>
        </w:rPr>
        <w:t>技术服务收入，主要是指按合同要求向客户提供咨询、实施和产品售后服务的业务。合同约定服务期限的，按合同约定</w:t>
      </w:r>
    </w:p>
    <w:p>
      <w:pPr>
        <w:pStyle w:val="BodyText"/>
        <w:spacing w:line="316" w:lineRule="auto" w:before="8"/>
        <w:ind w:right="915"/>
        <w:jc w:val="left"/>
      </w:pPr>
      <w:r>
        <w:rPr>
          <w:spacing w:val="-2"/>
        </w:rPr>
        <w:t>的服务期限分期确认收入。合同约定按照实际提供服务的工作量与客户结算的，按照合同约定的标准与向客户实际提供的工</w:t>
      </w:r>
      <w:r>
        <w:rPr>
          <w:spacing w:val="-64"/>
        </w:rPr>
        <w:t> </w:t>
      </w:r>
      <w:r>
        <w:rPr>
          <w:spacing w:val="-64"/>
        </w:rPr>
      </w:r>
      <w:r>
        <w:rPr/>
        <w:t>作量确认收入。</w:t>
      </w:r>
    </w:p>
    <w:p>
      <w:pPr>
        <w:spacing w:line="240" w:lineRule="auto" w:before="5"/>
        <w:rPr>
          <w:rFonts w:ascii="宋体" w:hAnsi="宋体" w:cs="宋体" w:eastAsia="宋体" w:hint="default"/>
          <w:sz w:val="13"/>
          <w:szCs w:val="13"/>
        </w:rPr>
      </w:pPr>
    </w:p>
    <w:p>
      <w:pPr>
        <w:pStyle w:val="BodyText"/>
        <w:spacing w:line="477" w:lineRule="auto"/>
        <w:ind w:left="472" w:right="4094"/>
        <w:jc w:val="left"/>
      </w:pPr>
      <w:r>
        <w:rPr/>
        <w:t>（3）租赁业务收入确认和计量方法 经营租出资产收到的租金按直线法将租金在租赁期内各个期间确认为当期损益。</w:t>
      </w:r>
    </w:p>
    <w:p>
      <w:pPr>
        <w:pStyle w:val="BodyText"/>
        <w:spacing w:line="477" w:lineRule="auto" w:before="54"/>
        <w:ind w:left="472" w:right="2294"/>
        <w:jc w:val="left"/>
      </w:pPr>
      <w:r>
        <w:rPr/>
        <w:t>（4）供应链业务收入确认和计量方法 公司供应链业务不承担产品质量、价格变动等风险，按净额法于提供供应链管理服务完成时确认收入。</w:t>
      </w:r>
    </w:p>
    <w:p>
      <w:pPr>
        <w:pStyle w:val="BodyText"/>
        <w:spacing w:line="240" w:lineRule="auto" w:before="54"/>
        <w:ind w:left="472" w:right="915"/>
        <w:jc w:val="left"/>
      </w:pPr>
      <w:r>
        <w:rPr/>
        <w:t>（5）保理业务收入确认和计量方法</w:t>
      </w:r>
    </w:p>
    <w:p>
      <w:pPr>
        <w:spacing w:after="0" w:line="240" w:lineRule="auto"/>
        <w:jc w:val="left"/>
        <w:sectPr>
          <w:pgSz w:w="11910" w:h="16840"/>
          <w:pgMar w:header="919" w:footer="1016" w:top="1120" w:bottom="1200" w:left="1020" w:right="0"/>
        </w:sectPr>
      </w:pPr>
    </w:p>
    <w:p>
      <w:pPr>
        <w:spacing w:line="240" w:lineRule="auto" w:before="12"/>
        <w:rPr>
          <w:rFonts w:ascii="宋体" w:hAnsi="宋体" w:cs="宋体" w:eastAsia="宋体" w:hint="default"/>
          <w:sz w:val="20"/>
          <w:szCs w:val="20"/>
        </w:rPr>
      </w:pPr>
    </w:p>
    <w:p>
      <w:pPr>
        <w:pStyle w:val="BodyText"/>
        <w:spacing w:line="240" w:lineRule="auto" w:before="44"/>
        <w:ind w:left="472" w:right="915"/>
        <w:jc w:val="left"/>
      </w:pPr>
      <w:r>
        <w:rPr/>
        <w:t>公司按照合同约定收取保理利息和保理手续费时间和综合费率确认当期保理利息和手续费收入。</w:t>
      </w:r>
    </w:p>
    <w:p>
      <w:pPr>
        <w:spacing w:line="240" w:lineRule="auto" w:before="11"/>
        <w:rPr>
          <w:rFonts w:ascii="宋体" w:hAnsi="宋体" w:cs="宋体" w:eastAsia="宋体" w:hint="default"/>
          <w:sz w:val="26"/>
          <w:szCs w:val="26"/>
        </w:rPr>
      </w:pPr>
    </w:p>
    <w:p>
      <w:pPr>
        <w:pStyle w:val="Heading3"/>
        <w:spacing w:line="240" w:lineRule="auto"/>
        <w:ind w:right="915"/>
        <w:jc w:val="left"/>
        <w:rPr>
          <w:b w:val="0"/>
          <w:bCs w:val="0"/>
        </w:rPr>
      </w:pPr>
      <w:bookmarkStart w:name="40、政府补助" w:id="220"/>
      <w:bookmarkEnd w:id="220"/>
      <w:r>
        <w:rPr>
          <w:b w:val="0"/>
          <w:bCs w:val="0"/>
        </w:rPr>
      </w:r>
      <w:r>
        <w:rPr>
          <w:rFonts w:ascii="Times New Roman" w:hAnsi="Times New Roman" w:cs="Times New Roman" w:eastAsia="Times New Roman" w:hint="default"/>
        </w:rPr>
        <w:t>40</w:t>
      </w:r>
      <w:r>
        <w:rPr/>
        <w:t>、政府补助</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72" w:right="915"/>
        <w:jc w:val="left"/>
      </w:pPr>
      <w:r>
        <w:rPr/>
        <w:t>1.政府补助包括与资产相关的政府补助和与收益相关的政府补助。</w:t>
      </w:r>
    </w:p>
    <w:p>
      <w:pPr>
        <w:spacing w:line="240" w:lineRule="auto" w:before="10"/>
        <w:rPr>
          <w:rFonts w:ascii="宋体" w:hAnsi="宋体" w:cs="宋体" w:eastAsia="宋体" w:hint="default"/>
          <w:sz w:val="17"/>
          <w:szCs w:val="17"/>
        </w:rPr>
      </w:pPr>
    </w:p>
    <w:p>
      <w:pPr>
        <w:pStyle w:val="BodyText"/>
        <w:spacing w:line="316" w:lineRule="auto"/>
        <w:ind w:right="915" w:firstLine="360"/>
        <w:jc w:val="left"/>
      </w:pPr>
      <w:r>
        <w:rPr>
          <w:spacing w:val="-2"/>
        </w:rPr>
        <w:t>2.政府补助为货币性资产的，按照收到或应收的金额计量；政府补助为非货币性资产的，按照公允价值计量，公允价值</w:t>
      </w:r>
      <w:r>
        <w:rPr/>
        <w:t> 不能可靠取得的，按照名义金额计量。</w:t>
      </w:r>
    </w:p>
    <w:p>
      <w:pPr>
        <w:spacing w:line="240" w:lineRule="auto" w:before="5"/>
        <w:rPr>
          <w:rFonts w:ascii="宋体" w:hAnsi="宋体" w:cs="宋体" w:eastAsia="宋体" w:hint="default"/>
          <w:sz w:val="13"/>
          <w:szCs w:val="13"/>
        </w:rPr>
      </w:pPr>
    </w:p>
    <w:p>
      <w:pPr>
        <w:pStyle w:val="BodyText"/>
        <w:spacing w:line="240" w:lineRule="auto"/>
        <w:ind w:left="472" w:right="915"/>
        <w:jc w:val="left"/>
      </w:pPr>
      <w:r>
        <w:rPr/>
        <w:t>3.政府补助采用总额法：</w:t>
      </w:r>
    </w:p>
    <w:p>
      <w:pPr>
        <w:spacing w:line="240" w:lineRule="auto" w:before="10"/>
        <w:rPr>
          <w:rFonts w:ascii="宋体" w:hAnsi="宋体" w:cs="宋体" w:eastAsia="宋体" w:hint="default"/>
          <w:sz w:val="17"/>
          <w:szCs w:val="17"/>
        </w:rPr>
      </w:pPr>
    </w:p>
    <w:p>
      <w:pPr>
        <w:pStyle w:val="BodyText"/>
        <w:spacing w:line="316" w:lineRule="auto"/>
        <w:ind w:right="1124" w:firstLine="360"/>
        <w:jc w:val="left"/>
      </w:pPr>
      <w:r>
        <w:rPr/>
        <w:t>（1）与资产相关的政府补助，确认为递延收益，在相关资产使用寿命内按照合理、系统的方法分期计入损益。相关资 产在使用寿命结束前被出售、转让、报废或发生毁损的，将尚未分配的相关递延收益余额转入资产处置当期的损益。</w:t>
      </w:r>
    </w:p>
    <w:p>
      <w:pPr>
        <w:spacing w:line="240" w:lineRule="auto" w:before="5"/>
        <w:rPr>
          <w:rFonts w:ascii="宋体" w:hAnsi="宋体" w:cs="宋体" w:eastAsia="宋体" w:hint="default"/>
          <w:sz w:val="13"/>
          <w:szCs w:val="13"/>
        </w:rPr>
      </w:pPr>
    </w:p>
    <w:p>
      <w:pPr>
        <w:pStyle w:val="BodyText"/>
        <w:spacing w:line="316" w:lineRule="auto"/>
        <w:ind w:right="1124" w:firstLine="360"/>
        <w:jc w:val="left"/>
      </w:pPr>
      <w:r>
        <w:rPr/>
        <w:t>（2）与收益相关的政府补助，用于补偿以后期间的相关费用或损失的，确认为递延收益，在确认相关费用的期间，计 入当期损益；用于补偿已发生的相关费用或损失的，直接计入当期损益。</w:t>
      </w:r>
    </w:p>
    <w:p>
      <w:pPr>
        <w:spacing w:line="240" w:lineRule="auto" w:before="5"/>
        <w:rPr>
          <w:rFonts w:ascii="宋体" w:hAnsi="宋体" w:cs="宋体" w:eastAsia="宋体" w:hint="default"/>
          <w:sz w:val="13"/>
          <w:szCs w:val="13"/>
        </w:rPr>
      </w:pPr>
    </w:p>
    <w:p>
      <w:pPr>
        <w:pStyle w:val="BodyText"/>
        <w:spacing w:line="316" w:lineRule="auto"/>
        <w:ind w:right="915" w:firstLine="360"/>
        <w:jc w:val="left"/>
      </w:pPr>
      <w:r>
        <w:rPr>
          <w:spacing w:val="-2"/>
        </w:rPr>
        <w:t>4.对于同时包含与资产相关部分和与收益相关部分的政府补助，区分不同部分分别进行会计处理；难以区分的，整体归</w:t>
      </w:r>
      <w:r>
        <w:rPr/>
        <w:t> 类为与收益相关的政府补助。</w:t>
      </w:r>
    </w:p>
    <w:p>
      <w:pPr>
        <w:spacing w:line="240" w:lineRule="auto" w:before="5"/>
        <w:rPr>
          <w:rFonts w:ascii="宋体" w:hAnsi="宋体" w:cs="宋体" w:eastAsia="宋体" w:hint="default"/>
          <w:sz w:val="13"/>
          <w:szCs w:val="13"/>
        </w:rPr>
      </w:pPr>
    </w:p>
    <w:p>
      <w:pPr>
        <w:pStyle w:val="BodyText"/>
        <w:spacing w:line="316" w:lineRule="auto"/>
        <w:ind w:right="915" w:firstLine="360"/>
        <w:jc w:val="left"/>
      </w:pPr>
      <w:r>
        <w:rPr>
          <w:spacing w:val="-2"/>
        </w:rPr>
        <w:t>5.本公司将与本公司日常活动相关的政府补助按照经济业务实质计入其他收益或冲减相关成本费用；将与本公司日常活</w:t>
      </w:r>
      <w:r>
        <w:rPr/>
        <w:t> 动无关的政府补助，应当计入营业外收支。</w:t>
      </w:r>
    </w:p>
    <w:p>
      <w:pPr>
        <w:spacing w:line="240" w:lineRule="auto" w:before="5"/>
        <w:rPr>
          <w:rFonts w:ascii="宋体" w:hAnsi="宋体" w:cs="宋体" w:eastAsia="宋体" w:hint="default"/>
          <w:sz w:val="13"/>
          <w:szCs w:val="13"/>
        </w:rPr>
      </w:pPr>
    </w:p>
    <w:p>
      <w:pPr>
        <w:pStyle w:val="BodyText"/>
        <w:spacing w:line="316" w:lineRule="auto"/>
        <w:ind w:right="915" w:firstLine="360"/>
        <w:jc w:val="left"/>
      </w:pPr>
      <w:r>
        <w:rPr/>
        <w:t>6.本公司将取得的政策性优惠贷款贴息按照财政将贴息资金拨付给贷款银行和财政将贴息资金直接拨付给本公司两种 情况处理：</w:t>
      </w:r>
    </w:p>
    <w:p>
      <w:pPr>
        <w:spacing w:line="240" w:lineRule="auto" w:before="5"/>
        <w:rPr>
          <w:rFonts w:ascii="宋体" w:hAnsi="宋体" w:cs="宋体" w:eastAsia="宋体" w:hint="default"/>
          <w:sz w:val="13"/>
          <w:szCs w:val="13"/>
        </w:rPr>
      </w:pPr>
    </w:p>
    <w:p>
      <w:pPr>
        <w:pStyle w:val="BodyText"/>
        <w:spacing w:line="316" w:lineRule="auto"/>
        <w:ind w:right="1124" w:firstLine="360"/>
        <w:jc w:val="left"/>
      </w:pPr>
      <w:r>
        <w:rPr/>
        <w:t>（1）财政将贴息资金拨付给贷款银行，由贷款银行以政策性优惠利率向本公司提供贷款的，本公司选择按照下列方法 进行会计处理：</w:t>
      </w:r>
    </w:p>
    <w:p>
      <w:pPr>
        <w:spacing w:line="240" w:lineRule="auto" w:before="5"/>
        <w:rPr>
          <w:rFonts w:ascii="宋体" w:hAnsi="宋体" w:cs="宋体" w:eastAsia="宋体" w:hint="default"/>
          <w:sz w:val="13"/>
          <w:szCs w:val="13"/>
        </w:rPr>
      </w:pPr>
    </w:p>
    <w:p>
      <w:pPr>
        <w:pStyle w:val="BodyText"/>
        <w:spacing w:line="240" w:lineRule="auto"/>
        <w:ind w:left="472" w:right="915"/>
        <w:jc w:val="left"/>
      </w:pPr>
      <w:r>
        <w:rPr/>
        <w:t>1）以实际收到的借款金额作为借款的入账价值，按照借款本金和该政策性优惠利率计算相关借款费用。</w:t>
      </w:r>
    </w:p>
    <w:p>
      <w:pPr>
        <w:spacing w:line="240" w:lineRule="auto" w:before="10"/>
        <w:rPr>
          <w:rFonts w:ascii="宋体" w:hAnsi="宋体" w:cs="宋体" w:eastAsia="宋体" w:hint="default"/>
          <w:sz w:val="17"/>
          <w:szCs w:val="17"/>
        </w:rPr>
      </w:pPr>
    </w:p>
    <w:p>
      <w:pPr>
        <w:pStyle w:val="BodyText"/>
        <w:spacing w:line="316" w:lineRule="auto"/>
        <w:ind w:right="1124" w:firstLine="360"/>
        <w:jc w:val="left"/>
      </w:pPr>
      <w:r>
        <w:rPr/>
        <w:t>2）以借款的公允价值作为借款的入账价值并按照实际利率法计算借款费用，实际收到的金额与借款公允价值之间的差 额确认为递延收益。递延收益在借款存续期内采用实际利率法摊销，冲减相关借款费用。</w:t>
      </w:r>
    </w:p>
    <w:p>
      <w:pPr>
        <w:spacing w:line="240" w:lineRule="auto" w:before="5"/>
        <w:rPr>
          <w:rFonts w:ascii="宋体" w:hAnsi="宋体" w:cs="宋体" w:eastAsia="宋体" w:hint="default"/>
          <w:sz w:val="13"/>
          <w:szCs w:val="13"/>
        </w:rPr>
      </w:pPr>
    </w:p>
    <w:p>
      <w:pPr>
        <w:pStyle w:val="BodyText"/>
        <w:spacing w:line="240" w:lineRule="auto"/>
        <w:ind w:left="472" w:right="915"/>
        <w:jc w:val="left"/>
      </w:pPr>
      <w:r>
        <w:rPr/>
        <w:t>（2）财政将贴息资金直接拨付给本公司的，本公司将对应的贴息冲减相关借款费用。</w:t>
      </w:r>
    </w:p>
    <w:p>
      <w:pPr>
        <w:spacing w:line="240" w:lineRule="auto" w:before="0"/>
        <w:rPr>
          <w:rFonts w:ascii="宋体" w:hAnsi="宋体" w:cs="宋体" w:eastAsia="宋体" w:hint="default"/>
          <w:sz w:val="18"/>
          <w:szCs w:val="18"/>
        </w:rPr>
      </w:pPr>
    </w:p>
    <w:p>
      <w:pPr>
        <w:pStyle w:val="Heading3"/>
        <w:spacing w:line="240" w:lineRule="auto" w:before="118"/>
        <w:ind w:right="915"/>
        <w:jc w:val="left"/>
        <w:rPr>
          <w:b w:val="0"/>
          <w:bCs w:val="0"/>
        </w:rPr>
      </w:pPr>
      <w:bookmarkStart w:name="41、递延所得税资产/递延所得税负债" w:id="221"/>
      <w:bookmarkEnd w:id="221"/>
      <w:r>
        <w:rPr>
          <w:b w:val="0"/>
          <w:bCs w:val="0"/>
        </w:rPr>
      </w:r>
      <w:r>
        <w:rPr>
          <w:rFonts w:ascii="Times New Roman" w:hAnsi="Times New Roman" w:cs="Times New Roman" w:eastAsia="Times New Roman" w:hint="default"/>
        </w:rPr>
        <w:t>41</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15" w:firstLine="360"/>
        <w:jc w:val="left"/>
      </w:pPr>
      <w:r>
        <w:rPr/>
        <w:t>本公司除了将与直接计入股东权益的交易或者事项有关的所得税影响计入股东权益外，当期所得税和递延所得税费用 (或收益)计入当期损益。</w:t>
      </w:r>
    </w:p>
    <w:p>
      <w:pPr>
        <w:pStyle w:val="BodyText"/>
        <w:spacing w:line="468" w:lineRule="exact" w:before="10"/>
        <w:ind w:left="472" w:right="915"/>
        <w:jc w:val="left"/>
      </w:pPr>
      <w:r>
        <w:rPr/>
        <w:t>当期所得税是按本年度应税所得额，根据税法规定的税率计算的预期应交所得税，加上以往年度应付所得税的调整。 </w:t>
      </w:r>
      <w:r>
        <w:rPr>
          <w:spacing w:val="-2"/>
        </w:rPr>
        <w:t>资产负债表日，如果纳税主体拥有以净额结算的法定权利并且意图以净额结算或取得资产、清偿负债同时进行时，那么</w:t>
      </w:r>
    </w:p>
    <w:p>
      <w:pPr>
        <w:pStyle w:val="BodyText"/>
        <w:spacing w:line="240" w:lineRule="auto" w:before="8"/>
        <w:ind w:right="915"/>
        <w:jc w:val="left"/>
      </w:pPr>
      <w:r>
        <w:rPr/>
        <w:t>当期所得税资产及当期所得税负债以抵销后的净额列示。</w:t>
      </w:r>
    </w:p>
    <w:p>
      <w:pPr>
        <w:spacing w:line="240" w:lineRule="auto" w:before="10"/>
        <w:rPr>
          <w:rFonts w:ascii="宋体" w:hAnsi="宋体" w:cs="宋体" w:eastAsia="宋体" w:hint="default"/>
          <w:sz w:val="17"/>
          <w:szCs w:val="17"/>
        </w:rPr>
      </w:pPr>
    </w:p>
    <w:p>
      <w:pPr>
        <w:pStyle w:val="BodyText"/>
        <w:spacing w:line="316" w:lineRule="auto"/>
        <w:ind w:right="1132" w:firstLine="360"/>
        <w:jc w:val="both"/>
      </w:pPr>
      <w:r>
        <w:rPr>
          <w:spacing w:val="-2"/>
        </w:rPr>
        <w:t>递延所得税资产与递延所得税负债分别根据可抵扣暂时性差异和应纳税暂时性差异确定。暂时性差异是指资产或负债的</w:t>
      </w:r>
      <w:r>
        <w:rPr/>
        <w:t> </w:t>
      </w:r>
      <w:r>
        <w:rPr>
          <w:spacing w:val="-2"/>
        </w:rPr>
        <w:t>账面价值与其计税基础之间的差额，包括能够结转以后年度的可抵扣亏损和税款抵减。递延所得税资产的确认以很可能取得</w:t>
      </w:r>
      <w:r>
        <w:rPr>
          <w:spacing w:val="-64"/>
        </w:rPr>
        <w:t> </w:t>
      </w:r>
      <w:r>
        <w:rPr>
          <w:spacing w:val="-64"/>
        </w:rPr>
      </w:r>
      <w:r>
        <w:rPr/>
        <w:t>用来抵扣可抵扣暂时性差异的应纳税所得额为限。</w:t>
      </w:r>
    </w:p>
    <w:p>
      <w:pPr>
        <w:spacing w:line="240" w:lineRule="auto" w:before="5"/>
        <w:rPr>
          <w:rFonts w:ascii="宋体" w:hAnsi="宋体" w:cs="宋体" w:eastAsia="宋体" w:hint="default"/>
          <w:sz w:val="13"/>
          <w:szCs w:val="13"/>
        </w:rPr>
      </w:pPr>
    </w:p>
    <w:p>
      <w:pPr>
        <w:pStyle w:val="BodyText"/>
        <w:spacing w:line="316" w:lineRule="auto"/>
        <w:ind w:right="915" w:firstLine="360"/>
        <w:jc w:val="left"/>
      </w:pPr>
      <w:r>
        <w:rPr>
          <w:spacing w:val="-2"/>
        </w:rPr>
        <w:t>如果不属于企业合并交易且交易发生时既不影响会计利润也不影响应纳税所得额(或可抵扣亏损)，则该项交易中产生的</w:t>
      </w:r>
      <w:r>
        <w:rPr/>
        <w:t> 暂时性差异不会产生递延所得税。商誉的初始确认导致的暂时性差异也不产生相关的递延所得税。</w:t>
      </w:r>
    </w:p>
    <w:p>
      <w:pPr>
        <w:spacing w:after="0" w:line="316" w:lineRule="auto"/>
        <w:jc w:val="left"/>
        <w:sectPr>
          <w:footerReference w:type="default" r:id="rId29"/>
          <w:pgSz w:w="11910" w:h="16840"/>
          <w:pgMar w:footer="1016" w:header="919" w:top="1120" w:bottom="1200" w:left="1020" w:right="0"/>
          <w:pgNumType w:start="130"/>
        </w:sectPr>
      </w:pPr>
    </w:p>
    <w:p>
      <w:pPr>
        <w:spacing w:line="240" w:lineRule="auto" w:before="12"/>
        <w:rPr>
          <w:rFonts w:ascii="宋体" w:hAnsi="宋体" w:cs="宋体" w:eastAsia="宋体" w:hint="default"/>
          <w:sz w:val="20"/>
          <w:szCs w:val="20"/>
        </w:rPr>
      </w:pPr>
    </w:p>
    <w:p>
      <w:pPr>
        <w:pStyle w:val="BodyText"/>
        <w:spacing w:line="316" w:lineRule="auto" w:before="44"/>
        <w:ind w:right="915" w:firstLine="360"/>
        <w:jc w:val="left"/>
      </w:pPr>
      <w:r>
        <w:rPr>
          <w:spacing w:val="-2"/>
        </w:rPr>
        <w:t>资产负债表日，本公司根据递延所得税资产和负债的预期收回或结算方式，依据已颁布的税法规定，按照预期收回该资</w:t>
      </w:r>
      <w:r>
        <w:rPr/>
        <w:t> 产或清偿该负债期间的适用税率计量该递延所得税资产和负债的账面金额。</w:t>
      </w:r>
    </w:p>
    <w:p>
      <w:pPr>
        <w:pStyle w:val="BodyText"/>
        <w:spacing w:line="468" w:lineRule="exact" w:before="10"/>
        <w:ind w:left="472" w:right="915"/>
        <w:jc w:val="left"/>
      </w:pPr>
      <w:r>
        <w:rPr/>
        <w:t>资产负债表日，递延所得税资产及递延所得税负债在同时满足以下条件时以抵销后的净额列示： </w:t>
      </w:r>
      <w:r>
        <w:rPr>
          <w:spacing w:val="-2"/>
        </w:rPr>
        <w:t>纳税主体拥有以净额结算当期所得税资产及当期所得税负债的法定权利，并且递延所得税资产及递延所得税负债是与同</w:t>
      </w:r>
    </w:p>
    <w:p>
      <w:pPr>
        <w:pStyle w:val="BodyText"/>
        <w:spacing w:line="316" w:lineRule="auto" w:before="8"/>
        <w:ind w:right="915"/>
        <w:jc w:val="left"/>
      </w:pPr>
      <w:r>
        <w:rPr>
          <w:spacing w:val="-2"/>
        </w:rPr>
        <w:t>一税收征管部门对同一纳税主体征收的所得税相关或者是对不同的纳税主体相关，但在未来每一具有重要性的递延所得税资</w:t>
      </w:r>
      <w:r>
        <w:rPr>
          <w:spacing w:val="-64"/>
        </w:rPr>
        <w:t> </w:t>
      </w:r>
      <w:r>
        <w:rPr>
          <w:spacing w:val="-64"/>
        </w:rPr>
      </w:r>
      <w:r>
        <w:rPr/>
        <w:t>产及负债转回的期间内，涉及的纳税主体意图以净额结算当期所得税资产和负债或是同时取得资产、清偿负债。</w:t>
      </w:r>
    </w:p>
    <w:p>
      <w:pPr>
        <w:spacing w:line="240" w:lineRule="auto" w:before="6"/>
        <w:rPr>
          <w:rFonts w:ascii="宋体" w:hAnsi="宋体" w:cs="宋体" w:eastAsia="宋体" w:hint="default"/>
          <w:sz w:val="22"/>
          <w:szCs w:val="22"/>
        </w:rPr>
      </w:pPr>
    </w:p>
    <w:p>
      <w:pPr>
        <w:pStyle w:val="Heading3"/>
        <w:spacing w:line="240" w:lineRule="auto"/>
        <w:ind w:right="915"/>
        <w:jc w:val="left"/>
        <w:rPr>
          <w:b w:val="0"/>
          <w:bCs w:val="0"/>
        </w:rPr>
      </w:pPr>
      <w:bookmarkStart w:name="42、租赁" w:id="222"/>
      <w:bookmarkEnd w:id="222"/>
      <w:r>
        <w:rPr>
          <w:b w:val="0"/>
          <w:bCs w:val="0"/>
        </w:rPr>
      </w:r>
      <w:r>
        <w:rPr>
          <w:rFonts w:ascii="Times New Roman" w:hAnsi="Times New Roman" w:cs="Times New Roman" w:eastAsia="Times New Roman" w:hint="default"/>
        </w:rPr>
        <w:t>42</w:t>
      </w:r>
      <w:r>
        <w:rPr/>
        <w:t>、租赁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15"/>
        <w:jc w:val="left"/>
        <w:rPr>
          <w:b w:val="0"/>
          <w:bCs w:val="0"/>
        </w:rPr>
      </w:pPr>
      <w:bookmarkStart w:name="（1）经营租赁的会计处理方法" w:id="223"/>
      <w:bookmarkEnd w:id="223"/>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477" w:lineRule="auto"/>
        <w:ind w:left="472" w:right="1034"/>
        <w:jc w:val="left"/>
      </w:pPr>
      <w:r>
        <w:rPr/>
        <w:t>1.经营租赁租入资产 经营租赁租入资产的租金费用在租赁期内按直线法确认为相关资产成本或费用。或有租金在实际发生时计入当期损益。 经营租赁租入资产的改良支出计入长期待摊费用，在预计使用年限和租赁期限孰短内进行摊销。</w:t>
      </w:r>
    </w:p>
    <w:p>
      <w:pPr>
        <w:pStyle w:val="BodyText"/>
        <w:spacing w:line="240" w:lineRule="auto" w:before="54"/>
        <w:ind w:left="472" w:right="915"/>
        <w:jc w:val="left"/>
      </w:pPr>
      <w:r>
        <w:rPr/>
        <w:t>2.经营租赁租出资产</w:t>
      </w:r>
    </w:p>
    <w:p>
      <w:pPr>
        <w:spacing w:line="240" w:lineRule="auto" w:before="10"/>
        <w:rPr>
          <w:rFonts w:ascii="宋体" w:hAnsi="宋体" w:cs="宋体" w:eastAsia="宋体" w:hint="default"/>
          <w:sz w:val="17"/>
          <w:szCs w:val="17"/>
        </w:rPr>
      </w:pPr>
    </w:p>
    <w:p>
      <w:pPr>
        <w:pStyle w:val="BodyText"/>
        <w:spacing w:line="316" w:lineRule="auto"/>
        <w:ind w:right="1034" w:firstLine="360"/>
        <w:jc w:val="left"/>
      </w:pPr>
      <w:r>
        <w:rPr/>
        <w:t>经营租赁租出的除投资性房地产外的固定资产按附注所述的折旧政策计提折旧，按附注所述的会计政策计提减值准备。 </w:t>
      </w:r>
      <w:r>
        <w:rPr>
          <w:spacing w:val="-2"/>
        </w:rPr>
        <w:t>经营租赁租出资产所产生的租金收入在租赁期内按直线法确认为收入。经营租赁租出资产发生的初始直接费用，金额较大时</w:t>
      </w:r>
      <w:r>
        <w:rPr>
          <w:spacing w:val="-64"/>
        </w:rPr>
        <w:t> </w:t>
      </w:r>
      <w:r>
        <w:rPr>
          <w:spacing w:val="-64"/>
        </w:rPr>
      </w:r>
      <w:r>
        <w:rPr>
          <w:spacing w:val="-2"/>
        </w:rPr>
        <w:t>应当资本化，在整个租赁期内按照与确认租金收入相同的基础分期计入当期损益；金额较小时，直接计入当期损益。或有租</w:t>
      </w:r>
      <w:r>
        <w:rPr>
          <w:spacing w:val="-64"/>
        </w:rPr>
        <w:t> </w:t>
      </w:r>
      <w:r>
        <w:rPr>
          <w:spacing w:val="-64"/>
        </w:rPr>
      </w:r>
      <w:r>
        <w:rPr/>
        <w:t>金在实际发生时计入当期损益。</w:t>
      </w:r>
    </w:p>
    <w:p>
      <w:pPr>
        <w:spacing w:line="240" w:lineRule="auto" w:before="8"/>
        <w:rPr>
          <w:rFonts w:ascii="宋体" w:hAnsi="宋体" w:cs="宋体" w:eastAsia="宋体" w:hint="default"/>
          <w:sz w:val="22"/>
          <w:szCs w:val="22"/>
        </w:rPr>
      </w:pPr>
    </w:p>
    <w:p>
      <w:pPr>
        <w:pStyle w:val="Heading3"/>
        <w:spacing w:line="240" w:lineRule="auto"/>
        <w:ind w:right="915"/>
        <w:jc w:val="left"/>
        <w:rPr>
          <w:b w:val="0"/>
          <w:bCs w:val="0"/>
        </w:rPr>
      </w:pPr>
      <w:bookmarkStart w:name="（2）融资租赁的会计处理方法" w:id="224"/>
      <w:bookmarkEnd w:id="224"/>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pStyle w:val="BodyText"/>
        <w:spacing w:line="470" w:lineRule="atLeast" w:before="112"/>
        <w:ind w:left="472" w:right="915"/>
        <w:jc w:val="left"/>
      </w:pPr>
      <w:r>
        <w:rPr/>
        <w:t>1.融资租赁租入资产 </w:t>
      </w:r>
      <w:r>
        <w:rPr>
          <w:spacing w:val="-2"/>
        </w:rPr>
        <w:t>本公司融资租入资产按租赁开始日租赁资产公允价值与最低租赁付款额现值两者中较低者作为租入资产的入账价值，将</w:t>
      </w:r>
    </w:p>
    <w:p>
      <w:pPr>
        <w:pStyle w:val="BodyText"/>
        <w:spacing w:line="316" w:lineRule="auto" w:before="76"/>
        <w:ind w:right="915"/>
        <w:jc w:val="left"/>
      </w:pPr>
      <w:r>
        <w:rPr>
          <w:spacing w:val="-2"/>
        </w:rPr>
        <w:t>最低租赁付款额作为长期应付款的入账价值，其差额作为未确认融资费用。本公司将因融资租赁发生的初始直接费用计入租</w:t>
      </w:r>
      <w:r>
        <w:rPr>
          <w:spacing w:val="-64"/>
        </w:rPr>
        <w:t> </w:t>
      </w:r>
      <w:r>
        <w:rPr>
          <w:spacing w:val="-64"/>
        </w:rPr>
      </w:r>
      <w:r>
        <w:rPr/>
        <w:t>入资产价值。融资租赁租入资产按附注所述的折旧政策计提折旧，按附注所述的会计政策计提减值准备。</w:t>
      </w:r>
    </w:p>
    <w:p>
      <w:pPr>
        <w:spacing w:line="240" w:lineRule="auto" w:before="5"/>
        <w:rPr>
          <w:rFonts w:ascii="宋体" w:hAnsi="宋体" w:cs="宋体" w:eastAsia="宋体" w:hint="default"/>
          <w:sz w:val="13"/>
          <w:szCs w:val="13"/>
        </w:rPr>
      </w:pPr>
    </w:p>
    <w:p>
      <w:pPr>
        <w:pStyle w:val="BodyText"/>
        <w:spacing w:line="316" w:lineRule="auto"/>
        <w:ind w:right="915" w:firstLine="360"/>
        <w:jc w:val="left"/>
      </w:pPr>
      <w:r>
        <w:rPr>
          <w:spacing w:val="-2"/>
        </w:rPr>
        <w:t>对能够合理确定租赁期届满时取得租入资产所有权的，租入资产在使用寿命内计提折旧。否则，租赁资产在租赁期与租</w:t>
      </w:r>
      <w:r>
        <w:rPr/>
        <w:t> 赁资产使用寿命两者中较短的期间内计提折旧。</w:t>
      </w:r>
    </w:p>
    <w:p>
      <w:pPr>
        <w:pStyle w:val="BodyText"/>
        <w:spacing w:line="468" w:lineRule="exact" w:before="10"/>
        <w:ind w:left="472" w:right="915"/>
        <w:jc w:val="left"/>
      </w:pPr>
      <w:r>
        <w:rPr/>
        <w:t>本公司对未确认融资费用采用实际利率法在租赁期内各个期间进行分摊，并按照借款费用的原则处理(参见附注)。 </w:t>
      </w:r>
      <w:r>
        <w:rPr>
          <w:spacing w:val="-2"/>
        </w:rPr>
        <w:t>资产负债表日，本公司将与融资租赁相关的长期应付款减去未确认融资费用的差额，分别以长期负债和一年内到期的长</w:t>
      </w:r>
    </w:p>
    <w:p>
      <w:pPr>
        <w:pStyle w:val="BodyText"/>
        <w:spacing w:line="240" w:lineRule="auto" w:before="8"/>
        <w:ind w:right="915"/>
        <w:jc w:val="left"/>
      </w:pPr>
      <w:r>
        <w:rPr/>
        <w:t>期负债列示。</w:t>
      </w:r>
    </w:p>
    <w:p>
      <w:pPr>
        <w:spacing w:line="240" w:lineRule="auto" w:before="10"/>
        <w:rPr>
          <w:rFonts w:ascii="宋体" w:hAnsi="宋体" w:cs="宋体" w:eastAsia="宋体" w:hint="default"/>
          <w:sz w:val="17"/>
          <w:szCs w:val="17"/>
        </w:rPr>
      </w:pPr>
    </w:p>
    <w:p>
      <w:pPr>
        <w:pStyle w:val="BodyText"/>
        <w:spacing w:line="477" w:lineRule="auto"/>
        <w:ind w:left="472" w:right="7334"/>
        <w:jc w:val="left"/>
      </w:pPr>
      <w:r>
        <w:rPr/>
        <w:t>或有租金在实际发生时计入当期损益。 2.融资租赁租出资产</w:t>
      </w:r>
    </w:p>
    <w:p>
      <w:pPr>
        <w:pStyle w:val="BodyText"/>
        <w:spacing w:line="316" w:lineRule="auto" w:before="54"/>
        <w:ind w:right="915" w:firstLine="360"/>
        <w:jc w:val="left"/>
      </w:pPr>
      <w:r>
        <w:rPr>
          <w:spacing w:val="-2"/>
        </w:rPr>
        <w:t>本公司将租赁开始日最低租赁收款额与初始直接费用之和作为应收融资租赁款的入账价值，同时记录未担保余值；将最</w:t>
      </w:r>
      <w:r>
        <w:rPr/>
        <w:t> 低租赁收款额、初始直接费用及未担保余值之和与其现值之和的差额确认为未实现融资收益。</w:t>
      </w:r>
    </w:p>
    <w:p>
      <w:pPr>
        <w:spacing w:line="240" w:lineRule="auto" w:before="5"/>
        <w:rPr>
          <w:rFonts w:ascii="宋体" w:hAnsi="宋体" w:cs="宋体" w:eastAsia="宋体" w:hint="default"/>
          <w:sz w:val="13"/>
          <w:szCs w:val="13"/>
        </w:rPr>
      </w:pPr>
    </w:p>
    <w:p>
      <w:pPr>
        <w:pStyle w:val="BodyText"/>
        <w:spacing w:line="316" w:lineRule="auto"/>
        <w:ind w:right="915" w:firstLine="360"/>
        <w:jc w:val="left"/>
      </w:pPr>
      <w:r>
        <w:rPr>
          <w:spacing w:val="-2"/>
        </w:rPr>
        <w:t>本公司采用实际利率法在租赁期内各个期间分配未实现融资收益。资产负债表日，本公司将应收融资租赁款减去未实现</w:t>
      </w:r>
      <w:r>
        <w:rPr/>
        <w:t> 融资收益的差额，分别列入资产负债表中长期应收款以及一年内到期的非流动资产。</w:t>
      </w:r>
    </w:p>
    <w:p>
      <w:pPr>
        <w:spacing w:after="0" w:line="316" w:lineRule="auto"/>
        <w:jc w:val="left"/>
        <w:sectPr>
          <w:pgSz w:w="11910" w:h="16840"/>
          <w:pgMar w:header="919" w:footer="1016" w:top="1120" w:bottom="1200" w:left="1020" w:right="0"/>
        </w:sectPr>
      </w:pPr>
    </w:p>
    <w:p>
      <w:pPr>
        <w:spacing w:line="240" w:lineRule="auto" w:before="12"/>
        <w:rPr>
          <w:rFonts w:ascii="宋体" w:hAnsi="宋体" w:cs="宋体" w:eastAsia="宋体" w:hint="default"/>
          <w:sz w:val="20"/>
          <w:szCs w:val="20"/>
        </w:rPr>
      </w:pPr>
    </w:p>
    <w:p>
      <w:pPr>
        <w:pStyle w:val="BodyText"/>
        <w:spacing w:line="240" w:lineRule="auto" w:before="44"/>
        <w:ind w:left="492" w:right="1124"/>
        <w:jc w:val="left"/>
      </w:pPr>
      <w:r>
        <w:rPr/>
        <w:t>本公司对应收融资租赁款计提减值按照附注“应收款项及坏账准备的核算”所述的政策处理。</w:t>
      </w:r>
    </w:p>
    <w:p>
      <w:pPr>
        <w:spacing w:line="240" w:lineRule="auto" w:before="10"/>
        <w:rPr>
          <w:rFonts w:ascii="宋体" w:hAnsi="宋体" w:cs="宋体" w:eastAsia="宋体" w:hint="default"/>
          <w:sz w:val="17"/>
          <w:szCs w:val="17"/>
        </w:rPr>
      </w:pPr>
    </w:p>
    <w:p>
      <w:pPr>
        <w:pStyle w:val="BodyText"/>
        <w:spacing w:line="316" w:lineRule="auto"/>
        <w:ind w:left="132" w:right="1130" w:firstLine="360"/>
        <w:jc w:val="both"/>
      </w:pPr>
      <w:r>
        <w:rPr>
          <w:spacing w:val="-2"/>
        </w:rPr>
        <w:t>本公司至少于每年年度终了对未担保余值进行复核，未担保余值的预计可收回金额低于其账面价值时，确认资产减值损</w:t>
      </w:r>
      <w:r>
        <w:rPr/>
        <w:t> </w:t>
      </w:r>
      <w:r>
        <w:rPr>
          <w:spacing w:val="-2"/>
        </w:rPr>
        <w:t>失。如果有迹象表明以前年度据以计提减值的因素发生变化，使得未担保余值的可收回金额大于其账面价值，其差额在以前</w:t>
      </w:r>
      <w:r>
        <w:rPr>
          <w:spacing w:val="-63"/>
        </w:rPr>
        <w:t> </w:t>
      </w:r>
      <w:r>
        <w:rPr>
          <w:spacing w:val="-63"/>
        </w:rPr>
      </w:r>
      <w:r>
        <w:rPr/>
        <w:t>年度已确认的资产减值损失金额内转回，转回的资产减值损失计入当期损益。</w:t>
      </w:r>
    </w:p>
    <w:p>
      <w:pPr>
        <w:spacing w:line="240" w:lineRule="auto" w:before="6"/>
        <w:rPr>
          <w:rFonts w:ascii="宋体" w:hAnsi="宋体" w:cs="宋体" w:eastAsia="宋体" w:hint="default"/>
          <w:sz w:val="22"/>
          <w:szCs w:val="22"/>
        </w:rPr>
      </w:pPr>
    </w:p>
    <w:p>
      <w:pPr>
        <w:pStyle w:val="Heading3"/>
        <w:spacing w:line="240" w:lineRule="auto"/>
        <w:ind w:left="132" w:right="1124"/>
        <w:jc w:val="left"/>
        <w:rPr>
          <w:b w:val="0"/>
          <w:bCs w:val="0"/>
        </w:rPr>
      </w:pPr>
      <w:bookmarkStart w:name="43、其他重要的会计政策和会计估计" w:id="225"/>
      <w:bookmarkEnd w:id="225"/>
      <w:r>
        <w:rPr>
          <w:b w:val="0"/>
          <w:bCs w:val="0"/>
        </w:rPr>
      </w:r>
      <w:r>
        <w:rPr>
          <w:rFonts w:ascii="Times New Roman" w:hAnsi="Times New Roman" w:cs="Times New Roman" w:eastAsia="Times New Roman" w:hint="default"/>
        </w:rPr>
        <w:t>43</w:t>
      </w:r>
      <w:r>
        <w:rPr/>
        <w:t>、其他重要的会计政策和会计估计</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32" w:right="1124"/>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left="132" w:right="1124"/>
        <w:jc w:val="left"/>
        <w:rPr>
          <w:b w:val="0"/>
          <w:bCs w:val="0"/>
        </w:rPr>
      </w:pPr>
      <w:bookmarkStart w:name="44、重要会计政策和会计估计变更" w:id="226"/>
      <w:bookmarkEnd w:id="226"/>
      <w:r>
        <w:rPr>
          <w:b w:val="0"/>
          <w:bCs w:val="0"/>
        </w:rPr>
      </w:r>
      <w:r>
        <w:rPr>
          <w:rFonts w:ascii="Times New Roman" w:hAnsi="Times New Roman" w:cs="Times New Roman" w:eastAsia="Times New Roman" w:hint="default"/>
        </w:rPr>
        <w:t>44</w:t>
      </w:r>
      <w:r>
        <w:rPr/>
        <w:t>、重要会计政策和会计估计变更</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32" w:right="1124"/>
        <w:jc w:val="left"/>
        <w:rPr>
          <w:b w:val="0"/>
          <w:bCs w:val="0"/>
        </w:rPr>
      </w:pPr>
      <w:bookmarkStart w:name="（1）重要会计政策变更" w:id="227"/>
      <w:bookmarkEnd w:id="227"/>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32" w:right="1124"/>
        <w:jc w:val="left"/>
      </w:pPr>
      <w:r>
        <w:rPr/>
        <w:t>√ 适用 □ 不适用</w:t>
      </w:r>
    </w:p>
    <w:p>
      <w:pPr>
        <w:spacing w:line="240" w:lineRule="auto" w:before="2"/>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3191"/>
        <w:gridCol w:w="3189"/>
        <w:gridCol w:w="3189"/>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9"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3"/>
        <w:rPr>
          <w:rFonts w:ascii="宋体" w:hAnsi="宋体" w:cs="宋体" w:eastAsia="宋体" w:hint="default"/>
          <w:sz w:val="9"/>
          <w:szCs w:val="9"/>
        </w:rPr>
      </w:pPr>
    </w:p>
    <w:p>
      <w:pPr>
        <w:pStyle w:val="BodyText"/>
        <w:spacing w:line="316" w:lineRule="auto" w:before="44"/>
        <w:ind w:left="132" w:right="1124" w:firstLine="360"/>
        <w:jc w:val="left"/>
      </w:pPr>
      <w:r>
        <w:rPr/>
        <w:t>（1）本公司经董事会会议审议通过，自2019年1月1日采用财政部《关于修订印发2019年度一般企业财务报表格式的通 </w:t>
      </w:r>
      <w:r>
        <w:rPr>
          <w:spacing w:val="-3"/>
        </w:rPr>
        <w:t>知》（财会〔2019〕6号）相关规定。会计政策变更导致影响如下：</w:t>
      </w:r>
    </w:p>
    <w:p>
      <w:pPr>
        <w:spacing w:line="240" w:lineRule="auto" w:before="9"/>
        <w:rPr>
          <w:rFonts w:ascii="宋体" w:hAnsi="宋体" w:cs="宋体" w:eastAsia="宋体" w:hint="default"/>
          <w:sz w:val="12"/>
          <w:szCs w:val="12"/>
        </w:rPr>
      </w:pPr>
    </w:p>
    <w:p>
      <w:pPr>
        <w:spacing w:line="5483" w:lineRule="exact"/>
        <w:ind w:left="116" w:right="0" w:firstLine="0"/>
        <w:rPr>
          <w:rFonts w:ascii="宋体" w:hAnsi="宋体" w:cs="宋体" w:eastAsia="宋体" w:hint="default"/>
          <w:sz w:val="20"/>
          <w:szCs w:val="20"/>
        </w:rPr>
      </w:pPr>
      <w:r>
        <w:rPr>
          <w:rFonts w:ascii="宋体" w:hAnsi="宋体" w:cs="宋体" w:eastAsia="宋体" w:hint="default"/>
          <w:position w:val="-109"/>
          <w:sz w:val="20"/>
          <w:szCs w:val="20"/>
        </w:rPr>
        <w:pict>
          <v:group style="width:487.2pt;height:274.2pt;mso-position-horizontal-relative:char;mso-position-vertical-relative:line" coordorigin="0,0" coordsize="9744,5484">
            <v:group style="position:absolute;left:7;top:7;width:9656;height:2" coordorigin="7,7" coordsize="9656,2">
              <v:shape style="position:absolute;left:7;top:7;width:9656;height:2" coordorigin="7,7" coordsize="9656,0" path="m7,7l9663,7e" filled="false" stroked="true" strokeweight=".72pt" strokecolor="#000000">
                <v:path arrowok="t"/>
              </v:shape>
            </v:group>
            <v:group style="position:absolute;left:7;top:354;width:9656;height:2" coordorigin="7,354" coordsize="9656,2">
              <v:shape style="position:absolute;left:7;top:354;width:9656;height:2" coordorigin="7,354" coordsize="9656,0" path="m7,354l9663,354e" filled="false" stroked="true" strokeweight=".72pt" strokecolor="#000000">
                <v:path arrowok="t"/>
              </v:shape>
            </v:group>
            <v:group style="position:absolute;left:3859;top:14;width:2;height:333" coordorigin="3859,14" coordsize="2,333">
              <v:shape style="position:absolute;left:3859;top:14;width:2;height:333" coordorigin="3859,14" coordsize="0,333" path="m3859,14l3859,347e" filled="false" stroked="true" strokeweight=".48pt" strokecolor="#000000">
                <v:path arrowok="t"/>
              </v:shape>
            </v:group>
            <v:group style="position:absolute;left:7;top:1637;width:9656;height:2" coordorigin="7,1637" coordsize="9656,2">
              <v:shape style="position:absolute;left:7;top:1637;width:9656;height:2" coordorigin="7,1637" coordsize="9656,0" path="m7,1637l9663,1637e" filled="false" stroked="true" strokeweight=".72pt" strokecolor="#000000">
                <v:path arrowok="t"/>
              </v:shape>
            </v:group>
            <v:group style="position:absolute;left:3859;top:361;width:2;height:1269" coordorigin="3859,361" coordsize="2,1269">
              <v:shape style="position:absolute;left:3859;top:361;width:2;height:1269" coordorigin="3859,361" coordsize="0,1269" path="m3859,361l3859,1630e" filled="false" stroked="true" strokeweight=".48pt" strokecolor="#000000">
                <v:path arrowok="t"/>
              </v:shape>
            </v:group>
            <v:group style="position:absolute;left:7;top:2920;width:9656;height:2" coordorigin="7,2920" coordsize="9656,2">
              <v:shape style="position:absolute;left:7;top:2920;width:9656;height:2" coordorigin="7,2920" coordsize="9656,0" path="m7,2920l9663,2920e" filled="false" stroked="true" strokeweight=".72pt" strokecolor="#000000">
                <v:path arrowok="t"/>
              </v:shape>
            </v:group>
            <v:group style="position:absolute;left:3859;top:1644;width:2;height:1269" coordorigin="3859,1644" coordsize="2,1269">
              <v:shape style="position:absolute;left:3859;top:1644;width:2;height:1269" coordorigin="3859,1644" coordsize="0,1269" path="m3859,1644l3859,2913e" filled="false" stroked="true" strokeweight=".48pt" strokecolor="#000000">
                <v:path arrowok="t"/>
              </v:shape>
            </v:group>
            <v:group style="position:absolute;left:7;top:4827;width:9656;height:2" coordorigin="7,4827" coordsize="9656,2">
              <v:shape style="position:absolute;left:7;top:4827;width:9656;height:2" coordorigin="7,4827" coordsize="9656,0" path="m7,4827l9663,4827e" filled="false" stroked="true" strokeweight=".72pt" strokecolor="#000000">
                <v:path arrowok="t"/>
              </v:shape>
            </v:group>
            <v:group style="position:absolute;left:3859;top:2927;width:2;height:1893" coordorigin="3859,2927" coordsize="2,1893">
              <v:shape style="position:absolute;left:3859;top:2927;width:2;height:1893" coordorigin="3859,2927" coordsize="0,1893" path="m3859,2927l3859,4820e" filled="false" stroked="true" strokeweight=".48pt" strokecolor="#000000">
                <v:path arrowok="t"/>
              </v:shape>
            </v:group>
            <v:group style="position:absolute;left:3859;top:4834;width:2;height:645" coordorigin="3859,4834" coordsize="2,645">
              <v:shape style="position:absolute;left:3859;top:4834;width:2;height:645" coordorigin="3859,4834" coordsize="0,645" path="m3859,4834l3859,5479e" filled="false" stroked="true" strokeweight=".48pt" strokecolor="#000000">
                <v:path arrowok="t"/>
              </v:shape>
              <v:shape style="position:absolute;left:854;top:91;width:2168;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会计政策变更的内容和原因</w:t>
                      </w:r>
                      <w:r>
                        <w:rPr>
                          <w:rFonts w:ascii="宋体" w:hAnsi="宋体" w:cs="宋体" w:eastAsia="宋体" w:hint="default"/>
                          <w:sz w:val="18"/>
                          <w:szCs w:val="18"/>
                        </w:rPr>
                      </w:r>
                    </w:p>
                  </w:txbxContent>
                </v:textbox>
                <w10:wrap type="none"/>
              </v:shape>
              <v:shape style="position:absolute;left:5591;top:91;width:235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受影响的报表项目名称和金额</w:t>
                      </w:r>
                      <w:r>
                        <w:rPr>
                          <w:rFonts w:ascii="宋体" w:hAnsi="宋体" w:cs="宋体" w:eastAsia="宋体" w:hint="default"/>
                          <w:sz w:val="18"/>
                          <w:szCs w:val="18"/>
                        </w:rPr>
                      </w:r>
                    </w:p>
                  </w:txbxContent>
                </v:textbox>
                <w10:wrap type="none"/>
              </v:shape>
              <v:shape style="position:absolute;left:16;top:437;width:9728;height:4966"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（1）资产负债表中将“应收票据及应收账款”拆合并资产负债表2019年12月31日</w:t>
                      </w:r>
                      <w:r>
                        <w:rPr>
                          <w:rFonts w:ascii="宋体" w:hAnsi="宋体" w:cs="宋体" w:eastAsia="宋体" w:hint="default"/>
                          <w:spacing w:val="-27"/>
                          <w:sz w:val="18"/>
                          <w:szCs w:val="18"/>
                        </w:rPr>
                        <w:t> </w:t>
                      </w:r>
                      <w:r>
                        <w:rPr>
                          <w:rFonts w:ascii="宋体" w:hAnsi="宋体" w:cs="宋体" w:eastAsia="宋体" w:hint="default"/>
                          <w:sz w:val="18"/>
                          <w:szCs w:val="18"/>
                        </w:rPr>
                        <w:t>“应收账款”列示金额731,177,305.49</w:t>
                      </w:r>
                    </w:p>
                    <w:p>
                      <w:pPr>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分为应收账款与应收票据列示，比较数据相应调</w:t>
                      </w:r>
                      <w:r>
                        <w:rPr>
                          <w:rFonts w:ascii="宋体" w:hAnsi="宋体" w:cs="宋体" w:eastAsia="宋体" w:hint="default"/>
                          <w:spacing w:val="-29"/>
                          <w:sz w:val="18"/>
                          <w:szCs w:val="18"/>
                        </w:rPr>
                        <w:t> </w:t>
                      </w:r>
                      <w:r>
                        <w:rPr>
                          <w:rFonts w:ascii="宋体" w:hAnsi="宋体" w:cs="宋体" w:eastAsia="宋体" w:hint="default"/>
                          <w:sz w:val="18"/>
                          <w:szCs w:val="18"/>
                        </w:rPr>
                        <w:t>元，2018年12月31日列示金额538,306,992.52元；</w:t>
                      </w:r>
                    </w:p>
                    <w:p>
                      <w:pPr>
                        <w:tabs>
                          <w:tab w:pos="3851" w:val="left" w:leader="none"/>
                        </w:tabs>
                        <w:spacing w:line="316" w:lineRule="auto" w:before="76"/>
                        <w:ind w:left="3852" w:right="88" w:hanging="3852"/>
                        <w:jc w:val="left"/>
                        <w:rPr>
                          <w:rFonts w:ascii="宋体" w:hAnsi="宋体" w:cs="宋体" w:eastAsia="宋体" w:hint="default"/>
                          <w:sz w:val="18"/>
                          <w:szCs w:val="18"/>
                        </w:rPr>
                      </w:pPr>
                      <w:r>
                        <w:rPr>
                          <w:rFonts w:ascii="宋体" w:hAnsi="宋体" w:cs="宋体" w:eastAsia="宋体" w:hint="default"/>
                          <w:sz w:val="18"/>
                          <w:szCs w:val="18"/>
                        </w:rPr>
                        <w:t>整。</w:t>
                        <w:tab/>
                        <w:t>母公司资产负债表2019年12月31日</w:t>
                      </w:r>
                      <w:r>
                        <w:rPr>
                          <w:rFonts w:ascii="宋体" w:hAnsi="宋体" w:cs="宋体" w:eastAsia="宋体" w:hint="default"/>
                          <w:spacing w:val="-28"/>
                          <w:sz w:val="18"/>
                          <w:szCs w:val="18"/>
                        </w:rPr>
                        <w:t> </w:t>
                      </w:r>
                      <w:r>
                        <w:rPr>
                          <w:rFonts w:ascii="宋体" w:hAnsi="宋体" w:cs="宋体" w:eastAsia="宋体" w:hint="default"/>
                          <w:spacing w:val="-2"/>
                          <w:sz w:val="18"/>
                          <w:szCs w:val="18"/>
                        </w:rPr>
                        <w:t>“应收账款”列示金额484,491,203.45</w:t>
                      </w:r>
                      <w:r>
                        <w:rPr>
                          <w:rFonts w:ascii="宋体" w:hAnsi="宋体" w:cs="宋体" w:eastAsia="宋体" w:hint="default"/>
                          <w:sz w:val="18"/>
                          <w:szCs w:val="18"/>
                        </w:rPr>
                        <w:t> 元，2018年12月31日列示金额395,938,215.90元。</w:t>
                      </w:r>
                    </w:p>
                    <w:p>
                      <w:pPr>
                        <w:spacing w:line="316" w:lineRule="auto" w:before="55"/>
                        <w:ind w:left="0" w:right="88" w:firstLine="0"/>
                        <w:jc w:val="left"/>
                        <w:rPr>
                          <w:rFonts w:ascii="宋体" w:hAnsi="宋体" w:cs="宋体" w:eastAsia="宋体" w:hint="default"/>
                          <w:sz w:val="18"/>
                          <w:szCs w:val="18"/>
                        </w:rPr>
                      </w:pPr>
                      <w:r>
                        <w:rPr>
                          <w:rFonts w:ascii="宋体" w:hAnsi="宋体" w:cs="宋体" w:eastAsia="宋体" w:hint="default"/>
                          <w:spacing w:val="-3"/>
                          <w:sz w:val="18"/>
                          <w:szCs w:val="18"/>
                        </w:rPr>
                        <w:t>（2）资产负债表中“应付票据及应付账款”项目合并资产负债表2019年12月31日“应付账款”列示金额936,410.51元，2018</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分拆为“应付票据”及“应付账款”列示，比较</w:t>
                      </w:r>
                      <w:r>
                        <w:rPr>
                          <w:rFonts w:ascii="宋体" w:hAnsi="宋体" w:cs="宋体" w:eastAsia="宋体" w:hint="default"/>
                          <w:spacing w:val="-26"/>
                          <w:sz w:val="18"/>
                          <w:szCs w:val="18"/>
                        </w:rPr>
                        <w:t> </w:t>
                      </w:r>
                      <w:r>
                        <w:rPr>
                          <w:rFonts w:ascii="宋体" w:hAnsi="宋体" w:cs="宋体" w:eastAsia="宋体" w:hint="default"/>
                          <w:sz w:val="18"/>
                          <w:szCs w:val="18"/>
                        </w:rPr>
                        <w:t>年12月31日列示金额2,031,543.16元；</w:t>
                      </w:r>
                    </w:p>
                    <w:p>
                      <w:pPr>
                        <w:tabs>
                          <w:tab w:pos="3851" w:val="left" w:leader="none"/>
                        </w:tabs>
                        <w:spacing w:line="316" w:lineRule="auto" w:before="19"/>
                        <w:ind w:left="3852" w:right="0" w:hanging="3852"/>
                        <w:jc w:val="left"/>
                        <w:rPr>
                          <w:rFonts w:ascii="宋体" w:hAnsi="宋体" w:cs="宋体" w:eastAsia="宋体" w:hint="default"/>
                          <w:sz w:val="18"/>
                          <w:szCs w:val="18"/>
                        </w:rPr>
                      </w:pPr>
                      <w:r>
                        <w:rPr>
                          <w:rFonts w:ascii="宋体" w:hAnsi="宋体" w:cs="宋体" w:eastAsia="宋体" w:hint="default"/>
                          <w:sz w:val="18"/>
                          <w:szCs w:val="18"/>
                        </w:rPr>
                        <w:t>数据相应调整。</w:t>
                        <w:tab/>
                      </w:r>
                      <w:r>
                        <w:rPr>
                          <w:rFonts w:ascii="宋体" w:hAnsi="宋体" w:cs="宋体" w:eastAsia="宋体" w:hint="default"/>
                          <w:spacing w:val="-2"/>
                          <w:sz w:val="18"/>
                          <w:szCs w:val="18"/>
                        </w:rPr>
                        <w:t>母公司资产负债表2019年12月31日“应付账款”列示金额1,259,202.47元，</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2018年12月31日列示金额1,877,552.31元。</w:t>
                      </w:r>
                    </w:p>
                    <w:p>
                      <w:pPr>
                        <w:tabs>
                          <w:tab w:pos="3851" w:val="left" w:leader="none"/>
                        </w:tabs>
                        <w:spacing w:line="316" w:lineRule="auto" w:before="52"/>
                        <w:ind w:left="0" w:right="89" w:firstLine="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3</w:t>
                      </w:r>
                      <w:r>
                        <w:rPr>
                          <w:rFonts w:ascii="宋体" w:hAnsi="宋体" w:cs="宋体" w:eastAsia="宋体" w:hint="default"/>
                          <w:sz w:val="18"/>
                          <w:szCs w:val="18"/>
                        </w:rPr>
                        <w:t>）利润表中新增“信用减值损失”项目</w:t>
                      </w:r>
                      <w:r>
                        <w:rPr>
                          <w:rFonts w:ascii="宋体" w:hAnsi="宋体" w:cs="宋体" w:eastAsia="宋体" w:hint="default"/>
                          <w:spacing w:val="-92"/>
                          <w:sz w:val="18"/>
                          <w:szCs w:val="18"/>
                        </w:rPr>
                        <w:t>，</w:t>
                      </w:r>
                      <w:r>
                        <w:rPr>
                          <w:rFonts w:ascii="宋体" w:hAnsi="宋体" w:cs="宋体" w:eastAsia="宋体" w:hint="default"/>
                          <w:sz w:val="18"/>
                          <w:szCs w:val="18"/>
                        </w:rPr>
                        <w:t>“资</w:t>
                      </w:r>
                      <w:r>
                        <w:rPr>
                          <w:rFonts w:ascii="宋体" w:hAnsi="宋体" w:cs="宋体" w:eastAsia="宋体" w:hint="default"/>
                          <w:spacing w:val="-18"/>
                          <w:sz w:val="18"/>
                          <w:szCs w:val="18"/>
                        </w:rPr>
                        <w:t> </w:t>
                      </w:r>
                      <w:r>
                        <w:rPr>
                          <w:rFonts w:ascii="宋体" w:hAnsi="宋体" w:cs="宋体" w:eastAsia="宋体" w:hint="default"/>
                          <w:sz w:val="18"/>
                          <w:szCs w:val="18"/>
                        </w:rPr>
                        <w:t>合并利润表</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1</w:t>
                      </w:r>
                      <w:r>
                        <w:rPr>
                          <w:rFonts w:ascii="宋体" w:hAnsi="宋体" w:cs="宋体" w:eastAsia="宋体" w:hint="default"/>
                          <w:spacing w:val="-2"/>
                          <w:sz w:val="18"/>
                          <w:szCs w:val="18"/>
                        </w:rPr>
                        <w:t>9</w:t>
                      </w:r>
                      <w:r>
                        <w:rPr>
                          <w:rFonts w:ascii="宋体" w:hAnsi="宋体" w:cs="宋体" w:eastAsia="宋体" w:hint="default"/>
                          <w:sz w:val="18"/>
                          <w:szCs w:val="18"/>
                        </w:rPr>
                        <w:t>年</w:t>
                      </w:r>
                      <w:r>
                        <w:rPr>
                          <w:rFonts w:ascii="宋体" w:hAnsi="宋体" w:cs="宋体" w:eastAsia="宋体" w:hint="default"/>
                          <w:spacing w:val="-22"/>
                          <w:sz w:val="18"/>
                          <w:szCs w:val="18"/>
                        </w:rPr>
                        <w:t>度</w:t>
                      </w:r>
                      <w:r>
                        <w:rPr>
                          <w:rFonts w:ascii="宋体" w:hAnsi="宋体" w:cs="宋体" w:eastAsia="宋体" w:hint="default"/>
                          <w:sz w:val="18"/>
                          <w:szCs w:val="18"/>
                        </w:rPr>
                        <w:t>“信用减值损失</w:t>
                      </w:r>
                      <w:r>
                        <w:rPr>
                          <w:rFonts w:ascii="宋体" w:hAnsi="宋体" w:cs="宋体" w:eastAsia="宋体" w:hint="default"/>
                          <w:spacing w:val="-22"/>
                          <w:sz w:val="18"/>
                          <w:szCs w:val="18"/>
                        </w:rPr>
                        <w:t>”</w:t>
                      </w:r>
                      <w:r>
                        <w:rPr>
                          <w:rFonts w:ascii="宋体" w:hAnsi="宋体" w:cs="宋体" w:eastAsia="宋体" w:hint="default"/>
                          <w:sz w:val="18"/>
                          <w:szCs w:val="18"/>
                        </w:rPr>
                        <w:t>列示金额</w:t>
                      </w:r>
                      <w:r>
                        <w:rPr>
                          <w:rFonts w:ascii="宋体" w:hAnsi="宋体" w:cs="宋体" w:eastAsia="宋体" w:hint="default"/>
                          <w:spacing w:val="1"/>
                          <w:sz w:val="18"/>
                          <w:szCs w:val="18"/>
                        </w:rPr>
                        <w:t>-</w:t>
                      </w:r>
                      <w:r>
                        <w:rPr>
                          <w:rFonts w:ascii="宋体" w:hAnsi="宋体" w:cs="宋体" w:eastAsia="宋体" w:hint="default"/>
                          <w:spacing w:val="-2"/>
                          <w:sz w:val="18"/>
                          <w:szCs w:val="18"/>
                        </w:rPr>
                        <w:t>1</w:t>
                      </w:r>
                      <w:r>
                        <w:rPr>
                          <w:rFonts w:ascii="宋体" w:hAnsi="宋体" w:cs="宋体" w:eastAsia="宋体" w:hint="default"/>
                          <w:spacing w:val="1"/>
                          <w:sz w:val="18"/>
                          <w:szCs w:val="18"/>
                        </w:rPr>
                        <w:t>0</w:t>
                      </w:r>
                      <w:r>
                        <w:rPr>
                          <w:rFonts w:ascii="宋体" w:hAnsi="宋体" w:cs="宋体" w:eastAsia="宋体" w:hint="default"/>
                          <w:spacing w:val="-2"/>
                          <w:sz w:val="18"/>
                          <w:szCs w:val="18"/>
                        </w:rPr>
                        <w:t>1</w:t>
                      </w:r>
                      <w:r>
                        <w:rPr>
                          <w:rFonts w:ascii="宋体" w:hAnsi="宋体" w:cs="宋体" w:eastAsia="宋体" w:hint="default"/>
                          <w:spacing w:val="1"/>
                          <w:sz w:val="18"/>
                          <w:szCs w:val="18"/>
                        </w:rPr>
                        <w:t>,</w:t>
                      </w:r>
                      <w:r>
                        <w:rPr>
                          <w:rFonts w:ascii="宋体" w:hAnsi="宋体" w:cs="宋体" w:eastAsia="宋体" w:hint="default"/>
                          <w:spacing w:val="-2"/>
                          <w:sz w:val="18"/>
                          <w:szCs w:val="18"/>
                        </w:rPr>
                        <w:t>8</w:t>
                      </w:r>
                      <w:r>
                        <w:rPr>
                          <w:rFonts w:ascii="宋体" w:hAnsi="宋体" w:cs="宋体" w:eastAsia="宋体" w:hint="default"/>
                          <w:spacing w:val="1"/>
                          <w:sz w:val="18"/>
                          <w:szCs w:val="18"/>
                        </w:rPr>
                        <w:t>8</w:t>
                      </w:r>
                      <w:r>
                        <w:rPr>
                          <w:rFonts w:ascii="宋体" w:hAnsi="宋体" w:cs="宋体" w:eastAsia="宋体" w:hint="default"/>
                          <w:spacing w:val="-2"/>
                          <w:sz w:val="18"/>
                          <w:szCs w:val="18"/>
                        </w:rPr>
                        <w:t>9</w:t>
                      </w:r>
                      <w:r>
                        <w:rPr>
                          <w:rFonts w:ascii="宋体" w:hAnsi="宋体" w:cs="宋体" w:eastAsia="宋体" w:hint="default"/>
                          <w:spacing w:val="1"/>
                          <w:sz w:val="18"/>
                          <w:szCs w:val="18"/>
                        </w:rPr>
                        <w:t>,</w:t>
                      </w:r>
                      <w:r>
                        <w:rPr>
                          <w:rFonts w:ascii="宋体" w:hAnsi="宋体" w:cs="宋体" w:eastAsia="宋体" w:hint="default"/>
                          <w:spacing w:val="-2"/>
                          <w:sz w:val="18"/>
                          <w:szCs w:val="18"/>
                        </w:rPr>
                        <w:t>6</w:t>
                      </w:r>
                      <w:r>
                        <w:rPr>
                          <w:rFonts w:ascii="宋体" w:hAnsi="宋体" w:cs="宋体" w:eastAsia="宋体" w:hint="default"/>
                          <w:spacing w:val="1"/>
                          <w:sz w:val="18"/>
                          <w:szCs w:val="18"/>
                        </w:rPr>
                        <w:t>4</w:t>
                      </w:r>
                      <w:r>
                        <w:rPr>
                          <w:rFonts w:ascii="宋体" w:hAnsi="宋体" w:cs="宋体" w:eastAsia="宋体" w:hint="default"/>
                          <w:spacing w:val="-2"/>
                          <w:sz w:val="18"/>
                          <w:szCs w:val="18"/>
                        </w:rPr>
                        <w:t>2</w:t>
                      </w:r>
                      <w:r>
                        <w:rPr>
                          <w:rFonts w:ascii="宋体" w:hAnsi="宋体" w:cs="宋体" w:eastAsia="宋体" w:hint="default"/>
                          <w:spacing w:val="1"/>
                          <w:sz w:val="18"/>
                          <w:szCs w:val="18"/>
                        </w:rPr>
                        <w:t>.</w:t>
                      </w:r>
                      <w:r>
                        <w:rPr>
                          <w:rFonts w:ascii="宋体" w:hAnsi="宋体" w:cs="宋体" w:eastAsia="宋体" w:hint="default"/>
                          <w:spacing w:val="-2"/>
                          <w:sz w:val="18"/>
                          <w:szCs w:val="18"/>
                        </w:rPr>
                        <w:t>6</w:t>
                      </w:r>
                      <w:r>
                        <w:rPr>
                          <w:rFonts w:ascii="宋体" w:hAnsi="宋体" w:cs="宋体" w:eastAsia="宋体" w:hint="default"/>
                          <w:spacing w:val="1"/>
                          <w:sz w:val="18"/>
                          <w:szCs w:val="18"/>
                        </w:rPr>
                        <w:t>8</w:t>
                      </w:r>
                      <w:r>
                        <w:rPr>
                          <w:rFonts w:ascii="宋体" w:hAnsi="宋体" w:cs="宋体" w:eastAsia="宋体" w:hint="default"/>
                          <w:sz w:val="18"/>
                          <w:szCs w:val="18"/>
                        </w:rPr>
                        <w:t>元</w:t>
                      </w:r>
                      <w:r>
                        <w:rPr>
                          <w:rFonts w:ascii="宋体" w:hAnsi="宋体" w:cs="宋体" w:eastAsia="宋体" w:hint="default"/>
                          <w:spacing w:val="-24"/>
                          <w:sz w:val="18"/>
                          <w:szCs w:val="18"/>
                        </w:rPr>
                        <w:t>，</w:t>
                      </w:r>
                      <w:r>
                        <w:rPr>
                          <w:rFonts w:ascii="宋体" w:hAnsi="宋体" w:cs="宋体" w:eastAsia="宋体" w:hint="default"/>
                          <w:sz w:val="18"/>
                          <w:szCs w:val="18"/>
                        </w:rPr>
                        <w:t>合并</w:t>
                      </w:r>
                      <w:r>
                        <w:rPr>
                          <w:rFonts w:ascii="宋体" w:hAnsi="宋体" w:cs="宋体" w:eastAsia="宋体" w:hint="default"/>
                          <w:sz w:val="18"/>
                          <w:szCs w:val="18"/>
                        </w:rPr>
                        <w:t> 产减值损失</w:t>
                      </w:r>
                      <w:r>
                        <w:rPr>
                          <w:rFonts w:ascii="宋体" w:hAnsi="宋体" w:cs="宋体" w:eastAsia="宋体" w:hint="default"/>
                          <w:spacing w:val="-17"/>
                          <w:sz w:val="18"/>
                          <w:szCs w:val="18"/>
                        </w:rPr>
                        <w:t>”</w:t>
                      </w:r>
                      <w:r>
                        <w:rPr>
                          <w:rFonts w:ascii="宋体" w:hAnsi="宋体" w:cs="宋体" w:eastAsia="宋体" w:hint="default"/>
                          <w:sz w:val="18"/>
                          <w:szCs w:val="18"/>
                        </w:rPr>
                        <w:t>项目从减项调整到加</w:t>
                      </w:r>
                      <w:r>
                        <w:rPr>
                          <w:rFonts w:ascii="宋体" w:hAnsi="宋体" w:cs="宋体" w:eastAsia="宋体" w:hint="default"/>
                          <w:spacing w:val="-20"/>
                          <w:sz w:val="18"/>
                          <w:szCs w:val="18"/>
                        </w:rPr>
                        <w:t>项</w:t>
                      </w:r>
                      <w:r>
                        <w:rPr>
                          <w:rFonts w:ascii="宋体" w:hAnsi="宋体" w:cs="宋体" w:eastAsia="宋体" w:hint="default"/>
                          <w:sz w:val="18"/>
                          <w:szCs w:val="18"/>
                        </w:rPr>
                        <w:t>（如为损失</w:t>
                      </w:r>
                      <w:r>
                        <w:rPr>
                          <w:rFonts w:ascii="宋体" w:hAnsi="宋体" w:cs="宋体" w:eastAsia="宋体" w:hint="default"/>
                          <w:spacing w:val="-72"/>
                          <w:sz w:val="18"/>
                          <w:szCs w:val="18"/>
                        </w:rPr>
                        <w:t>，</w:t>
                      </w:r>
                      <w:r>
                        <w:rPr>
                          <w:rFonts w:ascii="宋体" w:hAnsi="宋体" w:cs="宋体" w:eastAsia="宋体" w:hint="default"/>
                          <w:sz w:val="18"/>
                          <w:szCs w:val="18"/>
                        </w:rPr>
                        <w:t>利润表</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1</w:t>
                      </w:r>
                      <w:r>
                        <w:rPr>
                          <w:rFonts w:ascii="宋体" w:hAnsi="宋体" w:cs="宋体" w:eastAsia="宋体" w:hint="default"/>
                          <w:spacing w:val="-2"/>
                          <w:sz w:val="18"/>
                          <w:szCs w:val="18"/>
                        </w:rPr>
                        <w:t>9</w:t>
                      </w:r>
                      <w:r>
                        <w:rPr>
                          <w:rFonts w:ascii="宋体" w:hAnsi="宋体" w:cs="宋体" w:eastAsia="宋体" w:hint="default"/>
                          <w:sz w:val="18"/>
                          <w:szCs w:val="18"/>
                        </w:rPr>
                        <w:t>年度“资产减值损失”列示金额</w:t>
                      </w:r>
                      <w:r>
                        <w:rPr>
                          <w:rFonts w:ascii="宋体" w:hAnsi="宋体" w:cs="宋体" w:eastAsia="宋体" w:hint="default"/>
                          <w:spacing w:val="1"/>
                          <w:sz w:val="18"/>
                          <w:szCs w:val="18"/>
                        </w:rPr>
                        <w:t>-</w:t>
                      </w:r>
                      <w:r>
                        <w:rPr>
                          <w:rFonts w:ascii="宋体" w:hAnsi="宋体" w:cs="宋体" w:eastAsia="宋体" w:hint="default"/>
                          <w:spacing w:val="-2"/>
                          <w:sz w:val="18"/>
                          <w:szCs w:val="18"/>
                        </w:rPr>
                        <w:t>1</w:t>
                      </w:r>
                      <w:r>
                        <w:rPr>
                          <w:rFonts w:ascii="宋体" w:hAnsi="宋体" w:cs="宋体" w:eastAsia="宋体" w:hint="default"/>
                          <w:spacing w:val="1"/>
                          <w:sz w:val="18"/>
                          <w:szCs w:val="18"/>
                        </w:rPr>
                        <w:t>2</w:t>
                      </w:r>
                      <w:r>
                        <w:rPr>
                          <w:rFonts w:ascii="宋体" w:hAnsi="宋体" w:cs="宋体" w:eastAsia="宋体" w:hint="default"/>
                          <w:spacing w:val="-2"/>
                          <w:sz w:val="18"/>
                          <w:szCs w:val="18"/>
                        </w:rPr>
                        <w:t>,</w:t>
                      </w:r>
                      <w:r>
                        <w:rPr>
                          <w:rFonts w:ascii="宋体" w:hAnsi="宋体" w:cs="宋体" w:eastAsia="宋体" w:hint="default"/>
                          <w:spacing w:val="1"/>
                          <w:sz w:val="18"/>
                          <w:szCs w:val="18"/>
                        </w:rPr>
                        <w:t>1</w:t>
                      </w:r>
                      <w:r>
                        <w:rPr>
                          <w:rFonts w:ascii="宋体" w:hAnsi="宋体" w:cs="宋体" w:eastAsia="宋体" w:hint="default"/>
                          <w:spacing w:val="-2"/>
                          <w:sz w:val="18"/>
                          <w:szCs w:val="18"/>
                        </w:rPr>
                        <w:t>1</w:t>
                      </w:r>
                      <w:r>
                        <w:rPr>
                          <w:rFonts w:ascii="宋体" w:hAnsi="宋体" w:cs="宋体" w:eastAsia="宋体" w:hint="default"/>
                          <w:spacing w:val="1"/>
                          <w:sz w:val="18"/>
                          <w:szCs w:val="18"/>
                        </w:rPr>
                        <w:t>4</w:t>
                      </w:r>
                      <w:r>
                        <w:rPr>
                          <w:rFonts w:ascii="宋体" w:hAnsi="宋体" w:cs="宋体" w:eastAsia="宋体" w:hint="default"/>
                          <w:spacing w:val="-2"/>
                          <w:sz w:val="18"/>
                          <w:szCs w:val="18"/>
                        </w:rPr>
                        <w:t>,</w:t>
                      </w:r>
                      <w:r>
                        <w:rPr>
                          <w:rFonts w:ascii="宋体" w:hAnsi="宋体" w:cs="宋体" w:eastAsia="宋体" w:hint="default"/>
                          <w:spacing w:val="1"/>
                          <w:sz w:val="18"/>
                          <w:szCs w:val="18"/>
                        </w:rPr>
                        <w:t>6</w:t>
                      </w:r>
                      <w:r>
                        <w:rPr>
                          <w:rFonts w:ascii="宋体" w:hAnsi="宋体" w:cs="宋体" w:eastAsia="宋体" w:hint="default"/>
                          <w:spacing w:val="-2"/>
                          <w:sz w:val="18"/>
                          <w:szCs w:val="18"/>
                        </w:rPr>
                        <w:t>6</w:t>
                      </w:r>
                      <w:r>
                        <w:rPr>
                          <w:rFonts w:ascii="宋体" w:hAnsi="宋体" w:cs="宋体" w:eastAsia="宋体" w:hint="default"/>
                          <w:spacing w:val="1"/>
                          <w:sz w:val="18"/>
                          <w:szCs w:val="18"/>
                        </w:rPr>
                        <w:t>8</w:t>
                      </w:r>
                      <w:r>
                        <w:rPr>
                          <w:rFonts w:ascii="宋体" w:hAnsi="宋体" w:cs="宋体" w:eastAsia="宋体" w:hint="default"/>
                          <w:spacing w:val="-2"/>
                          <w:sz w:val="18"/>
                          <w:szCs w:val="18"/>
                        </w:rPr>
                        <w:t>.</w:t>
                      </w:r>
                      <w:r>
                        <w:rPr>
                          <w:rFonts w:ascii="宋体" w:hAnsi="宋体" w:cs="宋体" w:eastAsia="宋体" w:hint="default"/>
                          <w:spacing w:val="1"/>
                          <w:sz w:val="18"/>
                          <w:szCs w:val="18"/>
                        </w:rPr>
                        <w:t>4</w:t>
                      </w:r>
                      <w:r>
                        <w:rPr>
                          <w:rFonts w:ascii="宋体" w:hAnsi="宋体" w:cs="宋体" w:eastAsia="宋体" w:hint="default"/>
                          <w:spacing w:val="-2"/>
                          <w:sz w:val="18"/>
                          <w:szCs w:val="18"/>
                        </w:rPr>
                        <w:t>3</w:t>
                      </w:r>
                      <w:r>
                        <w:rPr>
                          <w:rFonts w:ascii="宋体" w:hAnsi="宋体" w:cs="宋体" w:eastAsia="宋体" w:hint="default"/>
                          <w:sz w:val="18"/>
                          <w:szCs w:val="18"/>
                        </w:rPr>
                        <w:t>元；合并利润</w:t>
                      </w:r>
                      <w:r>
                        <w:rPr>
                          <w:rFonts w:ascii="宋体" w:hAnsi="宋体" w:cs="宋体" w:eastAsia="宋体" w:hint="default"/>
                          <w:sz w:val="18"/>
                          <w:szCs w:val="18"/>
                        </w:rPr>
                        <w:t> 以“</w:t>
                      </w:r>
                      <w:r>
                        <w:rPr>
                          <w:rFonts w:ascii="宋体" w:hAnsi="宋体" w:cs="宋体" w:eastAsia="宋体" w:hint="default"/>
                          <w:spacing w:val="1"/>
                          <w:sz w:val="18"/>
                          <w:szCs w:val="18"/>
                        </w:rPr>
                        <w:t>-</w:t>
                      </w:r>
                      <w:r>
                        <w:rPr>
                          <w:rFonts w:ascii="宋体" w:hAnsi="宋体" w:cs="宋体" w:eastAsia="宋体" w:hint="default"/>
                          <w:sz w:val="18"/>
                          <w:szCs w:val="18"/>
                        </w:rPr>
                        <w:t>”号填列</w:t>
                      </w:r>
                      <w:r>
                        <w:rPr>
                          <w:rFonts w:ascii="宋体" w:hAnsi="宋体" w:cs="宋体" w:eastAsia="宋体" w:hint="default"/>
                          <w:spacing w:val="-92"/>
                          <w:sz w:val="18"/>
                          <w:szCs w:val="18"/>
                        </w:rPr>
                        <w:t>）</w:t>
                      </w:r>
                      <w:r>
                        <w:rPr>
                          <w:rFonts w:ascii="宋体" w:hAnsi="宋体" w:cs="宋体" w:eastAsia="宋体" w:hint="default"/>
                          <w:sz w:val="18"/>
                          <w:szCs w:val="18"/>
                        </w:rPr>
                        <w:t>，比较数据不调整。</w:t>
                        <w:tab/>
                        <w:t>表</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1</w:t>
                      </w:r>
                      <w:r>
                        <w:rPr>
                          <w:rFonts w:ascii="宋体" w:hAnsi="宋体" w:cs="宋体" w:eastAsia="宋体" w:hint="default"/>
                          <w:spacing w:val="-2"/>
                          <w:sz w:val="18"/>
                          <w:szCs w:val="18"/>
                        </w:rPr>
                        <w:t>8</w:t>
                      </w:r>
                      <w:r>
                        <w:rPr>
                          <w:rFonts w:ascii="宋体" w:hAnsi="宋体" w:cs="宋体" w:eastAsia="宋体" w:hint="default"/>
                          <w:sz w:val="18"/>
                          <w:szCs w:val="18"/>
                        </w:rPr>
                        <w:t>年度“资产减值损失”列示金额</w:t>
                      </w:r>
                      <w:r>
                        <w:rPr>
                          <w:rFonts w:ascii="宋体" w:hAnsi="宋体" w:cs="宋体" w:eastAsia="宋体" w:hint="default"/>
                          <w:spacing w:val="1"/>
                          <w:sz w:val="18"/>
                          <w:szCs w:val="18"/>
                        </w:rPr>
                        <w:t>-</w:t>
                      </w:r>
                      <w:r>
                        <w:rPr>
                          <w:rFonts w:ascii="宋体" w:hAnsi="宋体" w:cs="宋体" w:eastAsia="宋体" w:hint="default"/>
                          <w:spacing w:val="-2"/>
                          <w:sz w:val="18"/>
                          <w:szCs w:val="18"/>
                        </w:rPr>
                        <w:t>2</w:t>
                      </w:r>
                      <w:r>
                        <w:rPr>
                          <w:rFonts w:ascii="宋体" w:hAnsi="宋体" w:cs="宋体" w:eastAsia="宋体" w:hint="default"/>
                          <w:spacing w:val="1"/>
                          <w:sz w:val="18"/>
                          <w:szCs w:val="18"/>
                        </w:rPr>
                        <w:t>8</w:t>
                      </w:r>
                      <w:r>
                        <w:rPr>
                          <w:rFonts w:ascii="宋体" w:hAnsi="宋体" w:cs="宋体" w:eastAsia="宋体" w:hint="default"/>
                          <w:spacing w:val="-2"/>
                          <w:sz w:val="18"/>
                          <w:szCs w:val="18"/>
                        </w:rPr>
                        <w:t>,</w:t>
                      </w:r>
                      <w:r>
                        <w:rPr>
                          <w:rFonts w:ascii="宋体" w:hAnsi="宋体" w:cs="宋体" w:eastAsia="宋体" w:hint="default"/>
                          <w:spacing w:val="1"/>
                          <w:sz w:val="18"/>
                          <w:szCs w:val="18"/>
                        </w:rPr>
                        <w:t>4</w:t>
                      </w:r>
                      <w:r>
                        <w:rPr>
                          <w:rFonts w:ascii="宋体" w:hAnsi="宋体" w:cs="宋体" w:eastAsia="宋体" w:hint="default"/>
                          <w:spacing w:val="-2"/>
                          <w:sz w:val="18"/>
                          <w:szCs w:val="18"/>
                        </w:rPr>
                        <w:t>1</w:t>
                      </w:r>
                      <w:r>
                        <w:rPr>
                          <w:rFonts w:ascii="宋体" w:hAnsi="宋体" w:cs="宋体" w:eastAsia="宋体" w:hint="default"/>
                          <w:spacing w:val="1"/>
                          <w:sz w:val="18"/>
                          <w:szCs w:val="18"/>
                        </w:rPr>
                        <w:t>1</w:t>
                      </w:r>
                      <w:r>
                        <w:rPr>
                          <w:rFonts w:ascii="宋体" w:hAnsi="宋体" w:cs="宋体" w:eastAsia="宋体" w:hint="default"/>
                          <w:spacing w:val="-2"/>
                          <w:sz w:val="18"/>
                          <w:szCs w:val="18"/>
                        </w:rPr>
                        <w:t>,</w:t>
                      </w:r>
                      <w:r>
                        <w:rPr>
                          <w:rFonts w:ascii="宋体" w:hAnsi="宋体" w:cs="宋体" w:eastAsia="宋体" w:hint="default"/>
                          <w:spacing w:val="1"/>
                          <w:sz w:val="18"/>
                          <w:szCs w:val="18"/>
                        </w:rPr>
                        <w:t>7</w:t>
                      </w:r>
                      <w:r>
                        <w:rPr>
                          <w:rFonts w:ascii="宋体" w:hAnsi="宋体" w:cs="宋体" w:eastAsia="宋体" w:hint="default"/>
                          <w:spacing w:val="-2"/>
                          <w:sz w:val="18"/>
                          <w:szCs w:val="18"/>
                        </w:rPr>
                        <w:t>2</w:t>
                      </w:r>
                      <w:r>
                        <w:rPr>
                          <w:rFonts w:ascii="宋体" w:hAnsi="宋体" w:cs="宋体" w:eastAsia="宋体" w:hint="default"/>
                          <w:spacing w:val="1"/>
                          <w:sz w:val="18"/>
                          <w:szCs w:val="18"/>
                        </w:rPr>
                        <w:t>2</w:t>
                      </w:r>
                      <w:r>
                        <w:rPr>
                          <w:rFonts w:ascii="宋体" w:hAnsi="宋体" w:cs="宋体" w:eastAsia="宋体" w:hint="default"/>
                          <w:spacing w:val="-2"/>
                          <w:sz w:val="18"/>
                          <w:szCs w:val="18"/>
                        </w:rPr>
                        <w:t>.</w:t>
                      </w:r>
                      <w:r>
                        <w:rPr>
                          <w:rFonts w:ascii="宋体" w:hAnsi="宋体" w:cs="宋体" w:eastAsia="宋体" w:hint="default"/>
                          <w:spacing w:val="1"/>
                          <w:sz w:val="18"/>
                          <w:szCs w:val="18"/>
                        </w:rPr>
                        <w:t>3</w:t>
                      </w:r>
                      <w:r>
                        <w:rPr>
                          <w:rFonts w:ascii="宋体" w:hAnsi="宋体" w:cs="宋体" w:eastAsia="宋体" w:hint="default"/>
                          <w:spacing w:val="-2"/>
                          <w:sz w:val="18"/>
                          <w:szCs w:val="18"/>
                        </w:rPr>
                        <w:t>9</w:t>
                      </w:r>
                      <w:r>
                        <w:rPr>
                          <w:rFonts w:ascii="宋体" w:hAnsi="宋体" w:cs="宋体" w:eastAsia="宋体" w:hint="default"/>
                          <w:sz w:val="18"/>
                          <w:szCs w:val="18"/>
                        </w:rPr>
                        <w:t>元；</w:t>
                      </w:r>
                    </w:p>
                    <w:p>
                      <w:pPr>
                        <w:spacing w:line="316" w:lineRule="auto" w:before="19"/>
                        <w:ind w:left="3852" w:right="89" w:firstLine="0"/>
                        <w:jc w:val="both"/>
                        <w:rPr>
                          <w:rFonts w:ascii="宋体" w:hAnsi="宋体" w:cs="宋体" w:eastAsia="宋体" w:hint="default"/>
                          <w:sz w:val="18"/>
                          <w:szCs w:val="18"/>
                        </w:rPr>
                      </w:pPr>
                      <w:r>
                        <w:rPr>
                          <w:rFonts w:ascii="宋体" w:hAnsi="宋体" w:cs="宋体" w:eastAsia="宋体" w:hint="default"/>
                          <w:spacing w:val="-2"/>
                          <w:sz w:val="18"/>
                          <w:szCs w:val="18"/>
                        </w:rPr>
                        <w:t>母公司利润表2019年度“信用减值损失”列示金额-8,973,257.22元，母公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司利润表2019年度“资产减值损失”列示金额-10,755,507.64；母公司利</w:t>
                      </w:r>
                      <w:r>
                        <w:rPr>
                          <w:rFonts w:ascii="宋体" w:hAnsi="宋体" w:cs="宋体" w:eastAsia="宋体" w:hint="default"/>
                          <w:sz w:val="18"/>
                          <w:szCs w:val="18"/>
                        </w:rPr>
                        <w:t> 润表2018年度“资产减值损失”列示金额-10,391,460.69元。</w:t>
                      </w:r>
                    </w:p>
                    <w:p>
                      <w:pPr>
                        <w:spacing w:line="312" w:lineRule="exact" w:before="15"/>
                        <w:ind w:left="0" w:right="5333" w:firstLine="0"/>
                        <w:jc w:val="left"/>
                        <w:rPr>
                          <w:rFonts w:ascii="宋体" w:hAnsi="宋体" w:cs="宋体" w:eastAsia="宋体" w:hint="default"/>
                          <w:sz w:val="18"/>
                          <w:szCs w:val="18"/>
                        </w:rPr>
                      </w:pPr>
                      <w:r>
                        <w:rPr>
                          <w:rFonts w:ascii="宋体" w:hAnsi="宋体" w:cs="宋体" w:eastAsia="宋体" w:hint="default"/>
                          <w:spacing w:val="-1"/>
                          <w:sz w:val="18"/>
                          <w:szCs w:val="18"/>
                        </w:rPr>
                        <w:t>（4）利润表中新增“以摊余成本计量的金融资产无影响</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终止确认收益”项目，比较数据相应调整。</w:t>
                      </w:r>
                    </w:p>
                  </w:txbxContent>
                </v:textbox>
                <w10:wrap type="none"/>
              </v:shape>
            </v:group>
          </v:group>
        </w:pict>
      </w:r>
      <w:r>
        <w:rPr>
          <w:rFonts w:ascii="宋体" w:hAnsi="宋体" w:cs="宋体" w:eastAsia="宋体" w:hint="default"/>
          <w:position w:val="-109"/>
          <w:sz w:val="20"/>
          <w:szCs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316" w:lineRule="auto"/>
        <w:ind w:left="132" w:right="1033" w:firstLine="360"/>
        <w:jc w:val="left"/>
      </w:pPr>
      <w:r>
        <w:rPr/>
        <w:t>（</w:t>
      </w:r>
      <w:r>
        <w:rPr>
          <w:spacing w:val="1"/>
        </w:rPr>
        <w:t>2</w:t>
      </w:r>
      <w:r>
        <w:rPr>
          <w:spacing w:val="-72"/>
        </w:rPr>
        <w:t>）</w:t>
      </w:r>
      <w:r>
        <w:rPr/>
        <w:t>本公司经董事会会议审议通</w:t>
      </w:r>
      <w:r>
        <w:rPr>
          <w:spacing w:val="2"/>
        </w:rPr>
        <w:t>过</w:t>
      </w:r>
      <w:r>
        <w:rPr>
          <w:spacing w:val="-70"/>
        </w:rPr>
        <w:t>，</w:t>
      </w:r>
      <w:r>
        <w:rPr/>
        <w:t>自</w:t>
      </w:r>
      <w:r>
        <w:rPr>
          <w:spacing w:val="1"/>
        </w:rPr>
        <w:t>2</w:t>
      </w:r>
      <w:r>
        <w:rPr>
          <w:spacing w:val="-2"/>
        </w:rPr>
        <w:t>0</w:t>
      </w:r>
      <w:r>
        <w:rPr>
          <w:spacing w:val="1"/>
        </w:rPr>
        <w:t>1</w:t>
      </w:r>
      <w:r>
        <w:rPr>
          <w:spacing w:val="-2"/>
        </w:rPr>
        <w:t>9</w:t>
      </w:r>
      <w:r>
        <w:rPr/>
        <w:t>年</w:t>
      </w:r>
      <w:r>
        <w:rPr>
          <w:spacing w:val="-2"/>
        </w:rPr>
        <w:t>1</w:t>
      </w:r>
      <w:r>
        <w:rPr/>
        <w:t>月</w:t>
      </w:r>
      <w:r>
        <w:rPr>
          <w:spacing w:val="1"/>
        </w:rPr>
        <w:t>1</w:t>
      </w:r>
      <w:r>
        <w:rPr/>
        <w:t>日采</w:t>
      </w:r>
      <w:r>
        <w:rPr>
          <w:spacing w:val="-68"/>
        </w:rPr>
        <w:t>用</w:t>
      </w:r>
      <w:r>
        <w:rPr>
          <w:spacing w:val="-5"/>
        </w:rPr>
        <w:t>《</w:t>
      </w:r>
      <w:r>
        <w:rPr/>
        <w:t>企业会计准则第</w:t>
      </w:r>
      <w:r>
        <w:rPr>
          <w:spacing w:val="1"/>
        </w:rPr>
        <w:t>2</w:t>
      </w:r>
      <w:r>
        <w:rPr>
          <w:spacing w:val="-2"/>
        </w:rPr>
        <w:t>2</w:t>
      </w:r>
      <w:r>
        <w:rPr/>
        <w:t>号——金融工具确认和计</w:t>
      </w:r>
      <w:r>
        <w:rPr>
          <w:spacing w:val="2"/>
        </w:rPr>
        <w:t>量</w:t>
      </w:r>
      <w:r>
        <w:rPr>
          <w:spacing w:val="-159"/>
        </w:rPr>
        <w:t>》</w:t>
      </w:r>
      <w:r>
        <w:rPr>
          <w:spacing w:val="-3"/>
        </w:rPr>
        <w:t>（</w:t>
      </w:r>
      <w:r>
        <w:rPr/>
        <w:t>财</w:t>
      </w:r>
      <w:r>
        <w:rPr>
          <w:spacing w:val="-68"/>
        </w:rPr>
        <w:t>会</w:t>
      </w:r>
      <w:r>
        <w:rPr>
          <w:spacing w:val="-3"/>
        </w:rPr>
        <w:t>〔</w:t>
      </w:r>
      <w:r>
        <w:rPr>
          <w:spacing w:val="1"/>
        </w:rPr>
        <w:t>2</w:t>
      </w:r>
      <w:r>
        <w:rPr>
          <w:spacing w:val="-2"/>
        </w:rPr>
        <w:t>0</w:t>
      </w:r>
      <w:r>
        <w:rPr>
          <w:spacing w:val="1"/>
        </w:rPr>
        <w:t>1</w:t>
      </w:r>
      <w:r>
        <w:rPr>
          <w:spacing w:val="-2"/>
        </w:rPr>
        <w:t>7</w:t>
      </w:r>
      <w:r>
        <w:rPr/>
        <w:t>〕</w:t>
      </w:r>
      <w:r>
        <w:rPr/>
        <w:t> </w:t>
      </w:r>
      <w:r>
        <w:rPr>
          <w:spacing w:val="1"/>
        </w:rPr>
        <w:t>7</w:t>
      </w:r>
      <w:r>
        <w:rPr/>
        <w:t>号</w:t>
      </w:r>
      <w:r>
        <w:rPr>
          <w:spacing w:val="-92"/>
        </w:rPr>
        <w:t>）</w:t>
      </w:r>
      <w:r>
        <w:rPr>
          <w:spacing w:val="-89"/>
        </w:rPr>
        <w:t>、</w:t>
      </w:r>
      <w:r>
        <w:rPr/>
        <w:t>《企业会计准则第</w:t>
      </w:r>
      <w:r>
        <w:rPr>
          <w:spacing w:val="1"/>
        </w:rPr>
        <w:t>2</w:t>
      </w:r>
      <w:r>
        <w:rPr>
          <w:spacing w:val="-2"/>
        </w:rPr>
        <w:t>3</w:t>
      </w:r>
      <w:r>
        <w:rPr/>
        <w:t>号——金融资产转移</w:t>
      </w:r>
      <w:r>
        <w:rPr>
          <w:spacing w:val="-92"/>
        </w:rPr>
        <w:t>》</w:t>
      </w:r>
      <w:r>
        <w:rPr/>
        <w:t>（财会〔</w:t>
      </w:r>
      <w:r>
        <w:rPr>
          <w:spacing w:val="1"/>
        </w:rPr>
        <w:t>2</w:t>
      </w:r>
      <w:r>
        <w:rPr>
          <w:spacing w:val="-2"/>
        </w:rPr>
        <w:t>0</w:t>
      </w:r>
      <w:r>
        <w:rPr>
          <w:spacing w:val="1"/>
        </w:rPr>
        <w:t>1</w:t>
      </w:r>
      <w:r>
        <w:rPr>
          <w:spacing w:val="-2"/>
        </w:rPr>
        <w:t>7</w:t>
      </w:r>
      <w:r>
        <w:rPr/>
        <w:t>〕</w:t>
      </w:r>
      <w:r>
        <w:rPr>
          <w:spacing w:val="1"/>
        </w:rPr>
        <w:t>8</w:t>
      </w:r>
      <w:r>
        <w:rPr/>
        <w:t>号</w:t>
      </w:r>
      <w:r>
        <w:rPr>
          <w:spacing w:val="-92"/>
        </w:rPr>
        <w:t>）</w:t>
      </w:r>
      <w:r>
        <w:rPr>
          <w:spacing w:val="-89"/>
        </w:rPr>
        <w:t>、</w:t>
      </w:r>
      <w:r>
        <w:rPr/>
        <w:t>《企业会计准则第</w:t>
      </w:r>
      <w:r>
        <w:rPr>
          <w:spacing w:val="1"/>
        </w:rPr>
        <w:t>2</w:t>
      </w:r>
      <w:r>
        <w:rPr>
          <w:spacing w:val="-2"/>
        </w:rPr>
        <w:t>4</w:t>
      </w:r>
      <w:r>
        <w:rPr/>
        <w:t>号——套期会计</w:t>
      </w:r>
      <w:r>
        <w:rPr>
          <w:spacing w:val="-92"/>
        </w:rPr>
        <w:t>》</w:t>
      </w:r>
      <w:r>
        <w:rPr/>
        <w:t>（财会〔</w:t>
      </w:r>
      <w:r>
        <w:rPr>
          <w:spacing w:val="1"/>
        </w:rPr>
        <w:t>2</w:t>
      </w:r>
      <w:r>
        <w:rPr>
          <w:spacing w:val="-2"/>
        </w:rPr>
        <w:t>0</w:t>
      </w:r>
      <w:r>
        <w:rPr>
          <w:spacing w:val="1"/>
        </w:rPr>
        <w:t>1</w:t>
      </w:r>
      <w:r>
        <w:rPr>
          <w:spacing w:val="-2"/>
        </w:rPr>
        <w:t>7</w:t>
      </w:r>
      <w:r>
        <w:rPr/>
        <w:t>〕</w:t>
      </w:r>
    </w:p>
    <w:p>
      <w:pPr>
        <w:pStyle w:val="BodyText"/>
        <w:spacing w:line="316" w:lineRule="auto" w:before="19"/>
        <w:ind w:left="132" w:right="1121"/>
        <w:jc w:val="left"/>
      </w:pPr>
      <w:r>
        <w:rPr>
          <w:spacing w:val="-3"/>
        </w:rPr>
        <w:t>9号）以及《企业会计准则第37号——金融工具列报》（财会〔2017〕14号）相关规定，根据累积影响数，调整年初留存收益</w:t>
      </w:r>
      <w:r>
        <w:rPr>
          <w:spacing w:val="-87"/>
        </w:rPr>
        <w:t> </w:t>
      </w:r>
      <w:r>
        <w:rPr>
          <w:spacing w:val="-87"/>
        </w:rPr>
      </w:r>
      <w:r>
        <w:rPr/>
        <w:t>及财务报表其他相关项目金额，对可比期间信息不予调整。会计政策变更导致影响如下：</w:t>
      </w:r>
    </w:p>
    <w:p>
      <w:pPr>
        <w:spacing w:line="240" w:lineRule="auto" w:before="8"/>
        <w:rPr>
          <w:rFonts w:ascii="宋体" w:hAnsi="宋体" w:cs="宋体" w:eastAsia="宋体"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5231"/>
        <w:gridCol w:w="4425"/>
      </w:tblGrid>
      <w:tr>
        <w:trPr>
          <w:trHeight w:val="347" w:hRule="exact"/>
        </w:trPr>
        <w:tc>
          <w:tcPr>
            <w:tcW w:w="5231"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21"/>
              <w:ind w:left="1535" w:right="0"/>
              <w:jc w:val="left"/>
              <w:rPr>
                <w:rFonts w:ascii="宋体" w:hAnsi="宋体" w:cs="宋体" w:eastAsia="宋体" w:hint="default"/>
                <w:sz w:val="18"/>
                <w:szCs w:val="18"/>
              </w:rPr>
            </w:pPr>
            <w:r>
              <w:rPr>
                <w:rFonts w:ascii="宋体" w:hAnsi="宋体" w:cs="宋体" w:eastAsia="宋体" w:hint="default"/>
                <w:b/>
                <w:bCs/>
                <w:sz w:val="18"/>
                <w:szCs w:val="18"/>
              </w:rPr>
              <w:t>会计政策变更的内容和原因</w:t>
            </w:r>
            <w:r>
              <w:rPr>
                <w:rFonts w:ascii="宋体" w:hAnsi="宋体" w:cs="宋体" w:eastAsia="宋体" w:hint="default"/>
                <w:sz w:val="18"/>
                <w:szCs w:val="18"/>
              </w:rPr>
            </w:r>
          </w:p>
        </w:tc>
        <w:tc>
          <w:tcPr>
            <w:tcW w:w="4425"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21"/>
              <w:ind w:left="3" w:right="0"/>
              <w:jc w:val="center"/>
              <w:rPr>
                <w:rFonts w:ascii="宋体" w:hAnsi="宋体" w:cs="宋体" w:eastAsia="宋体" w:hint="default"/>
                <w:sz w:val="18"/>
                <w:szCs w:val="18"/>
              </w:rPr>
            </w:pPr>
            <w:r>
              <w:rPr>
                <w:rFonts w:ascii="宋体" w:hAnsi="宋体" w:cs="宋体" w:eastAsia="宋体" w:hint="default"/>
                <w:b/>
                <w:bCs/>
                <w:sz w:val="18"/>
                <w:szCs w:val="18"/>
              </w:rPr>
              <w:t>受影响的报表项目名称和金额</w:t>
            </w:r>
            <w:r>
              <w:rPr>
                <w:rFonts w:ascii="宋体" w:hAnsi="宋体" w:cs="宋体" w:eastAsia="宋体" w:hint="default"/>
                <w:sz w:val="18"/>
                <w:szCs w:val="18"/>
              </w:rPr>
            </w:r>
          </w:p>
        </w:tc>
      </w:tr>
      <w:tr>
        <w:trPr>
          <w:trHeight w:val="338" w:hRule="exact"/>
        </w:trPr>
        <w:tc>
          <w:tcPr>
            <w:tcW w:w="5231" w:type="dxa"/>
            <w:tcBorders>
              <w:top w:val="single" w:sz="6" w:space="0" w:color="000000"/>
              <w:left w:val="nil" w:sz="6" w:space="0" w:color="auto"/>
              <w:bottom w:val="nil" w:sz="6" w:space="0" w:color="auto"/>
              <w:right w:val="single" w:sz="4" w:space="0" w:color="000000"/>
            </w:tcBorders>
          </w:tcPr>
          <w:p>
            <w:pPr>
              <w:pStyle w:val="TableParagraph"/>
              <w:spacing w:line="240" w:lineRule="auto" w:before="20"/>
              <w:ind w:left="8" w:right="0"/>
              <w:jc w:val="left"/>
              <w:rPr>
                <w:rFonts w:ascii="宋体" w:hAnsi="宋体" w:cs="宋体" w:eastAsia="宋体" w:hint="default"/>
                <w:sz w:val="18"/>
                <w:szCs w:val="18"/>
              </w:rPr>
            </w:pPr>
            <w:r>
              <w:rPr>
                <w:rFonts w:ascii="宋体" w:hAnsi="宋体" w:cs="宋体" w:eastAsia="宋体" w:hint="default"/>
                <w:sz w:val="18"/>
                <w:szCs w:val="18"/>
              </w:rPr>
              <w:t>新金融工具准则要求公司以持有金融资产的业务模式和金融资产</w:t>
            </w:r>
          </w:p>
        </w:tc>
        <w:tc>
          <w:tcPr>
            <w:tcW w:w="4425" w:type="dxa"/>
            <w:tcBorders>
              <w:top w:val="single" w:sz="6" w:space="0" w:color="000000"/>
              <w:left w:val="single" w:sz="4" w:space="0" w:color="000000"/>
              <w:bottom w:val="nil" w:sz="6" w:space="0" w:color="auto"/>
              <w:right w:val="nil" w:sz="6" w:space="0" w:color="auto"/>
            </w:tcBorders>
          </w:tcPr>
          <w:p>
            <w:pPr>
              <w:pStyle w:val="TableParagraph"/>
              <w:spacing w:line="240" w:lineRule="auto" w:before="20"/>
              <w:ind w:right="4"/>
              <w:jc w:val="center"/>
              <w:rPr>
                <w:rFonts w:ascii="宋体" w:hAnsi="宋体" w:cs="宋体" w:eastAsia="宋体" w:hint="default"/>
                <w:sz w:val="18"/>
                <w:szCs w:val="18"/>
              </w:rPr>
            </w:pPr>
            <w:r>
              <w:rPr>
                <w:rFonts w:ascii="宋体" w:hAnsi="宋体" w:cs="宋体" w:eastAsia="宋体" w:hint="default"/>
                <w:sz w:val="18"/>
                <w:szCs w:val="18"/>
              </w:rPr>
              <w:t>合并资产负债表2019年12月31日</w:t>
            </w:r>
            <w:r>
              <w:rPr>
                <w:rFonts w:ascii="宋体" w:hAnsi="宋体" w:cs="宋体" w:eastAsia="宋体" w:hint="default"/>
                <w:spacing w:val="-12"/>
                <w:sz w:val="18"/>
                <w:szCs w:val="18"/>
              </w:rPr>
              <w:t> </w:t>
            </w:r>
            <w:r>
              <w:rPr>
                <w:rFonts w:ascii="宋体" w:hAnsi="宋体" w:cs="宋体" w:eastAsia="宋体" w:hint="default"/>
                <w:sz w:val="18"/>
                <w:szCs w:val="18"/>
              </w:rPr>
              <w:t>“交易性金融资产”列</w:t>
            </w:r>
          </w:p>
        </w:tc>
      </w:tr>
    </w:tbl>
    <w:p>
      <w:pPr>
        <w:spacing w:after="0" w:line="240" w:lineRule="auto"/>
        <w:jc w:val="center"/>
        <w:rPr>
          <w:rFonts w:ascii="宋体" w:hAnsi="宋体" w:cs="宋体" w:eastAsia="宋体" w:hint="default"/>
          <w:sz w:val="18"/>
          <w:szCs w:val="18"/>
        </w:rPr>
        <w:sectPr>
          <w:pgSz w:w="11910" w:h="16840"/>
          <w:pgMar w:header="919" w:footer="1016" w:top="1120" w:bottom="1200" w:left="1000" w:right="0"/>
        </w:sectPr>
      </w:pPr>
    </w:p>
    <w:p>
      <w:pPr>
        <w:spacing w:line="240" w:lineRule="auto" w:before="5"/>
        <w:rPr>
          <w:rFonts w:ascii="宋体" w:hAnsi="宋体" w:cs="宋体" w:eastAsia="宋体" w:hint="default"/>
          <w:sz w:val="23"/>
          <w:szCs w:val="23"/>
        </w:rPr>
      </w:pPr>
    </w:p>
    <w:tbl>
      <w:tblPr>
        <w:tblW w:w="0" w:type="auto"/>
        <w:jc w:val="left"/>
        <w:tblInd w:w="116" w:type="dxa"/>
        <w:tblLayout w:type="fixed"/>
        <w:tblCellMar>
          <w:top w:w="0" w:type="dxa"/>
          <w:left w:w="0" w:type="dxa"/>
          <w:bottom w:w="0" w:type="dxa"/>
          <w:right w:w="0" w:type="dxa"/>
        </w:tblCellMar>
        <w:tblLook w:val="01E0"/>
      </w:tblPr>
      <w:tblGrid>
        <w:gridCol w:w="5231"/>
        <w:gridCol w:w="4425"/>
      </w:tblGrid>
      <w:tr>
        <w:trPr>
          <w:trHeight w:val="330" w:hRule="exact"/>
        </w:trPr>
        <w:tc>
          <w:tcPr>
            <w:tcW w:w="5231" w:type="dxa"/>
            <w:tcBorders>
              <w:top w:val="single" w:sz="6" w:space="0" w:color="000000"/>
              <w:left w:val="nil" w:sz="6" w:space="0" w:color="auto"/>
              <w:bottom w:val="nil" w:sz="6" w:space="0" w:color="auto"/>
              <w:right w:val="single" w:sz="4" w:space="0" w:color="000000"/>
            </w:tcBorders>
          </w:tcPr>
          <w:p>
            <w:pPr>
              <w:pStyle w:val="TableParagraph"/>
              <w:spacing w:line="240" w:lineRule="auto" w:before="21"/>
              <w:ind w:left="8" w:right="0"/>
              <w:jc w:val="left"/>
              <w:rPr>
                <w:rFonts w:ascii="宋体" w:hAnsi="宋体" w:cs="宋体" w:eastAsia="宋体" w:hint="default"/>
                <w:sz w:val="18"/>
                <w:szCs w:val="18"/>
              </w:rPr>
            </w:pPr>
            <w:r>
              <w:rPr>
                <w:rFonts w:ascii="宋体" w:hAnsi="宋体" w:cs="宋体" w:eastAsia="宋体" w:hint="default"/>
                <w:spacing w:val="-1"/>
                <w:sz w:val="18"/>
                <w:szCs w:val="18"/>
              </w:rPr>
              <w:t>合同现金流量特征作为金融资产分类的判断依据，将金融资产分类</w:t>
            </w:r>
          </w:p>
        </w:tc>
        <w:tc>
          <w:tcPr>
            <w:tcW w:w="4425" w:type="dxa"/>
            <w:tcBorders>
              <w:top w:val="single" w:sz="6" w:space="0" w:color="000000"/>
              <w:left w:val="single" w:sz="4" w:space="0" w:color="000000"/>
              <w:bottom w:val="nil" w:sz="6" w:space="0" w:color="auto"/>
              <w:right w:val="nil" w:sz="6" w:space="0" w:color="auto"/>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示金额</w:t>
            </w:r>
            <w:r>
              <w:rPr>
                <w:rFonts w:ascii="宋体" w:hAnsi="宋体" w:cs="宋体" w:eastAsia="宋体" w:hint="default"/>
                <w:spacing w:val="1"/>
                <w:sz w:val="18"/>
                <w:szCs w:val="18"/>
              </w:rPr>
              <w:t>1</w:t>
            </w:r>
            <w:r>
              <w:rPr>
                <w:rFonts w:ascii="宋体" w:hAnsi="宋体" w:cs="宋体" w:eastAsia="宋体" w:hint="default"/>
                <w:spacing w:val="-2"/>
                <w:sz w:val="18"/>
                <w:szCs w:val="18"/>
              </w:rPr>
              <w:t>4</w:t>
            </w:r>
            <w:r>
              <w:rPr>
                <w:rFonts w:ascii="宋体" w:hAnsi="宋体" w:cs="宋体" w:eastAsia="宋体" w:hint="default"/>
                <w:spacing w:val="1"/>
                <w:sz w:val="18"/>
                <w:szCs w:val="18"/>
              </w:rPr>
              <w:t>8</w:t>
            </w:r>
            <w:r>
              <w:rPr>
                <w:rFonts w:ascii="宋体" w:hAnsi="宋体" w:cs="宋体" w:eastAsia="宋体" w:hint="default"/>
                <w:spacing w:val="-2"/>
                <w:sz w:val="18"/>
                <w:szCs w:val="18"/>
              </w:rPr>
              <w:t>,</w:t>
            </w:r>
            <w:r>
              <w:rPr>
                <w:rFonts w:ascii="宋体" w:hAnsi="宋体" w:cs="宋体" w:eastAsia="宋体" w:hint="default"/>
                <w:spacing w:val="1"/>
                <w:sz w:val="18"/>
                <w:szCs w:val="18"/>
              </w:rPr>
              <w:t>5</w:t>
            </w:r>
            <w:r>
              <w:rPr>
                <w:rFonts w:ascii="宋体" w:hAnsi="宋体" w:cs="宋体" w:eastAsia="宋体" w:hint="default"/>
                <w:spacing w:val="-2"/>
                <w:sz w:val="18"/>
                <w:szCs w:val="18"/>
              </w:rPr>
              <w:t>5</w:t>
            </w:r>
            <w:r>
              <w:rPr>
                <w:rFonts w:ascii="宋体" w:hAnsi="宋体" w:cs="宋体" w:eastAsia="宋体" w:hint="default"/>
                <w:spacing w:val="1"/>
                <w:sz w:val="18"/>
                <w:szCs w:val="18"/>
              </w:rPr>
              <w:t>7</w:t>
            </w:r>
            <w:r>
              <w:rPr>
                <w:rFonts w:ascii="宋体" w:hAnsi="宋体" w:cs="宋体" w:eastAsia="宋体" w:hint="default"/>
                <w:spacing w:val="-2"/>
                <w:sz w:val="18"/>
                <w:szCs w:val="18"/>
              </w:rPr>
              <w:t>,</w:t>
            </w:r>
            <w:r>
              <w:rPr>
                <w:rFonts w:ascii="宋体" w:hAnsi="宋体" w:cs="宋体" w:eastAsia="宋体" w:hint="default"/>
                <w:spacing w:val="1"/>
                <w:sz w:val="18"/>
                <w:szCs w:val="18"/>
              </w:rPr>
              <w:t>3</w:t>
            </w:r>
            <w:r>
              <w:rPr>
                <w:rFonts w:ascii="宋体" w:hAnsi="宋体" w:cs="宋体" w:eastAsia="宋体" w:hint="default"/>
                <w:spacing w:val="-2"/>
                <w:sz w:val="18"/>
                <w:szCs w:val="18"/>
              </w:rPr>
              <w:t>2</w:t>
            </w:r>
            <w:r>
              <w:rPr>
                <w:rFonts w:ascii="宋体" w:hAnsi="宋体" w:cs="宋体" w:eastAsia="宋体" w:hint="default"/>
                <w:spacing w:val="1"/>
                <w:sz w:val="18"/>
                <w:szCs w:val="18"/>
              </w:rPr>
              <w:t>9</w:t>
            </w:r>
            <w:r>
              <w:rPr>
                <w:rFonts w:ascii="宋体" w:hAnsi="宋体" w:cs="宋体" w:eastAsia="宋体" w:hint="default"/>
                <w:spacing w:val="-2"/>
                <w:sz w:val="18"/>
                <w:szCs w:val="18"/>
              </w:rPr>
              <w:t>.</w:t>
            </w:r>
            <w:r>
              <w:rPr>
                <w:rFonts w:ascii="宋体" w:hAnsi="宋体" w:cs="宋体" w:eastAsia="宋体" w:hint="default"/>
                <w:spacing w:val="1"/>
                <w:sz w:val="18"/>
                <w:szCs w:val="18"/>
              </w:rPr>
              <w:t>8</w:t>
            </w:r>
            <w:r>
              <w:rPr>
                <w:rFonts w:ascii="宋体" w:hAnsi="宋体" w:cs="宋体" w:eastAsia="宋体" w:hint="default"/>
                <w:spacing w:val="-2"/>
                <w:sz w:val="18"/>
                <w:szCs w:val="18"/>
              </w:rPr>
              <w:t>8</w:t>
            </w:r>
            <w:r>
              <w:rPr>
                <w:rFonts w:ascii="宋体" w:hAnsi="宋体" w:cs="宋体" w:eastAsia="宋体" w:hint="default"/>
                <w:sz w:val="18"/>
                <w:szCs w:val="18"/>
              </w:rPr>
              <w:t>元</w:t>
            </w:r>
            <w:r>
              <w:rPr>
                <w:rFonts w:ascii="宋体" w:hAnsi="宋体" w:cs="宋体" w:eastAsia="宋体" w:hint="default"/>
                <w:spacing w:val="-92"/>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其他非流动金融资产</w:t>
            </w:r>
            <w:r>
              <w:rPr>
                <w:rFonts w:ascii="宋体" w:hAnsi="宋体" w:cs="宋体" w:eastAsia="宋体" w:hint="default"/>
                <w:spacing w:val="-3"/>
                <w:sz w:val="18"/>
                <w:szCs w:val="18"/>
              </w:rPr>
              <w:t>”</w:t>
            </w:r>
            <w:r>
              <w:rPr>
                <w:rFonts w:ascii="宋体" w:hAnsi="宋体" w:cs="宋体" w:eastAsia="宋体" w:hint="default"/>
                <w:sz w:val="18"/>
                <w:szCs w:val="18"/>
              </w:rPr>
              <w:t>列示</w:t>
            </w:r>
          </w:p>
        </w:tc>
      </w:tr>
      <w:tr>
        <w:trPr>
          <w:trHeight w:val="312" w:hRule="exact"/>
        </w:trPr>
        <w:tc>
          <w:tcPr>
            <w:tcW w:w="5231"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left="8" w:right="0"/>
              <w:jc w:val="left"/>
              <w:rPr>
                <w:rFonts w:ascii="宋体" w:hAnsi="宋体" w:cs="宋体" w:eastAsia="宋体" w:hint="default"/>
                <w:sz w:val="18"/>
                <w:szCs w:val="18"/>
              </w:rPr>
            </w:pPr>
            <w:r>
              <w:rPr>
                <w:rFonts w:ascii="宋体" w:hAnsi="宋体" w:cs="宋体" w:eastAsia="宋体" w:hint="default"/>
                <w:spacing w:val="-1"/>
                <w:sz w:val="18"/>
                <w:szCs w:val="18"/>
              </w:rPr>
              <w:t>为以摊余成本计量的金融资产、以公允价值计量且其变动计入其他</w:t>
            </w:r>
          </w:p>
        </w:tc>
        <w:tc>
          <w:tcPr>
            <w:tcW w:w="4425"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left="5" w:right="0"/>
              <w:jc w:val="left"/>
              <w:rPr>
                <w:rFonts w:ascii="宋体" w:hAnsi="宋体" w:cs="宋体" w:eastAsia="宋体" w:hint="default"/>
                <w:sz w:val="18"/>
                <w:szCs w:val="18"/>
              </w:rPr>
            </w:pPr>
            <w:r>
              <w:rPr>
                <w:rFonts w:ascii="宋体" w:hAnsi="宋体" w:cs="宋体" w:eastAsia="宋体" w:hint="default"/>
                <w:sz w:val="18"/>
                <w:szCs w:val="18"/>
              </w:rPr>
              <w:t>金额186,746,280.00元；</w:t>
            </w:r>
          </w:p>
        </w:tc>
      </w:tr>
      <w:tr>
        <w:trPr>
          <w:trHeight w:val="312" w:hRule="exact"/>
        </w:trPr>
        <w:tc>
          <w:tcPr>
            <w:tcW w:w="5231"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left="8" w:right="0"/>
              <w:jc w:val="left"/>
              <w:rPr>
                <w:rFonts w:ascii="宋体" w:hAnsi="宋体" w:cs="宋体" w:eastAsia="宋体" w:hint="default"/>
                <w:sz w:val="18"/>
                <w:szCs w:val="18"/>
              </w:rPr>
            </w:pPr>
            <w:r>
              <w:rPr>
                <w:rFonts w:ascii="宋体" w:hAnsi="宋体" w:cs="宋体" w:eastAsia="宋体" w:hint="default"/>
                <w:sz w:val="18"/>
                <w:szCs w:val="18"/>
              </w:rPr>
              <w:t>综合收益的金融资产和以公允价值计量且其变动计入当期损益的</w:t>
            </w:r>
          </w:p>
        </w:tc>
        <w:tc>
          <w:tcPr>
            <w:tcW w:w="4425"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left="5" w:right="0"/>
              <w:jc w:val="left"/>
              <w:rPr>
                <w:rFonts w:ascii="宋体" w:hAnsi="宋体" w:cs="宋体" w:eastAsia="宋体" w:hint="default"/>
                <w:sz w:val="18"/>
                <w:szCs w:val="18"/>
              </w:rPr>
            </w:pPr>
            <w:r>
              <w:rPr>
                <w:rFonts w:ascii="宋体" w:hAnsi="宋体" w:cs="宋体" w:eastAsia="宋体" w:hint="default"/>
                <w:sz w:val="18"/>
                <w:szCs w:val="18"/>
              </w:rPr>
              <w:t>“其他权益工具投资”列示金额20,000,000.00</w:t>
            </w:r>
            <w:r>
              <w:rPr>
                <w:rFonts w:ascii="宋体" w:hAnsi="宋体" w:cs="宋体" w:eastAsia="宋体" w:hint="default"/>
                <w:spacing w:val="-6"/>
                <w:sz w:val="18"/>
                <w:szCs w:val="18"/>
              </w:rPr>
              <w:t> </w:t>
            </w:r>
            <w:r>
              <w:rPr>
                <w:rFonts w:ascii="宋体" w:hAnsi="宋体" w:cs="宋体" w:eastAsia="宋体" w:hint="default"/>
                <w:sz w:val="18"/>
                <w:szCs w:val="18"/>
              </w:rPr>
              <w:t>元；</w:t>
            </w:r>
          </w:p>
        </w:tc>
      </w:tr>
      <w:tr>
        <w:trPr>
          <w:trHeight w:val="312" w:hRule="exact"/>
        </w:trPr>
        <w:tc>
          <w:tcPr>
            <w:tcW w:w="5231"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left="8" w:right="0"/>
              <w:jc w:val="left"/>
              <w:rPr>
                <w:rFonts w:ascii="宋体" w:hAnsi="宋体" w:cs="宋体" w:eastAsia="宋体" w:hint="default"/>
                <w:sz w:val="18"/>
                <w:szCs w:val="18"/>
              </w:rPr>
            </w:pPr>
            <w:r>
              <w:rPr>
                <w:rFonts w:ascii="宋体" w:hAnsi="宋体" w:cs="宋体" w:eastAsia="宋体" w:hint="default"/>
                <w:spacing w:val="-1"/>
                <w:sz w:val="18"/>
                <w:szCs w:val="18"/>
              </w:rPr>
              <w:t>金融资产三类。取消了原金融工具准则中贷款和应收款项、持有至</w:t>
            </w:r>
          </w:p>
        </w:tc>
        <w:tc>
          <w:tcPr>
            <w:tcW w:w="4425"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left="5" w:right="0"/>
              <w:jc w:val="left"/>
              <w:rPr>
                <w:rFonts w:ascii="宋体" w:hAnsi="宋体" w:cs="宋体" w:eastAsia="宋体" w:hint="default"/>
                <w:sz w:val="18"/>
                <w:szCs w:val="18"/>
              </w:rPr>
            </w:pPr>
            <w:r>
              <w:rPr>
                <w:rFonts w:ascii="宋体" w:hAnsi="宋体" w:cs="宋体" w:eastAsia="宋体" w:hint="default"/>
                <w:sz w:val="18"/>
                <w:szCs w:val="18"/>
              </w:rPr>
              <w:t>母公司资产负债表2019年12月31日“交易性金融资产”</w:t>
            </w:r>
          </w:p>
        </w:tc>
      </w:tr>
      <w:tr>
        <w:trPr>
          <w:trHeight w:val="312" w:hRule="exact"/>
        </w:trPr>
        <w:tc>
          <w:tcPr>
            <w:tcW w:w="5231"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left="8" w:right="0"/>
              <w:jc w:val="left"/>
              <w:rPr>
                <w:rFonts w:ascii="宋体" w:hAnsi="宋体" w:cs="宋体" w:eastAsia="宋体" w:hint="default"/>
                <w:sz w:val="18"/>
                <w:szCs w:val="18"/>
              </w:rPr>
            </w:pPr>
            <w:r>
              <w:rPr>
                <w:rFonts w:ascii="宋体" w:hAnsi="宋体" w:cs="宋体" w:eastAsia="宋体" w:hint="default"/>
                <w:sz w:val="18"/>
                <w:szCs w:val="18"/>
              </w:rPr>
              <w:t>到期投资和可供出售金融资产等分类。</w:t>
            </w:r>
            <w:r>
              <w:rPr>
                <w:rFonts w:ascii="宋体" w:hAnsi="宋体" w:cs="宋体" w:eastAsia="宋体" w:hint="default"/>
                <w:spacing w:val="1"/>
                <w:sz w:val="18"/>
                <w:szCs w:val="18"/>
              </w:rPr>
              <w:t> </w:t>
            </w:r>
            <w:r>
              <w:rPr>
                <w:rFonts w:ascii="宋体" w:hAnsi="宋体" w:cs="宋体" w:eastAsia="宋体" w:hint="default"/>
                <w:sz w:val="18"/>
                <w:szCs w:val="18"/>
              </w:rPr>
              <w:t>本公司持有的结构性存款</w:t>
            </w:r>
          </w:p>
        </w:tc>
        <w:tc>
          <w:tcPr>
            <w:tcW w:w="4425"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left="5" w:right="0"/>
              <w:jc w:val="left"/>
              <w:rPr>
                <w:rFonts w:ascii="宋体" w:hAnsi="宋体" w:cs="宋体" w:eastAsia="宋体" w:hint="default"/>
                <w:sz w:val="18"/>
                <w:szCs w:val="18"/>
              </w:rPr>
            </w:pPr>
            <w:r>
              <w:rPr>
                <w:rFonts w:ascii="宋体" w:hAnsi="宋体" w:cs="宋体" w:eastAsia="宋体" w:hint="default"/>
                <w:sz w:val="18"/>
                <w:szCs w:val="18"/>
              </w:rPr>
              <w:t>列示金额</w:t>
            </w:r>
            <w:r>
              <w:rPr>
                <w:rFonts w:ascii="宋体" w:hAnsi="宋体" w:cs="宋体" w:eastAsia="宋体" w:hint="default"/>
                <w:spacing w:val="1"/>
                <w:sz w:val="18"/>
                <w:szCs w:val="18"/>
              </w:rPr>
              <w:t>1</w:t>
            </w:r>
            <w:r>
              <w:rPr>
                <w:rFonts w:ascii="宋体" w:hAnsi="宋体" w:cs="宋体" w:eastAsia="宋体" w:hint="default"/>
                <w:spacing w:val="-2"/>
                <w:sz w:val="18"/>
                <w:szCs w:val="18"/>
              </w:rPr>
              <w:t>3</w:t>
            </w:r>
            <w:r>
              <w:rPr>
                <w:rFonts w:ascii="宋体" w:hAnsi="宋体" w:cs="宋体" w:eastAsia="宋体" w:hint="default"/>
                <w:spacing w:val="1"/>
                <w:sz w:val="18"/>
                <w:szCs w:val="18"/>
              </w:rPr>
              <w:t>0</w:t>
            </w:r>
            <w:r>
              <w:rPr>
                <w:rFonts w:ascii="宋体" w:hAnsi="宋体" w:cs="宋体" w:eastAsia="宋体" w:hint="default"/>
                <w:spacing w:val="-2"/>
                <w:sz w:val="18"/>
                <w:szCs w:val="18"/>
              </w:rPr>
              <w:t>,</w:t>
            </w:r>
            <w:r>
              <w:rPr>
                <w:rFonts w:ascii="宋体" w:hAnsi="宋体" w:cs="宋体" w:eastAsia="宋体" w:hint="default"/>
                <w:spacing w:val="1"/>
                <w:sz w:val="18"/>
                <w:szCs w:val="18"/>
              </w:rPr>
              <w:t>4</w:t>
            </w:r>
            <w:r>
              <w:rPr>
                <w:rFonts w:ascii="宋体" w:hAnsi="宋体" w:cs="宋体" w:eastAsia="宋体" w:hint="default"/>
                <w:spacing w:val="-2"/>
                <w:sz w:val="18"/>
                <w:szCs w:val="18"/>
              </w:rPr>
              <w:t>6</w:t>
            </w:r>
            <w:r>
              <w:rPr>
                <w:rFonts w:ascii="宋体" w:hAnsi="宋体" w:cs="宋体" w:eastAsia="宋体" w:hint="default"/>
                <w:spacing w:val="1"/>
                <w:sz w:val="18"/>
                <w:szCs w:val="18"/>
              </w:rPr>
              <w:t>9</w:t>
            </w:r>
            <w:r>
              <w:rPr>
                <w:rFonts w:ascii="宋体" w:hAnsi="宋体" w:cs="宋体" w:eastAsia="宋体" w:hint="default"/>
                <w:spacing w:val="-2"/>
                <w:sz w:val="18"/>
                <w:szCs w:val="18"/>
              </w:rPr>
              <w:t>,</w:t>
            </w:r>
            <w:r>
              <w:rPr>
                <w:rFonts w:ascii="宋体" w:hAnsi="宋体" w:cs="宋体" w:eastAsia="宋体" w:hint="default"/>
                <w:spacing w:val="1"/>
                <w:sz w:val="18"/>
                <w:szCs w:val="18"/>
              </w:rPr>
              <w:t>4</w:t>
            </w:r>
            <w:r>
              <w:rPr>
                <w:rFonts w:ascii="宋体" w:hAnsi="宋体" w:cs="宋体" w:eastAsia="宋体" w:hint="default"/>
                <w:spacing w:val="-2"/>
                <w:sz w:val="18"/>
                <w:szCs w:val="18"/>
              </w:rPr>
              <w:t>3</w:t>
            </w:r>
            <w:r>
              <w:rPr>
                <w:rFonts w:ascii="宋体" w:hAnsi="宋体" w:cs="宋体" w:eastAsia="宋体" w:hint="default"/>
                <w:spacing w:val="1"/>
                <w:sz w:val="18"/>
                <w:szCs w:val="18"/>
              </w:rPr>
              <w:t>6</w:t>
            </w:r>
            <w:r>
              <w:rPr>
                <w:rFonts w:ascii="宋体" w:hAnsi="宋体" w:cs="宋体" w:eastAsia="宋体" w:hint="default"/>
                <w:spacing w:val="-2"/>
                <w:sz w:val="18"/>
                <w:szCs w:val="18"/>
              </w:rPr>
              <w:t>.</w:t>
            </w:r>
            <w:r>
              <w:rPr>
                <w:rFonts w:ascii="宋体" w:hAnsi="宋体" w:cs="宋体" w:eastAsia="宋体" w:hint="default"/>
                <w:spacing w:val="1"/>
                <w:sz w:val="18"/>
                <w:szCs w:val="18"/>
              </w:rPr>
              <w:t>1</w:t>
            </w:r>
            <w:r>
              <w:rPr>
                <w:rFonts w:ascii="宋体" w:hAnsi="宋体" w:cs="宋体" w:eastAsia="宋体" w:hint="default"/>
                <w:spacing w:val="-2"/>
                <w:sz w:val="18"/>
                <w:szCs w:val="18"/>
              </w:rPr>
              <w:t>1</w:t>
            </w:r>
            <w:r>
              <w:rPr>
                <w:rFonts w:ascii="宋体" w:hAnsi="宋体" w:cs="宋体" w:eastAsia="宋体" w:hint="default"/>
                <w:sz w:val="18"/>
                <w:szCs w:val="18"/>
              </w:rPr>
              <w:t>元</w:t>
            </w:r>
            <w:r>
              <w:rPr>
                <w:rFonts w:ascii="宋体" w:hAnsi="宋体" w:cs="宋体" w:eastAsia="宋体" w:hint="default"/>
                <w:spacing w:val="-92"/>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其他非流动金融资产</w:t>
            </w:r>
            <w:r>
              <w:rPr>
                <w:rFonts w:ascii="宋体" w:hAnsi="宋体" w:cs="宋体" w:eastAsia="宋体" w:hint="default"/>
                <w:spacing w:val="-3"/>
                <w:sz w:val="18"/>
                <w:szCs w:val="18"/>
              </w:rPr>
              <w:t>”</w:t>
            </w:r>
            <w:r>
              <w:rPr>
                <w:rFonts w:ascii="宋体" w:hAnsi="宋体" w:cs="宋体" w:eastAsia="宋体" w:hint="default"/>
                <w:sz w:val="18"/>
                <w:szCs w:val="18"/>
              </w:rPr>
              <w:t>列</w:t>
            </w:r>
          </w:p>
        </w:tc>
      </w:tr>
      <w:tr>
        <w:trPr>
          <w:trHeight w:val="312" w:hRule="exact"/>
        </w:trPr>
        <w:tc>
          <w:tcPr>
            <w:tcW w:w="5231"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left="8" w:right="0"/>
              <w:jc w:val="left"/>
              <w:rPr>
                <w:rFonts w:ascii="宋体" w:hAnsi="宋体" w:cs="宋体" w:eastAsia="宋体" w:hint="default"/>
                <w:sz w:val="18"/>
                <w:szCs w:val="18"/>
              </w:rPr>
            </w:pPr>
            <w:r>
              <w:rPr>
                <w:rFonts w:ascii="宋体" w:hAnsi="宋体" w:cs="宋体" w:eastAsia="宋体" w:hint="default"/>
                <w:sz w:val="18"/>
                <w:szCs w:val="18"/>
              </w:rPr>
              <w:t>分类为“以公允价值计量且其变动计入当期损益的金融资产</w:t>
            </w:r>
            <w:r>
              <w:rPr>
                <w:rFonts w:ascii="宋体" w:hAnsi="宋体" w:cs="宋体" w:eastAsia="宋体" w:hint="default"/>
                <w:spacing w:val="-89"/>
                <w:sz w:val="18"/>
                <w:szCs w:val="18"/>
              </w:rPr>
              <w:t>”</w:t>
            </w:r>
            <w:r>
              <w:rPr>
                <w:rFonts w:ascii="宋体" w:hAnsi="宋体" w:cs="宋体" w:eastAsia="宋体" w:hint="default"/>
                <w:sz w:val="18"/>
                <w:szCs w:val="18"/>
              </w:rPr>
              <w:t>，资</w:t>
            </w:r>
          </w:p>
        </w:tc>
        <w:tc>
          <w:tcPr>
            <w:tcW w:w="4425"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left="5" w:right="0"/>
              <w:jc w:val="left"/>
              <w:rPr>
                <w:rFonts w:ascii="宋体" w:hAnsi="宋体" w:cs="宋体" w:eastAsia="宋体" w:hint="default"/>
                <w:sz w:val="18"/>
                <w:szCs w:val="18"/>
              </w:rPr>
            </w:pPr>
            <w:r>
              <w:rPr>
                <w:rFonts w:ascii="宋体" w:hAnsi="宋体" w:cs="宋体" w:eastAsia="宋体" w:hint="default"/>
                <w:sz w:val="18"/>
                <w:szCs w:val="18"/>
              </w:rPr>
              <w:t>示金额</w:t>
            </w:r>
            <w:r>
              <w:rPr>
                <w:rFonts w:ascii="宋体" w:hAnsi="宋体" w:cs="宋体" w:eastAsia="宋体" w:hint="default"/>
                <w:spacing w:val="1"/>
                <w:sz w:val="18"/>
                <w:szCs w:val="18"/>
              </w:rPr>
              <w:t>1</w:t>
            </w:r>
            <w:r>
              <w:rPr>
                <w:rFonts w:ascii="宋体" w:hAnsi="宋体" w:cs="宋体" w:eastAsia="宋体" w:hint="default"/>
                <w:spacing w:val="-2"/>
                <w:sz w:val="18"/>
                <w:szCs w:val="18"/>
              </w:rPr>
              <w:t>7</w:t>
            </w:r>
            <w:r>
              <w:rPr>
                <w:rFonts w:ascii="宋体" w:hAnsi="宋体" w:cs="宋体" w:eastAsia="宋体" w:hint="default"/>
                <w:spacing w:val="1"/>
                <w:sz w:val="18"/>
                <w:szCs w:val="18"/>
              </w:rPr>
              <w:t>6</w:t>
            </w:r>
            <w:r>
              <w:rPr>
                <w:rFonts w:ascii="宋体" w:hAnsi="宋体" w:cs="宋体" w:eastAsia="宋体" w:hint="default"/>
                <w:spacing w:val="-2"/>
                <w:sz w:val="18"/>
                <w:szCs w:val="18"/>
              </w:rPr>
              <w:t>,</w:t>
            </w:r>
            <w:r>
              <w:rPr>
                <w:rFonts w:ascii="宋体" w:hAnsi="宋体" w:cs="宋体" w:eastAsia="宋体" w:hint="default"/>
                <w:spacing w:val="1"/>
                <w:sz w:val="18"/>
                <w:szCs w:val="18"/>
              </w:rPr>
              <w:t>7</w:t>
            </w:r>
            <w:r>
              <w:rPr>
                <w:rFonts w:ascii="宋体" w:hAnsi="宋体" w:cs="宋体" w:eastAsia="宋体" w:hint="default"/>
                <w:spacing w:val="-2"/>
                <w:sz w:val="18"/>
                <w:szCs w:val="18"/>
              </w:rPr>
              <w:t>9</w:t>
            </w:r>
            <w:r>
              <w:rPr>
                <w:rFonts w:ascii="宋体" w:hAnsi="宋体" w:cs="宋体" w:eastAsia="宋体" w:hint="default"/>
                <w:spacing w:val="1"/>
                <w:sz w:val="18"/>
                <w:szCs w:val="18"/>
              </w:rPr>
              <w:t>6</w:t>
            </w:r>
            <w:r>
              <w:rPr>
                <w:rFonts w:ascii="宋体" w:hAnsi="宋体" w:cs="宋体" w:eastAsia="宋体" w:hint="default"/>
                <w:spacing w:val="-2"/>
                <w:sz w:val="18"/>
                <w:szCs w:val="18"/>
              </w:rPr>
              <w:t>,</w:t>
            </w:r>
            <w:r>
              <w:rPr>
                <w:rFonts w:ascii="宋体" w:hAnsi="宋体" w:cs="宋体" w:eastAsia="宋体" w:hint="default"/>
                <w:spacing w:val="1"/>
                <w:sz w:val="18"/>
                <w:szCs w:val="18"/>
              </w:rPr>
              <w:t>0</w:t>
            </w:r>
            <w:r>
              <w:rPr>
                <w:rFonts w:ascii="宋体" w:hAnsi="宋体" w:cs="宋体" w:eastAsia="宋体" w:hint="default"/>
                <w:spacing w:val="-2"/>
                <w:sz w:val="18"/>
                <w:szCs w:val="18"/>
              </w:rPr>
              <w:t>0</w:t>
            </w:r>
            <w:r>
              <w:rPr>
                <w:rFonts w:ascii="宋体" w:hAnsi="宋体" w:cs="宋体" w:eastAsia="宋体" w:hint="default"/>
                <w:spacing w:val="1"/>
                <w:sz w:val="18"/>
                <w:szCs w:val="18"/>
              </w:rPr>
              <w:t>0</w:t>
            </w:r>
            <w:r>
              <w:rPr>
                <w:rFonts w:ascii="宋体" w:hAnsi="宋体" w:cs="宋体" w:eastAsia="宋体" w:hint="default"/>
                <w:spacing w:val="-2"/>
                <w:sz w:val="18"/>
                <w:szCs w:val="18"/>
              </w:rPr>
              <w:t>.</w:t>
            </w:r>
            <w:r>
              <w:rPr>
                <w:rFonts w:ascii="宋体" w:hAnsi="宋体" w:cs="宋体" w:eastAsia="宋体" w:hint="default"/>
                <w:spacing w:val="1"/>
                <w:sz w:val="18"/>
                <w:szCs w:val="18"/>
              </w:rPr>
              <w:t>0</w:t>
            </w:r>
            <w:r>
              <w:rPr>
                <w:rFonts w:ascii="宋体" w:hAnsi="宋体" w:cs="宋体" w:eastAsia="宋体" w:hint="default"/>
                <w:spacing w:val="-2"/>
                <w:sz w:val="18"/>
                <w:szCs w:val="18"/>
              </w:rPr>
              <w:t>0</w:t>
            </w:r>
            <w:r>
              <w:rPr>
                <w:rFonts w:ascii="宋体" w:hAnsi="宋体" w:cs="宋体" w:eastAsia="宋体" w:hint="default"/>
                <w:sz w:val="18"/>
                <w:szCs w:val="18"/>
              </w:rPr>
              <w:t>元</w:t>
            </w:r>
            <w:r>
              <w:rPr>
                <w:rFonts w:ascii="宋体" w:hAnsi="宋体" w:cs="宋体" w:eastAsia="宋体" w:hint="default"/>
                <w:spacing w:val="-92"/>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其他权益工具投资</w:t>
            </w:r>
            <w:r>
              <w:rPr>
                <w:rFonts w:ascii="宋体" w:hAnsi="宋体" w:cs="宋体" w:eastAsia="宋体" w:hint="default"/>
                <w:spacing w:val="-3"/>
                <w:sz w:val="18"/>
                <w:szCs w:val="18"/>
              </w:rPr>
              <w:t>”</w:t>
            </w:r>
            <w:r>
              <w:rPr>
                <w:rFonts w:ascii="宋体" w:hAnsi="宋体" w:cs="宋体" w:eastAsia="宋体" w:hint="default"/>
                <w:sz w:val="18"/>
                <w:szCs w:val="18"/>
              </w:rPr>
              <w:t>列示金</w:t>
            </w:r>
          </w:p>
        </w:tc>
      </w:tr>
      <w:tr>
        <w:trPr>
          <w:trHeight w:val="312" w:hRule="exact"/>
        </w:trPr>
        <w:tc>
          <w:tcPr>
            <w:tcW w:w="5231"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left="8" w:right="0"/>
              <w:jc w:val="left"/>
              <w:rPr>
                <w:rFonts w:ascii="宋体" w:hAnsi="宋体" w:cs="宋体" w:eastAsia="宋体" w:hint="default"/>
                <w:sz w:val="18"/>
                <w:szCs w:val="18"/>
              </w:rPr>
            </w:pPr>
            <w:r>
              <w:rPr>
                <w:rFonts w:ascii="宋体" w:hAnsi="宋体" w:cs="宋体" w:eastAsia="宋体" w:hint="default"/>
                <w:spacing w:val="-1"/>
                <w:sz w:val="18"/>
                <w:szCs w:val="18"/>
              </w:rPr>
              <w:t>产负债表列报“交易性金融资产”项目，持有期间公允价值变动计</w:t>
            </w:r>
          </w:p>
        </w:tc>
        <w:tc>
          <w:tcPr>
            <w:tcW w:w="4425"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left="5" w:right="0"/>
              <w:jc w:val="left"/>
              <w:rPr>
                <w:rFonts w:ascii="宋体" w:hAnsi="宋体" w:cs="宋体" w:eastAsia="宋体" w:hint="default"/>
                <w:sz w:val="18"/>
                <w:szCs w:val="18"/>
              </w:rPr>
            </w:pPr>
            <w:r>
              <w:rPr>
                <w:rFonts w:ascii="宋体" w:hAnsi="宋体" w:cs="宋体" w:eastAsia="宋体" w:hint="default"/>
                <w:sz w:val="18"/>
                <w:szCs w:val="18"/>
              </w:rPr>
              <w:t>额</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w:t>
            </w:r>
            <w:r>
              <w:rPr>
                <w:rFonts w:ascii="宋体" w:hAnsi="宋体" w:cs="宋体" w:eastAsia="宋体" w:hint="default"/>
                <w:spacing w:val="-2"/>
                <w:sz w:val="18"/>
                <w:szCs w:val="18"/>
              </w:rPr>
              <w:t>0</w:t>
            </w:r>
            <w:r>
              <w:rPr>
                <w:rFonts w:ascii="宋体" w:hAnsi="宋体" w:cs="宋体" w:eastAsia="宋体" w:hint="default"/>
                <w:spacing w:val="1"/>
                <w:sz w:val="18"/>
                <w:szCs w:val="18"/>
              </w:rPr>
              <w:t>0</w:t>
            </w:r>
            <w:r>
              <w:rPr>
                <w:rFonts w:ascii="宋体" w:hAnsi="宋体" w:cs="宋体" w:eastAsia="宋体" w:hint="default"/>
                <w:spacing w:val="-2"/>
                <w:sz w:val="18"/>
                <w:szCs w:val="18"/>
              </w:rPr>
              <w:t>0</w:t>
            </w:r>
            <w:r>
              <w:rPr>
                <w:rFonts w:ascii="宋体" w:hAnsi="宋体" w:cs="宋体" w:eastAsia="宋体" w:hint="default"/>
                <w:spacing w:val="1"/>
                <w:sz w:val="18"/>
                <w:szCs w:val="18"/>
              </w:rPr>
              <w:t>,</w:t>
            </w:r>
            <w:r>
              <w:rPr>
                <w:rFonts w:ascii="宋体" w:hAnsi="宋体" w:cs="宋体" w:eastAsia="宋体" w:hint="default"/>
                <w:spacing w:val="-2"/>
                <w:sz w:val="18"/>
                <w:szCs w:val="18"/>
              </w:rPr>
              <w:t>0</w:t>
            </w:r>
            <w:r>
              <w:rPr>
                <w:rFonts w:ascii="宋体" w:hAnsi="宋体" w:cs="宋体" w:eastAsia="宋体" w:hint="default"/>
                <w:spacing w:val="1"/>
                <w:sz w:val="18"/>
                <w:szCs w:val="18"/>
              </w:rPr>
              <w:t>0</w:t>
            </w:r>
            <w:r>
              <w:rPr>
                <w:rFonts w:ascii="宋体" w:hAnsi="宋体" w:cs="宋体" w:eastAsia="宋体" w:hint="default"/>
                <w:spacing w:val="-2"/>
                <w:sz w:val="18"/>
                <w:szCs w:val="18"/>
              </w:rPr>
              <w:t>0</w:t>
            </w:r>
            <w:r>
              <w:rPr>
                <w:rFonts w:ascii="宋体" w:hAnsi="宋体" w:cs="宋体" w:eastAsia="宋体" w:hint="default"/>
                <w:spacing w:val="1"/>
                <w:sz w:val="18"/>
                <w:szCs w:val="18"/>
              </w:rPr>
              <w:t>.</w:t>
            </w:r>
            <w:r>
              <w:rPr>
                <w:rFonts w:ascii="宋体" w:hAnsi="宋体" w:cs="宋体" w:eastAsia="宋体" w:hint="default"/>
                <w:spacing w:val="-2"/>
                <w:sz w:val="18"/>
                <w:szCs w:val="18"/>
              </w:rPr>
              <w:t>0</w:t>
            </w:r>
            <w:r>
              <w:rPr>
                <w:rFonts w:ascii="宋体" w:hAnsi="宋体" w:cs="宋体" w:eastAsia="宋体" w:hint="default"/>
                <w:sz w:val="18"/>
                <w:szCs w:val="18"/>
              </w:rPr>
              <w:t>0 元</w:t>
            </w:r>
            <w:r>
              <w:rPr>
                <w:rFonts w:ascii="宋体" w:hAnsi="宋体" w:cs="宋体" w:eastAsia="宋体" w:hint="default"/>
                <w:spacing w:val="-89"/>
                <w:sz w:val="18"/>
                <w:szCs w:val="18"/>
              </w:rPr>
              <w:t>；</w:t>
            </w:r>
            <w:r>
              <w:rPr>
                <w:rFonts w:ascii="宋体" w:hAnsi="宋体" w:cs="宋体" w:eastAsia="宋体" w:hint="default"/>
                <w:sz w:val="18"/>
                <w:szCs w:val="18"/>
              </w:rPr>
              <w:t>。</w:t>
            </w:r>
          </w:p>
        </w:tc>
      </w:tr>
      <w:tr>
        <w:trPr>
          <w:trHeight w:val="312" w:hRule="exact"/>
        </w:trPr>
        <w:tc>
          <w:tcPr>
            <w:tcW w:w="5231"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left="8" w:right="0"/>
              <w:jc w:val="left"/>
              <w:rPr>
                <w:rFonts w:ascii="宋体" w:hAnsi="宋体" w:cs="宋体" w:eastAsia="宋体" w:hint="default"/>
                <w:sz w:val="18"/>
                <w:szCs w:val="18"/>
              </w:rPr>
            </w:pPr>
            <w:r>
              <w:rPr>
                <w:rFonts w:ascii="宋体" w:hAnsi="宋体" w:cs="宋体" w:eastAsia="宋体" w:hint="default"/>
                <w:sz w:val="18"/>
                <w:szCs w:val="18"/>
              </w:rPr>
              <w:t>入利润表“公允价值变动收益”项目。</w:t>
            </w:r>
          </w:p>
        </w:tc>
        <w:tc>
          <w:tcPr>
            <w:tcW w:w="4425"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left="5" w:right="0"/>
              <w:jc w:val="left"/>
              <w:rPr>
                <w:rFonts w:ascii="宋体" w:hAnsi="宋体" w:cs="宋体" w:eastAsia="宋体" w:hint="default"/>
                <w:sz w:val="18"/>
                <w:szCs w:val="18"/>
              </w:rPr>
            </w:pPr>
            <w:r>
              <w:rPr>
                <w:rFonts w:ascii="宋体" w:hAnsi="宋体" w:cs="宋体" w:eastAsia="宋体" w:hint="default"/>
                <w:sz w:val="18"/>
                <w:szCs w:val="18"/>
              </w:rPr>
              <w:t>合并利润表2019年度“公允价值变动收益”列示金额</w:t>
            </w:r>
          </w:p>
        </w:tc>
      </w:tr>
      <w:tr>
        <w:trPr>
          <w:trHeight w:val="312" w:hRule="exact"/>
        </w:trPr>
        <w:tc>
          <w:tcPr>
            <w:tcW w:w="5231" w:type="dxa"/>
            <w:tcBorders>
              <w:top w:val="nil" w:sz="6" w:space="0" w:color="auto"/>
              <w:left w:val="nil" w:sz="6" w:space="0" w:color="auto"/>
              <w:bottom w:val="nil" w:sz="6" w:space="0" w:color="auto"/>
              <w:right w:val="single" w:sz="4" w:space="0" w:color="000000"/>
            </w:tcBorders>
          </w:tcPr>
          <w:p>
            <w:pPr/>
          </w:p>
        </w:tc>
        <w:tc>
          <w:tcPr>
            <w:tcW w:w="4425"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left="5" w:right="0"/>
              <w:jc w:val="left"/>
              <w:rPr>
                <w:rFonts w:ascii="宋体" w:hAnsi="宋体" w:cs="宋体" w:eastAsia="宋体" w:hint="default"/>
                <w:sz w:val="18"/>
                <w:szCs w:val="18"/>
              </w:rPr>
            </w:pPr>
            <w:r>
              <w:rPr>
                <w:rFonts w:ascii="宋体" w:hAnsi="宋体" w:cs="宋体" w:eastAsia="宋体" w:hint="default"/>
                <w:sz w:val="18"/>
                <w:szCs w:val="18"/>
              </w:rPr>
              <w:t>-6,339,725.32元；</w:t>
            </w:r>
          </w:p>
        </w:tc>
      </w:tr>
      <w:tr>
        <w:trPr>
          <w:trHeight w:val="312" w:hRule="exact"/>
        </w:trPr>
        <w:tc>
          <w:tcPr>
            <w:tcW w:w="5231" w:type="dxa"/>
            <w:tcBorders>
              <w:top w:val="nil" w:sz="6" w:space="0" w:color="auto"/>
              <w:left w:val="nil" w:sz="6" w:space="0" w:color="auto"/>
              <w:bottom w:val="nil" w:sz="6" w:space="0" w:color="auto"/>
              <w:right w:val="single" w:sz="4" w:space="0" w:color="000000"/>
            </w:tcBorders>
          </w:tcPr>
          <w:p>
            <w:pPr/>
          </w:p>
        </w:tc>
        <w:tc>
          <w:tcPr>
            <w:tcW w:w="4425"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left="5" w:right="0"/>
              <w:jc w:val="left"/>
              <w:rPr>
                <w:rFonts w:ascii="宋体" w:hAnsi="宋体" w:cs="宋体" w:eastAsia="宋体" w:hint="default"/>
                <w:sz w:val="18"/>
                <w:szCs w:val="18"/>
              </w:rPr>
            </w:pPr>
            <w:r>
              <w:rPr>
                <w:rFonts w:ascii="宋体" w:hAnsi="宋体" w:cs="宋体" w:eastAsia="宋体" w:hint="default"/>
                <w:sz w:val="18"/>
                <w:szCs w:val="18"/>
              </w:rPr>
              <w:t>母公司利润表2019年度“公允价值变动收益”列示金额</w:t>
            </w:r>
          </w:p>
        </w:tc>
      </w:tr>
      <w:tr>
        <w:trPr>
          <w:trHeight w:val="329" w:hRule="exact"/>
        </w:trPr>
        <w:tc>
          <w:tcPr>
            <w:tcW w:w="5231" w:type="dxa"/>
            <w:tcBorders>
              <w:top w:val="nil" w:sz="6" w:space="0" w:color="auto"/>
              <w:left w:val="nil" w:sz="6" w:space="0" w:color="auto"/>
              <w:bottom w:val="single" w:sz="6" w:space="0" w:color="000000"/>
              <w:right w:val="single" w:sz="4" w:space="0" w:color="000000"/>
            </w:tcBorders>
          </w:tcPr>
          <w:p>
            <w:pPr/>
          </w:p>
        </w:tc>
        <w:tc>
          <w:tcPr>
            <w:tcW w:w="4425" w:type="dxa"/>
            <w:tcBorders>
              <w:top w:val="nil" w:sz="6" w:space="0" w:color="auto"/>
              <w:left w:val="single" w:sz="4" w:space="0" w:color="000000"/>
              <w:bottom w:val="single" w:sz="6" w:space="0" w:color="000000"/>
              <w:right w:val="nil" w:sz="6" w:space="0" w:color="auto"/>
            </w:tcBorders>
          </w:tcPr>
          <w:p>
            <w:pPr>
              <w:pStyle w:val="TableParagraph"/>
              <w:spacing w:line="240" w:lineRule="auto" w:before="10"/>
              <w:ind w:left="5" w:right="0"/>
              <w:jc w:val="left"/>
              <w:rPr>
                <w:rFonts w:ascii="宋体" w:hAnsi="宋体" w:cs="宋体" w:eastAsia="宋体" w:hint="default"/>
                <w:sz w:val="18"/>
                <w:szCs w:val="18"/>
              </w:rPr>
            </w:pPr>
            <w:r>
              <w:rPr>
                <w:rFonts w:ascii="宋体" w:hAnsi="宋体" w:cs="宋体" w:eastAsia="宋体" w:hint="default"/>
                <w:sz w:val="18"/>
                <w:szCs w:val="18"/>
              </w:rPr>
              <w:t>-926,226.49元。</w:t>
            </w:r>
          </w:p>
        </w:tc>
      </w:tr>
      <w:tr>
        <w:trPr>
          <w:trHeight w:val="331" w:hRule="exact"/>
        </w:trPr>
        <w:tc>
          <w:tcPr>
            <w:tcW w:w="5231" w:type="dxa"/>
            <w:tcBorders>
              <w:top w:val="single" w:sz="6" w:space="0" w:color="000000"/>
              <w:left w:val="nil" w:sz="6" w:space="0" w:color="auto"/>
              <w:bottom w:val="nil" w:sz="6" w:space="0" w:color="auto"/>
              <w:right w:val="single" w:sz="4" w:space="0" w:color="000000"/>
            </w:tcBorders>
          </w:tcPr>
          <w:p>
            <w:pPr>
              <w:pStyle w:val="TableParagraph"/>
              <w:spacing w:line="240" w:lineRule="auto" w:before="22"/>
              <w:ind w:left="8" w:right="0"/>
              <w:jc w:val="left"/>
              <w:rPr>
                <w:rFonts w:ascii="宋体" w:hAnsi="宋体" w:cs="宋体" w:eastAsia="宋体" w:hint="default"/>
                <w:sz w:val="18"/>
                <w:szCs w:val="18"/>
              </w:rPr>
            </w:pPr>
            <w:r>
              <w:rPr>
                <w:rFonts w:ascii="宋体" w:hAnsi="宋体" w:cs="宋体" w:eastAsia="宋体" w:hint="default"/>
                <w:spacing w:val="-1"/>
                <w:sz w:val="18"/>
                <w:szCs w:val="18"/>
              </w:rPr>
              <w:t>金融资产减值会计处理由已发生损失法改为预期损失法，且计提范</w:t>
            </w:r>
          </w:p>
        </w:tc>
        <w:tc>
          <w:tcPr>
            <w:tcW w:w="4425" w:type="dxa"/>
            <w:tcBorders>
              <w:top w:val="single" w:sz="6" w:space="0" w:color="000000"/>
              <w:left w:val="single" w:sz="4" w:space="0" w:color="000000"/>
              <w:bottom w:val="nil" w:sz="6" w:space="0" w:color="auto"/>
              <w:right w:val="nil" w:sz="6" w:space="0" w:color="auto"/>
            </w:tcBorders>
          </w:tcPr>
          <w:p>
            <w:pPr>
              <w:pStyle w:val="TableParagraph"/>
              <w:spacing w:line="240" w:lineRule="auto" w:before="22"/>
              <w:ind w:left="5" w:right="0"/>
              <w:jc w:val="left"/>
              <w:rPr>
                <w:rFonts w:ascii="宋体" w:hAnsi="宋体" w:cs="宋体" w:eastAsia="宋体" w:hint="default"/>
                <w:sz w:val="18"/>
                <w:szCs w:val="18"/>
              </w:rPr>
            </w:pPr>
            <w:r>
              <w:rPr>
                <w:rFonts w:ascii="宋体" w:hAnsi="宋体" w:cs="宋体" w:eastAsia="宋体" w:hint="default"/>
                <w:sz w:val="18"/>
                <w:szCs w:val="18"/>
              </w:rPr>
              <w:t>无影响</w:t>
            </w:r>
          </w:p>
        </w:tc>
      </w:tr>
      <w:tr>
        <w:trPr>
          <w:trHeight w:val="312" w:hRule="exact"/>
        </w:trPr>
        <w:tc>
          <w:tcPr>
            <w:tcW w:w="5231"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left="8" w:right="0"/>
              <w:jc w:val="left"/>
              <w:rPr>
                <w:rFonts w:ascii="宋体" w:hAnsi="宋体" w:cs="宋体" w:eastAsia="宋体" w:hint="default"/>
                <w:sz w:val="18"/>
                <w:szCs w:val="18"/>
              </w:rPr>
            </w:pPr>
            <w:r>
              <w:rPr>
                <w:rFonts w:ascii="宋体" w:hAnsi="宋体" w:cs="宋体" w:eastAsia="宋体" w:hint="default"/>
                <w:spacing w:val="-1"/>
                <w:sz w:val="18"/>
                <w:szCs w:val="18"/>
              </w:rPr>
              <w:t>围有所扩大，以更加及时、足额地计提金融资产减值准备，揭示和</w:t>
            </w:r>
          </w:p>
        </w:tc>
        <w:tc>
          <w:tcPr>
            <w:tcW w:w="4425" w:type="dxa"/>
            <w:tcBorders>
              <w:top w:val="nil" w:sz="6" w:space="0" w:color="auto"/>
              <w:left w:val="single" w:sz="4" w:space="0" w:color="000000"/>
              <w:bottom w:val="nil" w:sz="6" w:space="0" w:color="auto"/>
              <w:right w:val="nil" w:sz="6" w:space="0" w:color="auto"/>
            </w:tcBorders>
          </w:tcPr>
          <w:p>
            <w:pPr/>
          </w:p>
        </w:tc>
      </w:tr>
      <w:tr>
        <w:trPr>
          <w:trHeight w:val="312" w:hRule="exact"/>
        </w:trPr>
        <w:tc>
          <w:tcPr>
            <w:tcW w:w="5231"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left="8" w:right="0"/>
              <w:jc w:val="left"/>
              <w:rPr>
                <w:rFonts w:ascii="宋体" w:hAnsi="宋体" w:cs="宋体" w:eastAsia="宋体" w:hint="default"/>
                <w:sz w:val="18"/>
                <w:szCs w:val="18"/>
              </w:rPr>
            </w:pPr>
            <w:r>
              <w:rPr>
                <w:rFonts w:ascii="宋体" w:hAnsi="宋体" w:cs="宋体" w:eastAsia="宋体" w:hint="default"/>
                <w:spacing w:val="-1"/>
                <w:sz w:val="18"/>
                <w:szCs w:val="18"/>
              </w:rPr>
              <w:t>防控金融资产信用风险。执行新金融工具准则后，对金融资产计提</w:t>
            </w:r>
          </w:p>
        </w:tc>
        <w:tc>
          <w:tcPr>
            <w:tcW w:w="4425" w:type="dxa"/>
            <w:tcBorders>
              <w:top w:val="nil" w:sz="6" w:space="0" w:color="auto"/>
              <w:left w:val="single" w:sz="4" w:space="0" w:color="000000"/>
              <w:bottom w:val="nil" w:sz="6" w:space="0" w:color="auto"/>
              <w:right w:val="nil" w:sz="6" w:space="0" w:color="auto"/>
            </w:tcBorders>
          </w:tcPr>
          <w:p>
            <w:pPr/>
          </w:p>
        </w:tc>
      </w:tr>
      <w:tr>
        <w:trPr>
          <w:trHeight w:val="321" w:hRule="exact"/>
        </w:trPr>
        <w:tc>
          <w:tcPr>
            <w:tcW w:w="5231"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left="8" w:right="0"/>
              <w:jc w:val="left"/>
              <w:rPr>
                <w:rFonts w:ascii="宋体" w:hAnsi="宋体" w:cs="宋体" w:eastAsia="宋体" w:hint="default"/>
                <w:sz w:val="18"/>
                <w:szCs w:val="18"/>
              </w:rPr>
            </w:pPr>
            <w:r>
              <w:rPr>
                <w:rFonts w:ascii="宋体" w:hAnsi="宋体" w:cs="宋体" w:eastAsia="宋体" w:hint="default"/>
                <w:sz w:val="18"/>
                <w:szCs w:val="18"/>
              </w:rPr>
              <w:t>的损失准备，计入信用减值损失。</w:t>
            </w:r>
          </w:p>
        </w:tc>
        <w:tc>
          <w:tcPr>
            <w:tcW w:w="4425" w:type="dxa"/>
            <w:tcBorders>
              <w:top w:val="nil" w:sz="6" w:space="0" w:color="auto"/>
              <w:left w:val="single" w:sz="4" w:space="0" w:color="000000"/>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316" w:lineRule="auto"/>
        <w:ind w:left="132" w:right="1033" w:firstLine="360"/>
        <w:jc w:val="left"/>
      </w:pPr>
      <w:r>
        <w:rPr>
          <w:spacing w:val="-5"/>
        </w:rPr>
        <w:t>（3）本公司经董事会会议审议通过，自2019年6月10日采用《企业会计准则第7号——非货币性资产交换》（财会〔2019〕</w:t>
      </w:r>
      <w:r>
        <w:rPr/>
        <w:t> </w:t>
      </w:r>
      <w:r>
        <w:rPr>
          <w:spacing w:val="-12"/>
        </w:rPr>
        <w:t>8号）相关规定，企业对2019</w:t>
      </w:r>
      <w:r>
        <w:rPr/>
        <w:t> </w:t>
      </w:r>
      <w:r>
        <w:rPr>
          <w:spacing w:val="-5"/>
        </w:rPr>
        <w:t>年1月1日至本准则施行日之间发生的非货币性资产交换，应根据准则规定进行调整。企业对</w:t>
      </w:r>
      <w:r>
        <w:rPr/>
        <w:t> 2019</w:t>
      </w:r>
      <w:r>
        <w:rPr>
          <w:spacing w:val="-62"/>
        </w:rPr>
        <w:t> </w:t>
      </w:r>
      <w:r>
        <w:rPr>
          <w:spacing w:val="-62"/>
        </w:rPr>
      </w:r>
      <w:r>
        <w:rPr/>
        <w:t>年1月1日之前发生的非货币性资产交换，不需要进行追溯调整。会计政策变更导致影响如下：</w:t>
      </w:r>
    </w:p>
    <w:p>
      <w:pPr>
        <w:spacing w:line="240" w:lineRule="auto" w:before="7"/>
        <w:rPr>
          <w:rFonts w:ascii="宋体" w:hAnsi="宋体" w:cs="宋体" w:eastAsia="宋体"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5231"/>
        <w:gridCol w:w="4425"/>
      </w:tblGrid>
      <w:tr>
        <w:trPr>
          <w:trHeight w:val="347" w:hRule="exact"/>
        </w:trPr>
        <w:tc>
          <w:tcPr>
            <w:tcW w:w="5231"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20"/>
              <w:ind w:left="1535" w:right="0"/>
              <w:jc w:val="left"/>
              <w:rPr>
                <w:rFonts w:ascii="宋体" w:hAnsi="宋体" w:cs="宋体" w:eastAsia="宋体" w:hint="default"/>
                <w:sz w:val="18"/>
                <w:szCs w:val="18"/>
              </w:rPr>
            </w:pPr>
            <w:r>
              <w:rPr>
                <w:rFonts w:ascii="宋体" w:hAnsi="宋体" w:cs="宋体" w:eastAsia="宋体" w:hint="default"/>
                <w:b/>
                <w:bCs/>
                <w:sz w:val="18"/>
                <w:szCs w:val="18"/>
              </w:rPr>
              <w:t>会计政策变更的内容和原因</w:t>
            </w:r>
            <w:r>
              <w:rPr>
                <w:rFonts w:ascii="宋体" w:hAnsi="宋体" w:cs="宋体" w:eastAsia="宋体" w:hint="default"/>
                <w:sz w:val="18"/>
                <w:szCs w:val="18"/>
              </w:rPr>
            </w:r>
          </w:p>
        </w:tc>
        <w:tc>
          <w:tcPr>
            <w:tcW w:w="4425"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20"/>
              <w:ind w:left="1036" w:right="0"/>
              <w:jc w:val="left"/>
              <w:rPr>
                <w:rFonts w:ascii="宋体" w:hAnsi="宋体" w:cs="宋体" w:eastAsia="宋体" w:hint="default"/>
                <w:sz w:val="18"/>
                <w:szCs w:val="18"/>
              </w:rPr>
            </w:pPr>
            <w:r>
              <w:rPr>
                <w:rFonts w:ascii="宋体" w:hAnsi="宋体" w:cs="宋体" w:eastAsia="宋体" w:hint="default"/>
                <w:b/>
                <w:bCs/>
                <w:sz w:val="18"/>
                <w:szCs w:val="18"/>
              </w:rPr>
              <w:t>受影响的报表项目名称和金额</w:t>
            </w:r>
            <w:r>
              <w:rPr>
                <w:rFonts w:ascii="宋体" w:hAnsi="宋体" w:cs="宋体" w:eastAsia="宋体" w:hint="default"/>
                <w:sz w:val="18"/>
                <w:szCs w:val="18"/>
              </w:rPr>
            </w:r>
          </w:p>
        </w:tc>
      </w:tr>
      <w:tr>
        <w:trPr>
          <w:trHeight w:val="964" w:hRule="exact"/>
        </w:trPr>
        <w:tc>
          <w:tcPr>
            <w:tcW w:w="5231" w:type="dxa"/>
            <w:tcBorders>
              <w:top w:val="single" w:sz="6" w:space="0" w:color="000000"/>
              <w:left w:val="nil" w:sz="6" w:space="0" w:color="auto"/>
              <w:bottom w:val="nil" w:sz="6" w:space="0" w:color="auto"/>
              <w:right w:val="single" w:sz="4" w:space="0" w:color="000000"/>
            </w:tcBorders>
          </w:tcPr>
          <w:p>
            <w:pPr>
              <w:pStyle w:val="TableParagraph"/>
              <w:spacing w:line="316" w:lineRule="auto" w:before="21"/>
              <w:ind w:left="8" w:right="-3"/>
              <w:jc w:val="both"/>
              <w:rPr>
                <w:rFonts w:ascii="宋体" w:hAnsi="宋体" w:cs="宋体" w:eastAsia="宋体" w:hint="default"/>
                <w:sz w:val="18"/>
                <w:szCs w:val="18"/>
              </w:rPr>
            </w:pPr>
            <w:r>
              <w:rPr>
                <w:rFonts w:ascii="宋体" w:hAnsi="宋体" w:cs="宋体" w:eastAsia="宋体" w:hint="default"/>
                <w:sz w:val="18"/>
                <w:szCs w:val="18"/>
              </w:rPr>
              <w:t>企业2019年1月1日至本准则施行日之间发生的非货币性资产交换， 应根据准则规定进行调整。企业对2019年1月1日之前发生的非货币 性资产交换，不需要进行追溯调整。</w:t>
            </w:r>
          </w:p>
        </w:tc>
        <w:tc>
          <w:tcPr>
            <w:tcW w:w="4425" w:type="dxa"/>
            <w:tcBorders>
              <w:top w:val="single" w:sz="6" w:space="0" w:color="000000"/>
              <w:left w:val="single" w:sz="4" w:space="0" w:color="000000"/>
              <w:bottom w:val="nil" w:sz="6" w:space="0" w:color="auto"/>
              <w:right w:val="nil" w:sz="6" w:space="0" w:color="auto"/>
            </w:tcBorders>
          </w:tcPr>
          <w:p>
            <w:pPr>
              <w:pStyle w:val="TableParagraph"/>
              <w:spacing w:line="240" w:lineRule="auto" w:before="21"/>
              <w:ind w:left="365" w:right="0"/>
              <w:jc w:val="left"/>
              <w:rPr>
                <w:rFonts w:ascii="宋体" w:hAnsi="宋体" w:cs="宋体" w:eastAsia="宋体" w:hint="default"/>
                <w:sz w:val="18"/>
                <w:szCs w:val="18"/>
              </w:rPr>
            </w:pPr>
            <w:r>
              <w:rPr>
                <w:rFonts w:ascii="宋体" w:hAnsi="宋体" w:cs="宋体" w:eastAsia="宋体" w:hint="default"/>
                <w:sz w:val="18"/>
                <w:szCs w:val="18"/>
              </w:rPr>
              <w:t>无影响</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6"/>
          <w:szCs w:val="16"/>
        </w:rPr>
      </w:pPr>
    </w:p>
    <w:p>
      <w:pPr>
        <w:pStyle w:val="BodyText"/>
        <w:spacing w:line="316" w:lineRule="auto"/>
        <w:ind w:left="132" w:right="1033" w:firstLine="360"/>
        <w:jc w:val="left"/>
      </w:pPr>
      <w:r>
        <w:rPr>
          <w:spacing w:val="-2"/>
        </w:rPr>
        <w:t>（4）本公司经董事会会议审议通过，自2019年6月17日采用《企业会计准则第12号——债务重组》（财会〔2019〕9号）</w:t>
      </w:r>
      <w:r>
        <w:rPr/>
        <w:t> </w:t>
      </w:r>
      <w:r>
        <w:rPr>
          <w:spacing w:val="-3"/>
        </w:rPr>
        <w:t>相关规定，企业对2019 </w:t>
      </w:r>
      <w:r>
        <w:rPr/>
        <w:t>年1月1日至本准则施行日之间发生的债务重组，应根据准则规定进行调整。企业对</w:t>
      </w:r>
      <w:r>
        <w:rPr>
          <w:spacing w:val="-30"/>
        </w:rPr>
        <w:t> </w:t>
      </w:r>
      <w:r>
        <w:rPr/>
        <w:t>2019年1月1日之</w:t>
      </w:r>
      <w:r>
        <w:rPr/>
        <w:t> 前发生的债务重组，不需要进行追溯调整。会计政策变更导致影响如下：</w:t>
      </w:r>
    </w:p>
    <w:p>
      <w:pPr>
        <w:spacing w:line="240" w:lineRule="auto" w:before="7"/>
        <w:rPr>
          <w:rFonts w:ascii="宋体" w:hAnsi="宋体" w:cs="宋体" w:eastAsia="宋体"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5231"/>
        <w:gridCol w:w="4425"/>
      </w:tblGrid>
      <w:tr>
        <w:trPr>
          <w:trHeight w:val="347" w:hRule="exact"/>
        </w:trPr>
        <w:tc>
          <w:tcPr>
            <w:tcW w:w="5231"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20"/>
              <w:ind w:left="1535" w:right="0"/>
              <w:jc w:val="left"/>
              <w:rPr>
                <w:rFonts w:ascii="宋体" w:hAnsi="宋体" w:cs="宋体" w:eastAsia="宋体" w:hint="default"/>
                <w:sz w:val="18"/>
                <w:szCs w:val="18"/>
              </w:rPr>
            </w:pPr>
            <w:r>
              <w:rPr>
                <w:rFonts w:ascii="宋体" w:hAnsi="宋体" w:cs="宋体" w:eastAsia="宋体" w:hint="default"/>
                <w:b/>
                <w:bCs/>
                <w:sz w:val="18"/>
                <w:szCs w:val="18"/>
              </w:rPr>
              <w:t>会计政策变更的内容和原因</w:t>
            </w:r>
            <w:r>
              <w:rPr>
                <w:rFonts w:ascii="宋体" w:hAnsi="宋体" w:cs="宋体" w:eastAsia="宋体" w:hint="default"/>
                <w:sz w:val="18"/>
                <w:szCs w:val="18"/>
              </w:rPr>
            </w:r>
          </w:p>
        </w:tc>
        <w:tc>
          <w:tcPr>
            <w:tcW w:w="4425"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20"/>
              <w:ind w:left="1036" w:right="0"/>
              <w:jc w:val="left"/>
              <w:rPr>
                <w:rFonts w:ascii="宋体" w:hAnsi="宋体" w:cs="宋体" w:eastAsia="宋体" w:hint="default"/>
                <w:sz w:val="18"/>
                <w:szCs w:val="18"/>
              </w:rPr>
            </w:pPr>
            <w:r>
              <w:rPr>
                <w:rFonts w:ascii="宋体" w:hAnsi="宋体" w:cs="宋体" w:eastAsia="宋体" w:hint="default"/>
                <w:b/>
                <w:bCs/>
                <w:sz w:val="18"/>
                <w:szCs w:val="18"/>
              </w:rPr>
              <w:t>受影响的报表项目名称和金额</w:t>
            </w:r>
            <w:r>
              <w:rPr>
                <w:rFonts w:ascii="宋体" w:hAnsi="宋体" w:cs="宋体" w:eastAsia="宋体" w:hint="default"/>
                <w:sz w:val="18"/>
                <w:szCs w:val="18"/>
              </w:rPr>
            </w:r>
          </w:p>
        </w:tc>
      </w:tr>
      <w:tr>
        <w:trPr>
          <w:trHeight w:val="971" w:hRule="exact"/>
        </w:trPr>
        <w:tc>
          <w:tcPr>
            <w:tcW w:w="5231" w:type="dxa"/>
            <w:tcBorders>
              <w:top w:val="single" w:sz="6" w:space="0" w:color="000000"/>
              <w:left w:val="nil" w:sz="6" w:space="0" w:color="auto"/>
              <w:bottom w:val="single" w:sz="6" w:space="0" w:color="000000"/>
              <w:right w:val="single" w:sz="4" w:space="0" w:color="000000"/>
            </w:tcBorders>
          </w:tcPr>
          <w:p>
            <w:pPr>
              <w:pStyle w:val="TableParagraph"/>
              <w:spacing w:line="316" w:lineRule="auto" w:before="21"/>
              <w:ind w:left="8" w:right="2"/>
              <w:jc w:val="both"/>
              <w:rPr>
                <w:rFonts w:ascii="宋体" w:hAnsi="宋体" w:cs="宋体" w:eastAsia="宋体" w:hint="default"/>
                <w:sz w:val="18"/>
                <w:szCs w:val="18"/>
              </w:rPr>
            </w:pPr>
            <w:r>
              <w:rPr>
                <w:rFonts w:ascii="宋体" w:hAnsi="宋体" w:cs="宋体" w:eastAsia="宋体" w:hint="default"/>
                <w:spacing w:val="-1"/>
                <w:sz w:val="18"/>
                <w:szCs w:val="18"/>
              </w:rPr>
              <w:t>企业2019年1月1日至本准则施行日之间发生的债务重组，应根据准</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1"/>
                <w:sz w:val="18"/>
                <w:szCs w:val="18"/>
              </w:rPr>
              <w:t>则规定进行调整。企业对2019年1月1日之前发生的债务重组，不需</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要进行追溯调整。</w:t>
            </w:r>
          </w:p>
        </w:tc>
        <w:tc>
          <w:tcPr>
            <w:tcW w:w="4425"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21"/>
              <w:ind w:left="636" w:right="0"/>
              <w:jc w:val="left"/>
              <w:rPr>
                <w:rFonts w:ascii="宋体" w:hAnsi="宋体" w:cs="宋体" w:eastAsia="宋体" w:hint="default"/>
                <w:sz w:val="18"/>
                <w:szCs w:val="18"/>
              </w:rPr>
            </w:pPr>
            <w:r>
              <w:rPr>
                <w:rFonts w:ascii="宋体" w:hAnsi="宋体" w:cs="宋体" w:eastAsia="宋体" w:hint="default"/>
                <w:sz w:val="18"/>
                <w:szCs w:val="18"/>
              </w:rPr>
              <w:t>无影响</w:t>
            </w:r>
          </w:p>
        </w:tc>
      </w:tr>
    </w:tbl>
    <w:p>
      <w:pPr>
        <w:spacing w:line="240" w:lineRule="auto" w:before="4"/>
        <w:rPr>
          <w:rFonts w:ascii="宋体" w:hAnsi="宋体" w:cs="宋体" w:eastAsia="宋体" w:hint="default"/>
          <w:sz w:val="19"/>
          <w:szCs w:val="19"/>
        </w:rPr>
      </w:pPr>
    </w:p>
    <w:p>
      <w:pPr>
        <w:pStyle w:val="Heading3"/>
        <w:spacing w:line="240" w:lineRule="auto" w:before="34"/>
        <w:ind w:left="132" w:right="1124"/>
        <w:jc w:val="left"/>
        <w:rPr>
          <w:b w:val="0"/>
          <w:bCs w:val="0"/>
        </w:rPr>
      </w:pPr>
      <w:bookmarkStart w:name="（2）重要会计估计变更" w:id="228"/>
      <w:bookmarkEnd w:id="228"/>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32" w:right="1124"/>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left="132" w:right="1033"/>
        <w:jc w:val="left"/>
        <w:rPr>
          <w:b w:val="0"/>
          <w:bCs w:val="0"/>
        </w:rPr>
      </w:pPr>
      <w:bookmarkStart w:name="（3）2019年起执行新金融工具准则、新收入准则或新租赁准则调整执行当年年初财务" w:id="229"/>
      <w:bookmarkEnd w:id="229"/>
      <w:r>
        <w:rPr>
          <w:b w:val="0"/>
          <w:bCs w:val="0"/>
        </w:rPr>
      </w: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20"/>
        </w:rPr>
        <w:t> </w:t>
      </w:r>
      <w:r>
        <w:rPr/>
        <w:t>年起执行新金融工具准则、新收入准则或新租赁准则调整执行当年年初财务报表相关项目情况</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19" w:footer="1016" w:top="1120" w:bottom="1200" w:left="1000" w:right="0"/>
        </w:sectPr>
      </w:pPr>
    </w:p>
    <w:p>
      <w:pPr>
        <w:pStyle w:val="BodyText"/>
        <w:spacing w:line="360" w:lineRule="auto" w:before="44"/>
        <w:ind w:left="132" w:right="-18"/>
        <w:jc w:val="left"/>
      </w:pPr>
      <w:r>
        <w:rPr/>
        <w:t>√ 适用 □ 不适用 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left="132" w:right="0"/>
        <w:jc w:val="left"/>
      </w:pPr>
      <w:r>
        <w:rPr/>
        <w:t>单位：元</w:t>
      </w:r>
    </w:p>
    <w:p>
      <w:pPr>
        <w:spacing w:after="0" w:line="240" w:lineRule="auto"/>
        <w:jc w:val="left"/>
        <w:sectPr>
          <w:type w:val="continuous"/>
          <w:pgSz w:w="11910" w:h="16840"/>
          <w:pgMar w:top="1100" w:bottom="1200" w:left="1000" w:right="0"/>
          <w:cols w:num="2" w:equalWidth="0">
            <w:col w:w="1665" w:space="7254"/>
            <w:col w:w="1991"/>
          </w:cols>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206"/>
        <w:gridCol w:w="2453"/>
        <w:gridCol w:w="2454"/>
        <w:gridCol w:w="2454"/>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372,220,940.35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372,220,940.35</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347,321,635.20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347,321,635.20</w:t>
            </w:r>
          </w:p>
        </w:tc>
      </w:tr>
      <w:tr>
        <w:trPr>
          <w:trHeight w:val="1026"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12"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538,306,992.52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538,306,992.52</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7,012,059.67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7,012,059.67</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366,451,052.71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366,451,052.71</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4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299,547.71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299,547.71</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1,668,540.09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1,668,540.09</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12" w:firstLine="360"/>
              <w:jc w:val="left"/>
              <w:rPr>
                <w:rFonts w:ascii="宋体" w:hAnsi="宋体" w:cs="宋体" w:eastAsia="宋体" w:hint="default"/>
                <w:sz w:val="18"/>
                <w:szCs w:val="18"/>
              </w:rPr>
            </w:pPr>
            <w:r>
              <w:rPr>
                <w:rFonts w:ascii="宋体" w:hAnsi="宋体" w:cs="宋体" w:eastAsia="宋体" w:hint="default"/>
                <w:sz w:val="18"/>
                <w:szCs w:val="18"/>
              </w:rPr>
              <w:t>一年内到期的非流动 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347,588,175.23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1,688,175.23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-345,900,000.00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1,633,247,760.57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1,634,669,395.77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1,421,635.20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35,425,700.00</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-35,425,700.00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9" w:footer="1016"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206"/>
        <w:gridCol w:w="2453"/>
        <w:gridCol w:w="2454"/>
        <w:gridCol w:w="2454"/>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618,739,687.62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618,739,687.62</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20,000,000.00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12"/>
              <w:jc w:val="righ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18,854,250.00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18,854,250.00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87,297,329.92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87,297,329.92</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815,844,646.64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815,844,646.64</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1,326,568.00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1,326,568.00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1,504,511.33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1,504,511.33</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7"/>
              <w:jc w:val="right"/>
              <w:rPr>
                <w:rFonts w:ascii="Times New Roman" w:hAnsi="Times New Roman" w:cs="Times New Roman" w:eastAsia="Times New Roman" w:hint="default"/>
                <w:sz w:val="18"/>
                <w:szCs w:val="18"/>
              </w:rPr>
            </w:pPr>
            <w:r>
              <w:rPr>
                <w:rFonts w:ascii="Times New Roman"/>
                <w:spacing w:val="-1"/>
                <w:sz w:val="18"/>
              </w:rPr>
              <w:t>561,918.11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561,918.11</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7,826,810.66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7,826,810.66</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8,139,400.17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4,710,850.17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-3,428,550.00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1,576,666,572.45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1,576,666,572.45</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3,209,914,333.02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3,211,335,968.22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1,421,635.20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235,000,000.00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235,000,000.00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12"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2,031,543.16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2,031,543.16</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6,579,148.01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6,579,148.01</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12"/>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2"/>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27,294,615.03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27,294,615.03</w:t>
            </w:r>
          </w:p>
        </w:tc>
        <w:tc>
          <w:tcPr>
            <w:tcW w:w="245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9" w:footer="1016"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206"/>
        <w:gridCol w:w="2453"/>
        <w:gridCol w:w="2454"/>
        <w:gridCol w:w="2454"/>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57,449,816.12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57,449,816.12</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39,668,160.21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39,668,160.21</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92"/>
              <w:jc w:val="right"/>
              <w:rPr>
                <w:rFonts w:ascii="宋体" w:hAnsi="宋体" w:cs="宋体" w:eastAsia="宋体" w:hint="default"/>
                <w:sz w:val="18"/>
                <w:szCs w:val="18"/>
              </w:rPr>
            </w:pPr>
            <w:r>
              <w:rPr>
                <w:rFonts w:ascii="宋体" w:hAnsi="宋体" w:cs="宋体" w:eastAsia="宋体" w:hint="default"/>
                <w:sz w:val="18"/>
                <w:szCs w:val="18"/>
              </w:rPr>
              <w:t>其中：应付利息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380,107.47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380,107.47</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92"/>
              <w:jc w:val="right"/>
              <w:rPr>
                <w:rFonts w:ascii="宋体" w:hAnsi="宋体" w:cs="宋体" w:eastAsia="宋体" w:hint="default"/>
                <w:sz w:val="18"/>
                <w:szCs w:val="18"/>
              </w:rPr>
            </w:pPr>
            <w:r>
              <w:rPr>
                <w:rFonts w:ascii="宋体" w:hAnsi="宋体" w:cs="宋体" w:eastAsia="宋体" w:hint="default"/>
                <w:sz w:val="18"/>
                <w:szCs w:val="18"/>
              </w:rPr>
              <w:t>应付股利</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92"/>
              <w:jc w:val="righ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12" w:firstLine="360"/>
              <w:jc w:val="left"/>
              <w:rPr>
                <w:rFonts w:ascii="宋体" w:hAnsi="宋体" w:cs="宋体" w:eastAsia="宋体" w:hint="default"/>
                <w:sz w:val="18"/>
                <w:szCs w:val="18"/>
              </w:rPr>
            </w:pPr>
            <w:r>
              <w:rPr>
                <w:rFonts w:ascii="宋体" w:hAnsi="宋体" w:cs="宋体" w:eastAsia="宋体" w:hint="default"/>
                <w:sz w:val="18"/>
                <w:szCs w:val="18"/>
              </w:rPr>
              <w:t>一年内到期的非流动 负债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717,965.33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717,965.33</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368,741,247.86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368,741,247.86</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4,243,144.59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4,243,144.59</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4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8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92"/>
              <w:jc w:val="righ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2,200,000.00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2,200,000.00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140,864.89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140,864.89</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6,443,144.59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6,584,009.48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140,864.89</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375,184,392.45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375,325,257.34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140,864.89</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742,214,580.00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742,214,580.00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4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8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1,540,992,220.53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1,540,992,220.53</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35,277,742.50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35,277,742.50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-6,129,536.47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-1,042,634.10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5,086,902.37</w:t>
            </w:r>
          </w:p>
        </w:tc>
      </w:tr>
    </w:tbl>
    <w:p>
      <w:pPr>
        <w:spacing w:after="0" w:line="240" w:lineRule="auto"/>
        <w:jc w:val="right"/>
        <w:rPr>
          <w:rFonts w:ascii="Times New Roman" w:hAnsi="Times New Roman" w:cs="Times New Roman" w:eastAsia="Times New Roman" w:hint="default"/>
          <w:sz w:val="18"/>
          <w:szCs w:val="18"/>
        </w:rPr>
        <w:sectPr>
          <w:pgSz w:w="11910" w:h="16840"/>
          <w:pgMar w:header="919" w:footer="1016"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29" w:type="dxa"/>
        <w:tblLayout w:type="fixed"/>
        <w:tblCellMar>
          <w:top w:w="0" w:type="dxa"/>
          <w:left w:w="0" w:type="dxa"/>
          <w:bottom w:w="0" w:type="dxa"/>
          <w:right w:w="0" w:type="dxa"/>
        </w:tblCellMar>
        <w:tblLook w:val="01E0"/>
      </w:tblPr>
      <w:tblGrid>
        <w:gridCol w:w="2206"/>
        <w:gridCol w:w="2453"/>
        <w:gridCol w:w="2454"/>
        <w:gridCol w:w="2454"/>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72,193,645.96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71,810,565.35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-383,080.61</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399,658,743.99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396,224,305.50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-3,434,438.49</w:t>
            </w:r>
          </w:p>
        </w:tc>
      </w:tr>
      <w:tr>
        <w:trPr>
          <w:trHeight w:val="71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12"/>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2,713,651,911.51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2,714,921,294.78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1,269,383.27</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121,078,029.06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121,089,416.10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11,387.04</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2,834,729,940.57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2,836,010,710.88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1,280,770.31</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3,209,914,333.02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3,211,335,968.22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1,421,635.20</w:t>
            </w:r>
          </w:p>
        </w:tc>
      </w:tr>
    </w:tbl>
    <w:p>
      <w:pPr>
        <w:pStyle w:val="BodyText"/>
        <w:spacing w:line="360" w:lineRule="auto" w:before="50"/>
        <w:ind w:left="132" w:right="5714"/>
        <w:jc w:val="left"/>
      </w:pPr>
      <w:r>
        <w:rPr/>
        <w:t>调整情况说明 执行新金融工具准则对公司2019年1月1日财务报表的影响如下：</w:t>
      </w:r>
    </w:p>
    <w:p>
      <w:pPr>
        <w:spacing w:line="240" w:lineRule="auto" w:before="1"/>
        <w:rPr>
          <w:rFonts w:ascii="宋体" w:hAnsi="宋体" w:cs="宋体" w:eastAsia="宋体" w:hint="default"/>
          <w:sz w:val="10"/>
          <w:szCs w:val="10"/>
        </w:rPr>
      </w:pPr>
    </w:p>
    <w:tbl>
      <w:tblPr>
        <w:tblW w:w="0" w:type="auto"/>
        <w:jc w:val="left"/>
        <w:tblInd w:w="116" w:type="dxa"/>
        <w:tblLayout w:type="fixed"/>
        <w:tblCellMar>
          <w:top w:w="0" w:type="dxa"/>
          <w:left w:w="0" w:type="dxa"/>
          <w:bottom w:w="0" w:type="dxa"/>
          <w:right w:w="0" w:type="dxa"/>
        </w:tblCellMar>
        <w:tblLook w:val="01E0"/>
      </w:tblPr>
      <w:tblGrid>
        <w:gridCol w:w="2127"/>
        <w:gridCol w:w="2113"/>
        <w:gridCol w:w="2706"/>
        <w:gridCol w:w="2710"/>
      </w:tblGrid>
      <w:tr>
        <w:trPr>
          <w:trHeight w:val="347" w:hRule="exact"/>
        </w:trPr>
        <w:tc>
          <w:tcPr>
            <w:tcW w:w="2127" w:type="dxa"/>
            <w:vMerge w:val="restart"/>
            <w:tcBorders>
              <w:top w:val="single" w:sz="6" w:space="0" w:color="000000"/>
              <w:left w:val="single" w:sz="6" w:space="0" w:color="000000"/>
              <w:right w:val="single" w:sz="6" w:space="0" w:color="000000"/>
            </w:tcBorders>
          </w:tcPr>
          <w:p>
            <w:pPr>
              <w:pStyle w:val="TableParagraph"/>
              <w:spacing w:line="240" w:lineRule="auto" w:before="22"/>
              <w:ind w:left="695"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752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资产负债表</w:t>
            </w:r>
            <w:r>
              <w:rPr>
                <w:rFonts w:ascii="宋体" w:hAnsi="宋体" w:cs="宋体" w:eastAsia="宋体" w:hint="default"/>
                <w:sz w:val="18"/>
                <w:szCs w:val="18"/>
              </w:rPr>
            </w:r>
          </w:p>
        </w:tc>
      </w:tr>
      <w:tr>
        <w:trPr>
          <w:trHeight w:val="347" w:hRule="exact"/>
        </w:trPr>
        <w:tc>
          <w:tcPr>
            <w:tcW w:w="2127" w:type="dxa"/>
            <w:vMerge/>
            <w:tcBorders>
              <w:left w:val="single" w:sz="6" w:space="0" w:color="000000"/>
              <w:bottom w:val="single" w:sz="6" w:space="0" w:color="000000"/>
              <w:right w:val="single" w:sz="6" w:space="0" w:color="000000"/>
            </w:tcBorders>
          </w:tcPr>
          <w:p>
            <w:pP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72" w:right="0"/>
              <w:jc w:val="left"/>
              <w:rPr>
                <w:rFonts w:ascii="宋体" w:hAnsi="宋体" w:cs="宋体" w:eastAsia="宋体" w:hint="default"/>
                <w:sz w:val="18"/>
                <w:szCs w:val="18"/>
              </w:rPr>
            </w:pPr>
            <w:r>
              <w:rPr>
                <w:rFonts w:ascii="宋体" w:hAnsi="宋体" w:cs="宋体" w:eastAsia="宋体" w:hint="default"/>
                <w:b/>
                <w:bCs/>
                <w:sz w:val="18"/>
                <w:szCs w:val="18"/>
              </w:rPr>
              <w:t>2018年12月</w:t>
            </w:r>
            <w:r>
              <w:rPr>
                <w:rFonts w:ascii="宋体" w:hAnsi="宋体" w:cs="宋体" w:eastAsia="宋体" w:hint="default"/>
                <w:b/>
                <w:bCs/>
                <w:spacing w:val="-4"/>
                <w:sz w:val="18"/>
                <w:szCs w:val="18"/>
              </w:rPr>
              <w:t> </w:t>
            </w:r>
            <w:r>
              <w:rPr>
                <w:rFonts w:ascii="宋体" w:hAnsi="宋体" w:cs="宋体" w:eastAsia="宋体" w:hint="default"/>
                <w:b/>
                <w:bCs/>
                <w:sz w:val="18"/>
                <w:szCs w:val="18"/>
              </w:rPr>
              <w:t>31日</w:t>
            </w:r>
            <w:r>
              <w:rPr>
                <w:rFonts w:ascii="宋体" w:hAnsi="宋体" w:cs="宋体" w:eastAsia="宋体" w:hint="default"/>
                <w:sz w:val="18"/>
                <w:szCs w:val="18"/>
              </w:rPr>
            </w:r>
          </w:p>
        </w:tc>
        <w:tc>
          <w:tcPr>
            <w:tcW w:w="2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55" w:right="0"/>
              <w:jc w:val="left"/>
              <w:rPr>
                <w:rFonts w:ascii="宋体" w:hAnsi="宋体" w:cs="宋体" w:eastAsia="宋体" w:hint="default"/>
                <w:sz w:val="18"/>
                <w:szCs w:val="18"/>
              </w:rPr>
            </w:pPr>
            <w:r>
              <w:rPr>
                <w:rFonts w:ascii="宋体" w:hAnsi="宋体" w:cs="宋体" w:eastAsia="宋体" w:hint="default"/>
                <w:b/>
                <w:bCs/>
                <w:sz w:val="18"/>
                <w:szCs w:val="18"/>
              </w:rPr>
              <w:t>新金融工具准则调整影响</w:t>
            </w:r>
            <w:r>
              <w:rPr>
                <w:rFonts w:ascii="宋体" w:hAnsi="宋体" w:cs="宋体" w:eastAsia="宋体" w:hint="default"/>
                <w:sz w:val="18"/>
                <w:szCs w:val="18"/>
              </w:rPr>
            </w:r>
          </w:p>
        </w:tc>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761" w:right="0"/>
              <w:jc w:val="left"/>
              <w:rPr>
                <w:rFonts w:ascii="宋体" w:hAnsi="宋体" w:cs="宋体" w:eastAsia="宋体" w:hint="default"/>
                <w:sz w:val="18"/>
                <w:szCs w:val="18"/>
              </w:rPr>
            </w:pPr>
            <w:r>
              <w:rPr>
                <w:rFonts w:ascii="宋体" w:hAnsi="宋体" w:cs="宋体" w:eastAsia="宋体" w:hint="default"/>
                <w:b/>
                <w:bCs/>
                <w:sz w:val="18"/>
                <w:szCs w:val="18"/>
              </w:rPr>
              <w:t>2019年1月</w:t>
            </w:r>
            <w:r>
              <w:rPr>
                <w:rFonts w:ascii="宋体" w:hAnsi="宋体" w:cs="宋体" w:eastAsia="宋体" w:hint="default"/>
                <w:b/>
                <w:bCs/>
                <w:spacing w:val="-5"/>
                <w:sz w:val="18"/>
                <w:szCs w:val="18"/>
              </w:rPr>
              <w:t> </w:t>
            </w:r>
            <w:r>
              <w:rPr>
                <w:rFonts w:ascii="宋体" w:hAnsi="宋体" w:cs="宋体" w:eastAsia="宋体" w:hint="default"/>
                <w:b/>
                <w:bCs/>
                <w:sz w:val="18"/>
                <w:szCs w:val="18"/>
              </w:rPr>
              <w:t>1日</w:t>
            </w:r>
            <w:r>
              <w:rPr>
                <w:rFonts w:ascii="宋体" w:hAnsi="宋体" w:cs="宋体" w:eastAsia="宋体" w:hint="default"/>
                <w:sz w:val="18"/>
                <w:szCs w:val="18"/>
              </w:rPr>
            </w:r>
          </w:p>
        </w:tc>
      </w:tr>
      <w:tr>
        <w:trPr>
          <w:trHeight w:val="347"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sz w:val="18"/>
              </w:rPr>
              <w:t>-</w:t>
            </w:r>
          </w:p>
        </w:tc>
        <w:tc>
          <w:tcPr>
            <w:tcW w:w="2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347,321,635.20</w:t>
            </w:r>
          </w:p>
        </w:tc>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347,321,635.20</w:t>
            </w:r>
          </w:p>
        </w:tc>
      </w:tr>
      <w:tr>
        <w:trPr>
          <w:trHeight w:val="347"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347,588,175.23</w:t>
            </w:r>
          </w:p>
        </w:tc>
        <w:tc>
          <w:tcPr>
            <w:tcW w:w="2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-345,900,000.00</w:t>
            </w:r>
          </w:p>
        </w:tc>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1,688,175.23</w:t>
            </w:r>
          </w:p>
        </w:tc>
      </w:tr>
      <w:tr>
        <w:trPr>
          <w:trHeight w:val="347"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pacing w:val="-1"/>
                <w:sz w:val="18"/>
              </w:rPr>
              <w:t>35,425,700.00</w:t>
            </w:r>
          </w:p>
        </w:tc>
        <w:tc>
          <w:tcPr>
            <w:tcW w:w="2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pacing w:val="-1"/>
                <w:sz w:val="18"/>
              </w:rPr>
              <w:t>-35,425,700.00</w:t>
            </w:r>
          </w:p>
        </w:tc>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w:t>
            </w:r>
          </w:p>
        </w:tc>
      </w:tr>
      <w:tr>
        <w:trPr>
          <w:trHeight w:val="347"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113" w:type="dxa"/>
            <w:tcBorders>
              <w:top w:val="single" w:sz="6" w:space="0" w:color="000000"/>
              <w:left w:val="single" w:sz="6" w:space="0" w:color="000000"/>
              <w:bottom w:val="single" w:sz="6" w:space="0" w:color="000000"/>
              <w:right w:val="single" w:sz="6" w:space="0" w:color="000000"/>
            </w:tcBorders>
          </w:tcPr>
          <w:p>
            <w:pPr/>
          </w:p>
        </w:tc>
        <w:tc>
          <w:tcPr>
            <w:tcW w:w="2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20,000,000.00</w:t>
            </w:r>
          </w:p>
        </w:tc>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20,000,000.00</w:t>
            </w:r>
          </w:p>
        </w:tc>
      </w:tr>
      <w:tr>
        <w:trPr>
          <w:trHeight w:val="347"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113" w:type="dxa"/>
            <w:tcBorders>
              <w:top w:val="single" w:sz="6" w:space="0" w:color="000000"/>
              <w:left w:val="single" w:sz="6" w:space="0" w:color="000000"/>
              <w:bottom w:val="single" w:sz="6" w:space="0" w:color="000000"/>
              <w:right w:val="single" w:sz="6" w:space="0" w:color="000000"/>
            </w:tcBorders>
          </w:tcPr>
          <w:p>
            <w:pPr/>
          </w:p>
        </w:tc>
        <w:tc>
          <w:tcPr>
            <w:tcW w:w="2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pacing w:val="-1"/>
                <w:sz w:val="18"/>
              </w:rPr>
              <w:t>18,854,250.00</w:t>
            </w:r>
          </w:p>
        </w:tc>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pacing w:val="-1"/>
                <w:sz w:val="18"/>
              </w:rPr>
              <w:t>18,854,250.00</w:t>
            </w:r>
          </w:p>
        </w:tc>
      </w:tr>
      <w:tr>
        <w:trPr>
          <w:trHeight w:val="347"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spacing w:val="-1"/>
                <w:sz w:val="18"/>
              </w:rPr>
              <w:t>8,139,400.17</w:t>
            </w:r>
          </w:p>
        </w:tc>
        <w:tc>
          <w:tcPr>
            <w:tcW w:w="2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-3,428,550.00</w:t>
            </w:r>
          </w:p>
        </w:tc>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4,710,850.17</w:t>
            </w:r>
          </w:p>
        </w:tc>
      </w:tr>
      <w:tr>
        <w:trPr>
          <w:trHeight w:val="347"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113" w:type="dxa"/>
            <w:tcBorders>
              <w:top w:val="single" w:sz="6" w:space="0" w:color="000000"/>
              <w:left w:val="single" w:sz="6" w:space="0" w:color="000000"/>
              <w:bottom w:val="single" w:sz="6" w:space="0" w:color="000000"/>
              <w:right w:val="single" w:sz="6" w:space="0" w:color="000000"/>
            </w:tcBorders>
          </w:tcPr>
          <w:p>
            <w:pPr/>
          </w:p>
        </w:tc>
        <w:tc>
          <w:tcPr>
            <w:tcW w:w="2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140,864.89</w:t>
            </w:r>
          </w:p>
        </w:tc>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140,864.89</w:t>
            </w:r>
          </w:p>
        </w:tc>
      </w:tr>
      <w:tr>
        <w:trPr>
          <w:trHeight w:val="347"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pacing w:val="-1"/>
                <w:sz w:val="18"/>
              </w:rPr>
              <w:t>-6,129,536.47</w:t>
            </w:r>
          </w:p>
        </w:tc>
        <w:tc>
          <w:tcPr>
            <w:tcW w:w="2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pacing w:val="-1"/>
                <w:sz w:val="18"/>
              </w:rPr>
              <w:t>5,086,902.37</w:t>
            </w:r>
          </w:p>
        </w:tc>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pacing w:val="-1"/>
                <w:sz w:val="18"/>
              </w:rPr>
              <w:t>-1,042,634.10</w:t>
            </w:r>
          </w:p>
        </w:tc>
      </w:tr>
      <w:tr>
        <w:trPr>
          <w:trHeight w:val="347"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72,193,645.96</w:t>
            </w:r>
          </w:p>
        </w:tc>
        <w:tc>
          <w:tcPr>
            <w:tcW w:w="2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-383,080.61</w:t>
            </w:r>
          </w:p>
        </w:tc>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71,810,565.35</w:t>
            </w:r>
          </w:p>
        </w:tc>
      </w:tr>
      <w:tr>
        <w:trPr>
          <w:trHeight w:val="347"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pacing w:val="-1"/>
                <w:sz w:val="18"/>
              </w:rPr>
              <w:t>399,658,743.99</w:t>
            </w:r>
          </w:p>
        </w:tc>
        <w:tc>
          <w:tcPr>
            <w:tcW w:w="2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pacing w:val="-1"/>
                <w:sz w:val="18"/>
              </w:rPr>
              <w:t>-3,434,438.49</w:t>
            </w:r>
          </w:p>
        </w:tc>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pacing w:val="-1"/>
                <w:sz w:val="18"/>
              </w:rPr>
              <w:t>396,224,305.50</w:t>
            </w:r>
          </w:p>
        </w:tc>
      </w:tr>
      <w:tr>
        <w:trPr>
          <w:trHeight w:val="347"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spacing w:val="-1"/>
                <w:sz w:val="18"/>
              </w:rPr>
              <w:t>121,078,029.06</w:t>
            </w:r>
          </w:p>
        </w:tc>
        <w:tc>
          <w:tcPr>
            <w:tcW w:w="2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11,387.04</w:t>
            </w:r>
          </w:p>
        </w:tc>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121,089,416.10</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ind w:left="132" w:right="1124"/>
        <w:jc w:val="left"/>
      </w:pPr>
      <w:r>
        <w:rPr/>
        <w:t>母公司资产负债表</w:t>
      </w:r>
    </w:p>
    <w:p>
      <w:pPr>
        <w:pStyle w:val="BodyText"/>
        <w:spacing w:line="240" w:lineRule="auto" w:before="117"/>
        <w:ind w:left="0" w:right="1132"/>
        <w:jc w:val="right"/>
      </w:pPr>
      <w:r>
        <w:rPr/>
        <w:t>单位：元</w:t>
      </w:r>
    </w:p>
    <w:p>
      <w:pPr>
        <w:spacing w:line="240" w:lineRule="auto" w:before="0"/>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2206"/>
        <w:gridCol w:w="2453"/>
        <w:gridCol w:w="2454"/>
        <w:gridCol w:w="2454"/>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349,922,956.66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349,922,956.66</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327,295,662.60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16" w:right="0"/>
              <w:jc w:val="left"/>
              <w:rPr>
                <w:rFonts w:ascii="Times New Roman" w:hAnsi="Times New Roman" w:cs="Times New Roman" w:eastAsia="Times New Roman" w:hint="default"/>
                <w:sz w:val="18"/>
                <w:szCs w:val="18"/>
              </w:rPr>
            </w:pPr>
            <w:r>
              <w:rPr>
                <w:rFonts w:ascii="Times New Roman"/>
                <w:sz w:val="18"/>
              </w:rPr>
              <w:t>327,295,662.60</w:t>
            </w:r>
          </w:p>
        </w:tc>
      </w:tr>
      <w:tr>
        <w:trPr>
          <w:trHeight w:val="1026"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12"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395,938,215.90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395,938,215.90</w:t>
            </w:r>
          </w:p>
        </w:tc>
        <w:tc>
          <w:tcPr>
            <w:tcW w:w="245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9" w:footer="1016" w:top="1120" w:bottom="1200" w:left="100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206"/>
        <w:gridCol w:w="2453"/>
        <w:gridCol w:w="2454"/>
        <w:gridCol w:w="2454"/>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5,793,878.73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5,793,878.73</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15,061,725.42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15,061,725.42</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12" w:firstLine="360"/>
              <w:jc w:val="left"/>
              <w:rPr>
                <w:rFonts w:ascii="宋体" w:hAnsi="宋体" w:cs="宋体" w:eastAsia="宋体" w:hint="default"/>
                <w:sz w:val="18"/>
                <w:szCs w:val="18"/>
              </w:rPr>
            </w:pPr>
            <w:r>
              <w:rPr>
                <w:rFonts w:ascii="宋体" w:hAnsi="宋体" w:cs="宋体" w:eastAsia="宋体" w:hint="default"/>
                <w:sz w:val="18"/>
                <w:szCs w:val="18"/>
              </w:rPr>
              <w:t>一年内到期的非流动 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327,587,894.37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1,687,894.37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-325,900,000.00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1,094,304,671.08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1,095,700,333.68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1,395,662.60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20,000,000.00</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877,739,687.62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877,739,687.62</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3,428,550.00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3,428,550.00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87,297,329.92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87,297,329.92</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815,176,089.53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815,176,089.53</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1,317,108.64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1,317,108.64</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pacing w:val="-1"/>
                <w:sz w:val="18"/>
              </w:rPr>
              <w:t>561,918.11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561,918.11</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3,508,107.10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3,508,107.10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8,139,400.17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4,710,850.17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-3,428,550.00</w:t>
            </w:r>
          </w:p>
        </w:tc>
      </w:tr>
      <w:tr>
        <w:trPr>
          <w:trHeight w:val="400"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1,813,739,641.09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1,813,739,641.09</w:t>
            </w:r>
          </w:p>
        </w:tc>
        <w:tc>
          <w:tcPr>
            <w:tcW w:w="245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9" w:footer="1016"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206"/>
        <w:gridCol w:w="2453"/>
        <w:gridCol w:w="2454"/>
        <w:gridCol w:w="2454"/>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2,908,044,312.17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2,909,439,974.77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1,395,662.60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50,000,000.00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50,000,000.00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12"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1,877,552.31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1,877,552.31</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4,760,277.02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4,760,277.02</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26,295,442.28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26,295,442.28</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43,730,853.59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43,730,853.59</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37,831,508.50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37,831,508.50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92"/>
              <w:jc w:val="right"/>
              <w:rPr>
                <w:rFonts w:ascii="宋体" w:hAnsi="宋体" w:cs="宋体" w:eastAsia="宋体" w:hint="default"/>
                <w:sz w:val="18"/>
                <w:szCs w:val="18"/>
              </w:rPr>
            </w:pPr>
            <w:r>
              <w:rPr>
                <w:rFonts w:ascii="宋体" w:hAnsi="宋体" w:cs="宋体" w:eastAsia="宋体" w:hint="default"/>
                <w:sz w:val="18"/>
                <w:szCs w:val="18"/>
              </w:rPr>
              <w:t>其中：应付利息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91,755.76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91,755.76</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92"/>
              <w:jc w:val="right"/>
              <w:rPr>
                <w:rFonts w:ascii="宋体" w:hAnsi="宋体" w:cs="宋体" w:eastAsia="宋体" w:hint="default"/>
                <w:sz w:val="18"/>
                <w:szCs w:val="18"/>
              </w:rPr>
            </w:pPr>
            <w:r>
              <w:rPr>
                <w:rFonts w:ascii="宋体" w:hAnsi="宋体" w:cs="宋体" w:eastAsia="宋体" w:hint="default"/>
                <w:sz w:val="18"/>
                <w:szCs w:val="18"/>
              </w:rPr>
              <w:t>应付股利</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12" w:firstLine="360"/>
              <w:jc w:val="left"/>
              <w:rPr>
                <w:rFonts w:ascii="宋体" w:hAnsi="宋体" w:cs="宋体" w:eastAsia="宋体" w:hint="default"/>
                <w:sz w:val="18"/>
                <w:szCs w:val="18"/>
              </w:rPr>
            </w:pPr>
            <w:r>
              <w:rPr>
                <w:rFonts w:ascii="宋体" w:hAnsi="宋体" w:cs="宋体" w:eastAsia="宋体" w:hint="default"/>
                <w:sz w:val="18"/>
                <w:szCs w:val="18"/>
              </w:rPr>
              <w:t>一年内到期的非流动 负债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717,965.33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717,965.33</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165,213,599.03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165,213,599.03</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4,243,144.59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4,243,144.59</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4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8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92"/>
              <w:jc w:val="righ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2,200,000.00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2,200,000.00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139,566.26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139,566.26</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6,443,144.59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6,582,710.85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139,566.26</w:t>
            </w:r>
          </w:p>
        </w:tc>
      </w:tr>
    </w:tbl>
    <w:p>
      <w:pPr>
        <w:spacing w:after="0" w:line="240" w:lineRule="auto"/>
        <w:jc w:val="right"/>
        <w:rPr>
          <w:rFonts w:ascii="Times New Roman" w:hAnsi="Times New Roman" w:cs="Times New Roman" w:eastAsia="Times New Roman" w:hint="default"/>
          <w:sz w:val="18"/>
          <w:szCs w:val="18"/>
        </w:rPr>
        <w:sectPr>
          <w:pgSz w:w="11910" w:h="16840"/>
          <w:pgMar w:header="919" w:footer="1016"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29" w:type="dxa"/>
        <w:tblLayout w:type="fixed"/>
        <w:tblCellMar>
          <w:top w:w="0" w:type="dxa"/>
          <w:left w:w="0" w:type="dxa"/>
          <w:bottom w:w="0" w:type="dxa"/>
          <w:right w:w="0" w:type="dxa"/>
        </w:tblCellMar>
        <w:tblLook w:val="01E0"/>
      </w:tblPr>
      <w:tblGrid>
        <w:gridCol w:w="2206"/>
        <w:gridCol w:w="2453"/>
        <w:gridCol w:w="2454"/>
        <w:gridCol w:w="2454"/>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171,656,743.62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171,796,309.88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139,566.26</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742,214,580.00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742,214,580.00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4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8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1,596,996,744.15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1,596,996,744.15</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35,277,742.50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35,277,742.50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-6,129,536.47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-1,042,634.10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5,086,902.37</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72,193,645.96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71,810,565.35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-383,080.61</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366,389,877.41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362,942,151.99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-3,447,725.42</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2,736,387,568.55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2,737,643,664.89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1,256,096.34</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2,908,044,312.17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2,909,439,974.77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1,395,662.60</w:t>
            </w:r>
          </w:p>
        </w:tc>
      </w:tr>
    </w:tbl>
    <w:p>
      <w:pPr>
        <w:pStyle w:val="BodyText"/>
        <w:spacing w:line="240" w:lineRule="auto" w:before="50"/>
        <w:ind w:left="132" w:right="1124"/>
        <w:jc w:val="left"/>
      </w:pPr>
      <w:r>
        <w:rPr/>
        <w:t>调整情况说明</w:t>
      </w:r>
    </w:p>
    <w:p>
      <w:pPr>
        <w:spacing w:line="240" w:lineRule="auto" w:before="2"/>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2424"/>
        <w:gridCol w:w="1846"/>
        <w:gridCol w:w="2754"/>
        <w:gridCol w:w="2630"/>
      </w:tblGrid>
      <w:tr>
        <w:trPr>
          <w:trHeight w:val="347" w:hRule="exact"/>
        </w:trPr>
        <w:tc>
          <w:tcPr>
            <w:tcW w:w="2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723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b/>
                <w:bCs/>
                <w:sz w:val="18"/>
                <w:szCs w:val="18"/>
              </w:rPr>
              <w:t>资产负债表</w:t>
            </w:r>
            <w:r>
              <w:rPr>
                <w:rFonts w:ascii="宋体" w:hAnsi="宋体" w:cs="宋体" w:eastAsia="宋体" w:hint="default"/>
                <w:sz w:val="18"/>
                <w:szCs w:val="18"/>
              </w:rPr>
            </w:r>
          </w:p>
        </w:tc>
      </w:tr>
      <w:tr>
        <w:trPr>
          <w:trHeight w:val="347" w:hRule="exact"/>
        </w:trPr>
        <w:tc>
          <w:tcPr>
            <w:tcW w:w="2424" w:type="dxa"/>
            <w:tcBorders>
              <w:top w:val="single" w:sz="6" w:space="0" w:color="000000"/>
              <w:left w:val="single" w:sz="6" w:space="0" w:color="000000"/>
              <w:bottom w:val="single" w:sz="6" w:space="0" w:color="000000"/>
              <w:right w:val="single" w:sz="6" w:space="0" w:color="000000"/>
            </w:tcBorders>
          </w:tcPr>
          <w:p>
            <w:pP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84" w:right="0"/>
              <w:jc w:val="left"/>
              <w:rPr>
                <w:rFonts w:ascii="宋体" w:hAnsi="宋体" w:cs="宋体" w:eastAsia="宋体" w:hint="default"/>
                <w:sz w:val="18"/>
                <w:szCs w:val="18"/>
              </w:rPr>
            </w:pPr>
            <w:r>
              <w:rPr>
                <w:rFonts w:ascii="宋体" w:hAnsi="宋体" w:cs="宋体" w:eastAsia="宋体" w:hint="default"/>
                <w:b/>
                <w:bCs/>
                <w:sz w:val="18"/>
                <w:szCs w:val="18"/>
              </w:rPr>
              <w:t>2018年12月31日</w:t>
            </w:r>
            <w:r>
              <w:rPr>
                <w:rFonts w:ascii="宋体" w:hAnsi="宋体" w:cs="宋体" w:eastAsia="宋体" w:hint="default"/>
                <w:sz w:val="18"/>
                <w:szCs w:val="18"/>
              </w:rPr>
            </w:r>
          </w:p>
        </w:tc>
        <w:tc>
          <w:tcPr>
            <w:tcW w:w="2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80" w:right="0"/>
              <w:jc w:val="left"/>
              <w:rPr>
                <w:rFonts w:ascii="宋体" w:hAnsi="宋体" w:cs="宋体" w:eastAsia="宋体" w:hint="default"/>
                <w:sz w:val="18"/>
                <w:szCs w:val="18"/>
              </w:rPr>
            </w:pPr>
            <w:r>
              <w:rPr>
                <w:rFonts w:ascii="宋体" w:hAnsi="宋体" w:cs="宋体" w:eastAsia="宋体" w:hint="default"/>
                <w:b/>
                <w:bCs/>
                <w:sz w:val="18"/>
                <w:szCs w:val="18"/>
              </w:rPr>
              <w:t>新金融工具准则调整影响</w:t>
            </w:r>
            <w:r>
              <w:rPr>
                <w:rFonts w:ascii="宋体" w:hAnsi="宋体" w:cs="宋体" w:eastAsia="宋体" w:hint="default"/>
                <w:sz w:val="18"/>
                <w:szCs w:val="18"/>
              </w:rPr>
            </w:r>
          </w:p>
        </w:tc>
        <w:tc>
          <w:tcPr>
            <w:tcW w:w="2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767" w:right="0"/>
              <w:jc w:val="left"/>
              <w:rPr>
                <w:rFonts w:ascii="宋体" w:hAnsi="宋体" w:cs="宋体" w:eastAsia="宋体" w:hint="default"/>
                <w:sz w:val="18"/>
                <w:szCs w:val="18"/>
              </w:rPr>
            </w:pPr>
            <w:r>
              <w:rPr>
                <w:rFonts w:ascii="宋体" w:hAnsi="宋体" w:cs="宋体" w:eastAsia="宋体" w:hint="default"/>
                <w:b/>
                <w:bCs/>
                <w:sz w:val="18"/>
                <w:szCs w:val="18"/>
              </w:rPr>
              <w:t>2019年1月1日</w:t>
            </w:r>
            <w:r>
              <w:rPr>
                <w:rFonts w:ascii="宋体" w:hAnsi="宋体" w:cs="宋体" w:eastAsia="宋体" w:hint="default"/>
                <w:sz w:val="18"/>
                <w:szCs w:val="18"/>
              </w:rPr>
            </w:r>
          </w:p>
        </w:tc>
      </w:tr>
      <w:tr>
        <w:trPr>
          <w:trHeight w:val="347" w:hRule="exact"/>
        </w:trPr>
        <w:tc>
          <w:tcPr>
            <w:tcW w:w="2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846" w:type="dxa"/>
            <w:tcBorders>
              <w:top w:val="single" w:sz="6" w:space="0" w:color="000000"/>
              <w:left w:val="single" w:sz="6" w:space="0" w:color="000000"/>
              <w:bottom w:val="single" w:sz="6" w:space="0" w:color="000000"/>
              <w:right w:val="single" w:sz="6" w:space="0" w:color="000000"/>
            </w:tcBorders>
          </w:tcPr>
          <w:p>
            <w:pPr/>
          </w:p>
        </w:tc>
        <w:tc>
          <w:tcPr>
            <w:tcW w:w="2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spacing w:val="-1"/>
                <w:sz w:val="18"/>
              </w:rPr>
              <w:t>327,295,662.60</w:t>
            </w:r>
          </w:p>
        </w:tc>
        <w:tc>
          <w:tcPr>
            <w:tcW w:w="2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327,295,662.60</w:t>
            </w:r>
          </w:p>
        </w:tc>
      </w:tr>
      <w:tr>
        <w:trPr>
          <w:trHeight w:val="347" w:hRule="exact"/>
        </w:trPr>
        <w:tc>
          <w:tcPr>
            <w:tcW w:w="2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327,587,894.37</w:t>
            </w:r>
          </w:p>
        </w:tc>
        <w:tc>
          <w:tcPr>
            <w:tcW w:w="2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-325,900,000.00</w:t>
            </w:r>
          </w:p>
        </w:tc>
        <w:tc>
          <w:tcPr>
            <w:tcW w:w="2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1,687,894.37</w:t>
            </w:r>
          </w:p>
        </w:tc>
      </w:tr>
      <w:tr>
        <w:trPr>
          <w:trHeight w:val="347" w:hRule="exact"/>
        </w:trPr>
        <w:tc>
          <w:tcPr>
            <w:tcW w:w="2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pacing w:val="-1"/>
                <w:sz w:val="18"/>
              </w:rPr>
              <w:t>20,000,000.00</w:t>
            </w:r>
          </w:p>
        </w:tc>
        <w:tc>
          <w:tcPr>
            <w:tcW w:w="2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pacing w:val="-1"/>
                <w:sz w:val="18"/>
              </w:rPr>
              <w:t>-20,000,000.00</w:t>
            </w:r>
          </w:p>
        </w:tc>
        <w:tc>
          <w:tcPr>
            <w:tcW w:w="2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w:t>
            </w:r>
          </w:p>
        </w:tc>
      </w:tr>
      <w:tr>
        <w:trPr>
          <w:trHeight w:val="347" w:hRule="exact"/>
        </w:trPr>
        <w:tc>
          <w:tcPr>
            <w:tcW w:w="2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w:t>
            </w:r>
          </w:p>
        </w:tc>
        <w:tc>
          <w:tcPr>
            <w:tcW w:w="2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20,000,000.00</w:t>
            </w:r>
          </w:p>
        </w:tc>
        <w:tc>
          <w:tcPr>
            <w:tcW w:w="2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20,000,000.00</w:t>
            </w:r>
          </w:p>
        </w:tc>
      </w:tr>
      <w:tr>
        <w:trPr>
          <w:trHeight w:val="347" w:hRule="exact"/>
        </w:trPr>
        <w:tc>
          <w:tcPr>
            <w:tcW w:w="2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1846" w:type="dxa"/>
            <w:tcBorders>
              <w:top w:val="single" w:sz="6" w:space="0" w:color="000000"/>
              <w:left w:val="single" w:sz="6" w:space="0" w:color="000000"/>
              <w:bottom w:val="single" w:sz="6" w:space="0" w:color="000000"/>
              <w:right w:val="single" w:sz="6" w:space="0" w:color="000000"/>
            </w:tcBorders>
          </w:tcPr>
          <w:p>
            <w:pPr/>
          </w:p>
        </w:tc>
        <w:tc>
          <w:tcPr>
            <w:tcW w:w="2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pacing w:val="-1"/>
                <w:sz w:val="18"/>
              </w:rPr>
              <w:t>3,428,550.00</w:t>
            </w:r>
          </w:p>
        </w:tc>
        <w:tc>
          <w:tcPr>
            <w:tcW w:w="2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pacing w:val="-1"/>
                <w:sz w:val="18"/>
              </w:rPr>
              <w:t>3,428,550.00</w:t>
            </w:r>
          </w:p>
        </w:tc>
      </w:tr>
      <w:tr>
        <w:trPr>
          <w:trHeight w:val="347" w:hRule="exact"/>
        </w:trPr>
        <w:tc>
          <w:tcPr>
            <w:tcW w:w="2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8,139,400.17</w:t>
            </w:r>
          </w:p>
        </w:tc>
        <w:tc>
          <w:tcPr>
            <w:tcW w:w="2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spacing w:val="-1"/>
                <w:sz w:val="18"/>
              </w:rPr>
              <w:t>-3,428,550.00</w:t>
            </w:r>
          </w:p>
        </w:tc>
        <w:tc>
          <w:tcPr>
            <w:tcW w:w="2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4,710,850.17</w:t>
            </w:r>
          </w:p>
        </w:tc>
      </w:tr>
      <w:tr>
        <w:trPr>
          <w:trHeight w:val="347" w:hRule="exact"/>
        </w:trPr>
        <w:tc>
          <w:tcPr>
            <w:tcW w:w="2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846" w:type="dxa"/>
            <w:tcBorders>
              <w:top w:val="single" w:sz="6" w:space="0" w:color="000000"/>
              <w:left w:val="single" w:sz="6" w:space="0" w:color="000000"/>
              <w:bottom w:val="single" w:sz="6" w:space="0" w:color="000000"/>
              <w:right w:val="single" w:sz="6" w:space="0" w:color="000000"/>
            </w:tcBorders>
          </w:tcPr>
          <w:p>
            <w:pPr/>
          </w:p>
        </w:tc>
        <w:tc>
          <w:tcPr>
            <w:tcW w:w="2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139,566.26</w:t>
            </w:r>
          </w:p>
        </w:tc>
        <w:tc>
          <w:tcPr>
            <w:tcW w:w="2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139,566.26</w:t>
            </w:r>
          </w:p>
        </w:tc>
      </w:tr>
      <w:tr>
        <w:trPr>
          <w:trHeight w:val="347" w:hRule="exact"/>
        </w:trPr>
        <w:tc>
          <w:tcPr>
            <w:tcW w:w="2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pacing w:val="-1"/>
                <w:sz w:val="18"/>
              </w:rPr>
              <w:t>-6,129,536.47</w:t>
            </w:r>
          </w:p>
        </w:tc>
        <w:tc>
          <w:tcPr>
            <w:tcW w:w="2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pacing w:val="-1"/>
                <w:sz w:val="18"/>
              </w:rPr>
              <w:t>5,086,902.37</w:t>
            </w:r>
          </w:p>
        </w:tc>
        <w:tc>
          <w:tcPr>
            <w:tcW w:w="2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pacing w:val="-1"/>
                <w:sz w:val="18"/>
              </w:rPr>
              <w:t>-1,042,634.10</w:t>
            </w:r>
          </w:p>
        </w:tc>
      </w:tr>
      <w:tr>
        <w:trPr>
          <w:trHeight w:val="347" w:hRule="exact"/>
        </w:trPr>
        <w:tc>
          <w:tcPr>
            <w:tcW w:w="2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72,193,645.96</w:t>
            </w:r>
          </w:p>
        </w:tc>
        <w:tc>
          <w:tcPr>
            <w:tcW w:w="2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-383,080.61</w:t>
            </w:r>
          </w:p>
        </w:tc>
        <w:tc>
          <w:tcPr>
            <w:tcW w:w="2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71,810,565.35</w:t>
            </w:r>
          </w:p>
        </w:tc>
      </w:tr>
      <w:tr>
        <w:trPr>
          <w:trHeight w:val="347" w:hRule="exact"/>
        </w:trPr>
        <w:tc>
          <w:tcPr>
            <w:tcW w:w="2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pacing w:val="-1"/>
                <w:sz w:val="18"/>
              </w:rPr>
              <w:t>366,389,877.41</w:t>
            </w:r>
          </w:p>
        </w:tc>
        <w:tc>
          <w:tcPr>
            <w:tcW w:w="2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pacing w:val="-1"/>
                <w:sz w:val="18"/>
              </w:rPr>
              <w:t>-3,447,725.42</w:t>
            </w:r>
          </w:p>
        </w:tc>
        <w:tc>
          <w:tcPr>
            <w:tcW w:w="2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pacing w:val="-1"/>
                <w:sz w:val="18"/>
              </w:rPr>
              <w:t>362,942,151.99</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3"/>
        <w:spacing w:line="240" w:lineRule="auto" w:before="34"/>
        <w:ind w:left="132" w:right="1124"/>
        <w:jc w:val="left"/>
        <w:rPr>
          <w:b w:val="0"/>
          <w:bCs w:val="0"/>
        </w:rPr>
      </w:pPr>
      <w:bookmarkStart w:name="（4）2019年起执行新金融工具准则或新租赁准则追溯调整前期比较数据说明" w:id="230"/>
      <w:bookmarkEnd w:id="230"/>
      <w:r>
        <w:rPr>
          <w:b w:val="0"/>
          <w:bCs w:val="0"/>
        </w:rPr>
      </w: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0"/>
        </w:rPr>
        <w:t> </w:t>
      </w:r>
      <w:r>
        <w:rPr/>
        <w:t>年起执行新金融工具准则或新租赁准则追溯调整前期比较数据说明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32" w:right="1124"/>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left="132" w:right="1124"/>
        <w:jc w:val="left"/>
        <w:rPr>
          <w:b w:val="0"/>
          <w:bCs w:val="0"/>
        </w:rPr>
      </w:pPr>
      <w:bookmarkStart w:name="45、其他" w:id="231"/>
      <w:bookmarkEnd w:id="231"/>
      <w:r>
        <w:rPr>
          <w:b w:val="0"/>
          <w:bCs w:val="0"/>
        </w:rPr>
      </w:r>
      <w:r>
        <w:rPr>
          <w:rFonts w:ascii="Times New Roman" w:hAnsi="Times New Roman" w:cs="Times New Roman" w:eastAsia="Times New Roman" w:hint="default"/>
        </w:rPr>
        <w:t>45</w:t>
      </w:r>
      <w:r>
        <w:rPr/>
        <w:t>、其他</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32" w:right="1124"/>
        <w:jc w:val="left"/>
      </w:pPr>
      <w:r>
        <w:rPr/>
        <w:t>无</w:t>
      </w:r>
    </w:p>
    <w:p>
      <w:pPr>
        <w:spacing w:after="0" w:line="240" w:lineRule="auto"/>
        <w:jc w:val="left"/>
        <w:sectPr>
          <w:footerReference w:type="default" r:id="rId30"/>
          <w:pgSz w:w="11910" w:h="16840"/>
          <w:pgMar w:footer="1016" w:header="919" w:top="1120" w:bottom="1200" w:left="1000" w:right="0"/>
          <w:pgNumType w:start="140"/>
        </w:sectPr>
      </w:pPr>
    </w:p>
    <w:p>
      <w:pPr>
        <w:spacing w:line="240" w:lineRule="auto" w:before="8"/>
        <w:rPr>
          <w:rFonts w:ascii="宋体" w:hAnsi="宋体" w:cs="宋体" w:eastAsia="宋体" w:hint="default"/>
          <w:sz w:val="18"/>
          <w:szCs w:val="18"/>
        </w:rPr>
      </w:pPr>
    </w:p>
    <w:p>
      <w:pPr>
        <w:pStyle w:val="Heading2"/>
        <w:spacing w:line="240" w:lineRule="auto" w:before="26"/>
        <w:ind w:right="915"/>
        <w:jc w:val="left"/>
        <w:rPr>
          <w:b w:val="0"/>
          <w:bCs w:val="0"/>
        </w:rPr>
      </w:pPr>
      <w:bookmarkStart w:name="六、税项" w:id="232"/>
      <w:bookmarkEnd w:id="232"/>
      <w:r>
        <w:rPr>
          <w:b w:val="0"/>
          <w:bCs w:val="0"/>
        </w:rPr>
      </w:r>
      <w:r>
        <w:rPr/>
        <w:t>六、税项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15"/>
        <w:jc w:val="left"/>
        <w:rPr>
          <w:b w:val="0"/>
          <w:bCs w:val="0"/>
        </w:rPr>
      </w:pPr>
      <w:bookmarkStart w:name="1、主要税种及税率" w:id="233"/>
      <w:bookmarkEnd w:id="233"/>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软件产品销售收入、其他收入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16%</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13%</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9%</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356" w:hRule="exact"/>
        </w:trPr>
        <w:tc>
          <w:tcPr>
            <w:tcW w:w="3189" w:type="dxa"/>
            <w:tcBorders>
              <w:top w:val="single" w:sz="4" w:space="0" w:color="000000"/>
              <w:left w:val="single" w:sz="4" w:space="0" w:color="000000"/>
              <w:bottom w:val="nil" w:sz="6" w:space="0" w:color="auto"/>
              <w:right w:val="single" w:sz="4" w:space="0" w:color="000000"/>
            </w:tcBorders>
          </w:tcPr>
          <w:p>
            <w:pPr/>
          </w:p>
        </w:tc>
        <w:tc>
          <w:tcPr>
            <w:tcW w:w="3190" w:type="dxa"/>
            <w:tcBorders>
              <w:top w:val="single" w:sz="4" w:space="0" w:color="000000"/>
              <w:left w:val="single" w:sz="4" w:space="0" w:color="000000"/>
              <w:bottom w:val="nil" w:sz="6" w:space="0" w:color="auto"/>
              <w:right w:val="single" w:sz="4" w:space="0" w:color="000000"/>
            </w:tcBorders>
          </w:tcPr>
          <w:p>
            <w:pPr/>
          </w:p>
        </w:tc>
        <w:tc>
          <w:tcPr>
            <w:tcW w:w="31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从价计征的，按房产原值一次减除</w:t>
            </w:r>
          </w:p>
        </w:tc>
      </w:tr>
      <w:tr>
        <w:trPr>
          <w:trHeight w:val="317" w:hRule="exact"/>
        </w:trPr>
        <w:tc>
          <w:tcPr>
            <w:tcW w:w="318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房产余值或租金收入</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10-30%</w:t>
            </w:r>
            <w:r>
              <w:rPr>
                <w:rFonts w:ascii="宋体" w:hAnsi="宋体" w:cs="宋体" w:eastAsia="宋体" w:hint="default"/>
                <w:sz w:val="18"/>
                <w:szCs w:val="18"/>
              </w:rPr>
              <w:t>后余值的</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计缴；从租计征</w:t>
            </w:r>
          </w:p>
        </w:tc>
      </w:tr>
      <w:tr>
        <w:trPr>
          <w:trHeight w:val="353" w:hRule="exact"/>
        </w:trPr>
        <w:tc>
          <w:tcPr>
            <w:tcW w:w="3189" w:type="dxa"/>
            <w:tcBorders>
              <w:top w:val="nil" w:sz="6" w:space="0" w:color="auto"/>
              <w:left w:val="single" w:sz="4" w:space="0" w:color="000000"/>
              <w:bottom w:val="single" w:sz="4" w:space="0" w:color="000000"/>
              <w:right w:val="single" w:sz="4" w:space="0" w:color="000000"/>
            </w:tcBorders>
          </w:tcPr>
          <w:p>
            <w:pPr/>
          </w:p>
        </w:tc>
        <w:tc>
          <w:tcPr>
            <w:tcW w:w="3190" w:type="dxa"/>
            <w:tcBorders>
              <w:top w:val="nil" w:sz="6" w:space="0" w:color="auto"/>
              <w:left w:val="single" w:sz="4" w:space="0" w:color="000000"/>
              <w:bottom w:val="single" w:sz="4" w:space="0" w:color="000000"/>
              <w:right w:val="single" w:sz="4" w:space="0" w:color="000000"/>
            </w:tcBorders>
          </w:tcPr>
          <w:p>
            <w:pPr/>
          </w:p>
        </w:tc>
        <w:tc>
          <w:tcPr>
            <w:tcW w:w="31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的，按租金收入的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0"/>
        <w:ind w:right="915"/>
        <w:jc w:val="left"/>
      </w:pPr>
      <w:r>
        <w:rPr/>
        <w:t>存在不同企业所得税税率纳税主体的，披露情况说明</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上海赢量信息科技有限公司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上海蒲园供应链管理有限公司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上海赢保商业保理有限公司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链石（苏州）信息科技有限公司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链石（上海）信息科技有限公司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深圳市赢时胜软件技术服务有限公司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15%</w:t>
            </w:r>
          </w:p>
        </w:tc>
      </w:tr>
    </w:tbl>
    <w:p>
      <w:pPr>
        <w:spacing w:line="240" w:lineRule="auto" w:before="4"/>
        <w:rPr>
          <w:rFonts w:ascii="宋体" w:hAnsi="宋体" w:cs="宋体" w:eastAsia="宋体" w:hint="default"/>
          <w:sz w:val="19"/>
          <w:szCs w:val="19"/>
        </w:rPr>
      </w:pPr>
    </w:p>
    <w:p>
      <w:pPr>
        <w:pStyle w:val="Heading3"/>
        <w:spacing w:line="240" w:lineRule="auto" w:before="34"/>
        <w:ind w:right="915"/>
        <w:jc w:val="left"/>
        <w:rPr>
          <w:b w:val="0"/>
          <w:bCs w:val="0"/>
        </w:rPr>
      </w:pPr>
      <w:bookmarkStart w:name="2、税收优惠" w:id="234"/>
      <w:bookmarkEnd w:id="234"/>
      <w:r>
        <w:rPr>
          <w:b w:val="0"/>
          <w:bCs w:val="0"/>
        </w:rPr>
      </w:r>
      <w:r>
        <w:rPr>
          <w:rFonts w:ascii="Times New Roman" w:hAnsi="Times New Roman" w:cs="Times New Roman" w:eastAsia="Times New Roman" w:hint="default"/>
        </w:rPr>
        <w:t>2</w:t>
      </w:r>
      <w:r>
        <w:rPr/>
        <w:t>、税收优惠</w:t>
      </w:r>
      <w:r>
        <w:rPr>
          <w:b w:val="0"/>
          <w:bCs w:val="0"/>
        </w:rPr>
      </w:r>
    </w:p>
    <w:p>
      <w:pPr>
        <w:pStyle w:val="BodyText"/>
        <w:spacing w:line="430" w:lineRule="atLeast" w:before="152"/>
        <w:ind w:left="472" w:right="915"/>
        <w:jc w:val="left"/>
      </w:pPr>
      <w:r>
        <w:rPr/>
        <w:t>1. 增值税 </w:t>
      </w:r>
      <w:r>
        <w:rPr>
          <w:spacing w:val="-2"/>
        </w:rPr>
        <w:t>根据财政部、国家税务总局、海关总署公告[2019]39号《关于深化增值税改革有关政策的公告》：自2019年4月1日起，</w:t>
      </w:r>
    </w:p>
    <w:p>
      <w:pPr>
        <w:pStyle w:val="BodyText"/>
        <w:spacing w:line="316" w:lineRule="auto" w:before="76"/>
        <w:ind w:right="915"/>
        <w:jc w:val="left"/>
      </w:pPr>
      <w:r>
        <w:rPr>
          <w:spacing w:val="-5"/>
        </w:rPr>
        <w:t>在全国范围内调整增值税税率，纳税人发生增值税应税销售行为或者进口货物，原适用16%和10%税率的，税率分别调整为13%、</w:t>
      </w:r>
      <w:r>
        <w:rPr>
          <w:spacing w:val="-54"/>
        </w:rPr>
        <w:t> </w:t>
      </w:r>
      <w:r>
        <w:rPr>
          <w:spacing w:val="-54"/>
        </w:rPr>
      </w:r>
      <w:r>
        <w:rPr/>
        <w:t>9%。</w:t>
      </w:r>
    </w:p>
    <w:p>
      <w:pPr>
        <w:pStyle w:val="BodyText"/>
        <w:spacing w:line="316" w:lineRule="auto" w:before="139"/>
        <w:ind w:right="1031" w:firstLine="360"/>
        <w:jc w:val="left"/>
      </w:pPr>
      <w:r>
        <w:rPr>
          <w:spacing w:val="-2"/>
        </w:rPr>
        <w:t>公司是经国家税务局认定的增值税一般纳税人，根据国务院《关于印发鼓励软件企业和集成电路产业发展若干政策的通</w:t>
      </w:r>
      <w:r>
        <w:rPr/>
        <w:t> </w:t>
      </w:r>
      <w:r>
        <w:rPr>
          <w:spacing w:val="-3"/>
        </w:rPr>
        <w:t>知》（国发[2000]18号）和财政部、国家税务总局、海关总署《关于鼓励软件产业和集成电路产业发展有关税收问题的通知》</w:t>
      </w:r>
    </w:p>
    <w:p>
      <w:pPr>
        <w:pStyle w:val="BodyText"/>
        <w:spacing w:line="316" w:lineRule="auto" w:before="19"/>
        <w:ind w:right="915"/>
        <w:jc w:val="left"/>
      </w:pPr>
      <w:r>
        <w:rPr>
          <w:spacing w:val="-8"/>
        </w:rPr>
        <w:t>（财税[2000]25号）文以及国务院印发的《进一步鼓励软件产业和集成电路产业发展若干政策的通知》（国发〔2011〕4号文）、</w:t>
      </w:r>
      <w:r>
        <w:rPr>
          <w:spacing w:val="-34"/>
        </w:rPr>
        <w:t> </w:t>
      </w:r>
      <w:r>
        <w:rPr>
          <w:spacing w:val="-34"/>
        </w:rPr>
      </w:r>
      <w:r>
        <w:rPr>
          <w:spacing w:val="-3"/>
        </w:rPr>
        <w:t>财政部、国家税务总局印发《关于软件产品增值税政策的通知》（财税[2011]100号文）的规定，对增值税一般纳税人销售其</w:t>
      </w:r>
      <w:r>
        <w:rPr/>
        <w:t> 自行开发生产的软件产品按法定税率征收增值税后，对其增值税实际税负超过3%的部分实行即征即退政策。</w:t>
      </w:r>
    </w:p>
    <w:p>
      <w:pPr>
        <w:pStyle w:val="BodyText"/>
        <w:spacing w:line="316" w:lineRule="auto" w:before="139"/>
        <w:ind w:right="1034" w:firstLine="360"/>
        <w:jc w:val="left"/>
      </w:pPr>
      <w:r>
        <w:rPr>
          <w:spacing w:val="-2"/>
        </w:rPr>
        <w:t>2011年11月16日，国务院批准财政部、国家税务总局联合印发《营业税改征增值税试点方案》；2011年11月16日，财政</w:t>
      </w:r>
      <w:r>
        <w:rPr/>
        <w:t> </w:t>
      </w:r>
      <w:r>
        <w:rPr>
          <w:spacing w:val="-3"/>
        </w:rPr>
        <w:t>部、国家税务总局发财税[2011]111号《关于在上海市开展交通运输业和部分现代服务业营业税改征增值税试点的通知》，上</w:t>
      </w:r>
      <w:r>
        <w:rPr/>
        <w:t> 海市自2012年1月1日起完成新旧税制转换，按照此规定，本公司上海分公司服务费收入按3%计缴增值税，不再缴纳营业税， </w:t>
      </w:r>
      <w:r>
        <w:rPr>
          <w:spacing w:val="-8"/>
        </w:rPr>
        <w:t>子公司上海赢量按照金融服务费收入按6%计缴增值税，不再缴纳营业税；2012年7月31日，财政部、国家税务总局发财税〔2012〕</w:t>
      </w:r>
      <w:r>
        <w:rPr>
          <w:spacing w:val="-31"/>
        </w:rPr>
        <w:t> </w:t>
      </w:r>
      <w:r>
        <w:rPr>
          <w:spacing w:val="-31"/>
        </w:rPr>
      </w:r>
      <w:r>
        <w:rPr>
          <w:spacing w:val="-3"/>
        </w:rPr>
        <w:t>71号《关于在北京等8省市开展交通运输业和部分现代服务业营业税改征增值税试点的通知》，北京市自2012年9月1日起完成</w:t>
      </w:r>
      <w:r>
        <w:rPr/>
        <w:t> 新旧税制转换，按照此规定，本公司北京分公司服务费收入按3%计缴增值税，不再缴纳营业税；深圳市自2012年11月1日起</w:t>
      </w:r>
    </w:p>
    <w:p>
      <w:pPr>
        <w:spacing w:after="0" w:line="316" w:lineRule="auto"/>
        <w:jc w:val="left"/>
        <w:sectPr>
          <w:pgSz w:w="11910" w:h="16840"/>
          <w:pgMar w:header="919" w:footer="1016" w:top="1120" w:bottom="1200" w:left="1020" w:right="0"/>
        </w:sectPr>
      </w:pPr>
    </w:p>
    <w:p>
      <w:pPr>
        <w:spacing w:line="240" w:lineRule="auto" w:before="12"/>
        <w:rPr>
          <w:rFonts w:ascii="宋体" w:hAnsi="宋体" w:cs="宋体" w:eastAsia="宋体" w:hint="default"/>
          <w:sz w:val="20"/>
          <w:szCs w:val="20"/>
        </w:rPr>
      </w:pPr>
    </w:p>
    <w:p>
      <w:pPr>
        <w:pStyle w:val="BodyText"/>
        <w:spacing w:line="316" w:lineRule="auto" w:before="44"/>
        <w:ind w:right="915"/>
        <w:jc w:val="left"/>
      </w:pPr>
      <w:r>
        <w:rPr>
          <w:spacing w:val="-2"/>
        </w:rPr>
        <w:t>完成新旧税制转换，按照此规定，本公司服务费收入和开发费收入按6%计缴增值税。新旧税制转换前享受营业税免税优惠的</w:t>
      </w:r>
      <w:r>
        <w:rPr>
          <w:spacing w:val="-62"/>
        </w:rPr>
        <w:t> </w:t>
      </w:r>
      <w:r>
        <w:rPr>
          <w:spacing w:val="-62"/>
        </w:rPr>
      </w:r>
      <w:r>
        <w:rPr/>
        <w:t>定制软件开发费收入在完成税制转换后享受继续增值税免税优惠。</w:t>
      </w:r>
    </w:p>
    <w:p>
      <w:pPr>
        <w:pStyle w:val="BodyText"/>
        <w:spacing w:line="240" w:lineRule="auto" w:before="139"/>
        <w:ind w:left="472" w:right="915"/>
        <w:jc w:val="left"/>
      </w:pPr>
      <w:r>
        <w:rPr/>
        <w:t>2.</w:t>
      </w:r>
      <w:r>
        <w:rPr>
          <w:spacing w:val="1"/>
        </w:rPr>
        <w:t> </w:t>
      </w:r>
      <w:r>
        <w:rPr/>
        <w:t>企业所得税</w:t>
      </w:r>
    </w:p>
    <w:p>
      <w:pPr>
        <w:spacing w:line="240" w:lineRule="auto" w:before="0"/>
        <w:rPr>
          <w:rFonts w:ascii="宋体" w:hAnsi="宋体" w:cs="宋体" w:eastAsia="宋体" w:hint="default"/>
          <w:sz w:val="15"/>
          <w:szCs w:val="15"/>
        </w:rPr>
      </w:pPr>
    </w:p>
    <w:p>
      <w:pPr>
        <w:pStyle w:val="BodyText"/>
        <w:spacing w:line="316" w:lineRule="auto"/>
        <w:ind w:right="1130" w:firstLine="360"/>
        <w:jc w:val="both"/>
      </w:pPr>
      <w:r>
        <w:rPr/>
        <w:t>（1）根据财税〔2016〕49号《关于软件和集成电路产业企业所得税优惠政策有关问题的通知》通知，自2015年1月1日 </w:t>
      </w:r>
      <w:r>
        <w:rPr>
          <w:spacing w:val="-2"/>
        </w:rPr>
        <w:t>起享受企业所得税优惠政策的软件和集成电路企业实行备案制，无需审批。本公司已按照该通知附件《享受企业所得税优惠</w:t>
      </w:r>
      <w:r>
        <w:rPr>
          <w:spacing w:val="-63"/>
        </w:rPr>
        <w:t> </w:t>
      </w:r>
      <w:r>
        <w:rPr>
          <w:spacing w:val="-63"/>
        </w:rPr>
      </w:r>
      <w:r>
        <w:rPr>
          <w:spacing w:val="-2"/>
        </w:rPr>
        <w:t>政策的软件和集成电路企业备案资料明细表》中对于软件企业的要求，将相关资料准备齐全。根据2016年本公司国家规划布</w:t>
      </w:r>
      <w:r>
        <w:rPr>
          <w:spacing w:val="-61"/>
        </w:rPr>
        <w:t> </w:t>
      </w:r>
      <w:r>
        <w:rPr>
          <w:spacing w:val="-61"/>
        </w:rPr>
      </w:r>
      <w:r>
        <w:rPr>
          <w:spacing w:val="-2"/>
        </w:rPr>
        <w:t>局内的重点软件企业的通过情况，2019年公司各项经营指标及条件均达到了备案要求，通过国家规划布局内的重点软件企业</w:t>
      </w:r>
      <w:r>
        <w:rPr>
          <w:spacing w:val="-62"/>
        </w:rPr>
        <w:t> </w:t>
      </w:r>
      <w:r>
        <w:rPr>
          <w:spacing w:val="-62"/>
        </w:rPr>
      </w:r>
      <w:r>
        <w:rPr/>
        <w:t>备案通过的可能性很大，故2019年度按照10%的税率计缴企业所得税。</w:t>
      </w:r>
    </w:p>
    <w:p>
      <w:pPr>
        <w:pStyle w:val="BodyText"/>
        <w:spacing w:line="316" w:lineRule="auto" w:before="139"/>
        <w:ind w:right="1126" w:firstLine="360"/>
        <w:jc w:val="both"/>
      </w:pPr>
      <w:r>
        <w:rPr/>
        <w:t>（2）本公司之子公司上海赢量信息科技有限公司2019年被认定为高新技术企业，取得了上海市科学技术委员会、上海 </w:t>
      </w:r>
      <w:r>
        <w:rPr>
          <w:spacing w:val="-5"/>
        </w:rPr>
        <w:t>市财政局、国家税务总局和上海市税务局联合颁发的《高新技术企业证书》（证书编号：GR201931002953），发证日期为2019</w:t>
      </w:r>
      <w:r>
        <w:rPr>
          <w:spacing w:val="-36"/>
        </w:rPr>
        <w:t> </w:t>
      </w:r>
      <w:r>
        <w:rPr>
          <w:spacing w:val="-36"/>
        </w:rPr>
      </w:r>
      <w:r>
        <w:rPr/>
        <w:t>年10月28日，认定有效期三年。</w:t>
      </w:r>
    </w:p>
    <w:p>
      <w:pPr>
        <w:pStyle w:val="BodyText"/>
        <w:spacing w:line="240" w:lineRule="auto" w:before="139"/>
        <w:ind w:left="472" w:right="915"/>
        <w:jc w:val="left"/>
      </w:pPr>
      <w:r>
        <w:rPr/>
        <w:t>公司2019年度企业所得税税率为15%。</w:t>
      </w:r>
    </w:p>
    <w:p>
      <w:pPr>
        <w:spacing w:line="240" w:lineRule="auto" w:before="0"/>
        <w:rPr>
          <w:rFonts w:ascii="宋体" w:hAnsi="宋体" w:cs="宋体" w:eastAsia="宋体" w:hint="default"/>
          <w:sz w:val="15"/>
          <w:szCs w:val="15"/>
        </w:rPr>
      </w:pPr>
    </w:p>
    <w:p>
      <w:pPr>
        <w:pStyle w:val="BodyText"/>
        <w:spacing w:line="316" w:lineRule="auto"/>
        <w:ind w:right="1131" w:firstLine="360"/>
        <w:jc w:val="both"/>
      </w:pPr>
      <w:r>
        <w:rPr>
          <w:spacing w:val="-4"/>
        </w:rPr>
        <w:t>（3）本公司之子公司链石（苏州）信息科技有限公司适用小型微利企业年应纳税所得额不超过100万元的部分，减按25%</w:t>
      </w:r>
      <w:r>
        <w:rPr/>
        <w:t> 计入应纳税所得额，按20%的税率缴纳企业所得税。</w:t>
      </w:r>
    </w:p>
    <w:p>
      <w:pPr>
        <w:pStyle w:val="BodyText"/>
        <w:spacing w:line="316" w:lineRule="auto" w:before="139"/>
        <w:ind w:right="1131" w:firstLine="360"/>
        <w:jc w:val="both"/>
      </w:pPr>
      <w:r>
        <w:rPr>
          <w:spacing w:val="-4"/>
        </w:rPr>
        <w:t>（4）本公司之子公司链石（上海）信息科技有限公司适用小型微利企业年应纳税所得额不超过100万元的部分，减按25%</w:t>
      </w:r>
      <w:r>
        <w:rPr/>
        <w:t> 计入应纳税所得额，按20%的税率缴纳企业所得税。</w:t>
      </w:r>
    </w:p>
    <w:p>
      <w:pPr>
        <w:spacing w:line="240" w:lineRule="auto" w:before="6"/>
        <w:rPr>
          <w:rFonts w:ascii="宋体" w:hAnsi="宋体" w:cs="宋体" w:eastAsia="宋体" w:hint="default"/>
          <w:sz w:val="22"/>
          <w:szCs w:val="22"/>
        </w:rPr>
      </w:pPr>
    </w:p>
    <w:p>
      <w:pPr>
        <w:pStyle w:val="Heading3"/>
        <w:spacing w:line="240" w:lineRule="auto"/>
        <w:ind w:right="915"/>
        <w:jc w:val="left"/>
        <w:rPr>
          <w:b w:val="0"/>
          <w:bCs w:val="0"/>
        </w:rPr>
      </w:pPr>
      <w:bookmarkStart w:name="3、其他" w:id="235"/>
      <w:bookmarkEnd w:id="235"/>
      <w:r>
        <w:rPr>
          <w:b w:val="0"/>
          <w:bCs w:val="0"/>
        </w:rPr>
      </w: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15"/>
        <w:jc w:val="left"/>
      </w:pPr>
      <w:r>
        <w:rPr/>
        <w:t>无</w:t>
      </w:r>
    </w:p>
    <w:p>
      <w:pPr>
        <w:spacing w:line="240" w:lineRule="auto" w:before="1"/>
        <w:rPr>
          <w:rFonts w:ascii="宋体" w:hAnsi="宋体" w:cs="宋体" w:eastAsia="宋体" w:hint="default"/>
          <w:sz w:val="25"/>
          <w:szCs w:val="25"/>
        </w:rPr>
      </w:pPr>
    </w:p>
    <w:p>
      <w:pPr>
        <w:pStyle w:val="Heading2"/>
        <w:spacing w:line="240" w:lineRule="auto"/>
        <w:ind w:right="915"/>
        <w:jc w:val="left"/>
        <w:rPr>
          <w:b w:val="0"/>
          <w:bCs w:val="0"/>
        </w:rPr>
      </w:pPr>
      <w:bookmarkStart w:name="七、合并财务报表项目注释" w:id="236"/>
      <w:bookmarkEnd w:id="236"/>
      <w:r>
        <w:rPr>
          <w:b w:val="0"/>
          <w:bCs w:val="0"/>
        </w:rPr>
      </w:r>
      <w:r>
        <w:rPr/>
        <w:t>七、合并财务报表项目注释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15"/>
        <w:jc w:val="left"/>
        <w:rPr>
          <w:b w:val="0"/>
          <w:bCs w:val="0"/>
        </w:rPr>
      </w:pPr>
      <w:bookmarkStart w:name="1、货币资金" w:id="237"/>
      <w:bookmarkEnd w:id="237"/>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492,081,995.83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372,002,940.35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30,000.01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218,000.00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2"/>
                <w:sz w:val="18"/>
              </w:rPr>
              <w:t>492,111,995.84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372,220,940.35</w:t>
            </w:r>
          </w:p>
        </w:tc>
      </w:tr>
    </w:tbl>
    <w:p>
      <w:pPr>
        <w:pStyle w:val="BodyText"/>
        <w:spacing w:line="240" w:lineRule="auto" w:before="49"/>
        <w:ind w:right="915"/>
        <w:jc w:val="left"/>
      </w:pPr>
      <w:r>
        <w:rPr/>
        <w:t>其他说明</w:t>
      </w:r>
    </w:p>
    <w:p>
      <w:pPr>
        <w:pStyle w:val="BodyText"/>
        <w:spacing w:line="240" w:lineRule="auto" w:before="117"/>
        <w:ind w:left="532" w:right="915"/>
        <w:jc w:val="left"/>
      </w:pPr>
      <w:r>
        <w:rPr/>
        <w:t>1．期末其他货币资金支付的履约保证金,因无法随时动用未将其认定为现金及现金等价物。</w:t>
      </w:r>
    </w:p>
    <w:p>
      <w:pPr>
        <w:spacing w:line="240" w:lineRule="auto" w:before="10"/>
        <w:rPr>
          <w:rFonts w:ascii="宋体" w:hAnsi="宋体" w:cs="宋体" w:eastAsia="宋体" w:hint="default"/>
          <w:sz w:val="17"/>
          <w:szCs w:val="17"/>
        </w:rPr>
      </w:pPr>
    </w:p>
    <w:p>
      <w:pPr>
        <w:pStyle w:val="BodyText"/>
        <w:spacing w:line="316" w:lineRule="auto"/>
        <w:ind w:right="915" w:firstLine="420"/>
        <w:jc w:val="left"/>
      </w:pPr>
      <w:r>
        <w:rPr/>
        <w:t>2．期末银行存款中20,000,000.00元系将自有闲置资金购买3年期的大额存单，到期日为2022年9月27日，因预计持有 至到期未将其认定为现金及现金等价物。</w:t>
      </w:r>
    </w:p>
    <w:p>
      <w:pPr>
        <w:spacing w:line="240" w:lineRule="auto" w:before="5"/>
        <w:rPr>
          <w:rFonts w:ascii="宋体" w:hAnsi="宋体" w:cs="宋体" w:eastAsia="宋体" w:hint="default"/>
          <w:sz w:val="13"/>
          <w:szCs w:val="13"/>
        </w:rPr>
      </w:pPr>
    </w:p>
    <w:p>
      <w:pPr>
        <w:pStyle w:val="BodyText"/>
        <w:spacing w:line="240" w:lineRule="auto"/>
        <w:ind w:left="532" w:right="915"/>
        <w:jc w:val="left"/>
      </w:pPr>
      <w:r>
        <w:rPr/>
        <w:t>3．期末货币资金余额中无存放在境外的款项。</w:t>
      </w:r>
    </w:p>
    <w:p>
      <w:pPr>
        <w:spacing w:line="240" w:lineRule="auto" w:before="10"/>
        <w:rPr>
          <w:rFonts w:ascii="宋体" w:hAnsi="宋体" w:cs="宋体" w:eastAsia="宋体" w:hint="default"/>
          <w:sz w:val="17"/>
          <w:szCs w:val="17"/>
        </w:rPr>
      </w:pPr>
    </w:p>
    <w:p>
      <w:pPr>
        <w:pStyle w:val="BodyText"/>
        <w:spacing w:line="240" w:lineRule="auto"/>
        <w:ind w:left="532" w:right="915"/>
        <w:jc w:val="left"/>
      </w:pPr>
      <w:r>
        <w:rPr/>
        <w:t>4．期末货币资金余额中无存在抵押、质押、冻结等对使用有限制款项。</w:t>
      </w:r>
    </w:p>
    <w:p>
      <w:pPr>
        <w:spacing w:after="0" w:line="240" w:lineRule="auto"/>
        <w:jc w:val="left"/>
        <w:sectPr>
          <w:pgSz w:w="11910" w:h="16840"/>
          <w:pgMar w:header="919" w:footer="1016" w:top="112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Heading3"/>
        <w:spacing w:line="240" w:lineRule="auto" w:before="34"/>
        <w:ind w:right="915"/>
        <w:jc w:val="left"/>
        <w:rPr>
          <w:b w:val="0"/>
          <w:bCs w:val="0"/>
        </w:rPr>
      </w:pPr>
      <w:bookmarkStart w:name="2、交易性金融资产" w:id="238"/>
      <w:bookmarkEnd w:id="238"/>
      <w:r>
        <w:rPr>
          <w:b w:val="0"/>
          <w:bCs w:val="0"/>
        </w:rPr>
      </w:r>
      <w:r>
        <w:rPr>
          <w:rFonts w:ascii="Times New Roman" w:hAnsi="Times New Roman" w:cs="Times New Roman" w:eastAsia="Times New Roman" w:hint="default"/>
        </w:rPr>
        <w:t>2</w:t>
      </w:r>
      <w:r>
        <w:rPr/>
        <w:t>、交易性金融资产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95"/>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148,557,329.88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347,321,635.20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148,557,329.88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347,321,635.20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148,557,329.88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347,321,635.20</w:t>
            </w:r>
          </w:p>
        </w:tc>
      </w:tr>
    </w:tbl>
    <w:p>
      <w:pPr>
        <w:pStyle w:val="BodyText"/>
        <w:spacing w:line="357" w:lineRule="auto" w:before="52"/>
        <w:ind w:right="5714"/>
        <w:jc w:val="left"/>
      </w:pPr>
      <w:r>
        <w:rPr/>
        <w:t>其他说明： 交易性金融资产系购买的结构性存款理财产品，保本浮动收益。</w:t>
      </w:r>
    </w:p>
    <w:p>
      <w:pPr>
        <w:spacing w:line="240" w:lineRule="auto" w:before="4"/>
        <w:rPr>
          <w:rFonts w:ascii="宋体" w:hAnsi="宋体" w:cs="宋体" w:eastAsia="宋体" w:hint="default"/>
          <w:sz w:val="20"/>
          <w:szCs w:val="20"/>
        </w:rPr>
      </w:pPr>
    </w:p>
    <w:p>
      <w:pPr>
        <w:pStyle w:val="Heading3"/>
        <w:spacing w:line="240" w:lineRule="auto"/>
        <w:ind w:right="915"/>
        <w:jc w:val="left"/>
        <w:rPr>
          <w:b w:val="0"/>
          <w:bCs w:val="0"/>
        </w:rPr>
      </w:pPr>
      <w:bookmarkStart w:name="3、应收账款" w:id="239"/>
      <w:bookmarkEnd w:id="239"/>
      <w:r>
        <w:rPr>
          <w:b w:val="0"/>
          <w:bCs w:val="0"/>
        </w:rPr>
      </w:r>
      <w:r>
        <w:rPr>
          <w:rFonts w:ascii="Times New Roman" w:hAnsi="Times New Roman" w:cs="Times New Roman" w:eastAsia="Times New Roman" w:hint="default"/>
        </w:rPr>
        <w:t>3</w:t>
      </w:r>
      <w:r>
        <w:rPr/>
        <w:t>、应收账款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15"/>
        <w:jc w:val="left"/>
        <w:rPr>
          <w:b w:val="0"/>
          <w:bCs w:val="0"/>
        </w:rPr>
      </w:pPr>
      <w:bookmarkStart w:name="（1）应收账款分类披露" w:id="240"/>
      <w:bookmarkEnd w:id="240"/>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5"/>
        <w:gridCol w:w="763"/>
        <w:gridCol w:w="762"/>
        <w:gridCol w:w="762"/>
        <w:gridCol w:w="763"/>
        <w:gridCol w:w="789"/>
        <w:gridCol w:w="776"/>
        <w:gridCol w:w="797"/>
        <w:gridCol w:w="798"/>
        <w:gridCol w:w="790"/>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298" w:right="118"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57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2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371" w:right="189"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6"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9" w:type="dxa"/>
            <w:vMerge/>
            <w:tcBorders>
              <w:left w:val="single" w:sz="4" w:space="0" w:color="000000"/>
              <w:bottom w:val="single" w:sz="4" w:space="0" w:color="000000"/>
              <w:right w:val="single" w:sz="4" w:space="0" w:color="000000"/>
            </w:tcBorders>
            <w:shd w:val="clear" w:color="auto" w:fill="D2D2D2"/>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99" w:right="119"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261"/>
              <w:jc w:val="left"/>
              <w:rPr>
                <w:rFonts w:ascii="宋体" w:hAnsi="宋体" w:cs="宋体" w:eastAsia="宋体" w:hint="default"/>
                <w:sz w:val="18"/>
                <w:szCs w:val="18"/>
              </w:rPr>
            </w:pPr>
            <w:r>
              <w:rPr>
                <w:rFonts w:ascii="宋体" w:hAnsi="宋体" w:cs="宋体" w:eastAsia="宋体" w:hint="default"/>
                <w:sz w:val="18"/>
                <w:szCs w:val="18"/>
              </w:rPr>
              <w:t>按单项计提坏账 准备的应收账款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 w:right="0"/>
              <w:jc w:val="center"/>
              <w:rPr>
                <w:rFonts w:ascii="Times New Roman" w:hAnsi="Times New Roman" w:cs="Times New Roman" w:eastAsia="Times New Roman" w:hint="default"/>
                <w:sz w:val="18"/>
                <w:szCs w:val="18"/>
              </w:rPr>
            </w:pPr>
            <w:r>
              <w:rPr>
                <w:rFonts w:ascii="Times New Roman"/>
                <w:sz w:val="18"/>
              </w:rPr>
              <w:t>9,281,1</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06.64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5" w:right="0"/>
              <w:jc w:val="left"/>
              <w:rPr>
                <w:rFonts w:ascii="Times New Roman" w:hAnsi="Times New Roman" w:cs="Times New Roman" w:eastAsia="Times New Roman" w:hint="default"/>
                <w:sz w:val="18"/>
                <w:szCs w:val="18"/>
              </w:rPr>
            </w:pPr>
            <w:r>
              <w:rPr>
                <w:rFonts w:ascii="Times New Roman"/>
                <w:sz w:val="18"/>
              </w:rPr>
              <w:t>1.19%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6,906,7</w:t>
            </w:r>
          </w:p>
          <w:p>
            <w:pPr>
              <w:pStyle w:val="TableParagraph"/>
              <w:spacing w:line="240" w:lineRule="auto" w:before="105"/>
              <w:ind w:left="143" w:right="0"/>
              <w:jc w:val="center"/>
              <w:rPr>
                <w:rFonts w:ascii="Times New Roman" w:hAnsi="Times New Roman" w:cs="Times New Roman" w:eastAsia="Times New Roman" w:hint="default"/>
                <w:sz w:val="18"/>
                <w:szCs w:val="18"/>
              </w:rPr>
            </w:pPr>
            <w:r>
              <w:rPr>
                <w:rFonts w:ascii="Times New Roman"/>
                <w:sz w:val="18"/>
              </w:rPr>
              <w:t>52.92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5" w:right="0"/>
              <w:jc w:val="left"/>
              <w:rPr>
                <w:rFonts w:ascii="Times New Roman" w:hAnsi="Times New Roman" w:cs="Times New Roman" w:eastAsia="Times New Roman" w:hint="default"/>
                <w:sz w:val="18"/>
                <w:szCs w:val="18"/>
              </w:rPr>
            </w:pPr>
            <w:r>
              <w:rPr>
                <w:rFonts w:ascii="Times New Roman"/>
                <w:sz w:val="18"/>
              </w:rPr>
              <w:t>79.38</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2" w:right="0"/>
              <w:jc w:val="center"/>
              <w:rPr>
                <w:rFonts w:ascii="Times New Roman" w:hAnsi="Times New Roman" w:cs="Times New Roman" w:eastAsia="Times New Roman" w:hint="default"/>
                <w:sz w:val="18"/>
                <w:szCs w:val="18"/>
              </w:rPr>
            </w:pPr>
            <w:r>
              <w:rPr>
                <w:rFonts w:ascii="Times New Roman"/>
                <w:sz w:val="18"/>
              </w:rPr>
              <w:t>2,374,3</w:t>
            </w:r>
          </w:p>
          <w:p>
            <w:pPr>
              <w:pStyle w:val="TableParagraph"/>
              <w:spacing w:line="240" w:lineRule="auto" w:before="105"/>
              <w:ind w:left="169" w:right="0"/>
              <w:jc w:val="center"/>
              <w:rPr>
                <w:rFonts w:ascii="Times New Roman" w:hAnsi="Times New Roman" w:cs="Times New Roman" w:eastAsia="Times New Roman" w:hint="default"/>
                <w:sz w:val="18"/>
                <w:szCs w:val="18"/>
              </w:rPr>
            </w:pPr>
            <w:r>
              <w:rPr>
                <w:rFonts w:ascii="Times New Roman"/>
                <w:sz w:val="18"/>
              </w:rPr>
              <w:t>53.72</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center"/>
              <w:rPr>
                <w:rFonts w:ascii="Times New Roman" w:hAnsi="Times New Roman" w:cs="Times New Roman" w:eastAsia="Times New Roman" w:hint="default"/>
                <w:sz w:val="18"/>
                <w:szCs w:val="18"/>
              </w:rPr>
            </w:pPr>
            <w:r>
              <w:rPr>
                <w:rFonts w:ascii="Times New Roman"/>
                <w:sz w:val="18"/>
              </w:rPr>
              <w:t>5,576,4</w:t>
            </w:r>
          </w:p>
          <w:p>
            <w:pPr>
              <w:pStyle w:val="TableParagraph"/>
              <w:spacing w:line="240" w:lineRule="auto" w:before="105"/>
              <w:ind w:left="157" w:right="0"/>
              <w:jc w:val="center"/>
              <w:rPr>
                <w:rFonts w:ascii="Times New Roman" w:hAnsi="Times New Roman" w:cs="Times New Roman" w:eastAsia="Times New Roman" w:hint="default"/>
                <w:sz w:val="18"/>
                <w:szCs w:val="18"/>
              </w:rPr>
            </w:pPr>
            <w:r>
              <w:rPr>
                <w:rFonts w:ascii="Times New Roman"/>
                <w:sz w:val="18"/>
              </w:rPr>
              <w:t>92.32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0.98%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7" w:right="0"/>
              <w:jc w:val="center"/>
              <w:rPr>
                <w:rFonts w:ascii="Times New Roman" w:hAnsi="Times New Roman" w:cs="Times New Roman" w:eastAsia="Times New Roman" w:hint="default"/>
                <w:sz w:val="18"/>
                <w:szCs w:val="18"/>
              </w:rPr>
            </w:pPr>
            <w:r>
              <w:rPr>
                <w:rFonts w:ascii="Times New Roman"/>
                <w:sz w:val="18"/>
              </w:rPr>
              <w:t>448,49</w:t>
            </w:r>
          </w:p>
          <w:p>
            <w:pPr>
              <w:pStyle w:val="TableParagraph"/>
              <w:spacing w:line="240" w:lineRule="auto" w:before="105"/>
              <w:ind w:left="267" w:right="0"/>
              <w:jc w:val="center"/>
              <w:rPr>
                <w:rFonts w:ascii="Times New Roman" w:hAnsi="Times New Roman" w:cs="Times New Roman" w:eastAsia="Times New Roman" w:hint="default"/>
                <w:sz w:val="18"/>
                <w:szCs w:val="18"/>
              </w:rPr>
            </w:pPr>
            <w:r>
              <w:rPr>
                <w:rFonts w:ascii="Times New Roman"/>
                <w:sz w:val="18"/>
              </w:rPr>
              <w:t>7.00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8" w:right="0"/>
              <w:jc w:val="left"/>
              <w:rPr>
                <w:rFonts w:ascii="Times New Roman" w:hAnsi="Times New Roman" w:cs="Times New Roman" w:eastAsia="Times New Roman" w:hint="default"/>
                <w:sz w:val="18"/>
                <w:szCs w:val="18"/>
              </w:rPr>
            </w:pPr>
            <w:r>
              <w:rPr>
                <w:rFonts w:ascii="Times New Roman"/>
                <w:sz w:val="18"/>
              </w:rPr>
              <w:t>5,127,99</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5.32</w:t>
            </w:r>
          </w:p>
        </w:tc>
      </w:tr>
      <w:tr>
        <w:trPr>
          <w:trHeight w:val="40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261"/>
              <w:jc w:val="both"/>
              <w:rPr>
                <w:rFonts w:ascii="宋体" w:hAnsi="宋体" w:cs="宋体" w:eastAsia="宋体" w:hint="default"/>
                <w:sz w:val="18"/>
                <w:szCs w:val="18"/>
              </w:rPr>
            </w:pPr>
            <w:r>
              <w:rPr>
                <w:rFonts w:ascii="宋体" w:hAnsi="宋体" w:cs="宋体" w:eastAsia="宋体" w:hint="default"/>
                <w:sz w:val="18"/>
                <w:szCs w:val="18"/>
              </w:rPr>
              <w:t>单项金额重大并 单独计提坏账准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8,700,7</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40.92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85" w:right="0"/>
              <w:jc w:val="left"/>
              <w:rPr>
                <w:rFonts w:ascii="Times New Roman" w:hAnsi="Times New Roman" w:cs="Times New Roman" w:eastAsia="Times New Roman" w:hint="default"/>
                <w:sz w:val="18"/>
                <w:szCs w:val="18"/>
              </w:rPr>
            </w:pPr>
            <w:r>
              <w:rPr>
                <w:rFonts w:ascii="Times New Roman"/>
                <w:sz w:val="18"/>
              </w:rPr>
              <w:t>1.12%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6,906,7</w:t>
            </w:r>
          </w:p>
          <w:p>
            <w:pPr>
              <w:pStyle w:val="TableParagraph"/>
              <w:spacing w:line="240" w:lineRule="auto" w:before="105"/>
              <w:ind w:left="143" w:right="0"/>
              <w:jc w:val="center"/>
              <w:rPr>
                <w:rFonts w:ascii="Times New Roman" w:hAnsi="Times New Roman" w:cs="Times New Roman" w:eastAsia="Times New Roman" w:hint="default"/>
                <w:sz w:val="18"/>
                <w:szCs w:val="18"/>
              </w:rPr>
            </w:pPr>
            <w:r>
              <w:rPr>
                <w:rFonts w:ascii="Times New Roman"/>
                <w:sz w:val="18"/>
              </w:rPr>
              <w:t>52.92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5" w:right="0"/>
              <w:jc w:val="left"/>
              <w:rPr>
                <w:rFonts w:ascii="Times New Roman" w:hAnsi="Times New Roman" w:cs="Times New Roman" w:eastAsia="Times New Roman" w:hint="default"/>
                <w:sz w:val="18"/>
                <w:szCs w:val="18"/>
              </w:rPr>
            </w:pPr>
            <w:r>
              <w:rPr>
                <w:rFonts w:ascii="Times New Roman"/>
                <w:sz w:val="18"/>
              </w:rPr>
              <w:t>79.38</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1,793,9</w:t>
            </w:r>
          </w:p>
          <w:p>
            <w:pPr>
              <w:pStyle w:val="TableParagraph"/>
              <w:spacing w:line="240" w:lineRule="auto" w:before="105"/>
              <w:ind w:left="169" w:right="0"/>
              <w:jc w:val="center"/>
              <w:rPr>
                <w:rFonts w:ascii="Times New Roman" w:hAnsi="Times New Roman" w:cs="Times New Roman" w:eastAsia="Times New Roman" w:hint="default"/>
                <w:sz w:val="18"/>
                <w:szCs w:val="18"/>
              </w:rPr>
            </w:pPr>
            <w:r>
              <w:rPr>
                <w:rFonts w:ascii="Times New Roman"/>
                <w:sz w:val="18"/>
              </w:rPr>
              <w:t>88.00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4,484,9</w:t>
            </w:r>
          </w:p>
          <w:p>
            <w:pPr>
              <w:pStyle w:val="TableParagraph"/>
              <w:spacing w:line="240" w:lineRule="auto" w:before="105"/>
              <w:ind w:left="157" w:right="0"/>
              <w:jc w:val="center"/>
              <w:rPr>
                <w:rFonts w:ascii="Times New Roman" w:hAnsi="Times New Roman" w:cs="Times New Roman" w:eastAsia="Times New Roman" w:hint="default"/>
                <w:sz w:val="18"/>
                <w:szCs w:val="18"/>
              </w:rPr>
            </w:pPr>
            <w:r>
              <w:rPr>
                <w:rFonts w:ascii="Times New Roman"/>
                <w:sz w:val="18"/>
              </w:rPr>
              <w:t>70.00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0.79%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 w:right="0"/>
              <w:jc w:val="center"/>
              <w:rPr>
                <w:rFonts w:ascii="Times New Roman" w:hAnsi="Times New Roman" w:cs="Times New Roman" w:eastAsia="Times New Roman" w:hint="default"/>
                <w:sz w:val="18"/>
                <w:szCs w:val="18"/>
              </w:rPr>
            </w:pPr>
            <w:r>
              <w:rPr>
                <w:rFonts w:ascii="Times New Roman"/>
                <w:sz w:val="18"/>
              </w:rPr>
              <w:t>448,49</w:t>
            </w:r>
          </w:p>
          <w:p>
            <w:pPr>
              <w:pStyle w:val="TableParagraph"/>
              <w:spacing w:line="240" w:lineRule="auto" w:before="105"/>
              <w:ind w:left="267" w:right="0"/>
              <w:jc w:val="center"/>
              <w:rPr>
                <w:rFonts w:ascii="Times New Roman" w:hAnsi="Times New Roman" w:cs="Times New Roman" w:eastAsia="Times New Roman" w:hint="default"/>
                <w:sz w:val="18"/>
                <w:szCs w:val="18"/>
              </w:rPr>
            </w:pPr>
            <w:r>
              <w:rPr>
                <w:rFonts w:ascii="Times New Roman"/>
                <w:sz w:val="18"/>
              </w:rPr>
              <w:t>7.00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8" w:right="0"/>
              <w:jc w:val="left"/>
              <w:rPr>
                <w:rFonts w:ascii="Times New Roman" w:hAnsi="Times New Roman" w:cs="Times New Roman" w:eastAsia="Times New Roman" w:hint="default"/>
                <w:sz w:val="18"/>
                <w:szCs w:val="18"/>
              </w:rPr>
            </w:pPr>
            <w:r>
              <w:rPr>
                <w:rFonts w:ascii="Times New Roman"/>
                <w:sz w:val="18"/>
              </w:rPr>
              <w:t>4,036,47</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3.00</w:t>
            </w: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261"/>
              <w:jc w:val="both"/>
              <w:rPr>
                <w:rFonts w:ascii="宋体" w:hAnsi="宋体" w:cs="宋体" w:eastAsia="宋体" w:hint="default"/>
                <w:sz w:val="18"/>
                <w:szCs w:val="18"/>
              </w:rPr>
            </w:pPr>
            <w:r>
              <w:rPr>
                <w:rFonts w:ascii="宋体" w:hAnsi="宋体" w:cs="宋体" w:eastAsia="宋体" w:hint="default"/>
                <w:sz w:val="18"/>
                <w:szCs w:val="18"/>
              </w:rPr>
              <w:t>单项金额不重大 但单独计提坏账 准备的应收账款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580,36</w:t>
            </w:r>
          </w:p>
          <w:p>
            <w:pPr>
              <w:pStyle w:val="TableParagraph"/>
              <w:spacing w:line="240" w:lineRule="auto" w:before="105"/>
              <w:ind w:left="230" w:right="0"/>
              <w:jc w:val="center"/>
              <w:rPr>
                <w:rFonts w:ascii="Times New Roman" w:hAnsi="Times New Roman" w:cs="Times New Roman" w:eastAsia="Times New Roman" w:hint="default"/>
                <w:sz w:val="18"/>
                <w:szCs w:val="18"/>
              </w:rPr>
            </w:pPr>
            <w:r>
              <w:rPr>
                <w:rFonts w:ascii="Times New Roman"/>
                <w:sz w:val="18"/>
              </w:rPr>
              <w:t>5.72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85" w:right="0"/>
              <w:jc w:val="left"/>
              <w:rPr>
                <w:rFonts w:ascii="Times New Roman" w:hAnsi="Times New Roman" w:cs="Times New Roman" w:eastAsia="Times New Roman" w:hint="default"/>
                <w:sz w:val="18"/>
                <w:szCs w:val="18"/>
              </w:rPr>
            </w:pPr>
            <w:r>
              <w:rPr>
                <w:rFonts w:ascii="Times New Roman"/>
                <w:sz w:val="18"/>
              </w:rPr>
              <w:t>0.07%</w:t>
            </w:r>
          </w:p>
        </w:tc>
        <w:tc>
          <w:tcPr>
            <w:tcW w:w="76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8" w:right="0"/>
              <w:jc w:val="center"/>
              <w:rPr>
                <w:rFonts w:ascii="Times New Roman" w:hAnsi="Times New Roman" w:cs="Times New Roman" w:eastAsia="Times New Roman" w:hint="default"/>
                <w:sz w:val="18"/>
                <w:szCs w:val="18"/>
              </w:rPr>
            </w:pPr>
            <w:r>
              <w:rPr>
                <w:rFonts w:ascii="Times New Roman"/>
                <w:sz w:val="18"/>
              </w:rPr>
              <w:t>580,36</w:t>
            </w:r>
          </w:p>
          <w:p>
            <w:pPr>
              <w:pStyle w:val="TableParagraph"/>
              <w:spacing w:line="240" w:lineRule="auto" w:before="105"/>
              <w:ind w:left="258" w:right="0"/>
              <w:jc w:val="center"/>
              <w:rPr>
                <w:rFonts w:ascii="Times New Roman" w:hAnsi="Times New Roman" w:cs="Times New Roman" w:eastAsia="Times New Roman" w:hint="default"/>
                <w:sz w:val="18"/>
                <w:szCs w:val="18"/>
              </w:rPr>
            </w:pPr>
            <w:r>
              <w:rPr>
                <w:rFonts w:ascii="Times New Roman"/>
                <w:sz w:val="18"/>
              </w:rPr>
              <w:t>5.72</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1,091,5</w:t>
            </w:r>
          </w:p>
          <w:p>
            <w:pPr>
              <w:pStyle w:val="TableParagraph"/>
              <w:spacing w:line="240" w:lineRule="auto" w:before="105"/>
              <w:ind w:left="157" w:right="0"/>
              <w:jc w:val="center"/>
              <w:rPr>
                <w:rFonts w:ascii="Times New Roman" w:hAnsi="Times New Roman" w:cs="Times New Roman" w:eastAsia="Times New Roman" w:hint="default"/>
                <w:sz w:val="18"/>
                <w:szCs w:val="18"/>
              </w:rPr>
            </w:pPr>
            <w:r>
              <w:rPr>
                <w:rFonts w:ascii="Times New Roman"/>
                <w:sz w:val="18"/>
              </w:rPr>
              <w:t>22.32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0.19%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88" w:right="0"/>
              <w:jc w:val="left"/>
              <w:rPr>
                <w:rFonts w:ascii="Times New Roman" w:hAnsi="Times New Roman" w:cs="Times New Roman" w:eastAsia="Times New Roman" w:hint="default"/>
                <w:sz w:val="18"/>
                <w:szCs w:val="18"/>
              </w:rPr>
            </w:pPr>
            <w:r>
              <w:rPr>
                <w:rFonts w:ascii="Times New Roman"/>
                <w:sz w:val="18"/>
              </w:rPr>
              <w:t>1,091,52</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2.32</w:t>
            </w: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1" w:right="261"/>
              <w:jc w:val="left"/>
              <w:rPr>
                <w:rFonts w:ascii="宋体" w:hAnsi="宋体" w:cs="宋体" w:eastAsia="宋体" w:hint="default"/>
                <w:sz w:val="18"/>
                <w:szCs w:val="18"/>
              </w:rPr>
            </w:pPr>
            <w:r>
              <w:rPr>
                <w:rFonts w:ascii="宋体" w:hAnsi="宋体" w:cs="宋体" w:eastAsia="宋体" w:hint="default"/>
                <w:sz w:val="18"/>
                <w:szCs w:val="18"/>
              </w:rPr>
              <w:t>按组合计提坏账 准备的应收账款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765,35</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9,805.0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3" w:right="0"/>
              <w:jc w:val="left"/>
              <w:rPr>
                <w:rFonts w:ascii="Times New Roman" w:hAnsi="Times New Roman" w:cs="Times New Roman" w:eastAsia="Times New Roman" w:hint="default"/>
                <w:sz w:val="18"/>
                <w:szCs w:val="18"/>
              </w:rPr>
            </w:pPr>
            <w:r>
              <w:rPr>
                <w:rFonts w:ascii="Times New Roman"/>
                <w:sz w:val="18"/>
              </w:rPr>
              <w:t>98.81</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36,556,</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853.28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4.78%</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728,80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2,951.7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561,38</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5,343.3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99.02%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28,206,</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346.13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5.02%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5" w:right="0"/>
              <w:jc w:val="center"/>
              <w:rPr>
                <w:rFonts w:ascii="Times New Roman" w:hAnsi="Times New Roman" w:cs="Times New Roman" w:eastAsia="Times New Roman" w:hint="default"/>
                <w:sz w:val="18"/>
                <w:szCs w:val="18"/>
              </w:rPr>
            </w:pPr>
            <w:r>
              <w:rPr>
                <w:rFonts w:ascii="Times New Roman"/>
                <w:sz w:val="18"/>
              </w:rPr>
              <w:t>533,178,</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997.20</w:t>
            </w:r>
          </w:p>
        </w:tc>
      </w:tr>
      <w:tr>
        <w:trPr>
          <w:trHeight w:val="40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2"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54" w:right="0"/>
              <w:jc w:val="left"/>
              <w:rPr>
                <w:rFonts w:ascii="Times New Roman" w:hAnsi="Times New Roman" w:cs="Times New Roman" w:eastAsia="Times New Roman" w:hint="default"/>
                <w:sz w:val="18"/>
                <w:szCs w:val="18"/>
              </w:rPr>
            </w:pPr>
            <w:r>
              <w:rPr>
                <w:rFonts w:ascii="Times New Roman"/>
                <w:sz w:val="18"/>
              </w:rPr>
              <w:t>521,05</w:t>
            </w:r>
          </w:p>
          <w:p>
            <w:pPr>
              <w:pStyle w:val="TableParagraph"/>
              <w:spacing w:line="240" w:lineRule="auto" w:before="105"/>
              <w:ind w:left="111" w:right="0"/>
              <w:jc w:val="left"/>
              <w:rPr>
                <w:rFonts w:ascii="Times New Roman" w:hAnsi="Times New Roman" w:cs="Times New Roman" w:eastAsia="Times New Roman" w:hint="default"/>
                <w:sz w:val="18"/>
                <w:szCs w:val="18"/>
              </w:rPr>
            </w:pPr>
            <w:r>
              <w:rPr>
                <w:rFonts w:ascii="Times New Roman"/>
                <w:sz w:val="18"/>
              </w:rPr>
              <w:t>0,540.0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3" w:right="0"/>
              <w:jc w:val="left"/>
              <w:rPr>
                <w:rFonts w:ascii="Times New Roman" w:hAnsi="Times New Roman" w:cs="Times New Roman" w:eastAsia="Times New Roman" w:hint="default"/>
                <w:sz w:val="18"/>
                <w:szCs w:val="18"/>
              </w:rPr>
            </w:pPr>
            <w:r>
              <w:rPr>
                <w:rFonts w:ascii="Times New Roman"/>
                <w:sz w:val="18"/>
              </w:rPr>
              <w:t>67.27</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0" w:right="0"/>
              <w:jc w:val="left"/>
              <w:rPr>
                <w:rFonts w:ascii="Times New Roman" w:hAnsi="Times New Roman" w:cs="Times New Roman" w:eastAsia="Times New Roman" w:hint="default"/>
                <w:sz w:val="18"/>
                <w:szCs w:val="18"/>
              </w:rPr>
            </w:pPr>
            <w:r>
              <w:rPr>
                <w:rFonts w:ascii="Times New Roman"/>
                <w:sz w:val="18"/>
              </w:rPr>
              <w:t>36,556,</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853.28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7.02%</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81" w:right="0"/>
              <w:jc w:val="left"/>
              <w:rPr>
                <w:rFonts w:ascii="Times New Roman" w:hAnsi="Times New Roman" w:cs="Times New Roman" w:eastAsia="Times New Roman" w:hint="default"/>
                <w:sz w:val="18"/>
                <w:szCs w:val="18"/>
              </w:rPr>
            </w:pPr>
            <w:r>
              <w:rPr>
                <w:rFonts w:ascii="Times New Roman"/>
                <w:sz w:val="18"/>
              </w:rPr>
              <w:t>484,49</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3,686.7</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67" w:right="0"/>
              <w:jc w:val="left"/>
              <w:rPr>
                <w:rFonts w:ascii="Times New Roman" w:hAnsi="Times New Roman" w:cs="Times New Roman" w:eastAsia="Times New Roman" w:hint="default"/>
                <w:sz w:val="18"/>
                <w:szCs w:val="18"/>
              </w:rPr>
            </w:pPr>
            <w:r>
              <w:rPr>
                <w:rFonts w:ascii="Times New Roman"/>
                <w:sz w:val="18"/>
              </w:rPr>
              <w:t>428,65</w:t>
            </w:r>
          </w:p>
          <w:p>
            <w:pPr>
              <w:pStyle w:val="TableParagraph"/>
              <w:spacing w:line="240" w:lineRule="auto" w:before="105"/>
              <w:ind w:left="123" w:right="0"/>
              <w:jc w:val="left"/>
              <w:rPr>
                <w:rFonts w:ascii="Times New Roman" w:hAnsi="Times New Roman" w:cs="Times New Roman" w:eastAsia="Times New Roman" w:hint="default"/>
                <w:sz w:val="18"/>
                <w:szCs w:val="18"/>
              </w:rPr>
            </w:pPr>
            <w:r>
              <w:rPr>
                <w:rFonts w:ascii="Times New Roman"/>
                <w:sz w:val="18"/>
              </w:rPr>
              <w:t>4,658.4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75.61%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4" w:right="0"/>
              <w:jc w:val="left"/>
              <w:rPr>
                <w:rFonts w:ascii="Times New Roman" w:hAnsi="Times New Roman" w:cs="Times New Roman" w:eastAsia="Times New Roman" w:hint="default"/>
                <w:sz w:val="18"/>
                <w:szCs w:val="18"/>
              </w:rPr>
            </w:pPr>
            <w:r>
              <w:rPr>
                <w:rFonts w:ascii="Times New Roman"/>
                <w:sz w:val="18"/>
              </w:rPr>
              <w:t>28,206,</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346.13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6.58%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 w:right="0"/>
              <w:jc w:val="center"/>
              <w:rPr>
                <w:rFonts w:ascii="Times New Roman" w:hAnsi="Times New Roman" w:cs="Times New Roman" w:eastAsia="Times New Roman" w:hint="default"/>
                <w:sz w:val="18"/>
                <w:szCs w:val="18"/>
              </w:rPr>
            </w:pPr>
            <w:r>
              <w:rPr>
                <w:rFonts w:ascii="Times New Roman"/>
                <w:sz w:val="18"/>
              </w:rPr>
              <w:t>400,448,</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312.27</w:t>
            </w:r>
          </w:p>
        </w:tc>
      </w:tr>
    </w:tbl>
    <w:p>
      <w:pPr>
        <w:spacing w:after="0" w:line="240" w:lineRule="auto"/>
        <w:jc w:val="center"/>
        <w:rPr>
          <w:rFonts w:ascii="Times New Roman" w:hAnsi="Times New Roman" w:cs="Times New Roman" w:eastAsia="Times New Roman" w:hint="default"/>
          <w:sz w:val="18"/>
          <w:szCs w:val="18"/>
        </w:rPr>
        <w:sectPr>
          <w:pgSz w:w="11910" w:h="16840"/>
          <w:pgMar w:header="919" w:footer="1016"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1635"/>
        <w:gridCol w:w="763"/>
        <w:gridCol w:w="762"/>
        <w:gridCol w:w="762"/>
        <w:gridCol w:w="763"/>
        <w:gridCol w:w="789"/>
        <w:gridCol w:w="776"/>
        <w:gridCol w:w="797"/>
        <w:gridCol w:w="798"/>
        <w:gridCol w:w="790"/>
        <w:gridCol w:w="932"/>
      </w:tblGrid>
      <w:tr>
        <w:trPr>
          <w:trHeight w:val="362" w:hRule="exact"/>
        </w:trPr>
        <w:tc>
          <w:tcPr>
            <w:tcW w:w="1635"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3</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5</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1" w:right="100"/>
              <w:jc w:val="left"/>
              <w:rPr>
                <w:rFonts w:ascii="宋体" w:hAnsi="宋体" w:cs="宋体" w:eastAsia="宋体" w:hint="default"/>
                <w:sz w:val="18"/>
                <w:szCs w:val="18"/>
              </w:rPr>
            </w:pPr>
            <w:r>
              <w:rPr>
                <w:rFonts w:ascii="宋体" w:hAnsi="宋体" w:cs="宋体" w:eastAsia="宋体" w:hint="default"/>
                <w:spacing w:val="-3"/>
                <w:sz w:val="18"/>
                <w:szCs w:val="18"/>
              </w:rPr>
              <w:t>风险类型组合（应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收保理款组合）</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244,30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9,265.0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3" w:right="0"/>
              <w:jc w:val="left"/>
              <w:rPr>
                <w:rFonts w:ascii="Times New Roman" w:hAnsi="Times New Roman" w:cs="Times New Roman" w:eastAsia="Times New Roman" w:hint="default"/>
                <w:sz w:val="18"/>
                <w:szCs w:val="18"/>
              </w:rPr>
            </w:pPr>
            <w:r>
              <w:rPr>
                <w:rFonts w:ascii="Times New Roman"/>
                <w:sz w:val="18"/>
              </w:rPr>
              <w:t>31.54</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244,30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9,265.0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132,73</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0,684.9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23.41%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5" w:right="0"/>
              <w:jc w:val="center"/>
              <w:rPr>
                <w:rFonts w:ascii="Times New Roman" w:hAnsi="Times New Roman" w:cs="Times New Roman" w:eastAsia="Times New Roman" w:hint="default"/>
                <w:sz w:val="18"/>
                <w:szCs w:val="18"/>
              </w:rPr>
            </w:pPr>
            <w:r>
              <w:rPr>
                <w:rFonts w:ascii="Times New Roman"/>
                <w:sz w:val="18"/>
              </w:rPr>
              <w:t>132,730,</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684.93</w:t>
            </w: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774,64</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2"/>
                <w:sz w:val="18"/>
              </w:rPr>
              <w:t>0,911.6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43,463,</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606.20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5" w:right="0"/>
              <w:jc w:val="left"/>
              <w:rPr>
                <w:rFonts w:ascii="Times New Roman" w:hAnsi="Times New Roman" w:cs="Times New Roman" w:eastAsia="Times New Roman" w:hint="default"/>
                <w:sz w:val="18"/>
                <w:szCs w:val="18"/>
              </w:rPr>
            </w:pPr>
            <w:r>
              <w:rPr>
                <w:rFonts w:ascii="Times New Roman"/>
                <w:sz w:val="18"/>
              </w:rPr>
              <w:t>5.61%</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731,17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7,305.4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9</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566,96</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1,835.6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28,654,</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843.13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2" w:right="0"/>
              <w:jc w:val="left"/>
              <w:rPr>
                <w:rFonts w:ascii="Times New Roman" w:hAnsi="Times New Roman" w:cs="Times New Roman" w:eastAsia="Times New Roman" w:hint="default"/>
                <w:sz w:val="18"/>
                <w:szCs w:val="18"/>
              </w:rPr>
            </w:pPr>
            <w:r>
              <w:rPr>
                <w:rFonts w:ascii="Times New Roman"/>
                <w:sz w:val="18"/>
              </w:rPr>
              <w:t>5.05%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center"/>
              <w:rPr>
                <w:rFonts w:ascii="Times New Roman" w:hAnsi="Times New Roman" w:cs="Times New Roman" w:eastAsia="Times New Roman" w:hint="default"/>
                <w:sz w:val="18"/>
                <w:szCs w:val="18"/>
              </w:rPr>
            </w:pPr>
            <w:r>
              <w:rPr>
                <w:rFonts w:ascii="Times New Roman"/>
                <w:sz w:val="18"/>
              </w:rPr>
              <w:t>538,306,</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992.52</w:t>
            </w:r>
          </w:p>
        </w:tc>
      </w:tr>
    </w:tbl>
    <w:p>
      <w:pPr>
        <w:pStyle w:val="BodyText"/>
        <w:spacing w:line="240" w:lineRule="auto" w:before="50"/>
        <w:ind w:right="915"/>
        <w:jc w:val="left"/>
      </w:pPr>
      <w:r>
        <w:rPr/>
        <w:t>按单项计提坏账准备：</w:t>
      </w:r>
    </w:p>
    <w:p>
      <w:pPr>
        <w:pStyle w:val="BodyText"/>
        <w:spacing w:line="240" w:lineRule="auto" w:before="117"/>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79"/>
              <w:jc w:val="left"/>
              <w:rPr>
                <w:rFonts w:ascii="宋体" w:hAnsi="宋体" w:cs="宋体" w:eastAsia="宋体" w:hint="default"/>
                <w:sz w:val="18"/>
                <w:szCs w:val="18"/>
              </w:rPr>
            </w:pPr>
            <w:r>
              <w:rPr>
                <w:rFonts w:ascii="宋体" w:hAnsi="宋体" w:cs="宋体" w:eastAsia="宋体" w:hint="default"/>
                <w:sz w:val="18"/>
                <w:szCs w:val="18"/>
              </w:rPr>
              <w:t>鹤壁永达食品有限公 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4,484,970.00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2,690,982.00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提起诉讼</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79"/>
              <w:jc w:val="left"/>
              <w:rPr>
                <w:rFonts w:ascii="宋体" w:hAnsi="宋体" w:cs="宋体" w:eastAsia="宋体" w:hint="default"/>
                <w:sz w:val="18"/>
                <w:szCs w:val="18"/>
              </w:rPr>
            </w:pPr>
            <w:r>
              <w:rPr>
                <w:rFonts w:ascii="宋体" w:hAnsi="宋体" w:cs="宋体" w:eastAsia="宋体" w:hint="default"/>
                <w:sz w:val="18"/>
                <w:szCs w:val="18"/>
              </w:rPr>
              <w:t>康成投资（中国）有 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4,215,770.92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4,215,770.92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业务终止</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8,700,740.92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6,906,752.92</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915"/>
        <w:jc w:val="left"/>
      </w:pPr>
      <w:r>
        <w:rPr/>
        <w:t>按单项计提坏账准备：</w:t>
      </w:r>
    </w:p>
    <w:p>
      <w:pPr>
        <w:pStyle w:val="BodyText"/>
        <w:spacing w:line="240" w:lineRule="auto" w:before="117"/>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50"/>
        <w:ind w:right="915"/>
        <w:jc w:val="left"/>
      </w:pPr>
      <w:r>
        <w:rPr/>
        <w:t>按组合计提坏账准备：</w:t>
      </w:r>
    </w:p>
    <w:p>
      <w:pPr>
        <w:pStyle w:val="BodyText"/>
        <w:spacing w:line="240" w:lineRule="auto" w:before="117"/>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429,992,026.78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21,499,601.34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77,970,759.17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7,797,075.92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2"/>
                <w:sz w:val="18"/>
              </w:rPr>
              <w:t>8,325,111.51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2,497,533.45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4,762,642.57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4,762,642.57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521,050,540.03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36,556,853.28</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left="472" w:right="915" w:hanging="360"/>
        <w:jc w:val="left"/>
      </w:pPr>
      <w:r>
        <w:rPr/>
        <w:t>确定该组合依据的说明： </w:t>
      </w:r>
      <w:r>
        <w:rPr>
          <w:spacing w:val="-2"/>
        </w:rPr>
        <w:t>整个存续期预期信用损失率基于历史实际信用损失经验计算，并考虑了历史数据收集期间的经济状况、当前的经济状况</w:t>
      </w:r>
    </w:p>
    <w:p>
      <w:pPr>
        <w:pStyle w:val="BodyText"/>
        <w:spacing w:line="224" w:lineRule="exact"/>
        <w:ind w:right="915"/>
        <w:jc w:val="left"/>
      </w:pPr>
      <w:r>
        <w:rPr/>
        <w:t>与本公司所认为的预计存续期内的经济状况。</w:t>
      </w:r>
    </w:p>
    <w:p>
      <w:pPr>
        <w:spacing w:line="240" w:lineRule="auto" w:before="5"/>
        <w:rPr>
          <w:rFonts w:ascii="宋体" w:hAnsi="宋体" w:cs="宋体" w:eastAsia="宋体" w:hint="default"/>
          <w:sz w:val="14"/>
          <w:szCs w:val="14"/>
        </w:rPr>
      </w:pPr>
    </w:p>
    <w:p>
      <w:pPr>
        <w:pStyle w:val="BodyText"/>
        <w:spacing w:line="240" w:lineRule="auto" w:before="44"/>
        <w:ind w:right="915"/>
        <w:jc w:val="left"/>
      </w:pPr>
      <w:r>
        <w:rPr/>
        <w:t>按组合计提坏账准备：</w:t>
      </w:r>
    </w:p>
    <w:p>
      <w:pPr>
        <w:pStyle w:val="BodyText"/>
        <w:spacing w:line="240" w:lineRule="auto" w:before="117"/>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0"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after="0" w:line="240" w:lineRule="auto"/>
        <w:jc w:val="center"/>
        <w:rPr>
          <w:rFonts w:ascii="宋体" w:hAnsi="宋体" w:cs="宋体" w:eastAsia="宋体" w:hint="default"/>
          <w:sz w:val="18"/>
          <w:szCs w:val="18"/>
        </w:rPr>
        <w:sectPr>
          <w:pgSz w:w="11910" w:h="16840"/>
          <w:pgMar w:header="919" w:footer="1016"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正常类</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244,309,265.02</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关注类</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次级类</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损失类</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244,309,265.02</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919" w:footer="1016" w:top="1120" w:bottom="1200" w:left="1020" w:right="0"/>
        </w:sectPr>
      </w:pPr>
    </w:p>
    <w:p>
      <w:pPr>
        <w:pStyle w:val="BodyText"/>
        <w:spacing w:line="357" w:lineRule="auto" w:before="51"/>
        <w:ind w:right="-20"/>
        <w:jc w:val="left"/>
      </w:pPr>
      <w:r>
        <w:rPr/>
        <w:t>确定该组合依据的说明： 风险类型不同。 按组合计提坏账准备：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100" w:bottom="1200" w:left="1020" w:right="0"/>
          <w:cols w:num="2" w:equalWidth="0">
            <w:col w:w="2093" w:space="6736"/>
            <w:col w:w="2061"/>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after="0" w:line="240" w:lineRule="auto"/>
        <w:jc w:val="center"/>
        <w:rPr>
          <w:rFonts w:ascii="宋体" w:hAnsi="宋体" w:cs="宋体" w:eastAsia="宋体" w:hint="default"/>
          <w:sz w:val="18"/>
          <w:szCs w:val="18"/>
        </w:rPr>
        <w:sectPr>
          <w:type w:val="continuous"/>
          <w:pgSz w:w="11910" w:h="16840"/>
          <w:pgMar w:top="1100" w:bottom="1200" w:left="1020" w:right="0"/>
        </w:sectPr>
      </w:pPr>
    </w:p>
    <w:p>
      <w:pPr>
        <w:pStyle w:val="BodyText"/>
        <w:spacing w:line="360" w:lineRule="auto" w:before="50"/>
        <w:ind w:right="-20"/>
        <w:jc w:val="left"/>
      </w:pPr>
      <w:r>
        <w:rPr/>
        <w:t>确定该组合依据的说明： 无</w:t>
      </w:r>
    </w:p>
    <w:p>
      <w:pPr>
        <w:pStyle w:val="BodyText"/>
        <w:spacing w:line="240" w:lineRule="auto" w:before="27"/>
        <w:ind w:right="-20"/>
        <w:jc w:val="left"/>
      </w:pPr>
      <w:r>
        <w:rPr/>
        <w:t>按组合计提坏账准备：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2"/>
          <w:szCs w:val="12"/>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100" w:bottom="1200" w:left="1020" w:right="0"/>
          <w:cols w:num="2" w:equalWidth="0">
            <w:col w:w="2093" w:space="6736"/>
            <w:col w:w="206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60" w:lineRule="auto" w:before="51"/>
        <w:ind w:right="1754"/>
        <w:jc w:val="left"/>
      </w:pPr>
      <w:r>
        <w:rPr/>
        <w:t>确定该组合依据的说明： 如是按照预期信用损失一般模型计提应收账款坏账准备，请参照其他应收款的披露方式披露坏账准备的相关信息：</w:t>
      </w:r>
    </w:p>
    <w:p>
      <w:pPr>
        <w:pStyle w:val="BodyText"/>
        <w:spacing w:line="360" w:lineRule="auto" w:before="25"/>
        <w:ind w:right="9224"/>
        <w:jc w:val="left"/>
      </w:pPr>
      <w:r>
        <w:rPr/>
        <w:t>□ 适用 √ 不适用 按账龄披露</w:t>
      </w:r>
    </w:p>
    <w:p>
      <w:pPr>
        <w:pStyle w:val="BodyText"/>
        <w:spacing w:line="240" w:lineRule="auto" w:before="27"/>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677,126,561.38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83,403,296.23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9,348,411.51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4,762,642.57</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2,952,838.40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1,095,407.78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714,396.39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774,640,911.69</w:t>
            </w:r>
          </w:p>
        </w:tc>
      </w:tr>
    </w:tbl>
    <w:p>
      <w:pPr>
        <w:spacing w:line="240" w:lineRule="auto" w:before="5"/>
        <w:rPr>
          <w:rFonts w:ascii="宋体" w:hAnsi="宋体" w:cs="宋体" w:eastAsia="宋体" w:hint="default"/>
          <w:sz w:val="19"/>
          <w:szCs w:val="19"/>
        </w:rPr>
      </w:pPr>
    </w:p>
    <w:p>
      <w:pPr>
        <w:pStyle w:val="Heading3"/>
        <w:spacing w:line="240" w:lineRule="auto" w:before="34"/>
        <w:ind w:right="915"/>
        <w:jc w:val="left"/>
        <w:rPr>
          <w:b w:val="0"/>
          <w:bCs w:val="0"/>
        </w:rPr>
      </w:pPr>
      <w:bookmarkStart w:name="（2）本期计提、收回或转回的坏账准备情况" w:id="241"/>
      <w:bookmarkEnd w:id="24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915"/>
        <w:jc w:val="left"/>
      </w:pPr>
      <w:r>
        <w:rPr/>
        <w:t>本期计提坏账准备情况：</w:t>
      </w:r>
    </w:p>
    <w:p>
      <w:pPr>
        <w:pStyle w:val="BodyText"/>
        <w:spacing w:line="240" w:lineRule="auto" w:before="117"/>
        <w:ind w:left="0" w:right="1132"/>
        <w:jc w:val="right"/>
      </w:pPr>
      <w:r>
        <w:rPr/>
        <w:t>单位：</w:t>
      </w:r>
      <w:r>
        <w:rPr>
          <w:spacing w:val="-2"/>
        </w:rPr>
        <w:t> </w:t>
      </w:r>
      <w:r>
        <w:rPr/>
        <w:t>元</w:t>
      </w:r>
    </w:p>
    <w:p>
      <w:pPr>
        <w:spacing w:after="0" w:line="240" w:lineRule="auto"/>
        <w:jc w:val="right"/>
        <w:sectPr>
          <w:type w:val="continuous"/>
          <w:pgSz w:w="11910" w:h="16840"/>
          <w:pgMar w:top="110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28,654,843.13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14,808,763.07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43,463,606.20</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28,654,843.13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14,808,763.07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43,463,606.20</w:t>
            </w:r>
          </w:p>
        </w:tc>
      </w:tr>
    </w:tbl>
    <w:p>
      <w:pPr>
        <w:pStyle w:val="BodyText"/>
        <w:spacing w:line="240" w:lineRule="auto" w:before="50"/>
        <w:ind w:right="915"/>
        <w:jc w:val="left"/>
      </w:pPr>
      <w:r>
        <w:rPr/>
        <w:t>其中本期坏账准备收回或转回金额重要的：</w:t>
      </w:r>
    </w:p>
    <w:p>
      <w:pPr>
        <w:pStyle w:val="BodyText"/>
        <w:spacing w:line="240" w:lineRule="auto" w:before="117"/>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59"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10"/>
        <w:ind w:right="915"/>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15"/>
        <w:jc w:val="left"/>
        <w:rPr>
          <w:b w:val="0"/>
          <w:bCs w:val="0"/>
        </w:rPr>
      </w:pPr>
      <w:bookmarkStart w:name="（3）本期实际核销的应收账款情况" w:id="242"/>
      <w:bookmarkEnd w:id="242"/>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9"/>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3;width:4779;height:397" coordorigin="13,13" coordsize="4779,397">
              <v:shape style="position:absolute;left:13;top:13;width:4779;height:397" coordorigin="13,13" coordsize="4779,397" path="m13,13l4792,13,4792,410,13,410,13,13xe" filled="true" fillcolor="#d2d2d2" stroked="false">
                <v:path arrowok="t"/>
                <v:fill type="solid"/>
              </v:shape>
            </v:group>
            <v:group style="position:absolute;left:4797;top:13;width:4779;height:397" coordorigin="4797,13" coordsize="4779,397">
              <v:shape style="position:absolute;left:4797;top:13;width:4779;height:397" coordorigin="4797,13" coordsize="4779,397" path="m4797,13l9576,13,9576,410,4797,410,4797,13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4;top:5;width:2;height:402" coordorigin="4794,5" coordsize="2,402">
              <v:shape style="position:absolute;left:4794;top:5;width:2;height:402" coordorigin="4794,5" coordsize="0,402" path="m4794,5l4794,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21;top:12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4;top:10;width:4784;height:402" type="#_x0000_t202" filled="false" stroked="false">
                <v:textbox inset="0,0,0,0">
                  <w:txbxContent>
                    <w:p>
                      <w:pPr>
                        <w:spacing w:before="55"/>
                        <w:ind w:left="0" w:right="0" w:firstLine="0"/>
                        <w:jc w:val="center"/>
                        <w:rPr>
                          <w:rFonts w:ascii="宋体" w:hAnsi="宋体" w:cs="宋体" w:eastAsia="宋体" w:hint="default"/>
                          <w:sz w:val="18"/>
                          <w:szCs w:val="18"/>
                        </w:rPr>
                      </w:pPr>
                      <w:r>
                        <w:rPr>
                          <w:rFonts w:ascii="宋体" w:hAnsi="宋体" w:cs="宋体" w:eastAsia="宋体" w:hint="default"/>
                          <w:sz w:val="18"/>
                          <w:szCs w:val="18"/>
                        </w:rPr>
                        <w:t>核销金额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51"/>
        <w:ind w:right="915"/>
        <w:jc w:val="left"/>
      </w:pPr>
      <w:r>
        <w:rPr/>
        <w:t>其中重要的应收账款核销情况：</w:t>
      </w:r>
    </w:p>
    <w:p>
      <w:pPr>
        <w:pStyle w:val="BodyText"/>
        <w:spacing w:line="240" w:lineRule="auto" w:before="117"/>
        <w:ind w:left="0" w:right="1132"/>
        <w:jc w:val="right"/>
      </w:pPr>
      <w:r>
        <w:rPr/>
        <w:t>单位：</w:t>
      </w:r>
      <w:r>
        <w:rPr>
          <w:spacing w:val="-2"/>
        </w:rPr>
        <w:t> </w:t>
      </w:r>
      <w:r>
        <w:rPr/>
        <w:t>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1" w:right="159" w:hanging="269"/>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bl>
    <w:p>
      <w:pPr>
        <w:pStyle w:val="BodyText"/>
        <w:spacing w:line="357" w:lineRule="auto" w:before="52"/>
        <w:ind w:right="9134"/>
        <w:jc w:val="left"/>
      </w:pPr>
      <w:r>
        <w:rPr/>
        <w:t>应收账款核销说明： 无</w:t>
      </w:r>
    </w:p>
    <w:p>
      <w:pPr>
        <w:spacing w:line="240" w:lineRule="auto" w:before="4"/>
        <w:rPr>
          <w:rFonts w:ascii="宋体" w:hAnsi="宋体" w:cs="宋体" w:eastAsia="宋体" w:hint="default"/>
          <w:sz w:val="20"/>
          <w:szCs w:val="20"/>
        </w:rPr>
      </w:pPr>
    </w:p>
    <w:p>
      <w:pPr>
        <w:pStyle w:val="Heading3"/>
        <w:spacing w:line="240" w:lineRule="auto"/>
        <w:ind w:right="915"/>
        <w:jc w:val="left"/>
        <w:rPr>
          <w:b w:val="0"/>
          <w:bCs w:val="0"/>
        </w:rPr>
      </w:pPr>
      <w:bookmarkStart w:name="（4）按欠款方归集的期末余额前五名的应收账款情况" w:id="243"/>
      <w:bookmarkEnd w:id="243"/>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81"/>
        <w:gridCol w:w="2529"/>
        <w:gridCol w:w="2529"/>
        <w:gridCol w:w="2528"/>
      </w:tblGrid>
      <w:tr>
        <w:trPr>
          <w:trHeight w:val="714" w:hRule="exact"/>
        </w:trPr>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4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89" w:right="179" w:hanging="812"/>
              <w:jc w:val="left"/>
              <w:rPr>
                <w:rFonts w:ascii="宋体" w:hAnsi="宋体" w:cs="宋体" w:eastAsia="宋体" w:hint="default"/>
                <w:sz w:val="18"/>
                <w:szCs w:val="18"/>
              </w:rPr>
            </w:pPr>
            <w:r>
              <w:rPr>
                <w:rFonts w:ascii="宋体" w:hAnsi="宋体" w:cs="宋体" w:eastAsia="宋体" w:hint="default"/>
                <w:sz w:val="18"/>
                <w:szCs w:val="18"/>
              </w:rPr>
              <w:t>占应收账款期末余额合计数 的比例</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8"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247"/>
              <w:jc w:val="left"/>
              <w:rPr>
                <w:rFonts w:ascii="宋体" w:hAnsi="宋体" w:cs="宋体" w:eastAsia="宋体" w:hint="default"/>
                <w:sz w:val="18"/>
                <w:szCs w:val="18"/>
              </w:rPr>
            </w:pPr>
            <w:r>
              <w:rPr>
                <w:rFonts w:ascii="宋体" w:hAnsi="宋体" w:cs="宋体" w:eastAsia="宋体" w:hint="default"/>
                <w:sz w:val="18"/>
                <w:szCs w:val="18"/>
              </w:rPr>
              <w:t>江苏鸿轩生态农业有 限公司</w:t>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190,004,250.00</w:t>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24.53%</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4" w:hRule="exact"/>
        </w:trPr>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1" w:right="247"/>
              <w:jc w:val="left"/>
              <w:rPr>
                <w:rFonts w:ascii="宋体" w:hAnsi="宋体" w:cs="宋体" w:eastAsia="宋体" w:hint="default"/>
                <w:sz w:val="18"/>
                <w:szCs w:val="18"/>
              </w:rPr>
            </w:pPr>
            <w:r>
              <w:rPr>
                <w:rFonts w:ascii="宋体" w:hAnsi="宋体" w:cs="宋体" w:eastAsia="宋体" w:hint="default"/>
                <w:sz w:val="18"/>
                <w:szCs w:val="18"/>
              </w:rPr>
              <w:t>中国银行股份有限公 司</w:t>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23,083,585.53</w:t>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2.98%</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1,302,512.09</w:t>
            </w:r>
          </w:p>
        </w:tc>
      </w:tr>
      <w:tr>
        <w:trPr>
          <w:trHeight w:val="714" w:hRule="exact"/>
        </w:trPr>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247"/>
              <w:jc w:val="left"/>
              <w:rPr>
                <w:rFonts w:ascii="宋体" w:hAnsi="宋体" w:cs="宋体" w:eastAsia="宋体" w:hint="default"/>
                <w:sz w:val="18"/>
                <w:szCs w:val="18"/>
              </w:rPr>
            </w:pPr>
            <w:r>
              <w:rPr>
                <w:rFonts w:ascii="宋体" w:hAnsi="宋体" w:cs="宋体" w:eastAsia="宋体" w:hint="default"/>
                <w:sz w:val="18"/>
                <w:szCs w:val="18"/>
              </w:rPr>
              <w:t>交通银行股份有限公 司</w:t>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20,804,220.00</w:t>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2.69%</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1,040,211.00</w:t>
            </w:r>
          </w:p>
        </w:tc>
      </w:tr>
      <w:tr>
        <w:trPr>
          <w:trHeight w:val="714" w:hRule="exact"/>
        </w:trPr>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1" w:right="247"/>
              <w:jc w:val="left"/>
              <w:rPr>
                <w:rFonts w:ascii="宋体" w:hAnsi="宋体" w:cs="宋体" w:eastAsia="宋体" w:hint="default"/>
                <w:sz w:val="18"/>
                <w:szCs w:val="18"/>
              </w:rPr>
            </w:pPr>
            <w:r>
              <w:rPr>
                <w:rFonts w:ascii="宋体" w:hAnsi="宋体" w:cs="宋体" w:eastAsia="宋体" w:hint="default"/>
                <w:sz w:val="18"/>
                <w:szCs w:val="18"/>
              </w:rPr>
              <w:t>中国民生银行股份有 限公司</w:t>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20,748,172.90</w:t>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2.68%</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1,037,408.65</w:t>
            </w:r>
          </w:p>
        </w:tc>
      </w:tr>
      <w:tr>
        <w:trPr>
          <w:trHeight w:val="714" w:hRule="exact"/>
        </w:trPr>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247"/>
              <w:jc w:val="left"/>
              <w:rPr>
                <w:rFonts w:ascii="宋体" w:hAnsi="宋体" w:cs="宋体" w:eastAsia="宋体" w:hint="default"/>
                <w:sz w:val="18"/>
                <w:szCs w:val="18"/>
              </w:rPr>
            </w:pPr>
            <w:r>
              <w:rPr>
                <w:rFonts w:ascii="宋体" w:hAnsi="宋体" w:cs="宋体" w:eastAsia="宋体" w:hint="default"/>
                <w:sz w:val="18"/>
                <w:szCs w:val="18"/>
              </w:rPr>
              <w:t>中国农业银行股份有 限公司</w:t>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20,738,983.28</w:t>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2.68%</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1,036,949.16</w:t>
            </w:r>
          </w:p>
        </w:tc>
      </w:tr>
      <w:tr>
        <w:trPr>
          <w:trHeight w:val="402" w:hRule="exact"/>
        </w:trPr>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275,379,211.71</w:t>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35.56%</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919" w:footer="1016" w:top="1120" w:bottom="1200" w:left="1020" w:right="0"/>
        </w:sectPr>
      </w:pPr>
    </w:p>
    <w:p>
      <w:pPr>
        <w:spacing w:line="240" w:lineRule="auto" w:before="10"/>
        <w:rPr>
          <w:rFonts w:ascii="宋体" w:hAnsi="宋体" w:cs="宋体" w:eastAsia="宋体" w:hint="default"/>
          <w:sz w:val="19"/>
          <w:szCs w:val="19"/>
        </w:rPr>
      </w:pPr>
    </w:p>
    <w:p>
      <w:pPr>
        <w:pStyle w:val="Heading3"/>
        <w:spacing w:line="240" w:lineRule="auto" w:before="34"/>
        <w:ind w:right="915"/>
        <w:jc w:val="left"/>
        <w:rPr>
          <w:b w:val="0"/>
          <w:bCs w:val="0"/>
        </w:rPr>
      </w:pPr>
      <w:bookmarkStart w:name="（5）因金融资产转移而终止确认的应收账款" w:id="244"/>
      <w:bookmarkEnd w:id="244"/>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15"/>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15"/>
        <w:jc w:val="left"/>
        <w:rPr>
          <w:b w:val="0"/>
          <w:bCs w:val="0"/>
        </w:rPr>
      </w:pPr>
      <w:bookmarkStart w:name="（6）转移应收账款且继续涉入形成的资产、负债金额" w:id="245"/>
      <w:bookmarkEnd w:id="245"/>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9854"/>
        <w:jc w:val="left"/>
      </w:pPr>
      <w:r>
        <w:rPr/>
        <w:t>无 其他说明： 无</w:t>
      </w:r>
    </w:p>
    <w:p>
      <w:pPr>
        <w:spacing w:line="240" w:lineRule="auto" w:before="12"/>
        <w:rPr>
          <w:rFonts w:ascii="宋体" w:hAnsi="宋体" w:cs="宋体" w:eastAsia="宋体" w:hint="default"/>
          <w:sz w:val="19"/>
          <w:szCs w:val="19"/>
        </w:rPr>
      </w:pPr>
    </w:p>
    <w:p>
      <w:pPr>
        <w:pStyle w:val="Heading3"/>
        <w:spacing w:line="240" w:lineRule="auto"/>
        <w:ind w:right="915"/>
        <w:jc w:val="left"/>
        <w:rPr>
          <w:b w:val="0"/>
          <w:bCs w:val="0"/>
        </w:rPr>
      </w:pPr>
      <w:bookmarkStart w:name="4、预付款项" w:id="246"/>
      <w:bookmarkEnd w:id="246"/>
      <w:r>
        <w:rPr>
          <w:b w:val="0"/>
          <w:bCs w:val="0"/>
        </w:rPr>
      </w:r>
      <w:r>
        <w:rPr>
          <w:rFonts w:ascii="Times New Roman" w:hAnsi="Times New Roman" w:cs="Times New Roman" w:eastAsia="Times New Roman" w:hint="default"/>
        </w:rPr>
        <w:t>4</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15"/>
        <w:jc w:val="left"/>
        <w:rPr>
          <w:b w:val="0"/>
          <w:bCs w:val="0"/>
        </w:rPr>
      </w:pPr>
      <w:bookmarkStart w:name="（1）预付款项按账龄列示" w:id="247"/>
      <w:bookmarkEnd w:id="247"/>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5"/>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5,410,114.99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96.27%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6,763,263.02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96.45%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209,406.43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3.73%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248,796.65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3.55%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5,619,521.42</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7,012,059.67</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40" w:lineRule="auto" w:before="51"/>
        <w:ind w:right="5895"/>
        <w:jc w:val="left"/>
      </w:pPr>
      <w:r>
        <w:rPr/>
        <w:t>账龄超过</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 无</w:t>
      </w:r>
    </w:p>
    <w:p>
      <w:pPr>
        <w:spacing w:line="240" w:lineRule="auto" w:before="1"/>
        <w:rPr>
          <w:rFonts w:ascii="宋体" w:hAnsi="宋体" w:cs="宋体" w:eastAsia="宋体" w:hint="default"/>
          <w:sz w:val="21"/>
          <w:szCs w:val="21"/>
        </w:rPr>
      </w:pPr>
    </w:p>
    <w:p>
      <w:pPr>
        <w:pStyle w:val="Heading3"/>
        <w:spacing w:line="240" w:lineRule="auto"/>
        <w:ind w:right="915"/>
        <w:jc w:val="left"/>
        <w:rPr>
          <w:b w:val="0"/>
          <w:bCs w:val="0"/>
        </w:rPr>
      </w:pPr>
      <w:bookmarkStart w:name="（2）按预付对象归集的期末余额前五名的预付款情况" w:id="248"/>
      <w:bookmarkEnd w:id="248"/>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0"/>
        <w:rPr>
          <w:rFonts w:ascii="宋体" w:hAnsi="宋体" w:cs="宋体" w:eastAsia="宋体" w:hint="default"/>
          <w:b/>
          <w:bCs/>
          <w:sz w:val="25"/>
          <w:szCs w:val="25"/>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78.6pt;height:.75pt;mso-position-horizontal-relative:char;mso-position-vertical-relative:line" coordorigin="0,0" coordsize="9572,15">
            <v:group style="position:absolute;left:7;top:7;width:9557;height:2" coordorigin="7,7" coordsize="9557,2">
              <v:shape style="position:absolute;left:7;top:7;width:9557;height:2" coordorigin="7,7" coordsize="9557,0" path="m7,7l9564,7e" filled="false" stroked="true" strokeweight=".72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919" w:footer="1016" w:top="1120" w:bottom="1200" w:left="1020" w:right="0"/>
        </w:sectPr>
      </w:pPr>
    </w:p>
    <w:p>
      <w:pPr>
        <w:pStyle w:val="Heading4"/>
        <w:tabs>
          <w:tab w:pos="3009" w:val="left" w:leader="none"/>
        </w:tabs>
        <w:spacing w:line="240" w:lineRule="auto"/>
        <w:ind w:left="124" w:right="0"/>
        <w:jc w:val="left"/>
        <w:rPr>
          <w:b w:val="0"/>
          <w:bCs w:val="0"/>
        </w:rPr>
      </w:pPr>
      <w:r>
        <w:rPr>
          <w:w w:val="95"/>
        </w:rPr>
        <w:t>单位名称</w:t>
        <w:tab/>
        <w:t>与本公司</w:t>
      </w:r>
      <w:r>
        <w:rPr>
          <w:b w:val="0"/>
          <w:bCs w:val="0"/>
        </w:rPr>
      </w:r>
    </w:p>
    <w:p>
      <w:pPr>
        <w:pStyle w:val="Heading4"/>
        <w:spacing w:line="240" w:lineRule="auto" w:before="76"/>
        <w:ind w:right="360"/>
        <w:jc w:val="right"/>
        <w:rPr>
          <w:b w:val="0"/>
          <w:bCs w:val="0"/>
        </w:rPr>
      </w:pPr>
      <w:r>
        <w:rPr/>
        <w:pict>
          <v:group style="position:absolute;margin-left:56.700001pt;margin-top:19.721731pt;width:477.85pt;height:.1pt;mso-position-horizontal-relative:page;mso-position-vertical-relative:paragraph;z-index:1384" coordorigin="1134,394" coordsize="9557,2">
            <v:shape style="position:absolute;left:1134;top:394;width:9557;height:2" coordorigin="1134,394" coordsize="9557,0" path="m1134,394l10691,394e" filled="false" stroked="true" strokeweight=".72pt" strokecolor="#000000">
              <v:path arrowok="t"/>
            </v:shape>
            <w10:wrap type="none"/>
          </v:group>
        </w:pict>
      </w:r>
      <w:r>
        <w:rPr>
          <w:w w:val="95"/>
        </w:rPr>
        <w:t>关系</w:t>
      </w:r>
      <w:r>
        <w:rPr>
          <w:b w:val="0"/>
          <w:bCs w:val="0"/>
        </w:rPr>
      </w:r>
    </w:p>
    <w:p>
      <w:pPr>
        <w:pStyle w:val="Heading4"/>
        <w:tabs>
          <w:tab w:pos="1267" w:val="left" w:leader="none"/>
          <w:tab w:pos="2944" w:val="left" w:leader="none"/>
          <w:tab w:pos="3686" w:val="left" w:leader="none"/>
        </w:tabs>
        <w:spacing w:line="316" w:lineRule="auto"/>
        <w:ind w:left="3417" w:right="1219" w:hanging="3293"/>
        <w:jc w:val="left"/>
        <w:rPr>
          <w:b w:val="0"/>
          <w:bCs w:val="0"/>
        </w:rPr>
      </w:pPr>
      <w:r>
        <w:rPr>
          <w:b w:val="0"/>
          <w:bCs w:val="0"/>
          <w:w w:val="95"/>
        </w:rPr>
        <w:br w:type="column"/>
      </w:r>
      <w:r>
        <w:rPr>
          <w:w w:val="95"/>
        </w:rPr>
        <w:t>金额</w:t>
        <w:tab/>
        <w:t>账龄</w:t>
        <w:tab/>
        <w:t>原因</w:t>
        <w:tab/>
        <w:tab/>
      </w:r>
      <w:r>
        <w:rPr/>
        <w:t>占预付账款</w:t>
      </w:r>
      <w:r>
        <w:rPr>
          <w:w w:val="99"/>
        </w:rPr>
        <w:t> </w:t>
      </w:r>
      <w:r>
        <w:rPr/>
        <w:t>总额比例（%）</w:t>
      </w:r>
      <w:r>
        <w:rPr>
          <w:b w:val="0"/>
          <w:bCs w:val="0"/>
        </w:rPr>
      </w:r>
    </w:p>
    <w:p>
      <w:pPr>
        <w:spacing w:after="0" w:line="316" w:lineRule="auto"/>
        <w:jc w:val="left"/>
        <w:sectPr>
          <w:type w:val="continuous"/>
          <w:pgSz w:w="11910" w:h="16840"/>
          <w:pgMar w:top="1100" w:bottom="1200" w:left="1020" w:right="0"/>
          <w:cols w:num="2" w:equalWidth="0">
            <w:col w:w="3732" w:space="1341"/>
            <w:col w:w="5817"/>
          </w:cols>
        </w:sectPr>
      </w:pPr>
    </w:p>
    <w:p>
      <w:pPr>
        <w:pStyle w:val="BodyText"/>
        <w:tabs>
          <w:tab w:pos="3009" w:val="left" w:leader="none"/>
          <w:tab w:pos="4658" w:val="left" w:leader="none"/>
          <w:tab w:pos="6722" w:val="left" w:leader="none"/>
          <w:tab w:pos="9661" w:val="right" w:leader="none"/>
        </w:tabs>
        <w:spacing w:line="240" w:lineRule="auto" w:before="52"/>
        <w:ind w:left="124" w:right="0"/>
        <w:jc w:val="left"/>
      </w:pPr>
      <w:r>
        <w:rPr/>
        <w:t>深圳市图灵机器人有限公司</w:t>
        <w:tab/>
        <w:t>关联方</w:t>
        <w:tab/>
        <w:t>920,754.401年以内</w:t>
        <w:tab/>
        <w:t>预付技术服务费</w:t>
      </w:r>
      <w:r>
        <w:rPr>
          <w:rFonts w:ascii="Times New Roman" w:hAnsi="Times New Roman" w:cs="Times New Roman" w:eastAsia="Times New Roman" w:hint="default"/>
        </w:rPr>
        <w:tab/>
      </w:r>
      <w:r>
        <w:rPr/>
        <w:t>16.38</w:t>
      </w:r>
    </w:p>
    <w:p>
      <w:pPr>
        <w:pStyle w:val="BodyText"/>
        <w:tabs>
          <w:tab w:pos="3009" w:val="left" w:leader="none"/>
          <w:tab w:pos="4658" w:val="left" w:leader="none"/>
          <w:tab w:pos="6722" w:val="left" w:leader="none"/>
          <w:tab w:pos="9661" w:val="right" w:leader="none"/>
        </w:tabs>
        <w:spacing w:line="240" w:lineRule="auto" w:before="112"/>
        <w:ind w:left="124" w:right="0"/>
        <w:jc w:val="left"/>
      </w:pPr>
      <w:r>
        <w:rPr/>
        <w:pict>
          <v:group style="position:absolute;margin-left:56.700001pt;margin-top:4.191708pt;width:477.85pt;height:.1pt;mso-position-horizontal-relative:page;mso-position-vertical-relative:paragraph;z-index:1408" coordorigin="1134,84" coordsize="9557,2">
            <v:shape style="position:absolute;left:1134;top:84;width:9557;height:2" coordorigin="1134,84" coordsize="9557,0" path="m1134,84l10691,84e" filled="false" stroked="true" strokeweight=".72pt" strokecolor="#000000">
              <v:path arrowok="t"/>
            </v:shape>
            <w10:wrap type="none"/>
          </v:group>
        </w:pict>
      </w:r>
      <w:r>
        <w:rPr/>
        <w:t>北京百度网讯科技有限公司</w:t>
        <w:tab/>
        <w:t>非关联方</w:t>
        <w:tab/>
        <w:t>875,471.701年以内</w:t>
        <w:tab/>
        <w:t>预付技术服务费</w:t>
      </w:r>
      <w:r>
        <w:rPr>
          <w:rFonts w:ascii="Times New Roman" w:hAnsi="Times New Roman" w:cs="Times New Roman" w:eastAsia="Times New Roman" w:hint="default"/>
        </w:rPr>
        <w:tab/>
      </w:r>
      <w:r>
        <w:rPr/>
        <w:t>15.58</w:t>
      </w:r>
    </w:p>
    <w:p>
      <w:pPr>
        <w:pStyle w:val="BodyText"/>
        <w:tabs>
          <w:tab w:pos="4658" w:val="left" w:leader="none"/>
          <w:tab w:pos="6722" w:val="left" w:leader="none"/>
          <w:tab w:pos="9661" w:val="right" w:leader="none"/>
        </w:tabs>
        <w:spacing w:line="240" w:lineRule="auto" w:before="110"/>
        <w:ind w:left="124" w:right="0"/>
        <w:jc w:val="left"/>
      </w:pPr>
      <w:r>
        <w:rPr/>
        <w:pict>
          <v:group style="position:absolute;margin-left:56.700001pt;margin-top:4.162716pt;width:477.85pt;height:.1pt;mso-position-horizontal-relative:page;mso-position-vertical-relative:paragraph;z-index:1432" coordorigin="1134,83" coordsize="9557,2">
            <v:shape style="position:absolute;left:1134;top:83;width:9557;height:2" coordorigin="1134,83" coordsize="9557,0" path="m1134,83l10691,83e" filled="false" stroked="true" strokeweight=".72pt" strokecolor="#000000">
              <v:path arrowok="t"/>
            </v:shape>
            <w10:wrap type="none"/>
          </v:group>
        </w:pict>
      </w:r>
      <w:r>
        <w:rPr/>
        <w:t>东吴在线（上海）金融信息服务有限关联方</w:t>
        <w:tab/>
        <w:t>477,876.131年以内</w:t>
        <w:tab/>
        <w:t>预付技术服务费</w:t>
      </w:r>
      <w:r>
        <w:rPr>
          <w:rFonts w:ascii="Times New Roman" w:hAnsi="Times New Roman" w:cs="Times New Roman" w:eastAsia="Times New Roman" w:hint="default"/>
        </w:rPr>
        <w:tab/>
      </w:r>
      <w:r>
        <w:rPr/>
        <w:t>8.50</w:t>
      </w:r>
    </w:p>
    <w:p>
      <w:pPr>
        <w:pStyle w:val="BodyText"/>
        <w:spacing w:line="240" w:lineRule="auto" w:before="76"/>
        <w:ind w:left="124" w:right="915"/>
        <w:jc w:val="left"/>
      </w:pPr>
      <w:r>
        <w:rPr/>
        <w:t>公司</w:t>
      </w:r>
    </w:p>
    <w:p>
      <w:pPr>
        <w:pStyle w:val="BodyText"/>
        <w:tabs>
          <w:tab w:pos="3009" w:val="left" w:leader="none"/>
          <w:tab w:pos="4658" w:val="left" w:leader="none"/>
          <w:tab w:pos="6722" w:val="left" w:leader="none"/>
          <w:tab w:pos="9661" w:val="right" w:leader="none"/>
        </w:tabs>
        <w:spacing w:line="240" w:lineRule="auto" w:before="112"/>
        <w:ind w:left="124" w:right="0"/>
        <w:jc w:val="left"/>
      </w:pPr>
      <w:r>
        <w:rPr/>
        <w:pict>
          <v:group style="position:absolute;margin-left:56.700001pt;margin-top:4.212716pt;width:477.85pt;height:.1pt;mso-position-horizontal-relative:page;mso-position-vertical-relative:paragraph;z-index:1456" coordorigin="1134,84" coordsize="9557,2">
            <v:shape style="position:absolute;left:1134;top:84;width:9557;height:2" coordorigin="1134,84" coordsize="9557,0" path="m1134,84l10691,84e" filled="false" stroked="true" strokeweight=".72pt" strokecolor="#000000">
              <v:path arrowok="t"/>
            </v:shape>
            <w10:wrap type="none"/>
          </v:group>
        </w:pict>
      </w:r>
      <w:r>
        <w:rPr/>
        <w:t>北京时光信通网络技术有限公司</w:t>
        <w:tab/>
        <w:t>非关联方</w:t>
        <w:tab/>
        <w:t>429,675.771年以内</w:t>
        <w:tab/>
        <w:t>预付宽带费</w:t>
      </w:r>
      <w:r>
        <w:rPr>
          <w:rFonts w:ascii="Times New Roman" w:hAnsi="Times New Roman" w:cs="Times New Roman" w:eastAsia="Times New Roman" w:hint="default"/>
        </w:rPr>
        <w:tab/>
      </w:r>
      <w:r>
        <w:rPr/>
        <w:t>7.65</w:t>
      </w:r>
    </w:p>
    <w:p>
      <w:pPr>
        <w:pStyle w:val="BodyText"/>
        <w:tabs>
          <w:tab w:pos="3009" w:val="left" w:leader="none"/>
          <w:tab w:pos="4658" w:val="left" w:leader="none"/>
          <w:tab w:pos="6722" w:val="left" w:leader="none"/>
          <w:tab w:pos="9661" w:val="right" w:leader="none"/>
        </w:tabs>
        <w:spacing w:line="240" w:lineRule="auto" w:before="110"/>
        <w:ind w:left="124" w:right="0"/>
        <w:jc w:val="left"/>
      </w:pPr>
      <w:r>
        <w:rPr/>
        <w:pict>
          <v:group style="position:absolute;margin-left:56.700001pt;margin-top:4.181726pt;width:477.85pt;height:.1pt;mso-position-horizontal-relative:page;mso-position-vertical-relative:paragraph;z-index:1480" coordorigin="1134,84" coordsize="9557,2">
            <v:shape style="position:absolute;left:1134;top:84;width:9557;height:2" coordorigin="1134,84" coordsize="9557,0" path="m1134,84l10691,84e" filled="false" stroked="true" strokeweight=".72pt" strokecolor="#000000">
              <v:path arrowok="t"/>
            </v:shape>
            <w10:wrap type="none"/>
          </v:group>
        </w:pict>
      </w:r>
      <w:r>
        <w:rPr/>
        <w:t>启东恒大酒店有限公司</w:t>
        <w:tab/>
        <w:t>非关联方</w:t>
        <w:tab/>
        <w:t>386,574.001年以内</w:t>
        <w:tab/>
        <w:t>预付年会订金</w:t>
      </w:r>
      <w:r>
        <w:rPr>
          <w:rFonts w:ascii="Times New Roman" w:hAnsi="Times New Roman" w:cs="Times New Roman" w:eastAsia="Times New Roman" w:hint="default"/>
        </w:rPr>
        <w:tab/>
      </w:r>
      <w:r>
        <w:rPr/>
        <w:t>6.88</w:t>
      </w:r>
    </w:p>
    <w:p>
      <w:pPr>
        <w:pStyle w:val="BodyText"/>
        <w:tabs>
          <w:tab w:pos="4478" w:val="left" w:leader="none"/>
          <w:tab w:pos="9661" w:val="right" w:leader="none"/>
        </w:tabs>
        <w:spacing w:line="240" w:lineRule="auto" w:before="112"/>
        <w:ind w:left="124" w:right="0"/>
        <w:jc w:val="left"/>
      </w:pPr>
      <w:r>
        <w:rPr/>
        <w:pict>
          <v:group style="position:absolute;margin-left:56.700001pt;margin-top:4.231716pt;width:477.85pt;height:.1pt;mso-position-horizontal-relative:page;mso-position-vertical-relative:paragraph;z-index:1504" coordorigin="1134,85" coordsize="9557,2">
            <v:shape style="position:absolute;left:1134;top:85;width:9557;height:2" coordorigin="1134,85" coordsize="9557,0" path="m1134,85l10691,85e" filled="false" stroked="true" strokeweight=".72pt" strokecolor="#000000">
              <v:path arrowok="t"/>
            </v:shape>
            <w10:wrap type="none"/>
          </v:group>
        </w:pict>
      </w:r>
      <w:r>
        <w:rPr/>
      </w:r>
      <w:r>
        <w:rPr>
          <w:u w:val="single" w:color="000000"/>
        </w:rPr>
        <w:t>合计</w:t>
      </w:r>
      <w:r>
        <w:rPr/>
        <w:tab/>
      </w:r>
      <w:r>
        <w:rPr>
          <w:u w:val="single" w:color="000000"/>
        </w:rPr>
        <w:t>3,090,352.00</w:t>
      </w:r>
      <w:r>
        <w:rPr/>
      </w:r>
      <w:r>
        <w:rPr>
          <w:rFonts w:ascii="Times New Roman" w:hAnsi="Times New Roman" w:cs="Times New Roman" w:eastAsia="Times New Roman" w:hint="default"/>
        </w:rPr>
        <w:tab/>
      </w:r>
      <w:r>
        <w:rPr/>
      </w:r>
      <w:r>
        <w:rPr>
          <w:u w:val="single" w:color="000000"/>
        </w:rPr>
        <w:t>54.99</w:t>
      </w:r>
      <w:r>
        <w:rPr/>
      </w:r>
    </w:p>
    <w:p>
      <w:pPr>
        <w:pStyle w:val="BodyText"/>
        <w:spacing w:line="360" w:lineRule="auto" w:before="439"/>
        <w:ind w:right="9854"/>
        <w:jc w:val="left"/>
      </w:pPr>
      <w:r>
        <w:rPr/>
        <w:t>其他说明： 无</w:t>
      </w:r>
    </w:p>
    <w:p>
      <w:pPr>
        <w:pStyle w:val="Heading3"/>
        <w:spacing w:line="240" w:lineRule="auto" w:before="261"/>
        <w:ind w:right="915"/>
        <w:jc w:val="left"/>
        <w:rPr>
          <w:b w:val="0"/>
          <w:bCs w:val="0"/>
        </w:rPr>
      </w:pPr>
      <w:bookmarkStart w:name="5、其他应收款" w:id="249"/>
      <w:bookmarkEnd w:id="249"/>
      <w:r>
        <w:rPr>
          <w:b w:val="0"/>
          <w:bCs w:val="0"/>
        </w:rPr>
      </w:r>
      <w:r>
        <w:rPr>
          <w:rFonts w:ascii="Times New Roman" w:hAnsi="Times New Roman" w:cs="Times New Roman" w:eastAsia="Times New Roman" w:hint="default"/>
        </w:rPr>
        <w:t>5</w:t>
      </w:r>
      <w:r>
        <w:rPr/>
        <w:t>、其他应收款</w:t>
      </w:r>
      <w:r>
        <w:rPr>
          <w:b w:val="0"/>
          <w:bCs w:val="0"/>
        </w:rPr>
      </w:r>
    </w:p>
    <w:p>
      <w:pPr>
        <w:pStyle w:val="BodyText"/>
        <w:spacing w:line="240" w:lineRule="auto" w:before="346"/>
        <w:ind w:left="0" w:right="1132"/>
        <w:jc w:val="right"/>
      </w:pPr>
      <w:r>
        <w:rPr/>
        <w:t>单位：</w:t>
      </w:r>
      <w:r>
        <w:rPr>
          <w:spacing w:val="-2"/>
        </w:rPr>
        <w:t> </w:t>
      </w:r>
      <w:r>
        <w:rPr/>
        <w:t>元</w:t>
      </w:r>
    </w:p>
    <w:p>
      <w:pPr>
        <w:spacing w:after="0" w:line="240" w:lineRule="auto"/>
        <w:jc w:val="right"/>
        <w:sectPr>
          <w:type w:val="continuous"/>
          <w:pgSz w:w="11910" w:h="16840"/>
          <w:pgMar w:top="110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573,333.66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299,547.71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112,430,421.80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366,151,505.00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113,003,755.46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366,451,052.71</w:t>
            </w:r>
          </w:p>
        </w:tc>
      </w:tr>
    </w:tbl>
    <w:p>
      <w:pPr>
        <w:spacing w:line="240" w:lineRule="auto" w:before="11"/>
        <w:rPr>
          <w:rFonts w:ascii="宋体" w:hAnsi="宋体" w:cs="宋体" w:eastAsia="宋体" w:hint="default"/>
          <w:sz w:val="21"/>
          <w:szCs w:val="21"/>
        </w:rPr>
      </w:pPr>
    </w:p>
    <w:p>
      <w:pPr>
        <w:pStyle w:val="Heading3"/>
        <w:spacing w:line="240" w:lineRule="auto"/>
        <w:ind w:right="915"/>
        <w:jc w:val="left"/>
        <w:rPr>
          <w:b w:val="0"/>
          <w:bCs w:val="0"/>
        </w:rPr>
      </w:pPr>
      <w:bookmarkStart w:name="（1）应收利息" w:id="250"/>
      <w:bookmarkEnd w:id="250"/>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15"/>
        <w:jc w:val="left"/>
        <w:rPr>
          <w:b w:val="0"/>
          <w:bCs w:val="0"/>
        </w:rPr>
      </w:pPr>
      <w:bookmarkStart w:name="1）应收利息分类" w:id="251"/>
      <w:bookmarkEnd w:id="251"/>
      <w:r>
        <w:rPr>
          <w:b w:val="0"/>
          <w:bCs w:val="0"/>
        </w:rPr>
      </w:r>
      <w:r>
        <w:rPr>
          <w:rFonts w:ascii="Times New Roman" w:hAnsi="Times New Roman" w:cs="Times New Roman" w:eastAsia="Times New Roman" w:hint="default"/>
        </w:rPr>
        <w:t>1</w:t>
      </w:r>
      <w:r>
        <w:rPr/>
        <w:t>）应收利息分类</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应收保理利息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573,333.66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299,547.71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573,333.66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299,547.71</w:t>
            </w:r>
          </w:p>
        </w:tc>
      </w:tr>
    </w:tbl>
    <w:p>
      <w:pPr>
        <w:spacing w:line="240" w:lineRule="auto" w:before="4"/>
        <w:rPr>
          <w:rFonts w:ascii="宋体" w:hAnsi="宋体" w:cs="宋体" w:eastAsia="宋体" w:hint="default"/>
          <w:sz w:val="19"/>
          <w:szCs w:val="19"/>
        </w:rPr>
      </w:pPr>
    </w:p>
    <w:p>
      <w:pPr>
        <w:pStyle w:val="Heading3"/>
        <w:spacing w:line="240" w:lineRule="auto" w:before="34"/>
        <w:ind w:right="915"/>
        <w:jc w:val="left"/>
        <w:rPr>
          <w:b w:val="0"/>
          <w:bCs w:val="0"/>
        </w:rPr>
      </w:pPr>
      <w:bookmarkStart w:name="2）重要逾期利息" w:id="252"/>
      <w:bookmarkEnd w:id="252"/>
      <w:r>
        <w:rPr>
          <w:b w:val="0"/>
          <w:bCs w:val="0"/>
        </w:rPr>
      </w:r>
      <w:r>
        <w:rPr>
          <w:rFonts w:ascii="Times New Roman" w:hAnsi="Times New Roman" w:cs="Times New Roman" w:eastAsia="Times New Roman" w:hint="default"/>
        </w:rPr>
        <w:t>2</w:t>
      </w:r>
      <w:r>
        <w:rPr/>
        <w:t>）重要逾期利息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82" w:right="139" w:hanging="540"/>
              <w:jc w:val="left"/>
              <w:rPr>
                <w:rFonts w:ascii="宋体" w:hAnsi="宋体" w:cs="宋体" w:eastAsia="宋体" w:hint="default"/>
                <w:sz w:val="18"/>
                <w:szCs w:val="18"/>
              </w:rPr>
            </w:pPr>
            <w:r>
              <w:rPr>
                <w:rFonts w:ascii="宋体" w:hAnsi="宋体" w:cs="宋体" w:eastAsia="宋体" w:hint="default"/>
                <w:sz w:val="18"/>
                <w:szCs w:val="18"/>
              </w:rPr>
              <w:t>是否发生减值及其判 断依据</w:t>
            </w:r>
          </w:p>
        </w:tc>
      </w:tr>
    </w:tbl>
    <w:p>
      <w:pPr>
        <w:pStyle w:val="BodyText"/>
        <w:spacing w:line="360" w:lineRule="auto" w:before="49"/>
        <w:ind w:right="9854"/>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915"/>
        <w:jc w:val="left"/>
        <w:rPr>
          <w:b w:val="0"/>
          <w:bCs w:val="0"/>
        </w:rPr>
      </w:pPr>
      <w:bookmarkStart w:name="3）坏账准备计提情况" w:id="253"/>
      <w:bookmarkEnd w:id="253"/>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15"/>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915"/>
        <w:jc w:val="left"/>
        <w:rPr>
          <w:b w:val="0"/>
          <w:bCs w:val="0"/>
        </w:rPr>
      </w:pPr>
      <w:bookmarkStart w:name="（2）应收股利" w:id="254"/>
      <w:bookmarkEnd w:id="254"/>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15"/>
        <w:jc w:val="left"/>
        <w:rPr>
          <w:b w:val="0"/>
          <w:bCs w:val="0"/>
        </w:rPr>
      </w:pPr>
      <w:bookmarkStart w:name="1）应收股利分类" w:id="255"/>
      <w:bookmarkEnd w:id="255"/>
      <w:r>
        <w:rPr>
          <w:b w:val="0"/>
          <w:bCs w:val="0"/>
        </w:rPr>
      </w:r>
      <w:r>
        <w:rPr>
          <w:rFonts w:ascii="Times New Roman" w:hAnsi="Times New Roman" w:cs="Times New Roman" w:eastAsia="Times New Roman" w:hint="default"/>
        </w:rPr>
        <w:t>1</w:t>
      </w:r>
      <w:r>
        <w:rPr/>
        <w:t>）应收股利分类</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0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4"/>
        <w:rPr>
          <w:rFonts w:ascii="宋体" w:hAnsi="宋体" w:cs="宋体" w:eastAsia="宋体" w:hint="default"/>
          <w:sz w:val="19"/>
          <w:szCs w:val="19"/>
        </w:rPr>
      </w:pPr>
    </w:p>
    <w:p>
      <w:pPr>
        <w:pStyle w:val="Heading3"/>
        <w:spacing w:line="240" w:lineRule="auto" w:before="34"/>
        <w:ind w:right="915"/>
        <w:jc w:val="left"/>
        <w:rPr>
          <w:b w:val="0"/>
          <w:bCs w:val="0"/>
        </w:rPr>
      </w:pPr>
      <w:bookmarkStart w:name="2）重要的账龄超过1年的应收股利" w:id="256"/>
      <w:bookmarkEnd w:id="256"/>
      <w:r>
        <w:rPr>
          <w:b w:val="0"/>
          <w:bCs w:val="0"/>
        </w:rPr>
      </w:r>
      <w:r>
        <w:rPr>
          <w:rFonts w:ascii="Times New Roman" w:hAnsi="Times New Roman" w:cs="Times New Roman" w:eastAsia="Times New Roman" w:hint="default"/>
        </w:rPr>
        <w:t>2</w:t>
      </w:r>
      <w:r>
        <w:rPr/>
        <w:t>）重要的账龄超过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年的应收股利</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82" w:right="139" w:hanging="540"/>
              <w:jc w:val="left"/>
              <w:rPr>
                <w:rFonts w:ascii="宋体" w:hAnsi="宋体" w:cs="宋体" w:eastAsia="宋体" w:hint="default"/>
                <w:sz w:val="18"/>
                <w:szCs w:val="18"/>
              </w:rPr>
            </w:pPr>
            <w:r>
              <w:rPr>
                <w:rFonts w:ascii="宋体" w:hAnsi="宋体" w:cs="宋体" w:eastAsia="宋体" w:hint="default"/>
                <w:sz w:val="18"/>
                <w:szCs w:val="18"/>
              </w:rPr>
              <w:t>是否发生减值及其判 断依据</w:t>
            </w:r>
          </w:p>
        </w:tc>
      </w:tr>
    </w:tbl>
    <w:p>
      <w:pPr>
        <w:spacing w:after="0" w:line="316" w:lineRule="auto"/>
        <w:jc w:val="left"/>
        <w:rPr>
          <w:rFonts w:ascii="宋体" w:hAnsi="宋体" w:cs="宋体" w:eastAsia="宋体" w:hint="default"/>
          <w:sz w:val="18"/>
          <w:szCs w:val="18"/>
        </w:rPr>
        <w:sectPr>
          <w:pgSz w:w="11910" w:h="16840"/>
          <w:pgMar w:header="919" w:footer="1016" w:top="1120" w:bottom="1200" w:left="1020" w:right="0"/>
        </w:sectPr>
      </w:pPr>
    </w:p>
    <w:p>
      <w:pPr>
        <w:spacing w:line="240" w:lineRule="auto" w:before="10"/>
        <w:rPr>
          <w:rFonts w:ascii="宋体" w:hAnsi="宋体" w:cs="宋体" w:eastAsia="宋体" w:hint="default"/>
          <w:sz w:val="19"/>
          <w:szCs w:val="19"/>
        </w:rPr>
      </w:pPr>
    </w:p>
    <w:p>
      <w:pPr>
        <w:pStyle w:val="Heading3"/>
        <w:spacing w:line="240" w:lineRule="auto" w:before="34"/>
        <w:ind w:right="915"/>
        <w:jc w:val="left"/>
        <w:rPr>
          <w:b w:val="0"/>
          <w:bCs w:val="0"/>
        </w:rPr>
      </w:pPr>
      <w:bookmarkStart w:name="3）坏账准备计提情况" w:id="257"/>
      <w:bookmarkEnd w:id="257"/>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9224"/>
        <w:jc w:val="left"/>
      </w:pPr>
      <w:r>
        <w:rPr/>
        <w:t>□ 适用 √ 不适用 其他说明：</w:t>
      </w:r>
    </w:p>
    <w:p>
      <w:pPr>
        <w:pStyle w:val="BodyText"/>
        <w:spacing w:line="240" w:lineRule="auto" w:before="25"/>
        <w:ind w:right="915"/>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15"/>
        <w:jc w:val="left"/>
        <w:rPr>
          <w:b w:val="0"/>
          <w:bCs w:val="0"/>
        </w:rPr>
      </w:pPr>
      <w:bookmarkStart w:name="（3）其他应收款" w:id="258"/>
      <w:bookmarkEnd w:id="258"/>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15"/>
        <w:jc w:val="left"/>
        <w:rPr>
          <w:b w:val="0"/>
          <w:bCs w:val="0"/>
        </w:rPr>
      </w:pPr>
      <w:bookmarkStart w:name="1）其他应收款按款项性质分类情况" w:id="259"/>
      <w:bookmarkEnd w:id="259"/>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供应链代垫款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167,798,096.30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338,640,815.48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应收政府补助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11,650,392.62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9,871,763.72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3,915,185.61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2,622,490.18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代付社保、公积金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2,194,188.01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1,978,301.49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857,838.98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1,662,520.84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30,831,886.63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914,264.18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26,164.21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218,161,852.33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384,802,055.92</w:t>
            </w:r>
          </w:p>
        </w:tc>
      </w:tr>
    </w:tbl>
    <w:p>
      <w:pPr>
        <w:spacing w:line="240" w:lineRule="auto" w:before="3"/>
        <w:rPr>
          <w:rFonts w:ascii="宋体" w:hAnsi="宋体" w:cs="宋体" w:eastAsia="宋体" w:hint="default"/>
          <w:sz w:val="19"/>
          <w:szCs w:val="19"/>
        </w:rPr>
      </w:pPr>
    </w:p>
    <w:p>
      <w:pPr>
        <w:pStyle w:val="Heading3"/>
        <w:spacing w:line="240" w:lineRule="auto" w:before="34"/>
        <w:ind w:right="915"/>
        <w:jc w:val="left"/>
        <w:rPr>
          <w:b w:val="0"/>
          <w:bCs w:val="0"/>
        </w:rPr>
      </w:pPr>
      <w:bookmarkStart w:name="2）坏账准备计提情况" w:id="260"/>
      <w:bookmarkEnd w:id="260"/>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6"/>
        <w:gridCol w:w="1650"/>
        <w:gridCol w:w="2099"/>
        <w:gridCol w:w="2099"/>
        <w:gridCol w:w="1804"/>
      </w:tblGrid>
      <w:tr>
        <w:trPr>
          <w:trHeight w:val="402"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3"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4"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4"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461" w:right="142" w:hanging="317"/>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 信用损失</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65" w:right="144" w:hanging="123"/>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 失</w:t>
            </w: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64" w:right="143" w:hanging="12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 失</w:t>
            </w: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50"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1,246,232.65</w:t>
            </w: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17,404,318.27</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18,650,550.92</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36"/>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 在本期</w:t>
            </w: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50"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71,288.28</w:t>
            </w: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87,009,591.33</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87,080,879.61</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36"/>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 额</w:t>
            </w:r>
          </w:p>
        </w:tc>
        <w:tc>
          <w:tcPr>
            <w:tcW w:w="1650"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1,317,520.93</w:t>
            </w: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104,413,909.60</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105,731,430.53</w:t>
            </w:r>
          </w:p>
        </w:tc>
      </w:tr>
    </w:tbl>
    <w:p>
      <w:pPr>
        <w:pStyle w:val="BodyText"/>
        <w:spacing w:line="240" w:lineRule="auto" w:before="51"/>
        <w:ind w:right="915"/>
        <w:jc w:val="left"/>
      </w:pPr>
      <w:r>
        <w:rPr/>
        <w:t>损失准备本期变动金额重大的账面余额变动情况</w:t>
      </w:r>
    </w:p>
    <w:p>
      <w:pPr>
        <w:pStyle w:val="BodyText"/>
        <w:spacing w:line="240" w:lineRule="auto" w:before="117"/>
        <w:ind w:right="915"/>
        <w:jc w:val="left"/>
      </w:pPr>
      <w:r>
        <w:rPr/>
        <w:t>√ 适用 □ 不适用</w:t>
      </w:r>
    </w:p>
    <w:p>
      <w:pPr>
        <w:spacing w:line="240" w:lineRule="auto" w:before="10"/>
        <w:rPr>
          <w:rFonts w:ascii="宋体" w:hAnsi="宋体" w:cs="宋体" w:eastAsia="宋体" w:hint="default"/>
          <w:sz w:val="17"/>
          <w:szCs w:val="17"/>
        </w:rPr>
      </w:pPr>
    </w:p>
    <w:p>
      <w:pPr>
        <w:pStyle w:val="BodyText"/>
        <w:spacing w:line="316" w:lineRule="auto"/>
        <w:ind w:right="1130" w:firstLine="420"/>
        <w:jc w:val="both"/>
      </w:pPr>
      <w:r>
        <w:rPr/>
        <w:t>截止本期末，本公司之子公司上海赢量信息科技有限公司应收鹤壁永达食品有限公司往来款3,000.00万元；子公司上 海赢量信息科技有限公司之子公司上海蒲园供应链管理有限公司为鹤壁市永达养殖有限公司和滑县永达饲料有限公司提供</w:t>
      </w:r>
      <w:r>
        <w:rPr>
          <w:spacing w:val="-9"/>
        </w:rPr>
        <w:t> </w:t>
      </w:r>
      <w:r>
        <w:rPr>
          <w:spacing w:val="-9"/>
        </w:rPr>
      </w:r>
      <w:r>
        <w:rPr/>
        <w:t>供应链代采业务服务，期末应收余额合计14,402.32万元。目前公司已对该三家公司及其担保人提起诉讼，其中与鹤壁永达</w:t>
      </w:r>
      <w:r>
        <w:rPr>
          <w:spacing w:val="-87"/>
        </w:rPr>
        <w:t> </w:t>
      </w:r>
      <w:r>
        <w:rPr>
          <w:spacing w:val="-87"/>
        </w:rPr>
      </w:r>
      <w:r>
        <w:rPr>
          <w:spacing w:val="-2"/>
        </w:rPr>
        <w:t>食品有限公司已判决胜诉，判决鹤壁永达食品有限公司支付相关本金及利息，同时公司已申请执行；上海蒲园供应链管理有</w:t>
      </w:r>
    </w:p>
    <w:p>
      <w:pPr>
        <w:spacing w:after="0" w:line="316" w:lineRule="auto"/>
        <w:jc w:val="both"/>
        <w:sectPr>
          <w:pgSz w:w="11910" w:h="16840"/>
          <w:pgMar w:header="919" w:footer="1016" w:top="1120" w:bottom="1200" w:left="1020" w:right="0"/>
        </w:sectPr>
      </w:pPr>
    </w:p>
    <w:p>
      <w:pPr>
        <w:spacing w:line="240" w:lineRule="auto" w:before="12"/>
        <w:rPr>
          <w:rFonts w:ascii="宋体" w:hAnsi="宋体" w:cs="宋体" w:eastAsia="宋体" w:hint="default"/>
          <w:sz w:val="20"/>
          <w:szCs w:val="20"/>
        </w:rPr>
      </w:pPr>
    </w:p>
    <w:p>
      <w:pPr>
        <w:pStyle w:val="BodyText"/>
        <w:spacing w:line="240" w:lineRule="auto" w:before="44"/>
        <w:ind w:right="915"/>
        <w:jc w:val="left"/>
      </w:pPr>
      <w:r>
        <w:rPr/>
        <w:t>限公司与鹤壁市永达养殖有限公司、滑县永达饲料有限公司诉讼案件暂未判决，未决诉讼事项详见“十二、承诺及或有事项</w:t>
      </w:r>
    </w:p>
    <w:p>
      <w:pPr>
        <w:pStyle w:val="BodyText"/>
        <w:spacing w:line="316" w:lineRule="auto" w:before="76"/>
        <w:ind w:right="1130"/>
        <w:jc w:val="left"/>
      </w:pPr>
      <w:r>
        <w:rPr>
          <w:spacing w:val="-5"/>
        </w:rPr>
        <w:t>（二）或有事项”。依据上海信和安律师事务所出具的《关于法律纠纷情况说明》，本公司预计能挽回的贷款本金损失比例为</w:t>
      </w:r>
      <w:r>
        <w:rPr>
          <w:spacing w:val="-79"/>
        </w:rPr>
        <w:t> </w:t>
      </w:r>
      <w:r>
        <w:rPr>
          <w:spacing w:val="-79"/>
        </w:rPr>
      </w:r>
      <w:r>
        <w:rPr/>
        <w:t>40%-50%，本公司出于谨慎性考虑，并经第四届董事会第六次会议审议通过，按个别认定法对上述款项单项计提坏账准备。</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240" w:lineRule="auto" w:before="44"/>
        <w:ind w:right="915"/>
        <w:jc w:val="left"/>
      </w:pPr>
      <w:r>
        <w:rPr/>
        <w:t>按账龄披露</w:t>
      </w:r>
    </w:p>
    <w:p>
      <w:pPr>
        <w:pStyle w:val="BodyText"/>
        <w:spacing w:line="240" w:lineRule="auto" w:before="117"/>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41,945,564.89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175,968,639.69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81,400.00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166,247.75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12,100.00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154,147.75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218,161,852.33</w:t>
            </w:r>
          </w:p>
        </w:tc>
      </w:tr>
    </w:tbl>
    <w:p>
      <w:pPr>
        <w:spacing w:line="240" w:lineRule="auto" w:before="3"/>
        <w:rPr>
          <w:rFonts w:ascii="宋体" w:hAnsi="宋体" w:cs="宋体" w:eastAsia="宋体" w:hint="default"/>
          <w:sz w:val="19"/>
          <w:szCs w:val="19"/>
        </w:rPr>
      </w:pPr>
    </w:p>
    <w:p>
      <w:pPr>
        <w:pStyle w:val="Heading3"/>
        <w:spacing w:line="240" w:lineRule="auto" w:before="34"/>
        <w:ind w:right="915"/>
        <w:jc w:val="left"/>
        <w:rPr>
          <w:b w:val="0"/>
          <w:bCs w:val="0"/>
        </w:rPr>
      </w:pPr>
      <w:bookmarkStart w:name="3）本期计提、收回或转回的坏账准备情况" w:id="261"/>
      <w:bookmarkEnd w:id="261"/>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915"/>
        <w:jc w:val="left"/>
      </w:pPr>
      <w:r>
        <w:rPr/>
        <w:t>本期计提坏账准备情况：</w:t>
      </w:r>
    </w:p>
    <w:p>
      <w:pPr>
        <w:pStyle w:val="BodyText"/>
        <w:spacing w:line="240" w:lineRule="auto" w:before="117"/>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15"/>
        <w:gridCol w:w="1098"/>
        <w:gridCol w:w="1340"/>
        <w:gridCol w:w="1332"/>
        <w:gridCol w:w="1330"/>
        <w:gridCol w:w="1326"/>
        <w:gridCol w:w="1726"/>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7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9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1098" w:type="dxa"/>
            <w:vMerge/>
            <w:tcBorders>
              <w:left w:val="single" w:sz="4" w:space="0" w:color="000000"/>
              <w:bottom w:val="single" w:sz="4" w:space="0" w:color="000000"/>
              <w:right w:val="single" w:sz="4" w:space="0" w:color="000000"/>
            </w:tcBorders>
            <w:shd w:val="clear" w:color="auto" w:fill="D2D2D2"/>
          </w:tcPr>
          <w:p>
            <w:pP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72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18,650,550.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92</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87,080,879.61</w:t>
            </w:r>
          </w:p>
        </w:tc>
        <w:tc>
          <w:tcPr>
            <w:tcW w:w="1332"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6"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105,731,430.53</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18,650,550.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92</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87,080,879.61</w:t>
            </w:r>
          </w:p>
        </w:tc>
        <w:tc>
          <w:tcPr>
            <w:tcW w:w="1332"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6"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105,731,430.53</w:t>
            </w:r>
          </w:p>
        </w:tc>
      </w:tr>
    </w:tbl>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footerReference w:type="default" r:id="rId31"/>
          <w:pgSz w:w="11910" w:h="16840"/>
          <w:pgMar w:footer="1016" w:header="919" w:top="1120" w:bottom="1200" w:left="1020" w:right="0"/>
          <w:pgNumType w:start="150"/>
        </w:sectPr>
      </w:pPr>
    </w:p>
    <w:p>
      <w:pPr>
        <w:pStyle w:val="BodyText"/>
        <w:spacing w:line="240" w:lineRule="auto" w:before="26"/>
        <w:ind w:right="-20"/>
        <w:jc w:val="left"/>
        <w:rPr>
          <w:sz w:val="24"/>
          <w:szCs w:val="24"/>
        </w:rPr>
      </w:pPr>
      <w:r>
        <w:rPr/>
        <w:t>其中本期坏账准备转回或收回金额重要的</w:t>
      </w:r>
      <w:r>
        <w:rPr>
          <w:sz w:val="24"/>
          <w:szCs w:val="24"/>
        </w:rPr>
        <w:t>：</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6"/>
        <w:rPr>
          <w:rFonts w:ascii="宋体" w:hAnsi="宋体" w:cs="宋体" w:eastAsia="宋体" w:hint="default"/>
          <w:sz w:val="14"/>
          <w:szCs w:val="14"/>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100" w:bottom="1200" w:left="1020" w:right="0"/>
          <w:cols w:num="2" w:equalWidth="0">
            <w:col w:w="3593" w:space="5236"/>
            <w:col w:w="206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58"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11"/>
        <w:ind w:right="915"/>
        <w:jc w:val="left"/>
      </w:pPr>
      <w:r>
        <w:rPr/>
        <w:t>无</w:t>
      </w:r>
    </w:p>
    <w:p>
      <w:pPr>
        <w:spacing w:line="240" w:lineRule="auto" w:before="11"/>
        <w:rPr>
          <w:rFonts w:ascii="宋体" w:hAnsi="宋体" w:cs="宋体" w:eastAsia="宋体" w:hint="default"/>
          <w:sz w:val="26"/>
          <w:szCs w:val="26"/>
        </w:rPr>
      </w:pPr>
    </w:p>
    <w:p>
      <w:pPr>
        <w:pStyle w:val="Heading3"/>
        <w:spacing w:line="240" w:lineRule="auto"/>
        <w:ind w:right="915"/>
        <w:jc w:val="left"/>
        <w:rPr>
          <w:b w:val="0"/>
          <w:bCs w:val="0"/>
        </w:rPr>
      </w:pPr>
      <w:bookmarkStart w:name="4）本期实际核销的其他应收款情况" w:id="262"/>
      <w:bookmarkEnd w:id="262"/>
      <w:r>
        <w:rPr>
          <w:b w:val="0"/>
          <w:bCs w:val="0"/>
        </w:rPr>
      </w:r>
      <w:r>
        <w:rPr>
          <w:rFonts w:ascii="Times New Roman" w:hAnsi="Times New Roman" w:cs="Times New Roman" w:eastAsia="Times New Roman" w:hint="default"/>
        </w:rPr>
        <w:t>4</w:t>
      </w:r>
      <w:r>
        <w:rPr/>
        <w:t>）本期实际核销的其他应收款情况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1"/>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775;height:397" coordorigin="13,12" coordsize="4775,397">
              <v:shape style="position:absolute;left:13;top:12;width:4775;height:397" coordorigin="13,12" coordsize="4775,397" path="m13,12l4788,12,4788,409,13,409,13,12xe" filled="true" fillcolor="#d2d2d2" stroked="false">
                <v:path arrowok="t"/>
                <v:fill type="solid"/>
              </v:shape>
            </v:group>
            <v:group style="position:absolute;left:4793;top:12;width:4783;height:397" coordorigin="4793,12" coordsize="4783,397">
              <v:shape style="position:absolute;left:4793;top:12;width:4783;height:397" coordorigin="4793,12" coordsize="4783,397" path="m4793,12l9576,12,9576,409,4793,409,4793,12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0;top:5;width:2;height:402" coordorigin="4790,5" coordsize="2,402">
              <v:shape style="position:absolute;left:4790;top:5;width:2;height:402" coordorigin="4790,5" coordsize="0,402" path="m4790,5l4790,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19;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0;top:10;width:4788;height:402" type="#_x0000_t202" filled="false" stroked="false">
                <v:textbox inset="0,0,0,0">
                  <w:txbxContent>
                    <w:p>
                      <w:pPr>
                        <w:spacing w:before="55"/>
                        <w:ind w:left="1" w:right="0" w:firstLine="0"/>
                        <w:jc w:val="center"/>
                        <w:rPr>
                          <w:rFonts w:ascii="宋体" w:hAnsi="宋体" w:cs="宋体" w:eastAsia="宋体" w:hint="default"/>
                          <w:sz w:val="18"/>
                          <w:szCs w:val="18"/>
                        </w:rPr>
                      </w:pPr>
                      <w:r>
                        <w:rPr>
                          <w:rFonts w:ascii="宋体" w:hAnsi="宋体" w:cs="宋体" w:eastAsia="宋体" w:hint="default"/>
                          <w:sz w:val="18"/>
                          <w:szCs w:val="18"/>
                        </w:rPr>
                        <w:t>核销金额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50"/>
        <w:ind w:right="915"/>
        <w:jc w:val="left"/>
      </w:pPr>
      <w:r>
        <w:rPr/>
        <w:t>其中重要的其他应收款核销情况：</w:t>
      </w:r>
    </w:p>
    <w:p>
      <w:pPr>
        <w:pStyle w:val="BodyText"/>
        <w:spacing w:line="240" w:lineRule="auto" w:before="117"/>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5"/>
        <w:gridCol w:w="1595"/>
      </w:tblGrid>
      <w:tr>
        <w:trPr>
          <w:trHeight w:val="407"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61" w:right="0"/>
              <w:jc w:val="left"/>
              <w:rPr>
                <w:rFonts w:ascii="宋体" w:hAnsi="宋体" w:cs="宋体" w:eastAsia="宋体" w:hint="default"/>
                <w:sz w:val="18"/>
                <w:szCs w:val="18"/>
              </w:rPr>
            </w:pPr>
            <w:r>
              <w:rPr>
                <w:rFonts w:ascii="宋体" w:hAnsi="宋体" w:cs="宋体" w:eastAsia="宋体" w:hint="default"/>
                <w:sz w:val="18"/>
                <w:szCs w:val="18"/>
              </w:rPr>
              <w:t>款项是否由关联</w:t>
            </w:r>
          </w:p>
        </w:tc>
      </w:tr>
    </w:tbl>
    <w:p>
      <w:pPr>
        <w:spacing w:after="0" w:line="240" w:lineRule="auto"/>
        <w:jc w:val="left"/>
        <w:rPr>
          <w:rFonts w:ascii="宋体" w:hAnsi="宋体" w:cs="宋体" w:eastAsia="宋体" w:hint="default"/>
          <w:sz w:val="18"/>
          <w:szCs w:val="18"/>
        </w:rPr>
        <w:sectPr>
          <w:type w:val="continuous"/>
          <w:pgSz w:w="11910" w:h="16840"/>
          <w:pgMar w:top="110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5"/>
        <w:gridCol w:w="1595"/>
      </w:tblGrid>
      <w:tr>
        <w:trPr>
          <w:trHeight w:val="36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32" w:right="0"/>
              <w:jc w:val="left"/>
              <w:rPr>
                <w:rFonts w:ascii="宋体" w:hAnsi="宋体" w:cs="宋体" w:eastAsia="宋体" w:hint="default"/>
                <w:sz w:val="18"/>
                <w:szCs w:val="18"/>
              </w:rPr>
            </w:pPr>
            <w:r>
              <w:rPr>
                <w:rFonts w:ascii="宋体" w:hAnsi="宋体" w:cs="宋体" w:eastAsia="宋体" w:hint="default"/>
                <w:sz w:val="18"/>
                <w:szCs w:val="18"/>
              </w:rPr>
              <w:t>交易产生</w:t>
            </w:r>
          </w:p>
        </w:tc>
      </w:tr>
    </w:tbl>
    <w:p>
      <w:pPr>
        <w:pStyle w:val="BodyText"/>
        <w:spacing w:line="360" w:lineRule="auto" w:before="50"/>
        <w:ind w:right="8954"/>
        <w:jc w:val="left"/>
      </w:pPr>
      <w:r>
        <w:rPr/>
        <w:t>其他应收款核销说明： 无</w:t>
      </w:r>
    </w:p>
    <w:p>
      <w:pPr>
        <w:spacing w:line="240" w:lineRule="auto" w:before="2"/>
        <w:rPr>
          <w:rFonts w:ascii="宋体" w:hAnsi="宋体" w:cs="宋体" w:eastAsia="宋体" w:hint="default"/>
          <w:sz w:val="20"/>
          <w:szCs w:val="20"/>
        </w:rPr>
      </w:pPr>
    </w:p>
    <w:p>
      <w:pPr>
        <w:pStyle w:val="Heading3"/>
        <w:spacing w:line="240" w:lineRule="auto"/>
        <w:ind w:right="915"/>
        <w:jc w:val="left"/>
        <w:rPr>
          <w:b w:val="0"/>
          <w:bCs w:val="0"/>
        </w:rPr>
      </w:pPr>
      <w:bookmarkStart w:name="5）按欠款方归集的期末余额前五名的其他应收款情况" w:id="263"/>
      <w:bookmarkEnd w:id="263"/>
      <w:r>
        <w:rPr>
          <w:b w:val="0"/>
          <w:bCs w:val="0"/>
        </w:rPr>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5"/>
        <w:gridCol w:w="1595"/>
      </w:tblGrid>
      <w:tr>
        <w:trPr>
          <w:trHeight w:val="102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4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62" w:right="160"/>
              <w:jc w:val="center"/>
              <w:rPr>
                <w:rFonts w:ascii="宋体" w:hAnsi="宋体" w:cs="宋体" w:eastAsia="宋体" w:hint="default"/>
                <w:sz w:val="18"/>
                <w:szCs w:val="18"/>
              </w:rPr>
            </w:pPr>
            <w:r>
              <w:rPr>
                <w:rFonts w:ascii="宋体" w:hAnsi="宋体" w:cs="宋体" w:eastAsia="宋体" w:hint="default"/>
                <w:sz w:val="18"/>
                <w:szCs w:val="18"/>
              </w:rPr>
              <w:t>占其他应收款期 末余额合计数的 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01" w:right="162" w:hanging="540"/>
              <w:jc w:val="left"/>
              <w:rPr>
                <w:rFonts w:ascii="宋体" w:hAnsi="宋体" w:cs="宋体" w:eastAsia="宋体" w:hint="default"/>
                <w:sz w:val="18"/>
                <w:szCs w:val="18"/>
              </w:rPr>
            </w:pPr>
            <w:r>
              <w:rPr>
                <w:rFonts w:ascii="宋体" w:hAnsi="宋体" w:cs="宋体" w:eastAsia="宋体" w:hint="default"/>
                <w:sz w:val="18"/>
                <w:szCs w:val="18"/>
              </w:rPr>
              <w:t>坏账准备期末余 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220"/>
              <w:jc w:val="left"/>
              <w:rPr>
                <w:rFonts w:ascii="宋体" w:hAnsi="宋体" w:cs="宋体" w:eastAsia="宋体" w:hint="default"/>
                <w:sz w:val="18"/>
                <w:szCs w:val="18"/>
              </w:rPr>
            </w:pPr>
            <w:r>
              <w:rPr>
                <w:rFonts w:ascii="宋体" w:hAnsi="宋体" w:cs="宋体" w:eastAsia="宋体" w:hint="default"/>
                <w:sz w:val="18"/>
                <w:szCs w:val="18"/>
              </w:rPr>
              <w:t>滑县永达饲料有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代采垫款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125,267,724.98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57.42%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75,160,634.99</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220"/>
              <w:jc w:val="left"/>
              <w:rPr>
                <w:rFonts w:ascii="宋体" w:hAnsi="宋体" w:cs="宋体" w:eastAsia="宋体" w:hint="default"/>
                <w:sz w:val="18"/>
                <w:szCs w:val="18"/>
              </w:rPr>
            </w:pPr>
            <w:r>
              <w:rPr>
                <w:rFonts w:ascii="宋体" w:hAnsi="宋体" w:cs="宋体" w:eastAsia="宋体" w:hint="default"/>
                <w:sz w:val="18"/>
                <w:szCs w:val="18"/>
              </w:rPr>
              <w:t>鹤壁市永达食品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6" w:right="0"/>
              <w:jc w:val="left"/>
              <w:rPr>
                <w:rFonts w:ascii="Times New Roman" w:hAnsi="Times New Roman" w:cs="Times New Roman" w:eastAsia="Times New Roman" w:hint="default"/>
                <w:sz w:val="18"/>
                <w:szCs w:val="18"/>
              </w:rPr>
            </w:pPr>
            <w:r>
              <w:rPr>
                <w:rFonts w:ascii="Times New Roman"/>
                <w:sz w:val="18"/>
              </w:rPr>
              <w:t>30,000,000.00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13.75%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18,000,000.00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220"/>
              <w:jc w:val="left"/>
              <w:rPr>
                <w:rFonts w:ascii="宋体" w:hAnsi="宋体" w:cs="宋体" w:eastAsia="宋体" w:hint="default"/>
                <w:sz w:val="18"/>
                <w:szCs w:val="18"/>
              </w:rPr>
            </w:pPr>
            <w:r>
              <w:rPr>
                <w:rFonts w:ascii="宋体" w:hAnsi="宋体" w:cs="宋体" w:eastAsia="宋体" w:hint="default"/>
                <w:sz w:val="18"/>
                <w:szCs w:val="18"/>
              </w:rPr>
              <w:t>鹤壁市永达养殖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代采垫款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6" w:right="0"/>
              <w:jc w:val="left"/>
              <w:rPr>
                <w:rFonts w:ascii="Times New Roman" w:hAnsi="Times New Roman" w:cs="Times New Roman" w:eastAsia="Times New Roman" w:hint="default"/>
                <w:sz w:val="18"/>
                <w:szCs w:val="18"/>
              </w:rPr>
            </w:pPr>
            <w:r>
              <w:rPr>
                <w:rFonts w:ascii="Times New Roman"/>
                <w:sz w:val="18"/>
              </w:rPr>
              <w:t>18,755,457.69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8.60%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11,253,274.61</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220"/>
              <w:jc w:val="left"/>
              <w:rPr>
                <w:rFonts w:ascii="宋体" w:hAnsi="宋体" w:cs="宋体" w:eastAsia="宋体" w:hint="default"/>
                <w:sz w:val="18"/>
                <w:szCs w:val="18"/>
              </w:rPr>
            </w:pPr>
            <w:r>
              <w:rPr>
                <w:rFonts w:ascii="宋体" w:hAnsi="宋体" w:cs="宋体" w:eastAsia="宋体" w:hint="default"/>
                <w:sz w:val="18"/>
                <w:szCs w:val="18"/>
              </w:rPr>
              <w:t>荣达禽业股份有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代采垫款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6" w:right="0"/>
              <w:jc w:val="left"/>
              <w:rPr>
                <w:rFonts w:ascii="Times New Roman" w:hAnsi="Times New Roman" w:cs="Times New Roman" w:eastAsia="Times New Roman" w:hint="default"/>
                <w:sz w:val="18"/>
                <w:szCs w:val="18"/>
              </w:rPr>
            </w:pPr>
            <w:r>
              <w:rPr>
                <w:rFonts w:ascii="Times New Roman"/>
                <w:sz w:val="18"/>
              </w:rPr>
              <w:t>15,485,984.92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7.10%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15,485.98</w:t>
            </w: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220"/>
              <w:jc w:val="both"/>
              <w:rPr>
                <w:rFonts w:ascii="宋体" w:hAnsi="宋体" w:cs="宋体" w:eastAsia="宋体" w:hint="default"/>
                <w:sz w:val="18"/>
                <w:szCs w:val="18"/>
              </w:rPr>
            </w:pPr>
            <w:r>
              <w:rPr>
                <w:rFonts w:ascii="宋体" w:hAnsi="宋体" w:cs="宋体" w:eastAsia="宋体" w:hint="default"/>
                <w:sz w:val="18"/>
                <w:szCs w:val="18"/>
              </w:rPr>
              <w:t>国家税务总局深 圳市福田区税务 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即征即退增值税</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53" w:right="0"/>
              <w:jc w:val="left"/>
              <w:rPr>
                <w:rFonts w:ascii="Times New Roman" w:hAnsi="Times New Roman" w:cs="Times New Roman" w:eastAsia="Times New Roman" w:hint="default"/>
                <w:sz w:val="18"/>
                <w:szCs w:val="18"/>
              </w:rPr>
            </w:pPr>
            <w:r>
              <w:rPr>
                <w:rFonts w:ascii="Times New Roman"/>
                <w:sz w:val="18"/>
              </w:rPr>
              <w:t>11,650,392.62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5.34%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582,519.63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5" w:right="0"/>
              <w:jc w:val="left"/>
              <w:rPr>
                <w:rFonts w:ascii="Times New Roman" w:hAnsi="Times New Roman" w:cs="Times New Roman" w:eastAsia="Times New Roman" w:hint="default"/>
                <w:sz w:val="18"/>
                <w:szCs w:val="18"/>
              </w:rPr>
            </w:pPr>
            <w:r>
              <w:rPr>
                <w:rFonts w:ascii="Times New Roman"/>
                <w:sz w:val="18"/>
              </w:rPr>
              <w:t>201,159,560.21</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92.21%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105,011,915.21</w:t>
            </w:r>
          </w:p>
        </w:tc>
      </w:tr>
    </w:tbl>
    <w:p>
      <w:pPr>
        <w:spacing w:line="240" w:lineRule="auto" w:before="3"/>
        <w:rPr>
          <w:rFonts w:ascii="宋体" w:hAnsi="宋体" w:cs="宋体" w:eastAsia="宋体" w:hint="default"/>
          <w:sz w:val="19"/>
          <w:szCs w:val="19"/>
        </w:rPr>
      </w:pPr>
    </w:p>
    <w:p>
      <w:pPr>
        <w:pStyle w:val="Heading3"/>
        <w:spacing w:line="240" w:lineRule="auto" w:before="34"/>
        <w:ind w:right="915"/>
        <w:jc w:val="left"/>
        <w:rPr>
          <w:b w:val="0"/>
          <w:bCs w:val="0"/>
        </w:rPr>
      </w:pPr>
      <w:bookmarkStart w:name="6）涉及政府补助的应收款项" w:id="264"/>
      <w:bookmarkEnd w:id="264"/>
      <w:r>
        <w:rPr>
          <w:b w:val="0"/>
          <w:bCs w:val="0"/>
        </w:rPr>
      </w:r>
      <w:r>
        <w:rPr>
          <w:rFonts w:ascii="Times New Roman" w:hAnsi="Times New Roman" w:cs="Times New Roman" w:eastAsia="Times New Roman" w:hint="default"/>
        </w:rPr>
        <w:t>6</w:t>
      </w:r>
      <w:r>
        <w:rPr/>
        <w:t>）涉及政府补助的应收款项</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3" w:right="142" w:hanging="452"/>
              <w:jc w:val="left"/>
              <w:rPr>
                <w:rFonts w:ascii="宋体" w:hAnsi="宋体" w:cs="宋体" w:eastAsia="宋体" w:hint="default"/>
                <w:sz w:val="18"/>
                <w:szCs w:val="18"/>
              </w:rPr>
            </w:pPr>
            <w:r>
              <w:rPr>
                <w:rFonts w:ascii="宋体" w:hAnsi="宋体" w:cs="宋体" w:eastAsia="宋体" w:hint="default"/>
                <w:sz w:val="18"/>
                <w:szCs w:val="18"/>
              </w:rPr>
              <w:t>预计收取的时间、金 额及依据</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1" w:right="178"/>
              <w:jc w:val="left"/>
              <w:rPr>
                <w:rFonts w:ascii="宋体" w:hAnsi="宋体" w:cs="宋体" w:eastAsia="宋体" w:hint="default"/>
                <w:sz w:val="18"/>
                <w:szCs w:val="18"/>
              </w:rPr>
            </w:pPr>
            <w:r>
              <w:rPr>
                <w:rFonts w:ascii="宋体" w:hAnsi="宋体" w:cs="宋体" w:eastAsia="宋体" w:hint="default"/>
                <w:sz w:val="18"/>
                <w:szCs w:val="18"/>
              </w:rPr>
              <w:t>国家税务总局深圳市 福田区税务局</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73" w:right="0"/>
              <w:jc w:val="left"/>
              <w:rPr>
                <w:rFonts w:ascii="Times New Roman" w:hAnsi="Times New Roman" w:cs="Times New Roman" w:eastAsia="Times New Roman" w:hint="default"/>
                <w:sz w:val="18"/>
                <w:szCs w:val="18"/>
              </w:rPr>
            </w:pPr>
            <w:r>
              <w:rPr>
                <w:rFonts w:ascii="Times New Roman"/>
                <w:sz w:val="18"/>
              </w:rPr>
              <w:t>11,650,392.62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税局通知单</w:t>
            </w:r>
          </w:p>
        </w:tc>
      </w:tr>
    </w:tbl>
    <w:p>
      <w:pPr>
        <w:pStyle w:val="BodyText"/>
        <w:spacing w:line="240" w:lineRule="auto" w:before="10"/>
        <w:ind w:right="915"/>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15"/>
        <w:jc w:val="left"/>
        <w:rPr>
          <w:b w:val="0"/>
          <w:bCs w:val="0"/>
        </w:rPr>
      </w:pPr>
      <w:bookmarkStart w:name="7）因金融资产转移而终止确认的其他应收款" w:id="265"/>
      <w:bookmarkEnd w:id="265"/>
      <w:r>
        <w:rPr>
          <w:b w:val="0"/>
          <w:bCs w:val="0"/>
        </w:rPr>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15"/>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15"/>
        <w:jc w:val="left"/>
        <w:rPr>
          <w:b w:val="0"/>
          <w:bCs w:val="0"/>
        </w:rPr>
      </w:pPr>
      <w:bookmarkStart w:name="8）转移其他应收款且继续涉入形成的资产、负债金额" w:id="266"/>
      <w:bookmarkEnd w:id="266"/>
      <w:r>
        <w:rPr>
          <w:b w:val="0"/>
          <w:bCs w:val="0"/>
        </w:rPr>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9854"/>
        <w:jc w:val="left"/>
      </w:pPr>
      <w:r>
        <w:rPr/>
        <w:t>无 其他说明： 无</w:t>
      </w:r>
    </w:p>
    <w:p>
      <w:pPr>
        <w:spacing w:after="0" w:line="360" w:lineRule="auto"/>
        <w:jc w:val="left"/>
        <w:sectPr>
          <w:pgSz w:w="11910" w:h="16840"/>
          <w:pgMar w:header="919" w:footer="1016" w:top="1120" w:bottom="1200" w:left="1020" w:right="0"/>
        </w:sectPr>
      </w:pPr>
    </w:p>
    <w:p>
      <w:pPr>
        <w:spacing w:line="240" w:lineRule="auto" w:before="10"/>
        <w:rPr>
          <w:rFonts w:ascii="宋体" w:hAnsi="宋体" w:cs="宋体" w:eastAsia="宋体" w:hint="default"/>
          <w:sz w:val="19"/>
          <w:szCs w:val="19"/>
        </w:rPr>
      </w:pPr>
    </w:p>
    <w:p>
      <w:pPr>
        <w:pStyle w:val="Heading3"/>
        <w:spacing w:line="240" w:lineRule="auto" w:before="34"/>
        <w:ind w:right="915"/>
        <w:jc w:val="left"/>
        <w:rPr>
          <w:b w:val="0"/>
          <w:bCs w:val="0"/>
        </w:rPr>
      </w:pPr>
      <w:bookmarkStart w:name="6、存货" w:id="267"/>
      <w:bookmarkEnd w:id="267"/>
      <w:r>
        <w:rPr>
          <w:b w:val="0"/>
          <w:bCs w:val="0"/>
        </w:rPr>
      </w:r>
      <w:r>
        <w:rPr>
          <w:rFonts w:ascii="Times New Roman" w:hAnsi="Times New Roman" w:cs="Times New Roman" w:eastAsia="Times New Roman" w:hint="default"/>
        </w:rPr>
        <w:t>6</w:t>
      </w:r>
      <w:r>
        <w:rPr/>
        <w:t>、存货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15"/>
        <w:jc w:val="left"/>
      </w:pPr>
      <w:r>
        <w:rPr/>
        <w:t>是否已执行新收入准则</w:t>
      </w:r>
    </w:p>
    <w:p>
      <w:pPr>
        <w:pStyle w:val="BodyText"/>
        <w:spacing w:line="240" w:lineRule="auto" w:before="117"/>
        <w:ind w:right="915"/>
        <w:jc w:val="left"/>
      </w:pPr>
      <w:r>
        <w:rPr/>
        <w:t>□ 是 √ 否</w:t>
      </w:r>
    </w:p>
    <w:p>
      <w:pPr>
        <w:spacing w:line="240" w:lineRule="auto" w:before="11"/>
        <w:rPr>
          <w:rFonts w:ascii="宋体" w:hAnsi="宋体" w:cs="宋体" w:eastAsia="宋体" w:hint="default"/>
          <w:sz w:val="26"/>
          <w:szCs w:val="26"/>
        </w:rPr>
      </w:pPr>
    </w:p>
    <w:p>
      <w:pPr>
        <w:pStyle w:val="Heading3"/>
        <w:spacing w:line="240" w:lineRule="auto"/>
        <w:ind w:right="915"/>
        <w:jc w:val="left"/>
        <w:rPr>
          <w:b w:val="0"/>
          <w:bCs w:val="0"/>
        </w:rPr>
      </w:pPr>
      <w:bookmarkStart w:name="（1）存货分类" w:id="268"/>
      <w:bookmarkEnd w:id="268"/>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19" w:footer="1016" w:top="1120" w:bottom="1200" w:left="1020" w:right="0"/>
        </w:sectPr>
      </w:pPr>
    </w:p>
    <w:p>
      <w:pPr>
        <w:pStyle w:val="BodyText"/>
        <w:spacing w:line="340" w:lineRule="auto" w:before="44"/>
        <w:ind w:right="-19"/>
        <w:jc w:val="left"/>
      </w:pPr>
      <w:r>
        <w:rPr/>
        <w:t>公司需遵守《深圳证券交易所行业信息披露指引第</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号——上市公司从事房地产业务》的披露要求 按性质分类：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100" w:bottom="1200" w:left="1020" w:right="0"/>
          <w:cols w:num="2" w:equalWidth="0">
            <w:col w:w="7853" w:space="976"/>
            <w:col w:w="2061"/>
          </w:cols>
        </w:sectPr>
      </w:pP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55" w:hRule="exact"/>
        </w:trPr>
        <w:tc>
          <w:tcPr>
            <w:tcW w:w="1368" w:type="dxa"/>
            <w:vMerge/>
            <w:tcBorders>
              <w:left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存货跌价准备</w:t>
            </w: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存货跌价准备</w:t>
            </w: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12" w:hRule="exact"/>
        </w:trPr>
        <w:tc>
          <w:tcPr>
            <w:tcW w:w="1368" w:type="dxa"/>
            <w:vMerge/>
            <w:tcBorders>
              <w:left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或合同履约成</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或合同履约成</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59"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本减值准备</w:t>
            </w: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本减值准备</w:t>
            </w: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0"/>
        <w:ind w:right="915"/>
        <w:jc w:val="left"/>
      </w:pPr>
      <w:r>
        <w:rPr/>
        <w:t>按下列格式披露“开发成本”主要项目及其利息资本化情况：</w:t>
      </w:r>
    </w:p>
    <w:p>
      <w:pPr>
        <w:pStyle w:val="BodyText"/>
        <w:spacing w:line="240" w:lineRule="auto" w:before="117"/>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8"/>
        <w:gridCol w:w="797"/>
        <w:gridCol w:w="797"/>
        <w:gridCol w:w="796"/>
        <w:gridCol w:w="798"/>
        <w:gridCol w:w="798"/>
        <w:gridCol w:w="798"/>
        <w:gridCol w:w="798"/>
        <w:gridCol w:w="798"/>
        <w:gridCol w:w="798"/>
        <w:gridCol w:w="798"/>
        <w:gridCol w:w="798"/>
      </w:tblGrid>
      <w:tr>
        <w:trPr>
          <w:trHeight w:val="1338"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03" w:right="122"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02" w:right="123" w:hanging="180"/>
              <w:jc w:val="left"/>
              <w:rPr>
                <w:rFonts w:ascii="宋体" w:hAnsi="宋体" w:cs="宋体" w:eastAsia="宋体" w:hint="default"/>
                <w:sz w:val="18"/>
                <w:szCs w:val="18"/>
              </w:rPr>
            </w:pPr>
            <w:r>
              <w:rPr>
                <w:rFonts w:ascii="宋体" w:hAnsi="宋体" w:cs="宋体" w:eastAsia="宋体" w:hint="default"/>
                <w:sz w:val="18"/>
                <w:szCs w:val="18"/>
              </w:rPr>
              <w:t>开工时 间</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22" w:right="123"/>
              <w:jc w:val="left"/>
              <w:rPr>
                <w:rFonts w:ascii="宋体" w:hAnsi="宋体" w:cs="宋体" w:eastAsia="宋体" w:hint="default"/>
                <w:sz w:val="18"/>
                <w:szCs w:val="18"/>
              </w:rPr>
            </w:pPr>
            <w:r>
              <w:rPr>
                <w:rFonts w:ascii="宋体" w:hAnsi="宋体" w:cs="宋体" w:eastAsia="宋体" w:hint="default"/>
                <w:sz w:val="18"/>
                <w:szCs w:val="18"/>
              </w:rPr>
              <w:t>预计竣 工时间</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13" w:right="122" w:hanging="92"/>
              <w:jc w:val="left"/>
              <w:rPr>
                <w:rFonts w:ascii="宋体" w:hAnsi="宋体" w:cs="宋体" w:eastAsia="宋体" w:hint="default"/>
                <w:sz w:val="18"/>
                <w:szCs w:val="18"/>
              </w:rPr>
            </w:pPr>
            <w:r>
              <w:rPr>
                <w:rFonts w:ascii="宋体" w:hAnsi="宋体" w:cs="宋体" w:eastAsia="宋体" w:hint="default"/>
                <w:sz w:val="18"/>
                <w:szCs w:val="18"/>
              </w:rPr>
              <w:t>预计总 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03" w:right="142"/>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23" w:right="122"/>
              <w:jc w:val="both"/>
              <w:rPr>
                <w:rFonts w:ascii="宋体" w:hAnsi="宋体" w:cs="宋体" w:eastAsia="宋体" w:hint="default"/>
                <w:sz w:val="18"/>
                <w:szCs w:val="18"/>
              </w:rPr>
            </w:pPr>
            <w:r>
              <w:rPr>
                <w:rFonts w:ascii="宋体" w:hAnsi="宋体" w:cs="宋体" w:eastAsia="宋体" w:hint="default"/>
                <w:sz w:val="18"/>
                <w:szCs w:val="18"/>
              </w:rPr>
              <w:t>本期转 入开发 产品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25" w:right="12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5" w:right="0"/>
              <w:jc w:val="both"/>
              <w:rPr>
                <w:rFonts w:ascii="宋体" w:hAnsi="宋体" w:cs="宋体" w:eastAsia="宋体" w:hint="default"/>
                <w:sz w:val="18"/>
                <w:szCs w:val="18"/>
              </w:rPr>
            </w:pPr>
            <w:r>
              <w:rPr>
                <w:rFonts w:ascii="宋体" w:hAnsi="宋体" w:cs="宋体" w:eastAsia="宋体" w:hint="default"/>
                <w:sz w:val="18"/>
                <w:szCs w:val="18"/>
              </w:rPr>
              <w:t>本期</w:t>
            </w:r>
          </w:p>
          <w:p>
            <w:pPr>
              <w:pStyle w:val="TableParagraph"/>
              <w:spacing w:line="316" w:lineRule="auto" w:before="76"/>
              <w:ind w:left="123" w:right="122"/>
              <w:jc w:val="both"/>
              <w:rPr>
                <w:rFonts w:ascii="宋体" w:hAnsi="宋体" w:cs="宋体" w:eastAsia="宋体" w:hint="default"/>
                <w:sz w:val="18"/>
                <w:szCs w:val="18"/>
              </w:rPr>
            </w:pPr>
            <w:r>
              <w:rPr>
                <w:rFonts w:ascii="宋体" w:hAnsi="宋体" w:cs="宋体" w:eastAsia="宋体" w:hint="default"/>
                <w:sz w:val="18"/>
                <w:szCs w:val="18"/>
              </w:rPr>
              <w:t>（开发 成本） 增加</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05" w:right="12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23" w:right="122"/>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5" w:right="121"/>
              <w:jc w:val="both"/>
              <w:rPr>
                <w:rFonts w:ascii="宋体" w:hAnsi="宋体" w:cs="宋体" w:eastAsia="宋体" w:hint="default"/>
                <w:sz w:val="18"/>
                <w:szCs w:val="18"/>
              </w:rPr>
            </w:pPr>
            <w:r>
              <w:rPr>
                <w:rFonts w:ascii="宋体" w:hAnsi="宋体" w:cs="宋体" w:eastAsia="宋体" w:hint="default"/>
                <w:sz w:val="18"/>
                <w:szCs w:val="18"/>
              </w:rPr>
              <w:t>其中： 本期利 息资本 化金额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03" w:right="122"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bl>
    <w:p>
      <w:pPr>
        <w:pStyle w:val="BodyText"/>
        <w:spacing w:line="240" w:lineRule="auto" w:before="51"/>
        <w:ind w:right="915"/>
        <w:jc w:val="left"/>
      </w:pPr>
      <w:r>
        <w:rPr/>
        <w:t>按下列格式项目披露“开发产品”主要项目信息：</w:t>
      </w:r>
    </w:p>
    <w:p>
      <w:pPr>
        <w:pStyle w:val="BodyText"/>
        <w:spacing w:line="240" w:lineRule="auto" w:before="115"/>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940"/>
        <w:gridCol w:w="937"/>
        <w:gridCol w:w="1143"/>
        <w:gridCol w:w="1170"/>
        <w:gridCol w:w="1169"/>
        <w:gridCol w:w="1403"/>
        <w:gridCol w:w="1403"/>
        <w:gridCol w:w="1403"/>
      </w:tblGrid>
      <w:tr>
        <w:trPr>
          <w:trHeight w:val="714" w:hRule="exact"/>
        </w:trPr>
        <w:tc>
          <w:tcPr>
            <w:tcW w:w="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竣工时间</w:t>
            </w:r>
          </w:p>
        </w:tc>
        <w:tc>
          <w:tcPr>
            <w:tcW w:w="1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27" w:right="155" w:hanging="272"/>
              <w:jc w:val="left"/>
              <w:rPr>
                <w:rFonts w:ascii="宋体" w:hAnsi="宋体" w:cs="宋体" w:eastAsia="宋体" w:hint="default"/>
                <w:sz w:val="18"/>
                <w:szCs w:val="18"/>
              </w:rPr>
            </w:pPr>
            <w:r>
              <w:rPr>
                <w:rFonts w:ascii="宋体" w:hAnsi="宋体" w:cs="宋体" w:eastAsia="宋体" w:hint="default"/>
                <w:sz w:val="18"/>
                <w:szCs w:val="18"/>
              </w:rPr>
              <w:t>利息资本化累 计金额</w:t>
            </w:r>
          </w:p>
        </w:tc>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45" w:right="101" w:hanging="142"/>
              <w:jc w:val="left"/>
              <w:rPr>
                <w:rFonts w:ascii="宋体" w:hAnsi="宋体" w:cs="宋体" w:eastAsia="宋体" w:hint="default"/>
                <w:sz w:val="18"/>
                <w:szCs w:val="18"/>
              </w:rPr>
            </w:pPr>
            <w:r>
              <w:rPr>
                <w:rFonts w:ascii="宋体" w:hAnsi="宋体" w:cs="宋体" w:eastAsia="宋体" w:hint="default"/>
                <w:spacing w:val="-11"/>
                <w:sz w:val="18"/>
                <w:szCs w:val="18"/>
              </w:rPr>
              <w:t>其中：本期利息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资本化金额</w:t>
            </w:r>
          </w:p>
        </w:tc>
      </w:tr>
    </w:tbl>
    <w:p>
      <w:pPr>
        <w:pStyle w:val="BodyText"/>
        <w:spacing w:line="240" w:lineRule="auto" w:before="49"/>
        <w:ind w:right="915"/>
        <w:jc w:val="left"/>
      </w:pPr>
      <w:r>
        <w:rPr/>
        <w:t>按下列格式分项目披露“分期收款开发产品</w:t>
      </w:r>
      <w:r>
        <w:rPr>
          <w:spacing w:val="-89"/>
        </w:rPr>
        <w:t>”</w:t>
      </w:r>
      <w:r>
        <w:rPr>
          <w:spacing w:val="-92"/>
        </w:rPr>
        <w:t>、</w:t>
      </w:r>
      <w:r>
        <w:rPr/>
        <w:t>“出租开发产品</w:t>
      </w:r>
      <w:r>
        <w:rPr>
          <w:spacing w:val="-89"/>
        </w:rPr>
        <w:t>”</w:t>
      </w:r>
      <w:r>
        <w:rPr>
          <w:spacing w:val="-92"/>
        </w:rPr>
        <w:t>、</w:t>
      </w:r>
      <w:r>
        <w:rPr/>
        <w:t>“周转房</w:t>
      </w:r>
      <w:r>
        <w:rPr>
          <w:spacing w:val="-89"/>
        </w:rPr>
        <w:t>”</w:t>
      </w:r>
      <w:r>
        <w:rPr/>
        <w:t>：</w:t>
      </w:r>
    </w:p>
    <w:p>
      <w:pPr>
        <w:pStyle w:val="BodyText"/>
        <w:spacing w:line="240" w:lineRule="auto" w:before="117"/>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29"/>
        <w:gridCol w:w="1783"/>
        <w:gridCol w:w="2153"/>
        <w:gridCol w:w="1655"/>
        <w:gridCol w:w="2649"/>
      </w:tblGrid>
      <w:tr>
        <w:trPr>
          <w:trHeight w:val="402" w:hRule="exact"/>
        </w:trPr>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8"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1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0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bl>
    <w:p>
      <w:pPr>
        <w:spacing w:line="240" w:lineRule="auto" w:before="3"/>
        <w:rPr>
          <w:rFonts w:ascii="宋体" w:hAnsi="宋体" w:cs="宋体" w:eastAsia="宋体" w:hint="default"/>
          <w:sz w:val="19"/>
          <w:szCs w:val="19"/>
        </w:rPr>
      </w:pPr>
    </w:p>
    <w:p>
      <w:pPr>
        <w:pStyle w:val="Heading3"/>
        <w:spacing w:line="240" w:lineRule="auto" w:before="34"/>
        <w:ind w:right="915"/>
        <w:jc w:val="left"/>
        <w:rPr>
          <w:b w:val="0"/>
          <w:bCs w:val="0"/>
        </w:rPr>
      </w:pPr>
      <w:bookmarkStart w:name="（2）存货跌价准备和合同履约成本减值准备" w:id="269"/>
      <w:bookmarkEnd w:id="269"/>
      <w:r>
        <w:rPr>
          <w:b w:val="0"/>
          <w:bCs w:val="0"/>
        </w:rPr>
      </w:r>
      <w:r>
        <w:rPr/>
        <w:t>（</w:t>
      </w:r>
      <w:r>
        <w:rPr>
          <w:rFonts w:ascii="Times New Roman" w:hAnsi="Times New Roman" w:cs="Times New Roman" w:eastAsia="Times New Roman" w:hint="default"/>
        </w:rPr>
        <w:t>2</w:t>
      </w:r>
      <w:r>
        <w:rPr/>
        <w:t>）存货跌价准备和合同履约成本减值准备</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100" w:bottom="1200" w:left="1020" w:right="0"/>
        </w:sectPr>
      </w:pPr>
    </w:p>
    <w:p>
      <w:pPr>
        <w:pStyle w:val="BodyText"/>
        <w:spacing w:line="357" w:lineRule="auto" w:before="44"/>
        <w:ind w:right="-20"/>
        <w:jc w:val="left"/>
      </w:pPr>
      <w:r>
        <w:rPr/>
        <w:t>按下列格式披露存货跌价准备金计提情况： 按性质分类：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100" w:bottom="1200" w:left="1020" w:right="0"/>
          <w:cols w:num="2" w:equalWidth="0">
            <w:col w:w="3533" w:space="5296"/>
            <w:col w:w="206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3"/>
        <w:gridCol w:w="898"/>
        <w:gridCol w:w="1196"/>
        <w:gridCol w:w="1063"/>
        <w:gridCol w:w="1328"/>
        <w:gridCol w:w="1462"/>
        <w:gridCol w:w="1195"/>
        <w:gridCol w:w="1063"/>
      </w:tblGrid>
      <w:tr>
        <w:trPr>
          <w:trHeight w:val="402" w:hRule="exact"/>
        </w:trPr>
        <w:tc>
          <w:tcPr>
            <w:tcW w:w="13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354" w:right="172"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50"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1363" w:type="dxa"/>
            <w:vMerge/>
            <w:tcBorders>
              <w:left w:val="single" w:sz="4" w:space="0" w:color="000000"/>
              <w:bottom w:val="single" w:sz="4" w:space="0" w:color="000000"/>
              <w:right w:val="single" w:sz="4" w:space="0" w:color="000000"/>
            </w:tcBorders>
            <w:shd w:val="clear" w:color="auto" w:fill="D2D2D2"/>
          </w:tcPr>
          <w:p>
            <w:pPr/>
          </w:p>
        </w:tc>
        <w:tc>
          <w:tcPr>
            <w:tcW w:w="898"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1"/>
        <w:ind w:right="915"/>
        <w:jc w:val="left"/>
      </w:pPr>
      <w:r>
        <w:rPr/>
        <w:t>按主要项目分类：</w:t>
      </w:r>
    </w:p>
    <w:p>
      <w:pPr>
        <w:pStyle w:val="BodyText"/>
        <w:spacing w:line="240" w:lineRule="auto" w:before="115"/>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3"/>
        <w:gridCol w:w="898"/>
        <w:gridCol w:w="1196"/>
        <w:gridCol w:w="1063"/>
        <w:gridCol w:w="1328"/>
        <w:gridCol w:w="1462"/>
        <w:gridCol w:w="1195"/>
        <w:gridCol w:w="1063"/>
      </w:tblGrid>
      <w:tr>
        <w:trPr>
          <w:trHeight w:val="402" w:hRule="exact"/>
        </w:trPr>
        <w:tc>
          <w:tcPr>
            <w:tcW w:w="13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8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354" w:right="172"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84"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50"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1363" w:type="dxa"/>
            <w:vMerge/>
            <w:tcBorders>
              <w:left w:val="single" w:sz="4" w:space="0" w:color="000000"/>
              <w:bottom w:val="single" w:sz="4" w:space="0" w:color="000000"/>
              <w:right w:val="single" w:sz="4" w:space="0" w:color="000000"/>
            </w:tcBorders>
            <w:shd w:val="clear" w:color="auto" w:fill="D2D2D2"/>
          </w:tcPr>
          <w:p>
            <w:pPr/>
          </w:p>
        </w:tc>
        <w:tc>
          <w:tcPr>
            <w:tcW w:w="898"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100" w:bottom="1200" w:left="1020" w:right="0"/>
        </w:sectPr>
      </w:pPr>
    </w:p>
    <w:p>
      <w:pPr>
        <w:spacing w:line="240" w:lineRule="auto" w:before="10"/>
        <w:rPr>
          <w:rFonts w:ascii="宋体" w:hAnsi="宋体" w:cs="宋体" w:eastAsia="宋体" w:hint="default"/>
          <w:sz w:val="19"/>
          <w:szCs w:val="19"/>
        </w:rPr>
      </w:pPr>
    </w:p>
    <w:p>
      <w:pPr>
        <w:pStyle w:val="Heading3"/>
        <w:spacing w:line="240" w:lineRule="auto" w:before="34"/>
        <w:ind w:right="915"/>
        <w:jc w:val="left"/>
        <w:rPr>
          <w:b w:val="0"/>
          <w:bCs w:val="0"/>
        </w:rPr>
      </w:pPr>
      <w:bookmarkStart w:name="（3）存货期末余额中利息资本化率的情况" w:id="270"/>
      <w:bookmarkEnd w:id="270"/>
      <w:r>
        <w:rPr>
          <w:b w:val="0"/>
          <w:bCs w:val="0"/>
        </w:rPr>
      </w:r>
      <w:r>
        <w:rPr/>
        <w:t>（</w:t>
      </w:r>
      <w:r>
        <w:rPr>
          <w:rFonts w:ascii="Times New Roman" w:hAnsi="Times New Roman" w:cs="Times New Roman" w:eastAsia="Times New Roman" w:hint="default"/>
        </w:rPr>
        <w:t>3</w:t>
      </w:r>
      <w:r>
        <w:rPr/>
        <w:t>）存货期末余额中利息资本化率的情况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15"/>
        <w:jc w:val="left"/>
        <w:rPr>
          <w:b w:val="0"/>
          <w:bCs w:val="0"/>
        </w:rPr>
      </w:pPr>
      <w:bookmarkStart w:name="（4）存货受限情况" w:id="271"/>
      <w:bookmarkEnd w:id="271"/>
      <w:r>
        <w:rPr>
          <w:b w:val="0"/>
          <w:bCs w:val="0"/>
        </w:rPr>
      </w:r>
      <w:r>
        <w:rPr/>
        <w:t>（</w:t>
      </w:r>
      <w:r>
        <w:rPr>
          <w:rFonts w:ascii="Times New Roman" w:hAnsi="Times New Roman" w:cs="Times New Roman" w:eastAsia="Times New Roman" w:hint="default"/>
        </w:rPr>
        <w:t>4</w:t>
      </w:r>
      <w:r>
        <w:rPr/>
        <w:t>）存货受限情况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915"/>
        <w:jc w:val="left"/>
      </w:pPr>
      <w:r>
        <w:rPr/>
        <w:t>按项目披露受限存货情况：</w:t>
      </w:r>
    </w:p>
    <w:p>
      <w:pPr>
        <w:pStyle w:val="BodyText"/>
        <w:spacing w:line="240" w:lineRule="auto" w:before="117"/>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738"/>
        <w:gridCol w:w="1821"/>
        <w:gridCol w:w="2505"/>
        <w:gridCol w:w="2503"/>
      </w:tblGrid>
      <w:tr>
        <w:trPr>
          <w:trHeight w:val="402" w:hRule="exact"/>
        </w:trPr>
        <w:tc>
          <w:tcPr>
            <w:tcW w:w="2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bl>
    <w:p>
      <w:pPr>
        <w:spacing w:line="240" w:lineRule="auto" w:before="3"/>
        <w:rPr>
          <w:rFonts w:ascii="宋体" w:hAnsi="宋体" w:cs="宋体" w:eastAsia="宋体" w:hint="default"/>
          <w:sz w:val="19"/>
          <w:szCs w:val="19"/>
        </w:rPr>
      </w:pPr>
    </w:p>
    <w:p>
      <w:pPr>
        <w:pStyle w:val="Heading3"/>
        <w:spacing w:line="240" w:lineRule="auto" w:before="34"/>
        <w:ind w:right="915"/>
        <w:jc w:val="left"/>
        <w:rPr>
          <w:b w:val="0"/>
          <w:bCs w:val="0"/>
        </w:rPr>
      </w:pPr>
      <w:bookmarkStart w:name="（5）存货分类" w:id="272"/>
      <w:bookmarkEnd w:id="272"/>
      <w:r>
        <w:rPr>
          <w:b w:val="0"/>
          <w:bCs w:val="0"/>
        </w:rPr>
      </w:r>
      <w:r>
        <w:rPr/>
        <w:t>（</w:t>
      </w:r>
      <w:r>
        <w:rPr>
          <w:rFonts w:ascii="Times New Roman" w:hAnsi="Times New Roman" w:cs="Times New Roman" w:eastAsia="Times New Roman" w:hint="default"/>
        </w:rPr>
        <w:t>5</w:t>
      </w:r>
      <w:r>
        <w:rPr/>
        <w:t>）存货分类</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19" w:footer="1016" w:top="1120" w:bottom="1200" w:left="1020" w:right="0"/>
        </w:sectPr>
      </w:pPr>
    </w:p>
    <w:p>
      <w:pPr>
        <w:pStyle w:val="BodyText"/>
        <w:spacing w:line="340" w:lineRule="auto" w:before="44"/>
        <w:ind w:right="-19"/>
        <w:jc w:val="left"/>
      </w:pPr>
      <w:r>
        <w:rPr/>
        <w:t>公司需遵守《深圳证券交易所行业信息披露指引第</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号——上市公司从事房地产业务》的披露要求 按性质分类：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100" w:bottom="1200" w:left="1020" w:right="0"/>
          <w:cols w:num="2" w:equalWidth="0">
            <w:col w:w="7853" w:space="976"/>
            <w:col w:w="2061"/>
          </w:cols>
        </w:sectPr>
      </w:pP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40" w:lineRule="auto" w:before="50"/>
        <w:ind w:right="915"/>
        <w:jc w:val="left"/>
      </w:pPr>
      <w:r>
        <w:rPr/>
        <w:t>按下列格式披露“开发成本”主要项目及其利息资本化情况：</w:t>
      </w:r>
    </w:p>
    <w:p>
      <w:pPr>
        <w:pStyle w:val="BodyText"/>
        <w:spacing w:line="240" w:lineRule="auto" w:before="115"/>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8"/>
        <w:gridCol w:w="797"/>
        <w:gridCol w:w="797"/>
        <w:gridCol w:w="796"/>
        <w:gridCol w:w="798"/>
        <w:gridCol w:w="798"/>
        <w:gridCol w:w="798"/>
        <w:gridCol w:w="798"/>
        <w:gridCol w:w="798"/>
        <w:gridCol w:w="798"/>
        <w:gridCol w:w="798"/>
        <w:gridCol w:w="798"/>
      </w:tblGrid>
      <w:tr>
        <w:trPr>
          <w:trHeight w:val="1338"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03" w:right="122"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02" w:right="123" w:hanging="180"/>
              <w:jc w:val="left"/>
              <w:rPr>
                <w:rFonts w:ascii="宋体" w:hAnsi="宋体" w:cs="宋体" w:eastAsia="宋体" w:hint="default"/>
                <w:sz w:val="18"/>
                <w:szCs w:val="18"/>
              </w:rPr>
            </w:pPr>
            <w:r>
              <w:rPr>
                <w:rFonts w:ascii="宋体" w:hAnsi="宋体" w:cs="宋体" w:eastAsia="宋体" w:hint="default"/>
                <w:sz w:val="18"/>
                <w:szCs w:val="18"/>
              </w:rPr>
              <w:t>开工时 间</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22" w:right="123"/>
              <w:jc w:val="left"/>
              <w:rPr>
                <w:rFonts w:ascii="宋体" w:hAnsi="宋体" w:cs="宋体" w:eastAsia="宋体" w:hint="default"/>
                <w:sz w:val="18"/>
                <w:szCs w:val="18"/>
              </w:rPr>
            </w:pPr>
            <w:r>
              <w:rPr>
                <w:rFonts w:ascii="宋体" w:hAnsi="宋体" w:cs="宋体" w:eastAsia="宋体" w:hint="default"/>
                <w:sz w:val="18"/>
                <w:szCs w:val="18"/>
              </w:rPr>
              <w:t>预计竣 工时间</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13" w:right="122" w:hanging="92"/>
              <w:jc w:val="left"/>
              <w:rPr>
                <w:rFonts w:ascii="宋体" w:hAnsi="宋体" w:cs="宋体" w:eastAsia="宋体" w:hint="default"/>
                <w:sz w:val="18"/>
                <w:szCs w:val="18"/>
              </w:rPr>
            </w:pPr>
            <w:r>
              <w:rPr>
                <w:rFonts w:ascii="宋体" w:hAnsi="宋体" w:cs="宋体" w:eastAsia="宋体" w:hint="default"/>
                <w:sz w:val="18"/>
                <w:szCs w:val="18"/>
              </w:rPr>
              <w:t>预计总 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03" w:right="142"/>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23" w:right="122"/>
              <w:jc w:val="both"/>
              <w:rPr>
                <w:rFonts w:ascii="宋体" w:hAnsi="宋体" w:cs="宋体" w:eastAsia="宋体" w:hint="default"/>
                <w:sz w:val="18"/>
                <w:szCs w:val="18"/>
              </w:rPr>
            </w:pPr>
            <w:r>
              <w:rPr>
                <w:rFonts w:ascii="宋体" w:hAnsi="宋体" w:cs="宋体" w:eastAsia="宋体" w:hint="default"/>
                <w:sz w:val="18"/>
                <w:szCs w:val="18"/>
              </w:rPr>
              <w:t>本期转 入开发 产品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25" w:right="12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5" w:right="0"/>
              <w:jc w:val="both"/>
              <w:rPr>
                <w:rFonts w:ascii="宋体" w:hAnsi="宋体" w:cs="宋体" w:eastAsia="宋体" w:hint="default"/>
                <w:sz w:val="18"/>
                <w:szCs w:val="18"/>
              </w:rPr>
            </w:pPr>
            <w:r>
              <w:rPr>
                <w:rFonts w:ascii="宋体" w:hAnsi="宋体" w:cs="宋体" w:eastAsia="宋体" w:hint="default"/>
                <w:sz w:val="18"/>
                <w:szCs w:val="18"/>
              </w:rPr>
              <w:t>本期</w:t>
            </w:r>
          </w:p>
          <w:p>
            <w:pPr>
              <w:pStyle w:val="TableParagraph"/>
              <w:spacing w:line="316" w:lineRule="auto" w:before="76"/>
              <w:ind w:left="123" w:right="122"/>
              <w:jc w:val="both"/>
              <w:rPr>
                <w:rFonts w:ascii="宋体" w:hAnsi="宋体" w:cs="宋体" w:eastAsia="宋体" w:hint="default"/>
                <w:sz w:val="18"/>
                <w:szCs w:val="18"/>
              </w:rPr>
            </w:pPr>
            <w:r>
              <w:rPr>
                <w:rFonts w:ascii="宋体" w:hAnsi="宋体" w:cs="宋体" w:eastAsia="宋体" w:hint="default"/>
                <w:sz w:val="18"/>
                <w:szCs w:val="18"/>
              </w:rPr>
              <w:t>（开发 成本） 增加</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05" w:right="12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23" w:right="122"/>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25" w:right="121"/>
              <w:jc w:val="both"/>
              <w:rPr>
                <w:rFonts w:ascii="宋体" w:hAnsi="宋体" w:cs="宋体" w:eastAsia="宋体" w:hint="default"/>
                <w:sz w:val="18"/>
                <w:szCs w:val="18"/>
              </w:rPr>
            </w:pPr>
            <w:r>
              <w:rPr>
                <w:rFonts w:ascii="宋体" w:hAnsi="宋体" w:cs="宋体" w:eastAsia="宋体" w:hint="default"/>
                <w:sz w:val="18"/>
                <w:szCs w:val="18"/>
              </w:rPr>
              <w:t>其中： 本期利 息资本 化金额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03" w:right="122"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bl>
    <w:p>
      <w:pPr>
        <w:pStyle w:val="BodyText"/>
        <w:spacing w:line="240" w:lineRule="auto" w:before="49"/>
        <w:ind w:right="915"/>
        <w:jc w:val="left"/>
      </w:pPr>
      <w:r>
        <w:rPr/>
        <w:t>按下列格式项目披露“开发产品”主要项目信息：</w:t>
      </w:r>
    </w:p>
    <w:p>
      <w:pPr>
        <w:pStyle w:val="BodyText"/>
        <w:spacing w:line="240" w:lineRule="auto" w:before="117"/>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940"/>
        <w:gridCol w:w="937"/>
        <w:gridCol w:w="1143"/>
        <w:gridCol w:w="1170"/>
        <w:gridCol w:w="1169"/>
        <w:gridCol w:w="1403"/>
        <w:gridCol w:w="1403"/>
        <w:gridCol w:w="1403"/>
      </w:tblGrid>
      <w:tr>
        <w:trPr>
          <w:trHeight w:val="714" w:hRule="exact"/>
        </w:trPr>
        <w:tc>
          <w:tcPr>
            <w:tcW w:w="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竣工时间</w:t>
            </w:r>
          </w:p>
        </w:tc>
        <w:tc>
          <w:tcPr>
            <w:tcW w:w="1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27" w:right="155" w:hanging="272"/>
              <w:jc w:val="left"/>
              <w:rPr>
                <w:rFonts w:ascii="宋体" w:hAnsi="宋体" w:cs="宋体" w:eastAsia="宋体" w:hint="default"/>
                <w:sz w:val="18"/>
                <w:szCs w:val="18"/>
              </w:rPr>
            </w:pPr>
            <w:r>
              <w:rPr>
                <w:rFonts w:ascii="宋体" w:hAnsi="宋体" w:cs="宋体" w:eastAsia="宋体" w:hint="default"/>
                <w:sz w:val="18"/>
                <w:szCs w:val="18"/>
              </w:rPr>
              <w:t>利息资本化累 计金额</w:t>
            </w:r>
          </w:p>
        </w:tc>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5" w:right="101" w:hanging="142"/>
              <w:jc w:val="left"/>
              <w:rPr>
                <w:rFonts w:ascii="宋体" w:hAnsi="宋体" w:cs="宋体" w:eastAsia="宋体" w:hint="default"/>
                <w:sz w:val="18"/>
                <w:szCs w:val="18"/>
              </w:rPr>
            </w:pPr>
            <w:r>
              <w:rPr>
                <w:rFonts w:ascii="宋体" w:hAnsi="宋体" w:cs="宋体" w:eastAsia="宋体" w:hint="default"/>
                <w:spacing w:val="-11"/>
                <w:sz w:val="18"/>
                <w:szCs w:val="18"/>
              </w:rPr>
              <w:t>其中：本期利息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资本化金额</w:t>
            </w:r>
          </w:p>
        </w:tc>
      </w:tr>
    </w:tbl>
    <w:p>
      <w:pPr>
        <w:pStyle w:val="BodyText"/>
        <w:spacing w:line="240" w:lineRule="auto" w:before="50"/>
        <w:ind w:right="915"/>
        <w:jc w:val="left"/>
      </w:pPr>
      <w:r>
        <w:rPr/>
        <w:t>按下列格式分项目披露“分期收款开发产品</w:t>
      </w:r>
      <w:r>
        <w:rPr>
          <w:spacing w:val="-89"/>
        </w:rPr>
        <w:t>”</w:t>
      </w:r>
      <w:r>
        <w:rPr>
          <w:spacing w:val="-92"/>
        </w:rPr>
        <w:t>、</w:t>
      </w:r>
      <w:r>
        <w:rPr/>
        <w:t>“出租开发产品</w:t>
      </w:r>
      <w:r>
        <w:rPr>
          <w:spacing w:val="-89"/>
        </w:rPr>
        <w:t>”</w:t>
      </w:r>
      <w:r>
        <w:rPr>
          <w:spacing w:val="-92"/>
        </w:rPr>
        <w:t>、</w:t>
      </w:r>
      <w:r>
        <w:rPr/>
        <w:t>“周转房</w:t>
      </w:r>
      <w:r>
        <w:rPr>
          <w:spacing w:val="-89"/>
        </w:rPr>
        <w:t>”</w:t>
      </w:r>
      <w:r>
        <w:rPr/>
        <w:t>：</w:t>
      </w:r>
    </w:p>
    <w:p>
      <w:pPr>
        <w:pStyle w:val="BodyText"/>
        <w:spacing w:line="240" w:lineRule="auto" w:before="117"/>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29"/>
        <w:gridCol w:w="1783"/>
        <w:gridCol w:w="2153"/>
        <w:gridCol w:w="1655"/>
        <w:gridCol w:w="2649"/>
      </w:tblGrid>
      <w:tr>
        <w:trPr>
          <w:trHeight w:val="402" w:hRule="exact"/>
        </w:trPr>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8"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1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0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bl>
    <w:p>
      <w:pPr>
        <w:spacing w:line="240" w:lineRule="auto" w:before="4"/>
        <w:rPr>
          <w:rFonts w:ascii="宋体" w:hAnsi="宋体" w:cs="宋体" w:eastAsia="宋体" w:hint="default"/>
          <w:sz w:val="19"/>
          <w:szCs w:val="19"/>
        </w:rPr>
      </w:pPr>
    </w:p>
    <w:p>
      <w:pPr>
        <w:pStyle w:val="Heading3"/>
        <w:spacing w:line="240" w:lineRule="auto" w:before="34"/>
        <w:ind w:right="915"/>
        <w:jc w:val="left"/>
        <w:rPr>
          <w:b w:val="0"/>
          <w:bCs w:val="0"/>
        </w:rPr>
      </w:pPr>
      <w:bookmarkStart w:name="（6）存货跌价准备" w:id="273"/>
      <w:bookmarkEnd w:id="273"/>
      <w:r>
        <w:rPr>
          <w:b w:val="0"/>
          <w:bCs w:val="0"/>
        </w:rPr>
      </w:r>
      <w:r>
        <w:rPr/>
        <w:t>（</w:t>
      </w:r>
      <w:r>
        <w:rPr>
          <w:rFonts w:ascii="Times New Roman" w:hAnsi="Times New Roman" w:cs="Times New Roman" w:eastAsia="Times New Roman" w:hint="default"/>
        </w:rPr>
        <w:t>6</w:t>
      </w:r>
      <w:r>
        <w:rPr/>
        <w:t>）存货跌价准备</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100" w:bottom="1200" w:left="1020" w:right="0"/>
        </w:sectPr>
      </w:pPr>
    </w:p>
    <w:p>
      <w:pPr>
        <w:pStyle w:val="BodyText"/>
        <w:spacing w:line="360" w:lineRule="auto" w:before="44"/>
        <w:ind w:right="-20"/>
        <w:jc w:val="left"/>
      </w:pPr>
      <w:r>
        <w:rPr/>
        <w:t>按下列格式披露存货跌价准备金计提情况： 按性质分类：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100" w:bottom="1200" w:left="1020" w:right="0"/>
          <w:cols w:num="2" w:equalWidth="0">
            <w:col w:w="3533" w:space="5296"/>
            <w:col w:w="206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3"/>
        <w:gridCol w:w="898"/>
        <w:gridCol w:w="1196"/>
        <w:gridCol w:w="1063"/>
        <w:gridCol w:w="1328"/>
        <w:gridCol w:w="1462"/>
        <w:gridCol w:w="1195"/>
        <w:gridCol w:w="1063"/>
      </w:tblGrid>
      <w:tr>
        <w:trPr>
          <w:trHeight w:val="402" w:hRule="exact"/>
        </w:trPr>
        <w:tc>
          <w:tcPr>
            <w:tcW w:w="13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354" w:right="172"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50"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1363" w:type="dxa"/>
            <w:vMerge/>
            <w:tcBorders>
              <w:left w:val="single" w:sz="4" w:space="0" w:color="000000"/>
              <w:bottom w:val="single" w:sz="4" w:space="0" w:color="000000"/>
              <w:right w:val="single" w:sz="4" w:space="0" w:color="000000"/>
            </w:tcBorders>
            <w:shd w:val="clear" w:color="auto" w:fill="D2D2D2"/>
          </w:tcPr>
          <w:p>
            <w:pPr/>
          </w:p>
        </w:tc>
        <w:tc>
          <w:tcPr>
            <w:tcW w:w="898"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1"/>
        <w:ind w:right="915"/>
        <w:jc w:val="left"/>
      </w:pPr>
      <w:r>
        <w:rPr/>
        <w:t>按主要项目分类：</w:t>
      </w:r>
    </w:p>
    <w:p>
      <w:pPr>
        <w:pStyle w:val="BodyText"/>
        <w:spacing w:line="240" w:lineRule="auto" w:before="115"/>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3"/>
        <w:gridCol w:w="898"/>
        <w:gridCol w:w="2259"/>
        <w:gridCol w:w="2790"/>
        <w:gridCol w:w="1195"/>
        <w:gridCol w:w="1063"/>
      </w:tblGrid>
      <w:tr>
        <w:trPr>
          <w:trHeight w:val="400" w:hRule="exact"/>
        </w:trPr>
        <w:tc>
          <w:tcPr>
            <w:tcW w:w="1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74" w:right="0"/>
              <w:jc w:val="left"/>
              <w:rPr>
                <w:rFonts w:ascii="宋体" w:hAnsi="宋体" w:cs="宋体" w:eastAsia="宋体" w:hint="default"/>
                <w:sz w:val="18"/>
                <w:szCs w:val="18"/>
              </w:rPr>
            </w:pPr>
            <w:r>
              <w:rPr>
                <w:rFonts w:ascii="宋体" w:hAnsi="宋体" w:cs="宋体" w:eastAsia="宋体" w:hint="default"/>
                <w:sz w:val="18"/>
                <w:szCs w:val="18"/>
              </w:rPr>
              <w:t>期初余</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50"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备注</w:t>
            </w:r>
          </w:p>
        </w:tc>
      </w:tr>
    </w:tbl>
    <w:p>
      <w:pPr>
        <w:spacing w:after="0" w:line="240" w:lineRule="auto"/>
        <w:jc w:val="left"/>
        <w:rPr>
          <w:rFonts w:ascii="宋体" w:hAnsi="宋体" w:cs="宋体" w:eastAsia="宋体" w:hint="default"/>
          <w:sz w:val="18"/>
          <w:szCs w:val="18"/>
        </w:rPr>
        <w:sectPr>
          <w:type w:val="continuous"/>
          <w:pgSz w:w="11910" w:h="16840"/>
          <w:pgMar w:top="110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1363"/>
        <w:gridCol w:w="898"/>
        <w:gridCol w:w="1196"/>
        <w:gridCol w:w="1063"/>
        <w:gridCol w:w="1328"/>
        <w:gridCol w:w="1462"/>
        <w:gridCol w:w="1195"/>
        <w:gridCol w:w="1063"/>
      </w:tblGrid>
      <w:tr>
        <w:trPr>
          <w:trHeight w:val="402" w:hRule="exact"/>
        </w:trPr>
        <w:tc>
          <w:tcPr>
            <w:tcW w:w="13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4"/>
        <w:rPr>
          <w:rFonts w:ascii="宋体" w:hAnsi="宋体" w:cs="宋体" w:eastAsia="宋体" w:hint="default"/>
          <w:sz w:val="19"/>
          <w:szCs w:val="19"/>
        </w:rPr>
      </w:pPr>
    </w:p>
    <w:p>
      <w:pPr>
        <w:pStyle w:val="Heading3"/>
        <w:spacing w:line="240" w:lineRule="auto" w:before="34"/>
        <w:ind w:right="915"/>
        <w:jc w:val="left"/>
        <w:rPr>
          <w:b w:val="0"/>
          <w:bCs w:val="0"/>
        </w:rPr>
      </w:pPr>
      <w:bookmarkStart w:name="（7）存货期末余额中利息资本化率的情况" w:id="274"/>
      <w:bookmarkEnd w:id="274"/>
      <w:r>
        <w:rPr>
          <w:b w:val="0"/>
          <w:bCs w:val="0"/>
        </w:rPr>
      </w:r>
      <w:r>
        <w:rPr/>
        <w:t>（</w:t>
      </w:r>
      <w:r>
        <w:rPr>
          <w:rFonts w:ascii="Times New Roman" w:hAnsi="Times New Roman" w:cs="Times New Roman" w:eastAsia="Times New Roman" w:hint="default"/>
        </w:rPr>
        <w:t>7</w:t>
      </w:r>
      <w:r>
        <w:rPr/>
        <w:t>）存货期末余额中利息资本化率的情况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15"/>
        <w:jc w:val="left"/>
        <w:rPr>
          <w:b w:val="0"/>
          <w:bCs w:val="0"/>
        </w:rPr>
      </w:pPr>
      <w:bookmarkStart w:name="（8）存货受限情况" w:id="275"/>
      <w:bookmarkEnd w:id="275"/>
      <w:r>
        <w:rPr>
          <w:b w:val="0"/>
          <w:bCs w:val="0"/>
        </w:rPr>
      </w:r>
      <w:r>
        <w:rPr/>
        <w:t>（</w:t>
      </w:r>
      <w:r>
        <w:rPr>
          <w:rFonts w:ascii="Times New Roman" w:hAnsi="Times New Roman" w:cs="Times New Roman" w:eastAsia="Times New Roman" w:hint="default"/>
        </w:rPr>
        <w:t>8</w:t>
      </w:r>
      <w:r>
        <w:rPr/>
        <w:t>）存货受限情况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915"/>
        <w:jc w:val="left"/>
      </w:pPr>
      <w:r>
        <w:rPr/>
        <w:t>按项目披露受限存货情况：</w:t>
      </w:r>
    </w:p>
    <w:p>
      <w:pPr>
        <w:pStyle w:val="BodyText"/>
        <w:spacing w:line="240" w:lineRule="auto" w:before="117"/>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738"/>
        <w:gridCol w:w="1821"/>
        <w:gridCol w:w="2505"/>
        <w:gridCol w:w="2503"/>
      </w:tblGrid>
      <w:tr>
        <w:trPr>
          <w:trHeight w:val="402" w:hRule="exact"/>
        </w:trPr>
        <w:tc>
          <w:tcPr>
            <w:tcW w:w="2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bl>
    <w:p>
      <w:pPr>
        <w:spacing w:line="240" w:lineRule="auto" w:before="4"/>
        <w:rPr>
          <w:rFonts w:ascii="宋体" w:hAnsi="宋体" w:cs="宋体" w:eastAsia="宋体" w:hint="default"/>
          <w:sz w:val="19"/>
          <w:szCs w:val="19"/>
        </w:rPr>
      </w:pPr>
    </w:p>
    <w:p>
      <w:pPr>
        <w:pStyle w:val="Heading3"/>
        <w:spacing w:line="240" w:lineRule="auto" w:before="34"/>
        <w:ind w:right="915"/>
        <w:jc w:val="left"/>
        <w:rPr>
          <w:b w:val="0"/>
          <w:bCs w:val="0"/>
        </w:rPr>
      </w:pPr>
      <w:bookmarkStart w:name="（9）期末建造合同形成的已完工未结算资产情况" w:id="276"/>
      <w:bookmarkEnd w:id="276"/>
      <w:r>
        <w:rPr>
          <w:b w:val="0"/>
          <w:bCs w:val="0"/>
        </w:rPr>
      </w:r>
      <w:r>
        <w:rPr/>
        <w:t>（</w:t>
      </w:r>
      <w:r>
        <w:rPr>
          <w:rFonts w:ascii="Times New Roman" w:hAnsi="Times New Roman" w:cs="Times New Roman" w:eastAsia="Times New Roman" w:hint="default"/>
        </w:rPr>
        <w:t>9</w:t>
      </w:r>
      <w:r>
        <w:rPr/>
        <w:t>）期末建造合同形成的已完工未结算资产情况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p>
    <w:p>
      <w:pPr>
        <w:spacing w:line="240" w:lineRule="auto" w:before="9"/>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778;height:397" coordorigin="13,12" coordsize="4778,397">
              <v:shape style="position:absolute;left:13;top:12;width:4778;height:397" coordorigin="13,12" coordsize="4778,397" path="m13,12l4791,12,4791,409,13,409,13,12xe" filled="true" fillcolor="#d2d2d2" stroked="false">
                <v:path arrowok="t"/>
                <v:fill type="solid"/>
              </v:shape>
            </v:group>
            <v:group style="position:absolute;left:4796;top:12;width:4780;height:397" coordorigin="4796,12" coordsize="4780,397">
              <v:shape style="position:absolute;left:4796;top:12;width:4780;height:397" coordorigin="4796,12" coordsize="4780,397" path="m4796,12l9576,12,9576,409,4796,409,4796,12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3;top:5;width:2;height:402" coordorigin="4793,5" coordsize="2,402">
              <v:shape style="position:absolute;left:4793;top:5;width:2;height:402" coordorigin="4793,5" coordsize="0,402" path="m4793,5l4793,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21;top:12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7004;top:12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pStyle w:val="BodyText"/>
        <w:spacing w:line="357" w:lineRule="auto" w:before="51"/>
        <w:ind w:right="9854"/>
        <w:jc w:val="left"/>
      </w:pPr>
      <w:r>
        <w:rPr/>
        <w:t>其他说明： 无</w:t>
      </w:r>
    </w:p>
    <w:p>
      <w:pPr>
        <w:spacing w:line="240" w:lineRule="auto" w:before="4"/>
        <w:rPr>
          <w:rFonts w:ascii="宋体" w:hAnsi="宋体" w:cs="宋体" w:eastAsia="宋体" w:hint="default"/>
          <w:sz w:val="20"/>
          <w:szCs w:val="20"/>
        </w:rPr>
      </w:pPr>
    </w:p>
    <w:p>
      <w:pPr>
        <w:pStyle w:val="Heading3"/>
        <w:spacing w:line="240" w:lineRule="auto"/>
        <w:ind w:right="915"/>
        <w:jc w:val="left"/>
        <w:rPr>
          <w:b w:val="0"/>
          <w:bCs w:val="0"/>
        </w:rPr>
      </w:pPr>
      <w:bookmarkStart w:name="（10）存货分类" w:id="277"/>
      <w:bookmarkEnd w:id="277"/>
      <w:r>
        <w:rPr>
          <w:b w:val="0"/>
          <w:bCs w:val="0"/>
        </w:rPr>
      </w:r>
      <w:r>
        <w:rPr/>
        <w:t>（</w:t>
      </w:r>
      <w:r>
        <w:rPr>
          <w:rFonts w:ascii="Times New Roman" w:hAnsi="Times New Roman" w:cs="Times New Roman" w:eastAsia="Times New Roman" w:hint="default"/>
        </w:rPr>
        <w:t>10</w:t>
      </w:r>
      <w:r>
        <w:rPr/>
        <w:t>）存货分类</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212,103.02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59,920.38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152,182.64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15" w:right="0"/>
              <w:jc w:val="left"/>
              <w:rPr>
                <w:rFonts w:ascii="Times New Roman" w:hAnsi="Times New Roman" w:cs="Times New Roman" w:eastAsia="Times New Roman" w:hint="default"/>
                <w:sz w:val="18"/>
                <w:szCs w:val="18"/>
              </w:rPr>
            </w:pPr>
            <w:r>
              <w:rPr>
                <w:rFonts w:ascii="Times New Roman"/>
                <w:sz w:val="18"/>
              </w:rPr>
              <w:t>1,873,811.01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205,270.92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10" w:right="0"/>
              <w:jc w:val="left"/>
              <w:rPr>
                <w:rFonts w:ascii="Times New Roman" w:hAnsi="Times New Roman" w:cs="Times New Roman" w:eastAsia="Times New Roman" w:hint="default"/>
                <w:sz w:val="18"/>
                <w:szCs w:val="18"/>
              </w:rPr>
            </w:pPr>
            <w:r>
              <w:rPr>
                <w:rFonts w:ascii="Times New Roman"/>
                <w:sz w:val="18"/>
              </w:rPr>
              <w:t>1,668,540.09</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212,103.02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59,920.38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152,182.64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5" w:right="0"/>
              <w:jc w:val="left"/>
              <w:rPr>
                <w:rFonts w:ascii="Times New Roman" w:hAnsi="Times New Roman" w:cs="Times New Roman" w:eastAsia="Times New Roman" w:hint="default"/>
                <w:sz w:val="18"/>
                <w:szCs w:val="18"/>
              </w:rPr>
            </w:pPr>
            <w:r>
              <w:rPr>
                <w:rFonts w:ascii="Times New Roman"/>
                <w:sz w:val="18"/>
              </w:rPr>
              <w:t>1,873,811.01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205,270.92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0" w:right="0"/>
              <w:jc w:val="left"/>
              <w:rPr>
                <w:rFonts w:ascii="Times New Roman" w:hAnsi="Times New Roman" w:cs="Times New Roman" w:eastAsia="Times New Roman" w:hint="default"/>
                <w:sz w:val="18"/>
                <w:szCs w:val="18"/>
              </w:rPr>
            </w:pPr>
            <w:r>
              <w:rPr>
                <w:rFonts w:ascii="Times New Roman"/>
                <w:sz w:val="18"/>
              </w:rPr>
              <w:t>1,668,540.09</w:t>
            </w:r>
          </w:p>
        </w:tc>
      </w:tr>
    </w:tbl>
    <w:p>
      <w:pPr>
        <w:spacing w:line="240" w:lineRule="auto" w:before="3"/>
        <w:rPr>
          <w:rFonts w:ascii="宋体" w:hAnsi="宋体" w:cs="宋体" w:eastAsia="宋体" w:hint="default"/>
          <w:sz w:val="19"/>
          <w:szCs w:val="19"/>
        </w:rPr>
      </w:pPr>
    </w:p>
    <w:p>
      <w:pPr>
        <w:pStyle w:val="Heading3"/>
        <w:spacing w:line="240" w:lineRule="auto" w:before="34"/>
        <w:ind w:right="915"/>
        <w:jc w:val="left"/>
        <w:rPr>
          <w:b w:val="0"/>
          <w:bCs w:val="0"/>
        </w:rPr>
      </w:pPr>
      <w:bookmarkStart w:name="（11）存货跌价准备" w:id="278"/>
      <w:bookmarkEnd w:id="278"/>
      <w:r>
        <w:rPr>
          <w:b w:val="0"/>
          <w:bCs w:val="0"/>
        </w:rPr>
      </w:r>
      <w:r>
        <w:rPr/>
        <w:t>（</w:t>
      </w:r>
      <w:r>
        <w:rPr>
          <w:rFonts w:ascii="Times New Roman" w:hAnsi="Times New Roman" w:cs="Times New Roman" w:eastAsia="Times New Roman" w:hint="default"/>
        </w:rPr>
        <w:t>11</w:t>
      </w:r>
      <w:r>
        <w:rPr/>
        <w:t>）存货跌价准备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205,270.92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145,350.54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59,920.38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205,270.92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145,350.54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59,920.38</w:t>
            </w:r>
          </w:p>
        </w:tc>
      </w:tr>
    </w:tbl>
    <w:p>
      <w:pPr>
        <w:pStyle w:val="BodyText"/>
        <w:spacing w:line="240" w:lineRule="auto" w:before="9"/>
        <w:ind w:right="915"/>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15"/>
        <w:jc w:val="left"/>
        <w:rPr>
          <w:b w:val="0"/>
          <w:bCs w:val="0"/>
        </w:rPr>
      </w:pPr>
      <w:bookmarkStart w:name="（12）存货期末余额含有借款费用资本化金额的说明" w:id="279"/>
      <w:bookmarkEnd w:id="279"/>
      <w:r>
        <w:rPr>
          <w:b w:val="0"/>
          <w:bCs w:val="0"/>
        </w:rPr>
      </w:r>
      <w:r>
        <w:rPr/>
        <w:t>（</w:t>
      </w:r>
      <w:r>
        <w:rPr>
          <w:rFonts w:ascii="Times New Roman" w:hAnsi="Times New Roman" w:cs="Times New Roman" w:eastAsia="Times New Roman" w:hint="default"/>
        </w:rPr>
        <w:t>12</w:t>
      </w:r>
      <w:r>
        <w:rPr/>
        <w:t>）存货期末余额含有借款费用资本化金额的说明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15"/>
        <w:jc w:val="left"/>
      </w:pPr>
      <w:r>
        <w:rPr/>
        <w:t>无</w:t>
      </w:r>
    </w:p>
    <w:p>
      <w:pPr>
        <w:spacing w:line="240" w:lineRule="auto" w:before="11"/>
        <w:rPr>
          <w:rFonts w:ascii="宋体" w:hAnsi="宋体" w:cs="宋体" w:eastAsia="宋体" w:hint="default"/>
          <w:sz w:val="26"/>
          <w:szCs w:val="26"/>
        </w:rPr>
      </w:pPr>
    </w:p>
    <w:p>
      <w:pPr>
        <w:pStyle w:val="Heading3"/>
        <w:spacing w:line="240" w:lineRule="auto"/>
        <w:ind w:right="915"/>
        <w:jc w:val="left"/>
        <w:rPr>
          <w:b w:val="0"/>
          <w:bCs w:val="0"/>
        </w:rPr>
      </w:pPr>
      <w:bookmarkStart w:name="（13）期末建造合同形成的已完工未结算资产情况" w:id="280"/>
      <w:bookmarkEnd w:id="280"/>
      <w:r>
        <w:rPr>
          <w:b w:val="0"/>
          <w:bCs w:val="0"/>
        </w:rPr>
      </w:r>
      <w:r>
        <w:rPr/>
        <w:t>（</w:t>
      </w:r>
      <w:r>
        <w:rPr>
          <w:rFonts w:ascii="Times New Roman" w:hAnsi="Times New Roman" w:cs="Times New Roman" w:eastAsia="Times New Roman" w:hint="default"/>
        </w:rPr>
        <w:t>13</w:t>
      </w:r>
      <w:r>
        <w:rPr/>
        <w:t>）期末建造合同形成的已完工未结算资产情况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after="0" w:line="240" w:lineRule="auto"/>
        <w:jc w:val="right"/>
        <w:sectPr>
          <w:pgSz w:w="11910" w:h="16840"/>
          <w:pgMar w:header="919" w:footer="1016" w:top="1120" w:bottom="1200" w:left="1020" w:right="0"/>
        </w:sectPr>
      </w:pPr>
    </w:p>
    <w:p>
      <w:pPr>
        <w:spacing w:line="240" w:lineRule="auto" w:before="1"/>
        <w:rPr>
          <w:rFonts w:ascii="宋体" w:hAnsi="宋体" w:cs="宋体" w:eastAsia="宋体" w:hint="default"/>
          <w:sz w:val="23"/>
          <w:szCs w:val="23"/>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3;width:4778;height:397" coordorigin="13,13" coordsize="4778,397">
              <v:shape style="position:absolute;left:13;top:13;width:4778;height:397" coordorigin="13,13" coordsize="4778,397" path="m13,13l4791,13,4791,410,13,410,13,13xe" filled="true" fillcolor="#d2d2d2" stroked="false">
                <v:path arrowok="t"/>
                <v:fill type="solid"/>
              </v:shape>
            </v:group>
            <v:group style="position:absolute;left:4796;top:13;width:4780;height:397" coordorigin="4796,13" coordsize="4780,397">
              <v:shape style="position:absolute;left:4796;top:13;width:4780;height:397" coordorigin="4796,13" coordsize="4780,397" path="m4796,13l9576,13,9576,410,4796,410,4796,13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3;top:5;width:2;height:402" coordorigin="4793,5" coordsize="2,402">
              <v:shape style="position:absolute;left:4793;top:5;width:2;height:402" coordorigin="4793,5" coordsize="0,402" path="m4793,5l4793,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21;top:12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7004;top:12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pStyle w:val="BodyText"/>
        <w:spacing w:line="360" w:lineRule="auto" w:before="51"/>
        <w:ind w:right="9854"/>
        <w:jc w:val="left"/>
      </w:pPr>
      <w:r>
        <w:rPr/>
        <w:t>其他说明： 无</w:t>
      </w:r>
    </w:p>
    <w:p>
      <w:pPr>
        <w:spacing w:line="240" w:lineRule="auto" w:before="12"/>
        <w:rPr>
          <w:rFonts w:ascii="宋体" w:hAnsi="宋体" w:cs="宋体" w:eastAsia="宋体" w:hint="default"/>
          <w:sz w:val="19"/>
          <w:szCs w:val="19"/>
        </w:rPr>
      </w:pPr>
    </w:p>
    <w:p>
      <w:pPr>
        <w:pStyle w:val="Heading3"/>
        <w:spacing w:line="240" w:lineRule="auto"/>
        <w:ind w:right="915"/>
        <w:jc w:val="left"/>
        <w:rPr>
          <w:b w:val="0"/>
          <w:bCs w:val="0"/>
        </w:rPr>
      </w:pPr>
      <w:bookmarkStart w:name="7、其他流动资产" w:id="281"/>
      <w:bookmarkEnd w:id="281"/>
      <w:r>
        <w:rPr>
          <w:b w:val="0"/>
          <w:bCs w:val="0"/>
        </w:rPr>
      </w:r>
      <w:r>
        <w:rPr>
          <w:rFonts w:ascii="Times New Roman" w:hAnsi="Times New Roman" w:cs="Times New Roman" w:eastAsia="Times New Roman" w:hint="default"/>
        </w:rPr>
        <w:t>7</w:t>
      </w:r>
      <w:r>
        <w:rPr/>
        <w:t>、其他流动资产</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19" w:footer="1016" w:top="1120" w:bottom="1200" w:left="1020" w:right="0"/>
        </w:sectPr>
      </w:pPr>
    </w:p>
    <w:p>
      <w:pPr>
        <w:pStyle w:val="BodyText"/>
        <w:spacing w:line="240" w:lineRule="auto" w:before="44"/>
        <w:ind w:right="-20"/>
        <w:jc w:val="left"/>
      </w:pPr>
      <w:r>
        <w:rPr/>
        <w:t>是否已执行新收入准则</w:t>
      </w:r>
    </w:p>
    <w:p>
      <w:pPr>
        <w:pStyle w:val="BodyText"/>
        <w:spacing w:line="240" w:lineRule="auto" w:before="117"/>
        <w:ind w:right="-20"/>
        <w:jc w:val="left"/>
      </w:pPr>
      <w:r>
        <w:rPr/>
        <w:t>□ 是 √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100" w:bottom="1200" w:left="1020" w:right="0"/>
          <w:cols w:num="2" w:equalWidth="0">
            <w:col w:w="1913" w:space="6916"/>
            <w:col w:w="206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未抵扣增值税进项税额</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1,687,894.37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预缴的增值税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4,427.18</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预缴的城建税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59,765.91</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预缴企业所得税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1,402,135.31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280.86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预缴教育附加</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12,758.19</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1,479,086.59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1,688,175.23</w:t>
            </w:r>
          </w:p>
        </w:tc>
      </w:tr>
    </w:tbl>
    <w:p>
      <w:pPr>
        <w:pStyle w:val="BodyText"/>
        <w:spacing w:line="360" w:lineRule="auto" w:before="50"/>
        <w:ind w:right="9854"/>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915"/>
        <w:jc w:val="left"/>
        <w:rPr>
          <w:b w:val="0"/>
          <w:bCs w:val="0"/>
        </w:rPr>
      </w:pPr>
      <w:bookmarkStart w:name="8、长期股权投资" w:id="282"/>
      <w:bookmarkEnd w:id="282"/>
      <w:r>
        <w:rPr>
          <w:b w:val="0"/>
          <w:bCs w:val="0"/>
        </w:rPr>
      </w:r>
      <w:r>
        <w:rPr>
          <w:rFonts w:ascii="Times New Roman" w:hAnsi="Times New Roman" w:cs="Times New Roman" w:eastAsia="Times New Roman" w:hint="default"/>
        </w:rPr>
        <w:t>8</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6"/>
        <w:gridCol w:w="797"/>
        <w:gridCol w:w="797"/>
        <w:gridCol w:w="798"/>
        <w:gridCol w:w="798"/>
        <w:gridCol w:w="798"/>
        <w:gridCol w:w="798"/>
        <w:gridCol w:w="798"/>
        <w:gridCol w:w="798"/>
        <w:gridCol w:w="798"/>
        <w:gridCol w:w="798"/>
        <w:gridCol w:w="798"/>
      </w:tblGrid>
      <w:tr>
        <w:trPr>
          <w:trHeight w:val="301" w:hRule="exact"/>
        </w:trPr>
        <w:tc>
          <w:tcPr>
            <w:tcW w:w="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383" w:type="dxa"/>
            <w:gridSpan w:val="8"/>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01" w:hRule="exact"/>
        </w:trPr>
        <w:tc>
          <w:tcPr>
            <w:tcW w:w="7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0"/>
                <w:szCs w:val="20"/>
              </w:rPr>
            </w:pPr>
          </w:p>
          <w:p>
            <w:pPr>
              <w:pStyle w:val="TableParagraph"/>
              <w:spacing w:line="316" w:lineRule="auto"/>
              <w:ind w:left="212" w:right="120" w:hanging="89"/>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191" w:lineRule="exact"/>
              <w:ind w:left="184" w:right="0" w:hanging="63"/>
              <w:jc w:val="both"/>
              <w:rPr>
                <w:rFonts w:ascii="宋体" w:hAnsi="宋体" w:cs="宋体" w:eastAsia="宋体" w:hint="default"/>
                <w:sz w:val="18"/>
                <w:szCs w:val="18"/>
              </w:rPr>
            </w:pPr>
            <w:r>
              <w:rPr>
                <w:rFonts w:ascii="宋体" w:hAnsi="宋体" w:cs="宋体" w:eastAsia="宋体" w:hint="default"/>
                <w:sz w:val="18"/>
                <w:szCs w:val="18"/>
              </w:rPr>
              <w:t>期初余</w:t>
            </w:r>
          </w:p>
          <w:p>
            <w:pPr>
              <w:pStyle w:val="TableParagraph"/>
              <w:spacing w:line="309" w:lineRule="auto" w:before="76"/>
              <w:ind w:left="213" w:right="183" w:hanging="29"/>
              <w:jc w:val="both"/>
              <w:rPr>
                <w:rFonts w:ascii="Times New Roman" w:hAnsi="Times New Roman" w:cs="Times New Roman" w:eastAsia="Times New Roman" w:hint="default"/>
                <w:sz w:val="18"/>
                <w:szCs w:val="18"/>
              </w:rPr>
            </w:pPr>
            <w:r>
              <w:rPr>
                <w:rFonts w:ascii="宋体" w:hAnsi="宋体" w:cs="宋体" w:eastAsia="宋体" w:hint="default"/>
                <w:sz w:val="18"/>
                <w:szCs w:val="18"/>
              </w:rPr>
              <w:t>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 值</w:t>
            </w:r>
            <w:r>
              <w:rPr>
                <w:rFonts w:ascii="Times New Roman" w:hAnsi="Times New Roman" w:cs="Times New Roman" w:eastAsia="Times New Roman" w:hint="default"/>
                <w:sz w:val="18"/>
                <w:szCs w:val="18"/>
              </w:rPr>
              <w:t>)</w:t>
            </w:r>
          </w:p>
        </w:tc>
        <w:tc>
          <w:tcPr>
            <w:tcW w:w="6383" w:type="dxa"/>
            <w:gridSpan w:val="8"/>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191" w:lineRule="exact"/>
              <w:ind w:left="185" w:right="0" w:hanging="60"/>
              <w:jc w:val="both"/>
              <w:rPr>
                <w:rFonts w:ascii="宋体" w:hAnsi="宋体" w:cs="宋体" w:eastAsia="宋体" w:hint="default"/>
                <w:sz w:val="18"/>
                <w:szCs w:val="18"/>
              </w:rPr>
            </w:pPr>
            <w:r>
              <w:rPr>
                <w:rFonts w:ascii="宋体" w:hAnsi="宋体" w:cs="宋体" w:eastAsia="宋体" w:hint="default"/>
                <w:sz w:val="18"/>
                <w:szCs w:val="18"/>
              </w:rPr>
              <w:t>期末余</w:t>
            </w:r>
          </w:p>
          <w:p>
            <w:pPr>
              <w:pStyle w:val="TableParagraph"/>
              <w:spacing w:line="309" w:lineRule="auto" w:before="76"/>
              <w:ind w:left="213" w:right="183" w:hanging="29"/>
              <w:jc w:val="both"/>
              <w:rPr>
                <w:rFonts w:ascii="Times New Roman" w:hAnsi="Times New Roman" w:cs="Times New Roman" w:eastAsia="Times New Roman" w:hint="default"/>
                <w:sz w:val="18"/>
                <w:szCs w:val="18"/>
              </w:rPr>
            </w:pPr>
            <w:r>
              <w:rPr>
                <w:rFonts w:ascii="宋体" w:hAnsi="宋体" w:cs="宋体" w:eastAsia="宋体" w:hint="default"/>
                <w:sz w:val="18"/>
                <w:szCs w:val="18"/>
              </w:rPr>
              <w:t>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 值</w:t>
            </w:r>
            <w:r>
              <w:rPr>
                <w:rFonts w:ascii="Times New Roman" w:hAnsi="Times New Roman" w:cs="Times New Roman" w:eastAsia="Times New Roman" w:hint="default"/>
                <w:sz w:val="18"/>
                <w:szCs w:val="18"/>
              </w:rPr>
              <w:t>)</w:t>
            </w: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111"/>
              <w:ind w:left="123" w:right="122"/>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1338"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04" w:right="121" w:hanging="180"/>
              <w:jc w:val="left"/>
              <w:rPr>
                <w:rFonts w:ascii="宋体" w:hAnsi="宋体" w:cs="宋体" w:eastAsia="宋体" w:hint="default"/>
                <w:sz w:val="18"/>
                <w:szCs w:val="18"/>
              </w:rPr>
            </w:pPr>
            <w:r>
              <w:rPr>
                <w:rFonts w:ascii="宋体" w:hAnsi="宋体" w:cs="宋体" w:eastAsia="宋体" w:hint="default"/>
                <w:sz w:val="18"/>
                <w:szCs w:val="18"/>
              </w:rPr>
              <w:t>追加投 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03" w:right="122" w:hanging="180"/>
              <w:jc w:val="left"/>
              <w:rPr>
                <w:rFonts w:ascii="宋体" w:hAnsi="宋体" w:cs="宋体" w:eastAsia="宋体" w:hint="default"/>
                <w:sz w:val="18"/>
                <w:szCs w:val="18"/>
              </w:rPr>
            </w:pPr>
            <w:r>
              <w:rPr>
                <w:rFonts w:ascii="宋体" w:hAnsi="宋体" w:cs="宋体" w:eastAsia="宋体" w:hint="default"/>
                <w:sz w:val="18"/>
                <w:szCs w:val="18"/>
              </w:rPr>
              <w:t>减少投 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5" w:right="121"/>
              <w:jc w:val="both"/>
              <w:rPr>
                <w:rFonts w:ascii="宋体" w:hAnsi="宋体" w:cs="宋体" w:eastAsia="宋体" w:hint="default"/>
                <w:sz w:val="18"/>
                <w:szCs w:val="18"/>
              </w:rPr>
            </w:pPr>
            <w:r>
              <w:rPr>
                <w:rFonts w:ascii="宋体" w:hAnsi="宋体" w:cs="宋体" w:eastAsia="宋体" w:hint="default"/>
                <w:sz w:val="18"/>
                <w:szCs w:val="18"/>
              </w:rPr>
              <w:t>权益法 下确认 的投资 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23" w:right="122"/>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25" w:right="121"/>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3" w:right="122"/>
              <w:jc w:val="both"/>
              <w:rPr>
                <w:rFonts w:ascii="宋体" w:hAnsi="宋体" w:cs="宋体" w:eastAsia="宋体" w:hint="default"/>
                <w:sz w:val="18"/>
                <w:szCs w:val="18"/>
              </w:rPr>
            </w:pPr>
            <w:r>
              <w:rPr>
                <w:rFonts w:ascii="宋体" w:hAnsi="宋体" w:cs="宋体" w:eastAsia="宋体" w:hint="default"/>
                <w:sz w:val="18"/>
                <w:szCs w:val="18"/>
              </w:rPr>
              <w:t>宣告发 放现金 股利或 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25" w:right="121"/>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357"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北京东</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7"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方金信</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47,545,</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7,092,6</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25,222,</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9" w:right="0"/>
              <w:jc w:val="center"/>
              <w:rPr>
                <w:rFonts w:ascii="Times New Roman" w:hAnsi="Times New Roman" w:cs="Times New Roman" w:eastAsia="Times New Roman" w:hint="default"/>
                <w:sz w:val="18"/>
                <w:szCs w:val="18"/>
              </w:rPr>
            </w:pPr>
            <w:r>
              <w:rPr>
                <w:rFonts w:ascii="Times New Roman"/>
                <w:sz w:val="18"/>
              </w:rPr>
              <w:t>-79,860</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12"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科技有</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pacing w:val="-1"/>
                <w:sz w:val="18"/>
              </w:rPr>
              <w:t>757.30</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pacing w:val="-1"/>
                <w:sz w:val="18"/>
              </w:rPr>
              <w:t>55.70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pacing w:val="-1"/>
                <w:sz w:val="18"/>
              </w:rPr>
              <w:t>334.43</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43" w:right="0"/>
              <w:jc w:val="center"/>
              <w:rPr>
                <w:rFonts w:ascii="Times New Roman" w:hAnsi="Times New Roman" w:cs="Times New Roman" w:eastAsia="Times New Roman" w:hint="default"/>
                <w:sz w:val="18"/>
                <w:szCs w:val="18"/>
              </w:rPr>
            </w:pPr>
            <w:r>
              <w:rPr>
                <w:rFonts w:ascii="Times New Roman"/>
                <w:sz w:val="18"/>
              </w:rPr>
              <w:t>,747.43</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3"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55"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东吴</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r>
      <w:tr>
        <w:trPr>
          <w:trHeight w:val="1248"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42"/>
              <w:jc w:val="left"/>
              <w:rPr>
                <w:rFonts w:ascii="宋体" w:hAnsi="宋体" w:cs="宋体" w:eastAsia="宋体" w:hint="default"/>
                <w:sz w:val="18"/>
                <w:szCs w:val="18"/>
              </w:rPr>
            </w:pPr>
            <w:r>
              <w:rPr>
                <w:rFonts w:ascii="宋体" w:hAnsi="宋体" w:cs="宋体" w:eastAsia="宋体" w:hint="default"/>
                <w:sz w:val="18"/>
                <w:szCs w:val="18"/>
              </w:rPr>
              <w:t>（苏 州）金 融科技 服务有</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527,51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9,187.5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41" w:right="0"/>
              <w:jc w:val="center"/>
              <w:rPr>
                <w:rFonts w:ascii="Times New Roman" w:hAnsi="Times New Roman" w:cs="Times New Roman" w:eastAsia="Times New Roman" w:hint="default"/>
                <w:sz w:val="18"/>
                <w:szCs w:val="18"/>
              </w:rPr>
            </w:pPr>
            <w:r>
              <w:rPr>
                <w:rFonts w:ascii="Times New Roman"/>
                <w:sz w:val="18"/>
              </w:rPr>
              <w:t>9,712,1</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63.47</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44" w:right="0"/>
              <w:jc w:val="left"/>
              <w:rPr>
                <w:rFonts w:ascii="Times New Roman" w:hAnsi="Times New Roman" w:cs="Times New Roman" w:eastAsia="Times New Roman" w:hint="default"/>
                <w:sz w:val="18"/>
                <w:szCs w:val="18"/>
              </w:rPr>
            </w:pPr>
            <w:r>
              <w:rPr>
                <w:rFonts w:ascii="Times New Roman"/>
                <w:sz w:val="18"/>
              </w:rPr>
              <w:t>10,755,</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507.64</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526,47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5,843.4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45" w:right="0"/>
              <w:jc w:val="left"/>
              <w:rPr>
                <w:rFonts w:ascii="Times New Roman" w:hAnsi="Times New Roman" w:cs="Times New Roman" w:eastAsia="Times New Roman" w:hint="default"/>
                <w:sz w:val="18"/>
                <w:szCs w:val="18"/>
              </w:rPr>
            </w:pPr>
            <w:r>
              <w:rPr>
                <w:rFonts w:ascii="Times New Roman"/>
                <w:sz w:val="18"/>
              </w:rPr>
              <w:t>10,755,</w:t>
            </w:r>
          </w:p>
          <w:p>
            <w:pPr>
              <w:pStyle w:val="TableParagraph"/>
              <w:spacing w:line="240" w:lineRule="auto" w:before="105"/>
              <w:ind w:left="191" w:right="0"/>
              <w:jc w:val="left"/>
              <w:rPr>
                <w:rFonts w:ascii="Times New Roman" w:hAnsi="Times New Roman" w:cs="Times New Roman" w:eastAsia="Times New Roman" w:hint="default"/>
                <w:sz w:val="18"/>
                <w:szCs w:val="18"/>
              </w:rPr>
            </w:pPr>
            <w:r>
              <w:rPr>
                <w:rFonts w:ascii="Times New Roman"/>
                <w:sz w:val="18"/>
              </w:rPr>
              <w:t>507.64</w:t>
            </w:r>
          </w:p>
        </w:tc>
      </w:tr>
      <w:tr>
        <w:trPr>
          <w:trHeight w:val="357"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r>
    </w:tbl>
    <w:p>
      <w:pPr>
        <w:spacing w:after="0"/>
        <w:sectPr>
          <w:type w:val="continuous"/>
          <w:pgSz w:w="11910" w:h="16840"/>
          <w:pgMar w:top="110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796"/>
        <w:gridCol w:w="797"/>
        <w:gridCol w:w="797"/>
        <w:gridCol w:w="798"/>
        <w:gridCol w:w="798"/>
        <w:gridCol w:w="798"/>
        <w:gridCol w:w="798"/>
        <w:gridCol w:w="798"/>
        <w:gridCol w:w="798"/>
        <w:gridCol w:w="798"/>
        <w:gridCol w:w="798"/>
        <w:gridCol w:w="798"/>
      </w:tblGrid>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42"/>
              <w:jc w:val="both"/>
              <w:rPr>
                <w:rFonts w:ascii="宋体" w:hAnsi="宋体" w:cs="宋体" w:eastAsia="宋体" w:hint="default"/>
                <w:sz w:val="18"/>
                <w:szCs w:val="18"/>
              </w:rPr>
            </w:pPr>
            <w:r>
              <w:rPr>
                <w:rFonts w:ascii="宋体" w:hAnsi="宋体" w:cs="宋体" w:eastAsia="宋体" w:hint="default"/>
                <w:sz w:val="18"/>
                <w:szCs w:val="18"/>
              </w:rPr>
              <w:t>北京营 安金融 信息服 务有限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13,665,</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446.51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24,660.</w:t>
            </w:r>
          </w:p>
          <w:p>
            <w:pPr>
              <w:pStyle w:val="TableParagraph"/>
              <w:spacing w:line="240" w:lineRule="auto" w:before="105"/>
              <w:ind w:left="504" w:right="0"/>
              <w:jc w:val="left"/>
              <w:rPr>
                <w:rFonts w:ascii="Times New Roman" w:hAnsi="Times New Roman" w:cs="Times New Roman" w:eastAsia="Times New Roman" w:hint="default"/>
                <w:sz w:val="18"/>
                <w:szCs w:val="18"/>
              </w:rPr>
            </w:pPr>
            <w:r>
              <w:rPr>
                <w:rFonts w:ascii="Times New Roman"/>
                <w:sz w:val="18"/>
              </w:rPr>
              <w:t>08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13,690,</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106.59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42"/>
              <w:jc w:val="left"/>
              <w:rPr>
                <w:rFonts w:ascii="宋体" w:hAnsi="宋体" w:cs="宋体" w:eastAsia="宋体" w:hint="default"/>
                <w:sz w:val="18"/>
                <w:szCs w:val="18"/>
              </w:rPr>
            </w:pPr>
            <w:r>
              <w:rPr>
                <w:rFonts w:ascii="宋体" w:hAnsi="宋体" w:cs="宋体" w:eastAsia="宋体" w:hint="default"/>
                <w:sz w:val="18"/>
                <w:szCs w:val="18"/>
              </w:rPr>
              <w:t>北京慧 闻科技</w:t>
            </w:r>
          </w:p>
          <w:p>
            <w:pPr>
              <w:pStyle w:val="TableParagraph"/>
              <w:spacing w:line="316" w:lineRule="auto" w:before="19"/>
              <w:ind w:left="101" w:right="142"/>
              <w:jc w:val="left"/>
              <w:rPr>
                <w:rFonts w:ascii="宋体" w:hAnsi="宋体" w:cs="宋体" w:eastAsia="宋体" w:hint="default"/>
                <w:sz w:val="18"/>
                <w:szCs w:val="18"/>
              </w:rPr>
            </w:pPr>
            <w:r>
              <w:rPr>
                <w:rFonts w:ascii="宋体" w:hAnsi="宋体" w:cs="宋体" w:eastAsia="宋体" w:hint="default"/>
                <w:sz w:val="18"/>
                <w:szCs w:val="18"/>
              </w:rPr>
              <w:t>（集 团）有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8,746,4</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10.85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12,000,</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-2,045,</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140.43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18,701,</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270.42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42"/>
              <w:jc w:val="left"/>
              <w:rPr>
                <w:rFonts w:ascii="宋体" w:hAnsi="宋体" w:cs="宋体" w:eastAsia="宋体" w:hint="default"/>
                <w:sz w:val="18"/>
                <w:szCs w:val="18"/>
              </w:rPr>
            </w:pPr>
            <w:r>
              <w:rPr>
                <w:rFonts w:ascii="宋体" w:hAnsi="宋体" w:cs="宋体" w:eastAsia="宋体" w:hint="default"/>
                <w:sz w:val="18"/>
                <w:szCs w:val="18"/>
              </w:rPr>
              <w:t>怀光智 能科技</w:t>
            </w:r>
          </w:p>
          <w:p>
            <w:pPr>
              <w:pStyle w:val="TableParagraph"/>
              <w:spacing w:line="316" w:lineRule="auto" w:before="19"/>
              <w:ind w:left="101" w:right="142"/>
              <w:jc w:val="left"/>
              <w:rPr>
                <w:rFonts w:ascii="宋体" w:hAnsi="宋体" w:cs="宋体" w:eastAsia="宋体" w:hint="default"/>
                <w:sz w:val="18"/>
                <w:szCs w:val="18"/>
              </w:rPr>
            </w:pPr>
            <w:r>
              <w:rPr>
                <w:rFonts w:ascii="宋体" w:hAnsi="宋体" w:cs="宋体" w:eastAsia="宋体" w:hint="default"/>
                <w:sz w:val="18"/>
                <w:szCs w:val="18"/>
              </w:rPr>
              <w:t>（武 汉）有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3,789,3</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42.10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4,500,0</w:t>
            </w:r>
          </w:p>
          <w:p>
            <w:pPr>
              <w:pStyle w:val="TableParagraph"/>
              <w:spacing w:line="240" w:lineRule="auto" w:before="105"/>
              <w:ind w:left="177" w:right="0"/>
              <w:jc w:val="center"/>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-1,285,</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660.69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7,003,6</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81.41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42"/>
              <w:jc w:val="both"/>
              <w:rPr>
                <w:rFonts w:ascii="宋体" w:hAnsi="宋体" w:cs="宋体" w:eastAsia="宋体" w:hint="default"/>
                <w:sz w:val="18"/>
                <w:szCs w:val="18"/>
              </w:rPr>
            </w:pPr>
            <w:r>
              <w:rPr>
                <w:rFonts w:ascii="宋体" w:hAnsi="宋体" w:cs="宋体" w:eastAsia="宋体" w:hint="default"/>
                <w:sz w:val="18"/>
                <w:szCs w:val="18"/>
              </w:rPr>
              <w:t>上海怀 若智能 科技有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17,473,</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543.29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-3,056,</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803.51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14,416,</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739.78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42"/>
              <w:jc w:val="both"/>
              <w:rPr>
                <w:rFonts w:ascii="宋体" w:hAnsi="宋体" w:cs="宋体" w:eastAsia="宋体" w:hint="default"/>
                <w:sz w:val="18"/>
                <w:szCs w:val="18"/>
              </w:rPr>
            </w:pPr>
            <w:r>
              <w:rPr>
                <w:rFonts w:ascii="宋体" w:hAnsi="宋体" w:cs="宋体" w:eastAsia="宋体" w:hint="default"/>
                <w:sz w:val="18"/>
                <w:szCs w:val="18"/>
              </w:rPr>
              <w:t>深圳市 图灵机 器人有 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10,876,</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250.00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-1,494,</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298.56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9,381,9</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51.44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618,73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9,687.6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27,376,</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250.00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8,947,5</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76.06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25,222,</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334.43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10,755,</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507.64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31" w:right="0"/>
              <w:jc w:val="left"/>
              <w:rPr>
                <w:rFonts w:ascii="Times New Roman" w:hAnsi="Times New Roman" w:cs="Times New Roman" w:eastAsia="Times New Roman" w:hint="default"/>
                <w:sz w:val="18"/>
                <w:szCs w:val="18"/>
              </w:rPr>
            </w:pPr>
            <w:r>
              <w:rPr>
                <w:rFonts w:ascii="Times New Roman"/>
                <w:sz w:val="18"/>
              </w:rPr>
              <w:t>-79,860</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,747.43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589,66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9,593.0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10,755,</w:t>
            </w:r>
          </w:p>
          <w:p>
            <w:pPr>
              <w:pStyle w:val="TableParagraph"/>
              <w:spacing w:line="240" w:lineRule="auto" w:before="105"/>
              <w:ind w:left="191" w:right="0"/>
              <w:jc w:val="left"/>
              <w:rPr>
                <w:rFonts w:ascii="Times New Roman" w:hAnsi="Times New Roman" w:cs="Times New Roman" w:eastAsia="Times New Roman" w:hint="default"/>
                <w:sz w:val="18"/>
                <w:szCs w:val="18"/>
              </w:rPr>
            </w:pPr>
            <w:r>
              <w:rPr>
                <w:rFonts w:ascii="Times New Roman"/>
                <w:sz w:val="18"/>
              </w:rPr>
              <w:t>507.64</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618,73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9,687.6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27,376,</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250.00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8,947,5</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76.06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25,222,</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334.43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10,755,</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507.64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31" w:right="0"/>
              <w:jc w:val="left"/>
              <w:rPr>
                <w:rFonts w:ascii="Times New Roman" w:hAnsi="Times New Roman" w:cs="Times New Roman" w:eastAsia="Times New Roman" w:hint="default"/>
                <w:sz w:val="18"/>
                <w:szCs w:val="18"/>
              </w:rPr>
            </w:pPr>
            <w:r>
              <w:rPr>
                <w:rFonts w:ascii="Times New Roman"/>
                <w:sz w:val="18"/>
              </w:rPr>
              <w:t>-79,860</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,747.43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589,66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9,593.0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10,755,</w:t>
            </w:r>
          </w:p>
          <w:p>
            <w:pPr>
              <w:pStyle w:val="TableParagraph"/>
              <w:spacing w:line="240" w:lineRule="auto" w:before="105"/>
              <w:ind w:left="191" w:right="0"/>
              <w:jc w:val="left"/>
              <w:rPr>
                <w:rFonts w:ascii="Times New Roman" w:hAnsi="Times New Roman" w:cs="Times New Roman" w:eastAsia="Times New Roman" w:hint="default"/>
                <w:sz w:val="18"/>
                <w:szCs w:val="18"/>
              </w:rPr>
            </w:pPr>
            <w:r>
              <w:rPr>
                <w:rFonts w:ascii="Times New Roman"/>
                <w:sz w:val="18"/>
              </w:rPr>
              <w:t>507.64</w:t>
            </w:r>
          </w:p>
        </w:tc>
      </w:tr>
    </w:tbl>
    <w:p>
      <w:pPr>
        <w:pStyle w:val="BodyText"/>
        <w:spacing w:line="240" w:lineRule="auto" w:before="51"/>
        <w:ind w:right="915"/>
        <w:jc w:val="left"/>
      </w:pPr>
      <w:r>
        <w:rPr/>
        <w:t>其他说明</w:t>
      </w:r>
    </w:p>
    <w:p>
      <w:pPr>
        <w:pStyle w:val="BodyText"/>
        <w:spacing w:line="316" w:lineRule="auto" w:before="117"/>
        <w:ind w:right="1132" w:firstLine="360"/>
        <w:jc w:val="both"/>
      </w:pPr>
      <w:r>
        <w:rPr/>
        <w:t>注1：北京东方金信科技有限公司其他减少主要系因为股权被动稀释且失去重大影响，将其重分类为以公允价值量且其 变动计入当期损益的金融资产，列报为其他非流动金融资产项目。</w:t>
      </w:r>
    </w:p>
    <w:p>
      <w:pPr>
        <w:pStyle w:val="BodyText"/>
        <w:spacing w:line="316" w:lineRule="auto" w:before="19"/>
        <w:ind w:right="1130" w:firstLine="360"/>
        <w:jc w:val="both"/>
      </w:pPr>
      <w:r>
        <w:rPr/>
        <w:t>注2：东吴（苏州）金融科技服务有限公司本期计提减值准备系根据中铭国际资产评估（北京）有限责任公司出具的基 </w:t>
      </w:r>
      <w:r>
        <w:rPr>
          <w:spacing w:val="-2"/>
        </w:rPr>
        <w:t>于2019年12月31日《深圳赢时胜信息技术股份有限公司长期股权投资减值测试所涉及的被投资单位东吴（苏州）金融科技有</w:t>
      </w:r>
      <w:r>
        <w:rPr>
          <w:spacing w:val="-59"/>
        </w:rPr>
        <w:t> </w:t>
      </w:r>
      <w:r>
        <w:rPr>
          <w:spacing w:val="-59"/>
        </w:rPr>
      </w:r>
      <w:r>
        <w:rPr>
          <w:spacing w:val="-2"/>
        </w:rPr>
        <w:t>限公司股权可回收金额价值咨询报告》(中铭咨报字【2020】第6001号)中的可回收价值金额及持股比例计算，经第四届董事</w:t>
      </w:r>
      <w:r>
        <w:rPr>
          <w:spacing w:val="-59"/>
        </w:rPr>
        <w:t> </w:t>
      </w:r>
      <w:r>
        <w:rPr>
          <w:spacing w:val="-59"/>
        </w:rPr>
      </w:r>
      <w:r>
        <w:rPr/>
        <w:t>会第六次会议审议通过，2019年12月31日应计提减值准备10,755,507.64元。</w:t>
      </w:r>
    </w:p>
    <w:p>
      <w:pPr>
        <w:pStyle w:val="BodyText"/>
        <w:spacing w:line="316" w:lineRule="auto" w:before="19"/>
        <w:ind w:right="1132" w:firstLine="360"/>
        <w:jc w:val="both"/>
      </w:pPr>
      <w:r>
        <w:rPr>
          <w:spacing w:val="-1"/>
        </w:rPr>
        <w:t>注3：根据《深圳市赢时胜信息技术股份有限公司与北京慧闻科技发展有限公司之增资扩股协议》，本公司认缴出资额</w:t>
      </w:r>
      <w:r>
        <w:rPr/>
        <w:t> 2,400.00万元。截止2019年12月31日，本公司累计支付投资款2,400.00万元，持有北京慧闻科技（集团）有限公司20%的股 </w:t>
      </w:r>
      <w:r>
        <w:rPr>
          <w:spacing w:val="-4"/>
        </w:rPr>
        <w:t>权。（2019年3月13日，北京慧闻科技发展有限公司已更名为北京慧闻科技（集团）有限公司）。</w:t>
      </w:r>
    </w:p>
    <w:p>
      <w:pPr>
        <w:pStyle w:val="BodyText"/>
        <w:spacing w:line="316" w:lineRule="auto" w:before="19"/>
        <w:ind w:right="1129" w:firstLine="360"/>
        <w:jc w:val="both"/>
      </w:pPr>
      <w:r>
        <w:rPr>
          <w:spacing w:val="-4"/>
        </w:rPr>
        <w:t>注4：2018年6月4日本公司与深圳市图灵机器人有限公司（以下简称“深圳图灵”）及其实际控制人黄佳洋签署《增资扩</w:t>
      </w:r>
      <w:r>
        <w:rPr/>
        <w:t> </w:t>
      </w:r>
      <w:r>
        <w:rPr>
          <w:spacing w:val="-7"/>
        </w:rPr>
        <w:t>股协议》、《增资扩股协议的补充协议》，拟以现金方式出资人民币1,371.42万元，认购深圳图灵新增注册资本人民币277.0545</w:t>
      </w:r>
      <w:r>
        <w:rPr/>
        <w:t> 万元，占注册资本的30%。截至2019年12月31日，本公司累计完成该部分出资1,028.565万元。2019年4月，本公司与戴丛磊</w:t>
      </w:r>
    </w:p>
    <w:p>
      <w:pPr>
        <w:spacing w:after="0" w:line="316" w:lineRule="auto"/>
        <w:jc w:val="both"/>
        <w:sectPr>
          <w:pgSz w:w="11910" w:h="16840"/>
          <w:pgMar w:header="919" w:footer="1016" w:top="1120" w:bottom="1200" w:left="1020" w:right="0"/>
        </w:sectPr>
      </w:pPr>
    </w:p>
    <w:p>
      <w:pPr>
        <w:spacing w:line="240" w:lineRule="auto" w:before="12"/>
        <w:rPr>
          <w:rFonts w:ascii="宋体" w:hAnsi="宋体" w:cs="宋体" w:eastAsia="宋体" w:hint="default"/>
          <w:sz w:val="20"/>
          <w:szCs w:val="20"/>
        </w:rPr>
      </w:pPr>
    </w:p>
    <w:p>
      <w:pPr>
        <w:pStyle w:val="BodyText"/>
        <w:spacing w:line="316" w:lineRule="auto" w:before="44"/>
        <w:ind w:right="1130"/>
        <w:jc w:val="both"/>
      </w:pPr>
      <w:r>
        <w:rPr>
          <w:spacing w:val="-4"/>
        </w:rPr>
        <w:t>签署《关于深圳市图灵机器人有限公司之股权转让协议书》，戴丛磊将其持有的深圳市图灵机器人有限公司2.1094%股权转让</w:t>
      </w:r>
      <w:r>
        <w:rPr>
          <w:spacing w:val="-34"/>
        </w:rPr>
        <w:t> </w:t>
      </w:r>
      <w:r>
        <w:rPr>
          <w:spacing w:val="-34"/>
        </w:rPr>
      </w:r>
      <w:r>
        <w:rPr>
          <w:spacing w:val="-2"/>
        </w:rPr>
        <w:t>给本公司转让价款为59.06万元，章程及工商变更后，注册资本发生变更，公司的持股比例为31.4766%。2019年9月，因新股</w:t>
      </w:r>
      <w:r>
        <w:rPr>
          <w:spacing w:val="-53"/>
        </w:rPr>
        <w:t> </w:t>
      </w:r>
      <w:r>
        <w:rPr>
          <w:spacing w:val="-53"/>
        </w:rPr>
      </w:r>
      <w:r>
        <w:rPr/>
        <w:t>东注资，导致公司持股比例由31.4766%稀释为25.1813%。</w:t>
      </w:r>
    </w:p>
    <w:p>
      <w:pPr>
        <w:spacing w:line="240" w:lineRule="auto" w:before="6"/>
        <w:rPr>
          <w:rFonts w:ascii="宋体" w:hAnsi="宋体" w:cs="宋体" w:eastAsia="宋体" w:hint="default"/>
          <w:sz w:val="22"/>
          <w:szCs w:val="22"/>
        </w:rPr>
      </w:pPr>
    </w:p>
    <w:p>
      <w:pPr>
        <w:pStyle w:val="Heading3"/>
        <w:spacing w:line="240" w:lineRule="auto"/>
        <w:ind w:right="0"/>
        <w:jc w:val="both"/>
        <w:rPr>
          <w:b w:val="0"/>
          <w:bCs w:val="0"/>
        </w:rPr>
      </w:pPr>
      <w:bookmarkStart w:name="9、其他权益工具投资" w:id="283"/>
      <w:bookmarkEnd w:id="283"/>
      <w:r>
        <w:rPr>
          <w:b w:val="0"/>
          <w:bCs w:val="0"/>
        </w:rPr>
      </w:r>
      <w:r>
        <w:rPr>
          <w:rFonts w:ascii="Times New Roman" w:hAnsi="Times New Roman" w:cs="Times New Roman" w:eastAsia="Times New Roman" w:hint="default"/>
        </w:rPr>
        <w:t>9</w:t>
      </w:r>
      <w:r>
        <w:rPr/>
        <w:t>、其他权益工具投资</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02"/>
              <w:jc w:val="left"/>
              <w:rPr>
                <w:rFonts w:ascii="宋体" w:hAnsi="宋体" w:cs="宋体" w:eastAsia="宋体" w:hint="default"/>
                <w:sz w:val="18"/>
                <w:szCs w:val="18"/>
              </w:rPr>
            </w:pPr>
            <w:r>
              <w:rPr>
                <w:rFonts w:ascii="宋体" w:hAnsi="宋体" w:cs="宋体" w:eastAsia="宋体" w:hint="default"/>
                <w:spacing w:val="-6"/>
                <w:sz w:val="18"/>
                <w:szCs w:val="18"/>
              </w:rPr>
              <w:t>阳光恒美金融信息技术服务（上海）股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份有限公司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20,000,000.00</w:t>
            </w:r>
          </w:p>
        </w:tc>
      </w:tr>
    </w:tbl>
    <w:p>
      <w:pPr>
        <w:pStyle w:val="BodyText"/>
        <w:spacing w:line="240" w:lineRule="auto" w:before="51"/>
        <w:ind w:right="915"/>
        <w:jc w:val="left"/>
      </w:pPr>
      <w:r>
        <w:rPr/>
        <w:t>分项披露本期非交易性权益工具投资</w:t>
      </w:r>
    </w:p>
    <w:p>
      <w:pPr>
        <w:pStyle w:val="BodyText"/>
        <w:spacing w:line="240" w:lineRule="auto" w:before="117"/>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357" w:hRule="exact"/>
        </w:trPr>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left="138" w:right="0"/>
              <w:jc w:val="left"/>
              <w:rPr>
                <w:rFonts w:ascii="宋体" w:hAnsi="宋体" w:cs="宋体" w:eastAsia="宋体" w:hint="default"/>
                <w:sz w:val="18"/>
                <w:szCs w:val="18"/>
              </w:rPr>
            </w:pPr>
            <w:r>
              <w:rPr>
                <w:rFonts w:ascii="宋体" w:hAnsi="宋体" w:cs="宋体" w:eastAsia="宋体" w:hint="default"/>
                <w:sz w:val="18"/>
                <w:szCs w:val="18"/>
              </w:rPr>
              <w:t>指定为以公允</w:t>
            </w: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936" w:hRule="exact"/>
        </w:trPr>
        <w:tc>
          <w:tcPr>
            <w:tcW w:w="13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588" w:right="138" w:hanging="452"/>
              <w:jc w:val="left"/>
              <w:rPr>
                <w:rFonts w:ascii="宋体" w:hAnsi="宋体" w:cs="宋体" w:eastAsia="宋体" w:hint="default"/>
                <w:sz w:val="18"/>
                <w:szCs w:val="18"/>
              </w:rPr>
            </w:pPr>
            <w:r>
              <w:rPr>
                <w:rFonts w:ascii="宋体" w:hAnsi="宋体" w:cs="宋体" w:eastAsia="宋体" w:hint="default"/>
                <w:sz w:val="18"/>
                <w:szCs w:val="18"/>
              </w:rPr>
              <w:t>确认的股利收 入</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累计利得</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累计损失</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137" w:right="137"/>
              <w:jc w:val="center"/>
              <w:rPr>
                <w:rFonts w:ascii="宋体" w:hAnsi="宋体" w:cs="宋体" w:eastAsia="宋体" w:hint="default"/>
                <w:sz w:val="18"/>
                <w:szCs w:val="18"/>
              </w:rPr>
            </w:pPr>
            <w:r>
              <w:rPr>
                <w:rFonts w:ascii="宋体" w:hAnsi="宋体" w:cs="宋体" w:eastAsia="宋体" w:hint="default"/>
                <w:sz w:val="18"/>
                <w:szCs w:val="18"/>
              </w:rPr>
              <w:t>其他综合收益 转入留存收益 的金额</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138" w:right="136"/>
              <w:jc w:val="both"/>
              <w:rPr>
                <w:rFonts w:ascii="宋体" w:hAnsi="宋体" w:cs="宋体" w:eastAsia="宋体" w:hint="default"/>
                <w:sz w:val="18"/>
                <w:szCs w:val="18"/>
              </w:rPr>
            </w:pPr>
            <w:r>
              <w:rPr>
                <w:rFonts w:ascii="宋体" w:hAnsi="宋体" w:cs="宋体" w:eastAsia="宋体" w:hint="default"/>
                <w:sz w:val="18"/>
                <w:szCs w:val="18"/>
              </w:rPr>
              <w:t>价值计量且其 变动计入其他 综合收益的原</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137" w:right="138"/>
              <w:jc w:val="center"/>
              <w:rPr>
                <w:rFonts w:ascii="宋体" w:hAnsi="宋体" w:cs="宋体" w:eastAsia="宋体" w:hint="default"/>
                <w:sz w:val="18"/>
                <w:szCs w:val="18"/>
              </w:rPr>
            </w:pPr>
            <w:r>
              <w:rPr>
                <w:rFonts w:ascii="宋体" w:hAnsi="宋体" w:cs="宋体" w:eastAsia="宋体" w:hint="default"/>
                <w:sz w:val="18"/>
                <w:szCs w:val="18"/>
              </w:rPr>
              <w:t>其他综合收益 转入留存收益 的原因</w:t>
            </w:r>
          </w:p>
        </w:tc>
      </w:tr>
      <w:tr>
        <w:trPr>
          <w:trHeight w:val="357" w:hRule="exact"/>
        </w:trPr>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因</w:t>
            </w: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58" w:hRule="exact"/>
        </w:trPr>
        <w:tc>
          <w:tcPr>
            <w:tcW w:w="1369"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根据财会</w:t>
            </w:r>
          </w:p>
        </w:tc>
        <w:tc>
          <w:tcPr>
            <w:tcW w:w="1367" w:type="dxa"/>
            <w:vMerge w:val="restart"/>
            <w:tcBorders>
              <w:top w:val="single" w:sz="4" w:space="0" w:color="000000"/>
              <w:left w:val="single" w:sz="4" w:space="0" w:color="000000"/>
              <w:right w:val="single" w:sz="4" w:space="0" w:color="000000"/>
            </w:tcBorders>
          </w:tcPr>
          <w:p>
            <w:pPr/>
          </w:p>
        </w:tc>
      </w:tr>
      <w:tr>
        <w:trPr>
          <w:trHeight w:val="316" w:hRule="exact"/>
        </w:trPr>
        <w:tc>
          <w:tcPr>
            <w:tcW w:w="1369"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6</w:t>
            </w:r>
          </w:p>
        </w:tc>
        <w:tc>
          <w:tcPr>
            <w:tcW w:w="1367" w:type="dxa"/>
            <w:vMerge/>
            <w:tcBorders>
              <w:left w:val="single" w:sz="4" w:space="0" w:color="000000"/>
              <w:right w:val="single" w:sz="4" w:space="0" w:color="000000"/>
            </w:tcBorders>
          </w:tcPr>
          <w:p>
            <w:pPr/>
          </w:p>
        </w:tc>
      </w:tr>
      <w:tr>
        <w:trPr>
          <w:trHeight w:val="308" w:hRule="exact"/>
        </w:trPr>
        <w:tc>
          <w:tcPr>
            <w:tcW w:w="1369"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号，公司将自</w:t>
            </w:r>
          </w:p>
        </w:tc>
        <w:tc>
          <w:tcPr>
            <w:tcW w:w="1367" w:type="dxa"/>
            <w:vMerge/>
            <w:tcBorders>
              <w:left w:val="single" w:sz="4" w:space="0" w:color="000000"/>
              <w:right w:val="single" w:sz="4" w:space="0" w:color="000000"/>
            </w:tcBorders>
          </w:tcPr>
          <w:p>
            <w:pPr/>
          </w:p>
        </w:tc>
      </w:tr>
      <w:tr>
        <w:trPr>
          <w:trHeight w:val="312" w:hRule="exact"/>
        </w:trPr>
        <w:tc>
          <w:tcPr>
            <w:tcW w:w="1369"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资产负债表日</w:t>
            </w:r>
          </w:p>
        </w:tc>
        <w:tc>
          <w:tcPr>
            <w:tcW w:w="1367" w:type="dxa"/>
            <w:vMerge/>
            <w:tcBorders>
              <w:left w:val="single" w:sz="4" w:space="0" w:color="000000"/>
              <w:right w:val="single" w:sz="4" w:space="0" w:color="000000"/>
            </w:tcBorders>
          </w:tcPr>
          <w:p>
            <w:pPr/>
          </w:p>
        </w:tc>
      </w:tr>
      <w:tr>
        <w:trPr>
          <w:trHeight w:val="312" w:hRule="exact"/>
        </w:trPr>
        <w:tc>
          <w:tcPr>
            <w:tcW w:w="1369"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起超过一年到</w:t>
            </w:r>
          </w:p>
        </w:tc>
        <w:tc>
          <w:tcPr>
            <w:tcW w:w="1367" w:type="dxa"/>
            <w:vMerge/>
            <w:tcBorders>
              <w:left w:val="single" w:sz="4" w:space="0" w:color="000000"/>
              <w:right w:val="single" w:sz="4" w:space="0" w:color="000000"/>
            </w:tcBorders>
          </w:tcPr>
          <w:p>
            <w:pPr/>
          </w:p>
        </w:tc>
      </w:tr>
      <w:tr>
        <w:trPr>
          <w:trHeight w:val="312" w:hRule="exact"/>
        </w:trPr>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阳光恒美金融</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期且预期持有</w:t>
            </w:r>
          </w:p>
        </w:tc>
        <w:tc>
          <w:tcPr>
            <w:tcW w:w="1367" w:type="dxa"/>
            <w:vMerge/>
            <w:tcBorders>
              <w:left w:val="single" w:sz="4" w:space="0" w:color="000000"/>
              <w:right w:val="single" w:sz="4" w:space="0" w:color="000000"/>
            </w:tcBorders>
          </w:tcPr>
          <w:p>
            <w:pPr/>
          </w:p>
        </w:tc>
      </w:tr>
      <w:tr>
        <w:trPr>
          <w:trHeight w:val="312" w:hRule="exact"/>
        </w:trPr>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超过一年的以</w:t>
            </w:r>
          </w:p>
        </w:tc>
        <w:tc>
          <w:tcPr>
            <w:tcW w:w="1367" w:type="dxa"/>
            <w:vMerge/>
            <w:tcBorders>
              <w:left w:val="single" w:sz="4" w:space="0" w:color="000000"/>
              <w:right w:val="single" w:sz="4" w:space="0" w:color="000000"/>
            </w:tcBorders>
          </w:tcPr>
          <w:p>
            <w:pPr/>
          </w:p>
        </w:tc>
      </w:tr>
      <w:tr>
        <w:trPr>
          <w:trHeight w:val="312" w:hRule="exact"/>
        </w:trPr>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（上海）股份</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公允价值计量</w:t>
            </w:r>
          </w:p>
        </w:tc>
        <w:tc>
          <w:tcPr>
            <w:tcW w:w="1367" w:type="dxa"/>
            <w:vMerge/>
            <w:tcBorders>
              <w:left w:val="single" w:sz="4" w:space="0" w:color="000000"/>
              <w:right w:val="single" w:sz="4" w:space="0" w:color="000000"/>
            </w:tcBorders>
          </w:tcPr>
          <w:p>
            <w:pPr/>
          </w:p>
        </w:tc>
      </w:tr>
      <w:tr>
        <w:trPr>
          <w:trHeight w:val="312" w:hRule="exact"/>
        </w:trPr>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且其变动计入</w:t>
            </w:r>
          </w:p>
        </w:tc>
        <w:tc>
          <w:tcPr>
            <w:tcW w:w="1367" w:type="dxa"/>
            <w:vMerge/>
            <w:tcBorders>
              <w:left w:val="single" w:sz="4" w:space="0" w:color="000000"/>
              <w:right w:val="single" w:sz="4" w:space="0" w:color="000000"/>
            </w:tcBorders>
          </w:tcPr>
          <w:p>
            <w:pPr/>
          </w:p>
        </w:tc>
      </w:tr>
      <w:tr>
        <w:trPr>
          <w:trHeight w:val="312" w:hRule="exact"/>
        </w:trPr>
        <w:tc>
          <w:tcPr>
            <w:tcW w:w="1369"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367" w:type="dxa"/>
            <w:vMerge/>
            <w:tcBorders>
              <w:left w:val="single" w:sz="4" w:space="0" w:color="000000"/>
              <w:right w:val="single" w:sz="4" w:space="0" w:color="000000"/>
            </w:tcBorders>
          </w:tcPr>
          <w:p>
            <w:pPr/>
          </w:p>
        </w:tc>
      </w:tr>
      <w:tr>
        <w:trPr>
          <w:trHeight w:val="312" w:hRule="exact"/>
        </w:trPr>
        <w:tc>
          <w:tcPr>
            <w:tcW w:w="1369"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的非交易性权</w:t>
            </w:r>
          </w:p>
        </w:tc>
        <w:tc>
          <w:tcPr>
            <w:tcW w:w="1367" w:type="dxa"/>
            <w:vMerge/>
            <w:tcBorders>
              <w:left w:val="single" w:sz="4" w:space="0" w:color="000000"/>
              <w:right w:val="single" w:sz="4" w:space="0" w:color="000000"/>
            </w:tcBorders>
          </w:tcPr>
          <w:p>
            <w:pPr/>
          </w:p>
        </w:tc>
      </w:tr>
      <w:tr>
        <w:trPr>
          <w:trHeight w:val="312" w:hRule="exact"/>
        </w:trPr>
        <w:tc>
          <w:tcPr>
            <w:tcW w:w="1369"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益工具投资在</w:t>
            </w:r>
          </w:p>
        </w:tc>
        <w:tc>
          <w:tcPr>
            <w:tcW w:w="1367" w:type="dxa"/>
            <w:vMerge/>
            <w:tcBorders>
              <w:left w:val="single" w:sz="4" w:space="0" w:color="000000"/>
              <w:right w:val="single" w:sz="4" w:space="0" w:color="000000"/>
            </w:tcBorders>
          </w:tcPr>
          <w:p>
            <w:pPr/>
          </w:p>
        </w:tc>
      </w:tr>
      <w:tr>
        <w:trPr>
          <w:trHeight w:val="312" w:hRule="exact"/>
        </w:trPr>
        <w:tc>
          <w:tcPr>
            <w:tcW w:w="1369"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“其他权益工</w:t>
            </w:r>
          </w:p>
        </w:tc>
        <w:tc>
          <w:tcPr>
            <w:tcW w:w="1367" w:type="dxa"/>
            <w:vMerge/>
            <w:tcBorders>
              <w:left w:val="single" w:sz="4" w:space="0" w:color="000000"/>
              <w:right w:val="single" w:sz="4" w:space="0" w:color="000000"/>
            </w:tcBorders>
          </w:tcPr>
          <w:p>
            <w:pPr/>
          </w:p>
        </w:tc>
      </w:tr>
      <w:tr>
        <w:trPr>
          <w:trHeight w:val="356" w:hRule="exact"/>
        </w:trPr>
        <w:tc>
          <w:tcPr>
            <w:tcW w:w="1369"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3"/>
                <w:sz w:val="18"/>
                <w:szCs w:val="18"/>
              </w:rPr>
              <w:t>具投资”列报。</w:t>
            </w:r>
          </w:p>
        </w:tc>
        <w:tc>
          <w:tcPr>
            <w:tcW w:w="1367" w:type="dxa"/>
            <w:vMerge/>
            <w:tcBorders>
              <w:left w:val="single" w:sz="4" w:space="0" w:color="000000"/>
              <w:bottom w:val="single" w:sz="4" w:space="0" w:color="000000"/>
              <w:right w:val="single" w:sz="4" w:space="0" w:color="000000"/>
            </w:tcBorders>
          </w:tcPr>
          <w:p>
            <w:pPr/>
          </w:p>
        </w:tc>
      </w:tr>
    </w:tbl>
    <w:p>
      <w:pPr>
        <w:pStyle w:val="BodyText"/>
        <w:spacing w:line="360" w:lineRule="auto" w:before="50"/>
        <w:ind w:right="9854"/>
        <w:jc w:val="left"/>
      </w:pPr>
      <w:r>
        <w:rPr/>
        <w:t>其他说明： 无</w:t>
      </w:r>
    </w:p>
    <w:p>
      <w:pPr>
        <w:spacing w:line="240" w:lineRule="auto" w:before="12"/>
        <w:rPr>
          <w:rFonts w:ascii="宋体" w:hAnsi="宋体" w:cs="宋体" w:eastAsia="宋体" w:hint="default"/>
          <w:sz w:val="19"/>
          <w:szCs w:val="19"/>
        </w:rPr>
      </w:pPr>
    </w:p>
    <w:p>
      <w:pPr>
        <w:pStyle w:val="Heading3"/>
        <w:spacing w:line="240" w:lineRule="auto"/>
        <w:ind w:right="915"/>
        <w:jc w:val="left"/>
        <w:rPr>
          <w:b w:val="0"/>
          <w:bCs w:val="0"/>
        </w:rPr>
      </w:pPr>
      <w:bookmarkStart w:name="10、其他非流动金融资产" w:id="284"/>
      <w:bookmarkEnd w:id="284"/>
      <w:r>
        <w:rPr>
          <w:b w:val="0"/>
          <w:bCs w:val="0"/>
        </w:rPr>
      </w:r>
      <w:r>
        <w:rPr>
          <w:rFonts w:ascii="Times New Roman" w:hAnsi="Times New Roman" w:cs="Times New Roman" w:eastAsia="Times New Roman" w:hint="default"/>
        </w:rPr>
        <w:t>10</w:t>
      </w:r>
      <w:r>
        <w:rPr/>
        <w:t>、其他非流动金融资产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达烁高科（北京信息技术有限公司）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北京东方金信科技有限公司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166,796,000.00</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9" w:footer="1016"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深圳市图灵机器人有限公司</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3,428,550.00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江苏鸿轩农业生态有限公司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6,300,000.00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6,300,000.00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河南永达美基食品股份有限公司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3,650,280.00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9,125,700.00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186,746,280.00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18,854,250.00</w:t>
            </w:r>
          </w:p>
        </w:tc>
      </w:tr>
    </w:tbl>
    <w:p>
      <w:pPr>
        <w:pStyle w:val="BodyText"/>
        <w:spacing w:line="240" w:lineRule="auto" w:before="50"/>
        <w:ind w:right="915"/>
        <w:jc w:val="left"/>
      </w:pPr>
      <w:r>
        <w:rPr/>
        <w:t>其他说明：</w:t>
      </w:r>
    </w:p>
    <w:p>
      <w:pPr>
        <w:spacing w:line="240" w:lineRule="auto" w:before="10"/>
        <w:rPr>
          <w:rFonts w:ascii="宋体" w:hAnsi="宋体" w:cs="宋体" w:eastAsia="宋体" w:hint="default"/>
          <w:sz w:val="17"/>
          <w:szCs w:val="17"/>
        </w:rPr>
      </w:pPr>
    </w:p>
    <w:p>
      <w:pPr>
        <w:pStyle w:val="BodyText"/>
        <w:spacing w:line="316" w:lineRule="auto"/>
        <w:ind w:right="1129" w:firstLine="420"/>
        <w:jc w:val="left"/>
      </w:pPr>
      <w:r>
        <w:rPr/>
        <w:t>注：根据财会〔</w:t>
      </w:r>
      <w:r>
        <w:rPr>
          <w:spacing w:val="25"/>
        </w:rPr>
        <w:t> </w:t>
      </w:r>
      <w:r>
        <w:rPr/>
        <w:t>2019〕6号，公司将自资产负债表日起超过一年到期且预期持有超过一年的以公允价值计量且其变动</w:t>
      </w:r>
      <w:r>
        <w:rPr/>
        <w:t> 计入当期损益的非流动金融资产的期末账面价值，在“其他非流动金融资产”列报。</w:t>
      </w:r>
    </w:p>
    <w:p>
      <w:pPr>
        <w:spacing w:line="240" w:lineRule="auto" w:before="8"/>
        <w:rPr>
          <w:rFonts w:ascii="宋体" w:hAnsi="宋体" w:cs="宋体" w:eastAsia="宋体" w:hint="default"/>
          <w:sz w:val="22"/>
          <w:szCs w:val="22"/>
        </w:rPr>
      </w:pPr>
    </w:p>
    <w:p>
      <w:pPr>
        <w:pStyle w:val="Heading3"/>
        <w:spacing w:line="240" w:lineRule="auto"/>
        <w:ind w:right="915"/>
        <w:jc w:val="left"/>
        <w:rPr>
          <w:b w:val="0"/>
          <w:bCs w:val="0"/>
        </w:rPr>
      </w:pPr>
      <w:bookmarkStart w:name="11、投资性房地产" w:id="285"/>
      <w:bookmarkEnd w:id="285"/>
      <w:r>
        <w:rPr>
          <w:b w:val="0"/>
          <w:bCs w:val="0"/>
        </w:rPr>
      </w:r>
      <w:r>
        <w:rPr>
          <w:rFonts w:ascii="Times New Roman" w:hAnsi="Times New Roman" w:cs="Times New Roman" w:eastAsia="Times New Roman" w:hint="default"/>
        </w:rPr>
        <w:t>11</w:t>
      </w:r>
      <w:r>
        <w:rPr/>
        <w:t>、投资性房地产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15"/>
        <w:jc w:val="left"/>
        <w:rPr>
          <w:b w:val="0"/>
          <w:bCs w:val="0"/>
        </w:rPr>
      </w:pPr>
      <w:bookmarkStart w:name="（1）采用成本计量模式的投资性房地产" w:id="286"/>
      <w:bookmarkEnd w:id="286"/>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915"/>
        <w:jc w:val="left"/>
      </w:pPr>
      <w:r>
        <w:rPr/>
        <w:t>√ 适用 □ 不适用</w:t>
      </w:r>
    </w:p>
    <w:p>
      <w:pPr>
        <w:pStyle w:val="BodyText"/>
        <w:spacing w:line="240" w:lineRule="auto" w:before="117"/>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98,872,641.91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98,872,641.91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01" w:firstLine="328"/>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）存货</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固定资</w:t>
            </w:r>
            <w:r>
              <w:rPr>
                <w:rFonts w:ascii="宋体" w:hAnsi="宋体" w:cs="宋体" w:eastAsia="宋体" w:hint="default"/>
                <w:sz w:val="18"/>
                <w:szCs w:val="18"/>
              </w:rPr>
              <w:t> 产</w:t>
            </w: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加</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98,872,641.91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98,872,641.91</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78"/>
              <w:jc w:val="left"/>
              <w:rPr>
                <w:rFonts w:ascii="宋体" w:hAnsi="宋体" w:cs="宋体" w:eastAsia="宋体" w:hint="default"/>
                <w:sz w:val="18"/>
                <w:szCs w:val="18"/>
              </w:rPr>
            </w:pPr>
            <w:r>
              <w:rPr>
                <w:rFonts w:ascii="宋体" w:hAnsi="宋体" w:cs="宋体" w:eastAsia="宋体" w:hint="default"/>
                <w:sz w:val="18"/>
                <w:szCs w:val="18"/>
              </w:rPr>
              <w:t>二、累计折旧和累计 摊销</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2"/>
                <w:sz w:val="18"/>
              </w:rPr>
              <w:t>11,575,311.99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2"/>
                <w:sz w:val="18"/>
              </w:rPr>
              <w:t>11,575,311.99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2,409,252.42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2,409,252.42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2,409,252.42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2,409,252.42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9" w:footer="1016"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13,984,564.41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13,984,564.41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84,888,077.50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84,888,077.50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87,297,329.92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87,297,329.92</w:t>
            </w:r>
          </w:p>
        </w:tc>
      </w:tr>
    </w:tbl>
    <w:p>
      <w:pPr>
        <w:spacing w:line="240" w:lineRule="auto" w:before="4"/>
        <w:rPr>
          <w:rFonts w:ascii="宋体" w:hAnsi="宋体" w:cs="宋体" w:eastAsia="宋体" w:hint="default"/>
          <w:sz w:val="19"/>
          <w:szCs w:val="19"/>
        </w:rPr>
      </w:pPr>
    </w:p>
    <w:p>
      <w:pPr>
        <w:pStyle w:val="Heading3"/>
        <w:spacing w:line="240" w:lineRule="auto" w:before="34"/>
        <w:ind w:right="915"/>
        <w:jc w:val="left"/>
        <w:rPr>
          <w:b w:val="0"/>
          <w:bCs w:val="0"/>
        </w:rPr>
      </w:pPr>
      <w:bookmarkStart w:name="（2）采用公允价值计量模式的投资性房地产" w:id="287"/>
      <w:bookmarkEnd w:id="287"/>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15"/>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915"/>
        <w:jc w:val="left"/>
        <w:rPr>
          <w:b w:val="0"/>
          <w:bCs w:val="0"/>
        </w:rPr>
      </w:pPr>
      <w:bookmarkStart w:name="（3）未办妥产权证书的投资性房地产情况" w:id="288"/>
      <w:bookmarkEnd w:id="288"/>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360" w:lineRule="auto" w:before="49"/>
        <w:ind w:right="10034"/>
        <w:jc w:val="left"/>
      </w:pPr>
      <w:r>
        <w:rPr/>
        <w:t>其他说明 无</w:t>
      </w:r>
    </w:p>
    <w:p>
      <w:pPr>
        <w:spacing w:line="240" w:lineRule="auto" w:before="12"/>
        <w:rPr>
          <w:rFonts w:ascii="宋体" w:hAnsi="宋体" w:cs="宋体" w:eastAsia="宋体" w:hint="default"/>
          <w:sz w:val="19"/>
          <w:szCs w:val="19"/>
        </w:rPr>
      </w:pPr>
    </w:p>
    <w:p>
      <w:pPr>
        <w:pStyle w:val="Heading3"/>
        <w:spacing w:line="240" w:lineRule="auto"/>
        <w:ind w:right="915"/>
        <w:jc w:val="left"/>
        <w:rPr>
          <w:b w:val="0"/>
          <w:bCs w:val="0"/>
        </w:rPr>
      </w:pPr>
      <w:bookmarkStart w:name="12、固定资产" w:id="289"/>
      <w:bookmarkEnd w:id="289"/>
      <w:r>
        <w:rPr>
          <w:b w:val="0"/>
          <w:bCs w:val="0"/>
        </w:rPr>
      </w:r>
      <w:r>
        <w:rPr>
          <w:rFonts w:ascii="Times New Roman" w:hAnsi="Times New Roman" w:cs="Times New Roman" w:eastAsia="Times New Roman" w:hint="default"/>
        </w:rPr>
        <w:t>12</w:t>
      </w:r>
      <w:r>
        <w:rPr/>
        <w:t>、固定资产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795,068,521.24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815,844,646.64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795,068,521.24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815,844,646.64</w:t>
            </w:r>
          </w:p>
        </w:tc>
      </w:tr>
    </w:tbl>
    <w:p>
      <w:pPr>
        <w:spacing w:after="0" w:line="240" w:lineRule="auto"/>
        <w:jc w:val="right"/>
        <w:rPr>
          <w:rFonts w:ascii="Times New Roman" w:hAnsi="Times New Roman" w:cs="Times New Roman" w:eastAsia="Times New Roman" w:hint="default"/>
          <w:sz w:val="18"/>
          <w:szCs w:val="18"/>
        </w:rPr>
        <w:sectPr>
          <w:pgSz w:w="11910" w:h="16840"/>
          <w:pgMar w:header="919" w:footer="1016" w:top="1120" w:bottom="1200" w:left="1020" w:right="0"/>
        </w:sectPr>
      </w:pPr>
    </w:p>
    <w:p>
      <w:pPr>
        <w:spacing w:line="240" w:lineRule="auto" w:before="10"/>
        <w:rPr>
          <w:rFonts w:ascii="宋体" w:hAnsi="宋体" w:cs="宋体" w:eastAsia="宋体" w:hint="default"/>
          <w:sz w:val="19"/>
          <w:szCs w:val="19"/>
        </w:rPr>
      </w:pPr>
    </w:p>
    <w:p>
      <w:pPr>
        <w:pStyle w:val="Heading3"/>
        <w:spacing w:line="240" w:lineRule="auto" w:before="34"/>
        <w:ind w:right="915"/>
        <w:jc w:val="left"/>
        <w:rPr>
          <w:b w:val="0"/>
          <w:bCs w:val="0"/>
        </w:rPr>
      </w:pPr>
      <w:bookmarkStart w:name="（1）固定资产情况" w:id="290"/>
      <w:bookmarkEnd w:id="290"/>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777,074,714.12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74,231,748.09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18,264,422.45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9,426,685.57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878,997,570.23</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26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7,282,452.51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11,479,752.25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423,732.07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625,791.27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19,811,728.10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7,282,452.51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11,479,752.25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423,732.07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625,791.27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19,811,728.10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29"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 程转入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1" w:right="129"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 并增加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1" w:right="26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650,698.85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180,900.00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831,598.85</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29"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 报废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650,698.85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180,900.00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831,598.85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784,357,166.63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85,060,801.49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18,688,154.52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9,871,576.84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897,977,699.48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14,460,708.28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35,566,170.44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10,391,123.62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2,734,921.25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63,152,923.59</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1" w:right="26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18,407,350.94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17,811,258.31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2,836,991.78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1,486,296.33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40,541,897.36</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18,407,350.94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17,811,258.31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2,836,991.78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1,486,296.33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40,541,897.36</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26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613,787.71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171,855.00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785,642.71</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1" w:right="129"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 报废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613,787.71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171,855.00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785,642.71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32,868,059.22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52,763,641.04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13,228,115.40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4,049,362.58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102,909,178.24</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26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32"/>
          <w:pgSz w:w="11910" w:h="16840"/>
          <w:pgMar w:footer="1016" w:header="919" w:top="1120" w:bottom="1200" w:left="1020" w:right="0"/>
          <w:pgNumType w:start="16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26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29"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 报废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26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751,489,107.41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32,297,160.45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5,460,039.12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5,822,214.26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795,068,521.24</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26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762,614,005.84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38,665,577.65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7,873,298.83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6,691,764.32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815,844,646.64</w:t>
            </w:r>
          </w:p>
        </w:tc>
      </w:tr>
    </w:tbl>
    <w:p>
      <w:pPr>
        <w:spacing w:line="240" w:lineRule="auto" w:before="3"/>
        <w:rPr>
          <w:rFonts w:ascii="宋体" w:hAnsi="宋体" w:cs="宋体" w:eastAsia="宋体" w:hint="default"/>
          <w:sz w:val="19"/>
          <w:szCs w:val="19"/>
        </w:rPr>
      </w:pPr>
    </w:p>
    <w:p>
      <w:pPr>
        <w:pStyle w:val="Heading3"/>
        <w:spacing w:line="240" w:lineRule="auto" w:before="34"/>
        <w:ind w:right="915"/>
        <w:jc w:val="left"/>
        <w:rPr>
          <w:b w:val="0"/>
          <w:bCs w:val="0"/>
        </w:rPr>
      </w:pPr>
      <w:bookmarkStart w:name="（2）暂时闲置的固定资产情况" w:id="291"/>
      <w:bookmarkEnd w:id="291"/>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4"/>
        <w:rPr>
          <w:rFonts w:ascii="宋体" w:hAnsi="宋体" w:cs="宋体" w:eastAsia="宋体" w:hint="default"/>
          <w:sz w:val="19"/>
          <w:szCs w:val="19"/>
        </w:rPr>
      </w:pPr>
    </w:p>
    <w:p>
      <w:pPr>
        <w:pStyle w:val="Heading3"/>
        <w:spacing w:line="240" w:lineRule="auto" w:before="34"/>
        <w:ind w:right="915"/>
        <w:jc w:val="left"/>
        <w:rPr>
          <w:b w:val="0"/>
          <w:bCs w:val="0"/>
        </w:rPr>
      </w:pPr>
      <w:bookmarkStart w:name="（3）通过融资租赁租入的固定资产情况" w:id="292"/>
      <w:bookmarkEnd w:id="292"/>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before="34"/>
        <w:ind w:right="915"/>
        <w:jc w:val="left"/>
        <w:rPr>
          <w:b w:val="0"/>
          <w:bCs w:val="0"/>
        </w:rPr>
      </w:pPr>
      <w:bookmarkStart w:name="（4）通过经营租赁租出的固定资产" w:id="293"/>
      <w:bookmarkEnd w:id="293"/>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0"/>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775;height:397" coordorigin="13,12" coordsize="4775,397">
              <v:shape style="position:absolute;left:13;top:12;width:4775;height:397" coordorigin="13,12" coordsize="4775,397" path="m13,12l4788,12,4788,409,13,409,13,12xe" filled="true" fillcolor="#d2d2d2" stroked="false">
                <v:path arrowok="t"/>
                <v:fill type="solid"/>
              </v:shape>
            </v:group>
            <v:group style="position:absolute;left:4793;top:12;width:4783;height:397" coordorigin="4793,12" coordsize="4783,397">
              <v:shape style="position:absolute;left:4793;top:12;width:4783;height:397" coordorigin="4793,12" coordsize="4783,397" path="m4793,12l9576,12,9576,409,4793,409,4793,12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0;top:5;width:2;height:402" coordorigin="4790,5" coordsize="2,402">
              <v:shape style="position:absolute;left:4790;top:5;width:2;height:402" coordorigin="4790,5" coordsize="0,402" path="m4790,5l4790,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19;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0;top:10;width:4788;height:402" type="#_x0000_t202" filled="false" stroked="false">
                <v:textbox inset="0,0,0,0">
                  <w:txbxContent>
                    <w:p>
                      <w:pPr>
                        <w:spacing w:before="54"/>
                        <w:ind w:left="1" w:right="0" w:firstLine="0"/>
                        <w:jc w:val="center"/>
                        <w:rPr>
                          <w:rFonts w:ascii="宋体" w:hAnsi="宋体" w:cs="宋体" w:eastAsia="宋体" w:hint="default"/>
                          <w:sz w:val="18"/>
                          <w:szCs w:val="18"/>
                        </w:rPr>
                      </w:pPr>
                      <w:r>
                        <w:rPr>
                          <w:rFonts w:ascii="宋体" w:hAnsi="宋体" w:cs="宋体" w:eastAsia="宋体" w:hint="default"/>
                          <w:sz w:val="18"/>
                          <w:szCs w:val="18"/>
                        </w:rPr>
                        <w:t>期末账面价值</w:t>
                      </w:r>
                    </w:p>
                  </w:txbxContent>
                </v:textbox>
                <w10:wrap type="none"/>
              </v:shape>
            </v:group>
          </v:group>
        </w:pict>
      </w:r>
      <w:r>
        <w:rPr>
          <w:rFonts w:ascii="宋体" w:hAnsi="宋体" w:cs="宋体" w:eastAsia="宋体" w:hint="default"/>
          <w:position w:val="-7"/>
          <w:sz w:val="20"/>
          <w:szCs w:val="20"/>
        </w:rPr>
      </w:r>
    </w:p>
    <w:p>
      <w:pPr>
        <w:spacing w:line="240" w:lineRule="auto" w:before="4"/>
        <w:rPr>
          <w:rFonts w:ascii="宋体" w:hAnsi="宋体" w:cs="宋体" w:eastAsia="宋体" w:hint="default"/>
          <w:sz w:val="19"/>
          <w:szCs w:val="19"/>
        </w:rPr>
      </w:pPr>
    </w:p>
    <w:p>
      <w:pPr>
        <w:pStyle w:val="Heading3"/>
        <w:spacing w:line="240" w:lineRule="auto" w:before="34"/>
        <w:ind w:right="915"/>
        <w:jc w:val="left"/>
        <w:rPr>
          <w:b w:val="0"/>
          <w:bCs w:val="0"/>
        </w:rPr>
      </w:pPr>
      <w:bookmarkStart w:name="（5）未办妥产权证书的固定资产情况" w:id="294"/>
      <w:bookmarkEnd w:id="294"/>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360" w:lineRule="auto" w:before="51"/>
        <w:ind w:right="10034"/>
        <w:jc w:val="left"/>
      </w:pPr>
      <w:r>
        <w:rPr/>
        <w:t>其他说明 无</w:t>
      </w:r>
    </w:p>
    <w:p>
      <w:pPr>
        <w:spacing w:line="240" w:lineRule="auto" w:before="12"/>
        <w:rPr>
          <w:rFonts w:ascii="宋体" w:hAnsi="宋体" w:cs="宋体" w:eastAsia="宋体" w:hint="default"/>
          <w:sz w:val="19"/>
          <w:szCs w:val="19"/>
        </w:rPr>
      </w:pPr>
    </w:p>
    <w:p>
      <w:pPr>
        <w:pStyle w:val="Heading3"/>
        <w:spacing w:line="240" w:lineRule="auto"/>
        <w:ind w:right="915"/>
        <w:jc w:val="left"/>
        <w:rPr>
          <w:b w:val="0"/>
          <w:bCs w:val="0"/>
        </w:rPr>
      </w:pPr>
      <w:bookmarkStart w:name="（6）固定资产清理" w:id="295"/>
      <w:bookmarkEnd w:id="295"/>
      <w:r>
        <w:rPr>
          <w:b w:val="0"/>
          <w:bCs w:val="0"/>
        </w:rPr>
      </w:r>
      <w:r>
        <w:rPr/>
        <w:t>（</w:t>
      </w:r>
      <w:r>
        <w:rPr>
          <w:rFonts w:ascii="Times New Roman" w:hAnsi="Times New Roman" w:cs="Times New Roman" w:eastAsia="Times New Roman" w:hint="default"/>
        </w:rPr>
        <w:t>6</w:t>
      </w:r>
      <w:r>
        <w:rPr/>
        <w:t>）固定资产清理</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1"/>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915"/>
        <w:jc w:val="left"/>
      </w:pPr>
      <w:r>
        <w:rPr/>
        <w:t>其他说明</w:t>
      </w:r>
    </w:p>
    <w:p>
      <w:pPr>
        <w:spacing w:after="0" w:line="240" w:lineRule="auto"/>
        <w:jc w:val="left"/>
        <w:sectPr>
          <w:pgSz w:w="11910" w:h="16840"/>
          <w:pgMar w:header="919" w:footer="1016" w:top="1120" w:bottom="1200" w:left="1020" w:right="0"/>
        </w:sectPr>
      </w:pPr>
    </w:p>
    <w:p>
      <w:pPr>
        <w:spacing w:line="240" w:lineRule="auto" w:before="12"/>
        <w:rPr>
          <w:rFonts w:ascii="宋体" w:hAnsi="宋体" w:cs="宋体" w:eastAsia="宋体" w:hint="default"/>
          <w:sz w:val="20"/>
          <w:szCs w:val="20"/>
        </w:rPr>
      </w:pPr>
    </w:p>
    <w:p>
      <w:pPr>
        <w:pStyle w:val="BodyText"/>
        <w:spacing w:line="240" w:lineRule="auto" w:before="44"/>
        <w:ind w:right="915"/>
        <w:jc w:val="left"/>
      </w:pPr>
      <w:r>
        <w:rPr/>
        <w:t>无</w:t>
      </w:r>
    </w:p>
    <w:p>
      <w:pPr>
        <w:spacing w:line="240" w:lineRule="auto" w:before="11"/>
        <w:rPr>
          <w:rFonts w:ascii="宋体" w:hAnsi="宋体" w:cs="宋体" w:eastAsia="宋体" w:hint="default"/>
          <w:sz w:val="26"/>
          <w:szCs w:val="26"/>
        </w:rPr>
      </w:pPr>
    </w:p>
    <w:p>
      <w:pPr>
        <w:pStyle w:val="Heading3"/>
        <w:spacing w:line="240" w:lineRule="auto"/>
        <w:ind w:right="915"/>
        <w:jc w:val="left"/>
        <w:rPr>
          <w:b w:val="0"/>
          <w:bCs w:val="0"/>
        </w:rPr>
      </w:pPr>
      <w:bookmarkStart w:name="13、在建工程" w:id="296"/>
      <w:bookmarkEnd w:id="296"/>
      <w:r>
        <w:rPr>
          <w:b w:val="0"/>
          <w:bCs w:val="0"/>
        </w:rPr>
      </w:r>
      <w:r>
        <w:rPr>
          <w:rFonts w:ascii="Times New Roman" w:hAnsi="Times New Roman" w:cs="Times New Roman" w:eastAsia="Times New Roman" w:hint="default"/>
        </w:rPr>
        <w:t>13</w:t>
      </w:r>
      <w:r>
        <w:rPr/>
        <w:t>、在建工程</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4,710,850.17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4,710,850.17</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pStyle w:val="Heading3"/>
        <w:spacing w:line="240" w:lineRule="auto" w:before="34"/>
        <w:ind w:right="915"/>
        <w:jc w:val="left"/>
        <w:rPr>
          <w:b w:val="0"/>
          <w:bCs w:val="0"/>
        </w:rPr>
      </w:pPr>
      <w:bookmarkStart w:name="（1）在建工程情况" w:id="297"/>
      <w:bookmarkEnd w:id="297"/>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长沙</w:t>
            </w:r>
            <w:r>
              <w:rPr>
                <w:rFonts w:ascii="Times New Roman" w:hAnsi="Times New Roman" w:cs="Times New Roman" w:eastAsia="Times New Roman" w:hint="default"/>
                <w:sz w:val="18"/>
                <w:szCs w:val="18"/>
              </w:rPr>
              <w:t>-</w:t>
            </w:r>
            <w:r>
              <w:rPr>
                <w:rFonts w:ascii="宋体" w:hAnsi="宋体" w:cs="宋体" w:eastAsia="宋体" w:hint="default"/>
                <w:sz w:val="18"/>
                <w:szCs w:val="18"/>
              </w:rPr>
              <w:t>湘江壹号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0" w:right="0"/>
              <w:jc w:val="left"/>
              <w:rPr>
                <w:rFonts w:ascii="Times New Roman" w:hAnsi="Times New Roman" w:cs="Times New Roman" w:eastAsia="Times New Roman" w:hint="default"/>
                <w:sz w:val="18"/>
                <w:szCs w:val="18"/>
              </w:rPr>
            </w:pPr>
            <w:r>
              <w:rPr>
                <w:rFonts w:ascii="Times New Roman"/>
                <w:sz w:val="18"/>
              </w:rPr>
              <w:t>4,710,850.17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9" w:right="0"/>
              <w:jc w:val="left"/>
              <w:rPr>
                <w:rFonts w:ascii="Times New Roman" w:hAnsi="Times New Roman" w:cs="Times New Roman" w:eastAsia="Times New Roman" w:hint="default"/>
                <w:sz w:val="18"/>
                <w:szCs w:val="18"/>
              </w:rPr>
            </w:pPr>
            <w:r>
              <w:rPr>
                <w:rFonts w:ascii="Times New Roman"/>
                <w:sz w:val="18"/>
              </w:rPr>
              <w:t>4,710,850.17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10" w:right="0"/>
              <w:jc w:val="left"/>
              <w:rPr>
                <w:rFonts w:ascii="Times New Roman" w:hAnsi="Times New Roman" w:cs="Times New Roman" w:eastAsia="Times New Roman" w:hint="default"/>
                <w:sz w:val="18"/>
                <w:szCs w:val="18"/>
              </w:rPr>
            </w:pPr>
            <w:r>
              <w:rPr>
                <w:rFonts w:ascii="Times New Roman"/>
                <w:sz w:val="18"/>
              </w:rPr>
              <w:t>4,710,850.17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09" w:right="0"/>
              <w:jc w:val="left"/>
              <w:rPr>
                <w:rFonts w:ascii="Times New Roman" w:hAnsi="Times New Roman" w:cs="Times New Roman" w:eastAsia="Times New Roman" w:hint="default"/>
                <w:sz w:val="18"/>
                <w:szCs w:val="18"/>
              </w:rPr>
            </w:pPr>
            <w:r>
              <w:rPr>
                <w:rFonts w:ascii="Times New Roman"/>
                <w:sz w:val="18"/>
              </w:rPr>
              <w:t>4,710,850.17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4"/>
        <w:ind w:right="915"/>
        <w:jc w:val="left"/>
        <w:rPr>
          <w:b w:val="0"/>
          <w:bCs w:val="0"/>
        </w:rPr>
      </w:pPr>
      <w:bookmarkStart w:name="（2）重要在建工程项目本期变动情况" w:id="298"/>
      <w:bookmarkEnd w:id="298"/>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32"/>
        <w:gridCol w:w="736"/>
        <w:gridCol w:w="736"/>
        <w:gridCol w:w="736"/>
        <w:gridCol w:w="736"/>
        <w:gridCol w:w="736"/>
        <w:gridCol w:w="736"/>
        <w:gridCol w:w="736"/>
        <w:gridCol w:w="736"/>
        <w:gridCol w:w="736"/>
        <w:gridCol w:w="736"/>
        <w:gridCol w:w="736"/>
        <w:gridCol w:w="736"/>
      </w:tblGrid>
      <w:tr>
        <w:trPr>
          <w:trHeight w:val="1962"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81" w:right="179"/>
              <w:jc w:val="left"/>
              <w:rPr>
                <w:rFonts w:ascii="宋体" w:hAnsi="宋体" w:cs="宋体" w:eastAsia="宋体" w:hint="default"/>
                <w:sz w:val="18"/>
                <w:szCs w:val="18"/>
              </w:rPr>
            </w:pPr>
            <w:r>
              <w:rPr>
                <w:rFonts w:ascii="宋体" w:hAnsi="宋体" w:cs="宋体" w:eastAsia="宋体" w:hint="default"/>
                <w:sz w:val="18"/>
                <w:szCs w:val="18"/>
              </w:rPr>
              <w:t>项目 名称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72" w:right="180" w:hanging="89"/>
              <w:jc w:val="left"/>
              <w:rPr>
                <w:rFonts w:ascii="宋体" w:hAnsi="宋体" w:cs="宋体" w:eastAsia="宋体" w:hint="default"/>
                <w:sz w:val="18"/>
                <w:szCs w:val="18"/>
              </w:rPr>
            </w:pPr>
            <w:r>
              <w:rPr>
                <w:rFonts w:ascii="宋体" w:hAnsi="宋体" w:cs="宋体" w:eastAsia="宋体" w:hint="default"/>
                <w:sz w:val="18"/>
                <w:szCs w:val="18"/>
              </w:rPr>
              <w:t>预算 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81" w:right="182"/>
              <w:jc w:val="left"/>
              <w:rPr>
                <w:rFonts w:ascii="宋体" w:hAnsi="宋体" w:cs="宋体" w:eastAsia="宋体" w:hint="default"/>
                <w:sz w:val="18"/>
                <w:szCs w:val="18"/>
              </w:rPr>
            </w:pPr>
            <w:r>
              <w:rPr>
                <w:rFonts w:ascii="宋体" w:hAnsi="宋体" w:cs="宋体" w:eastAsia="宋体" w:hint="default"/>
                <w:sz w:val="18"/>
                <w:szCs w:val="18"/>
              </w:rPr>
              <w:t>期初 余额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82" w:right="181"/>
              <w:jc w:val="both"/>
              <w:rPr>
                <w:rFonts w:ascii="宋体" w:hAnsi="宋体" w:cs="宋体" w:eastAsia="宋体" w:hint="default"/>
                <w:sz w:val="18"/>
                <w:szCs w:val="18"/>
              </w:rPr>
            </w:pPr>
            <w:r>
              <w:rPr>
                <w:rFonts w:ascii="宋体" w:hAnsi="宋体" w:cs="宋体" w:eastAsia="宋体" w:hint="default"/>
                <w:sz w:val="18"/>
                <w:szCs w:val="18"/>
              </w:rPr>
              <w:t>本期 增加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83" w:right="180"/>
              <w:jc w:val="both"/>
              <w:rPr>
                <w:rFonts w:ascii="宋体" w:hAnsi="宋体" w:cs="宋体" w:eastAsia="宋体" w:hint="default"/>
                <w:sz w:val="18"/>
                <w:szCs w:val="18"/>
              </w:rPr>
            </w:pPr>
            <w:r>
              <w:rPr>
                <w:rFonts w:ascii="宋体" w:hAnsi="宋体" w:cs="宋体" w:eastAsia="宋体" w:hint="default"/>
                <w:sz w:val="18"/>
                <w:szCs w:val="18"/>
              </w:rPr>
              <w:t>本期 转入 固定 资产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81" w:right="182"/>
              <w:jc w:val="both"/>
              <w:rPr>
                <w:rFonts w:ascii="宋体" w:hAnsi="宋体" w:cs="宋体" w:eastAsia="宋体" w:hint="default"/>
                <w:sz w:val="18"/>
                <w:szCs w:val="18"/>
              </w:rPr>
            </w:pPr>
            <w:r>
              <w:rPr>
                <w:rFonts w:ascii="宋体" w:hAnsi="宋体" w:cs="宋体" w:eastAsia="宋体" w:hint="default"/>
                <w:sz w:val="18"/>
                <w:szCs w:val="18"/>
              </w:rPr>
              <w:t>本期 其他 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82" w:right="181"/>
              <w:jc w:val="left"/>
              <w:rPr>
                <w:rFonts w:ascii="宋体" w:hAnsi="宋体" w:cs="宋体" w:eastAsia="宋体" w:hint="default"/>
                <w:sz w:val="18"/>
                <w:szCs w:val="18"/>
              </w:rPr>
            </w:pPr>
            <w:r>
              <w:rPr>
                <w:rFonts w:ascii="宋体" w:hAnsi="宋体" w:cs="宋体" w:eastAsia="宋体" w:hint="default"/>
                <w:sz w:val="18"/>
                <w:szCs w:val="18"/>
              </w:rPr>
              <w:t>期末 余额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3" w:right="180"/>
              <w:jc w:val="both"/>
              <w:rPr>
                <w:rFonts w:ascii="宋体" w:hAnsi="宋体" w:cs="宋体" w:eastAsia="宋体" w:hint="default"/>
                <w:sz w:val="18"/>
                <w:szCs w:val="18"/>
              </w:rPr>
            </w:pPr>
            <w:r>
              <w:rPr>
                <w:rFonts w:ascii="宋体" w:hAnsi="宋体" w:cs="宋体" w:eastAsia="宋体" w:hint="default"/>
                <w:sz w:val="18"/>
                <w:szCs w:val="18"/>
              </w:rPr>
              <w:t>工程 累计 投入 占预 算比 例</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82" w:right="182"/>
              <w:jc w:val="left"/>
              <w:rPr>
                <w:rFonts w:ascii="宋体" w:hAnsi="宋体" w:cs="宋体" w:eastAsia="宋体" w:hint="default"/>
                <w:sz w:val="18"/>
                <w:szCs w:val="18"/>
              </w:rPr>
            </w:pPr>
            <w:r>
              <w:rPr>
                <w:rFonts w:ascii="宋体" w:hAnsi="宋体" w:cs="宋体" w:eastAsia="宋体" w:hint="default"/>
                <w:sz w:val="18"/>
                <w:szCs w:val="18"/>
              </w:rPr>
              <w:t>工程 进度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82" w:right="181"/>
              <w:jc w:val="both"/>
              <w:rPr>
                <w:rFonts w:ascii="宋体" w:hAnsi="宋体" w:cs="宋体" w:eastAsia="宋体" w:hint="default"/>
                <w:sz w:val="18"/>
                <w:szCs w:val="18"/>
              </w:rPr>
            </w:pPr>
            <w:r>
              <w:rPr>
                <w:rFonts w:ascii="宋体" w:hAnsi="宋体" w:cs="宋体" w:eastAsia="宋体" w:hint="default"/>
                <w:sz w:val="18"/>
                <w:szCs w:val="18"/>
              </w:rPr>
              <w:t>利息 资本 化累 计金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3" w:right="82" w:hanging="82"/>
              <w:jc w:val="left"/>
              <w:rPr>
                <w:rFonts w:ascii="宋体" w:hAnsi="宋体" w:cs="宋体" w:eastAsia="宋体" w:hint="default"/>
                <w:sz w:val="18"/>
                <w:szCs w:val="18"/>
              </w:rPr>
            </w:pPr>
            <w:r>
              <w:rPr>
                <w:rFonts w:ascii="宋体" w:hAnsi="宋体" w:cs="宋体" w:eastAsia="宋体" w:hint="default"/>
                <w:sz w:val="18"/>
                <w:szCs w:val="18"/>
              </w:rPr>
              <w:t>其中： 本期 利息 资本 化金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81" w:right="182"/>
              <w:jc w:val="both"/>
              <w:rPr>
                <w:rFonts w:ascii="宋体" w:hAnsi="宋体" w:cs="宋体" w:eastAsia="宋体" w:hint="default"/>
                <w:sz w:val="18"/>
                <w:szCs w:val="18"/>
              </w:rPr>
            </w:pPr>
            <w:r>
              <w:rPr>
                <w:rFonts w:ascii="宋体" w:hAnsi="宋体" w:cs="宋体" w:eastAsia="宋体" w:hint="default"/>
                <w:sz w:val="18"/>
                <w:szCs w:val="18"/>
              </w:rPr>
              <w:t>本期 利息 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82" w:right="181"/>
              <w:jc w:val="left"/>
              <w:rPr>
                <w:rFonts w:ascii="宋体" w:hAnsi="宋体" w:cs="宋体" w:eastAsia="宋体" w:hint="default"/>
                <w:sz w:val="18"/>
                <w:szCs w:val="18"/>
              </w:rPr>
            </w:pPr>
            <w:r>
              <w:rPr>
                <w:rFonts w:ascii="宋体" w:hAnsi="宋体" w:cs="宋体" w:eastAsia="宋体" w:hint="default"/>
                <w:sz w:val="18"/>
                <w:szCs w:val="18"/>
              </w:rPr>
              <w:t>资金 来源</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0"/>
              <w:ind w:left="101" w:right="198"/>
              <w:jc w:val="left"/>
              <w:rPr>
                <w:rFonts w:ascii="宋体" w:hAnsi="宋体" w:cs="宋体" w:eastAsia="宋体" w:hint="default"/>
                <w:sz w:val="18"/>
                <w:szCs w:val="18"/>
              </w:rPr>
            </w:pPr>
            <w:r>
              <w:rPr>
                <w:rFonts w:ascii="宋体" w:hAnsi="宋体" w:cs="宋体" w:eastAsia="宋体" w:hint="default"/>
                <w:sz w:val="18"/>
                <w:szCs w:val="18"/>
              </w:rPr>
              <w:t>长沙</w:t>
            </w:r>
            <w:r>
              <w:rPr>
                <w:rFonts w:ascii="Times New Roman" w:hAnsi="Times New Roman" w:cs="Times New Roman" w:eastAsia="Times New Roman" w:hint="default"/>
                <w:sz w:val="18"/>
                <w:szCs w:val="18"/>
              </w:rPr>
              <w:t>- </w:t>
            </w:r>
            <w:r>
              <w:rPr>
                <w:rFonts w:ascii="宋体" w:hAnsi="宋体" w:cs="宋体" w:eastAsia="宋体" w:hint="default"/>
                <w:sz w:val="18"/>
                <w:szCs w:val="18"/>
              </w:rPr>
              <w:t>湘江 壹号</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4,710,</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850.17</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4,710,</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850.17</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 w:right="0"/>
              <w:jc w:val="left"/>
              <w:rPr>
                <w:rFonts w:ascii="Times New Roman" w:hAnsi="Times New Roman" w:cs="Times New Roman" w:eastAsia="Times New Roman" w:hint="default"/>
                <w:sz w:val="18"/>
                <w:szCs w:val="18"/>
              </w:rPr>
            </w:pPr>
            <w:r>
              <w:rPr>
                <w:rFonts w:ascii="Times New Roman"/>
                <w:sz w:val="18"/>
              </w:rPr>
              <w:t>4,710,</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850.17</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 w:right="0"/>
              <w:jc w:val="left"/>
              <w:rPr>
                <w:rFonts w:ascii="Times New Roman" w:hAnsi="Times New Roman" w:cs="Times New Roman" w:eastAsia="Times New Roman" w:hint="default"/>
                <w:sz w:val="18"/>
                <w:szCs w:val="18"/>
              </w:rPr>
            </w:pPr>
            <w:r>
              <w:rPr>
                <w:rFonts w:ascii="Times New Roman"/>
                <w:sz w:val="18"/>
              </w:rPr>
              <w:t>4,710,</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850.17</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4"/>
        <w:ind w:right="915"/>
        <w:jc w:val="left"/>
        <w:rPr>
          <w:b w:val="0"/>
          <w:bCs w:val="0"/>
        </w:rPr>
      </w:pPr>
      <w:bookmarkStart w:name="（3）本期计提在建工程减值准备情况" w:id="299"/>
      <w:bookmarkEnd w:id="299"/>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1"/>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9"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360" w:lineRule="auto" w:before="50"/>
        <w:ind w:right="10034"/>
        <w:jc w:val="left"/>
      </w:pPr>
      <w:r>
        <w:rPr/>
        <w:t>其他说明 无</w:t>
      </w:r>
    </w:p>
    <w:p>
      <w:pPr>
        <w:spacing w:after="0" w:line="360" w:lineRule="auto"/>
        <w:jc w:val="left"/>
        <w:sectPr>
          <w:footerReference w:type="default" r:id="rId33"/>
          <w:pgSz w:w="11910" w:h="16840"/>
          <w:pgMar w:footer="1016" w:header="919" w:top="1120" w:bottom="1200" w:left="1020" w:right="0"/>
          <w:pgNumType w:start="162"/>
        </w:sectPr>
      </w:pPr>
    </w:p>
    <w:p>
      <w:pPr>
        <w:spacing w:line="240" w:lineRule="auto" w:before="10"/>
        <w:rPr>
          <w:rFonts w:ascii="宋体" w:hAnsi="宋体" w:cs="宋体" w:eastAsia="宋体" w:hint="default"/>
          <w:sz w:val="19"/>
          <w:szCs w:val="19"/>
        </w:rPr>
      </w:pPr>
    </w:p>
    <w:p>
      <w:pPr>
        <w:pStyle w:val="Heading3"/>
        <w:spacing w:line="240" w:lineRule="auto" w:before="34"/>
        <w:ind w:right="915"/>
        <w:jc w:val="left"/>
        <w:rPr>
          <w:b w:val="0"/>
          <w:bCs w:val="0"/>
        </w:rPr>
      </w:pPr>
      <w:bookmarkStart w:name="（4）工程物资" w:id="300"/>
      <w:bookmarkEnd w:id="300"/>
      <w:r>
        <w:rPr>
          <w:b w:val="0"/>
          <w:bCs w:val="0"/>
        </w:rPr>
      </w:r>
      <w:r>
        <w:rPr/>
        <w:t>（</w:t>
      </w:r>
      <w:r>
        <w:rPr>
          <w:rFonts w:ascii="Times New Roman" w:hAnsi="Times New Roman" w:cs="Times New Roman" w:eastAsia="Times New Roman" w:hint="default"/>
        </w:rPr>
        <w:t>4</w:t>
      </w:r>
      <w:r>
        <w:rPr/>
        <w:t>）工程物资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132"/>
        <w:gridCol w:w="1329"/>
        <w:gridCol w:w="1328"/>
        <w:gridCol w:w="1196"/>
        <w:gridCol w:w="1196"/>
        <w:gridCol w:w="1196"/>
        <w:gridCol w:w="1191"/>
      </w:tblGrid>
      <w:tr>
        <w:trPr>
          <w:trHeight w:val="402" w:hRule="exact"/>
        </w:trPr>
        <w:tc>
          <w:tcPr>
            <w:tcW w:w="21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8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132" w:type="dxa"/>
            <w:vMerge/>
            <w:tcBorders>
              <w:left w:val="single" w:sz="4" w:space="0" w:color="000000"/>
              <w:bottom w:val="single" w:sz="4" w:space="0" w:color="000000"/>
              <w:right w:val="single" w:sz="4" w:space="0" w:color="000000"/>
            </w:tcBorders>
            <w:shd w:val="clear" w:color="auto" w:fill="D2D2D2"/>
          </w:tcPr>
          <w:p>
            <w:pPr/>
          </w:p>
        </w:tc>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57" w:lineRule="auto" w:before="52"/>
        <w:ind w:right="9854"/>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915"/>
        <w:jc w:val="left"/>
        <w:rPr>
          <w:b w:val="0"/>
          <w:bCs w:val="0"/>
        </w:rPr>
      </w:pPr>
      <w:bookmarkStart w:name="14、无形资产" w:id="301"/>
      <w:bookmarkEnd w:id="301"/>
      <w:r>
        <w:rPr>
          <w:b w:val="0"/>
          <w:bCs w:val="0"/>
        </w:rPr>
      </w:r>
      <w:r>
        <w:rPr>
          <w:rFonts w:ascii="Times New Roman" w:hAnsi="Times New Roman" w:cs="Times New Roman" w:eastAsia="Times New Roman" w:hint="default"/>
        </w:rPr>
        <w:t>14</w:t>
      </w:r>
      <w:r>
        <w:rPr/>
        <w:t>、无形资产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15"/>
        <w:jc w:val="left"/>
        <w:rPr>
          <w:b w:val="0"/>
          <w:bCs w:val="0"/>
        </w:rPr>
      </w:pPr>
      <w:bookmarkStart w:name="（1）无形资产情况" w:id="302"/>
      <w:bookmarkEnd w:id="302"/>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6,035,678.82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6,035,678.82</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26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1,128,311.85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1,128,311.85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1,128,311.85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1,128,311.85</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4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29" w:firstLine="54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 合并增加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26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2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7,163,990.67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7,163,990.67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4,709,110.82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4,709,110.82</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26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599,208.37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599,208.37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2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599,208.37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599,208.37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26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9" w:footer="1016"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5,308,319.19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5,308,319.19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26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26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26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1,855,671.48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1,855,671.48</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26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1,326,568.00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1,326,568.00</w:t>
            </w:r>
          </w:p>
        </w:tc>
      </w:tr>
    </w:tbl>
    <w:p>
      <w:pPr>
        <w:pStyle w:val="BodyText"/>
        <w:spacing w:line="240" w:lineRule="auto" w:before="50"/>
        <w:ind w:right="915"/>
        <w:jc w:val="left"/>
      </w:pPr>
      <w:r>
        <w:rPr/>
        <w:t>本期末通过公司内部研发形成的无形资产占无形资产余额的比例</w:t>
      </w:r>
      <w:r>
        <w:rPr>
          <w:spacing w:val="-47"/>
        </w:rPr>
        <w:t> </w:t>
      </w:r>
      <w:r>
        <w:rPr>
          <w:rFonts w:ascii="Times New Roman" w:hAnsi="Times New Roman" w:cs="Times New Roman" w:eastAsia="Times New Roman" w:hint="default"/>
        </w:rPr>
        <w:t>0.00%</w:t>
      </w:r>
      <w:r>
        <w:rPr/>
        <w:t>。</w:t>
      </w:r>
    </w:p>
    <w:p>
      <w:pPr>
        <w:spacing w:line="240" w:lineRule="auto" w:before="13"/>
        <w:rPr>
          <w:rFonts w:ascii="宋体" w:hAnsi="宋体" w:cs="宋体" w:eastAsia="宋体" w:hint="default"/>
          <w:sz w:val="25"/>
          <w:szCs w:val="25"/>
        </w:rPr>
      </w:pPr>
    </w:p>
    <w:p>
      <w:pPr>
        <w:pStyle w:val="Heading3"/>
        <w:spacing w:line="240" w:lineRule="auto"/>
        <w:ind w:right="915"/>
        <w:jc w:val="left"/>
        <w:rPr>
          <w:b w:val="0"/>
          <w:bCs w:val="0"/>
        </w:rPr>
      </w:pPr>
      <w:bookmarkStart w:name="（2）未办妥产权证书的土地使用权情况" w:id="303"/>
      <w:bookmarkEnd w:id="303"/>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360" w:lineRule="auto" w:before="51"/>
        <w:ind w:right="9854"/>
        <w:jc w:val="left"/>
      </w:pPr>
      <w:r>
        <w:rPr/>
        <w:t>其他说明： 无</w:t>
      </w:r>
    </w:p>
    <w:p>
      <w:pPr>
        <w:spacing w:line="240" w:lineRule="auto" w:before="12"/>
        <w:rPr>
          <w:rFonts w:ascii="宋体" w:hAnsi="宋体" w:cs="宋体" w:eastAsia="宋体" w:hint="default"/>
          <w:sz w:val="19"/>
          <w:szCs w:val="19"/>
        </w:rPr>
      </w:pPr>
    </w:p>
    <w:p>
      <w:pPr>
        <w:pStyle w:val="Heading3"/>
        <w:spacing w:line="240" w:lineRule="auto"/>
        <w:ind w:right="915"/>
        <w:jc w:val="left"/>
        <w:rPr>
          <w:b w:val="0"/>
          <w:bCs w:val="0"/>
        </w:rPr>
      </w:pPr>
      <w:bookmarkStart w:name="15、商誉" w:id="304"/>
      <w:bookmarkEnd w:id="304"/>
      <w:r>
        <w:rPr>
          <w:b w:val="0"/>
          <w:bCs w:val="0"/>
        </w:rPr>
      </w:r>
      <w:r>
        <w:rPr>
          <w:rFonts w:ascii="Times New Roman" w:hAnsi="Times New Roman" w:cs="Times New Roman" w:eastAsia="Times New Roman" w:hint="default"/>
        </w:rPr>
        <w:t>15</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15"/>
        <w:jc w:val="left"/>
        <w:rPr>
          <w:b w:val="0"/>
          <w:bCs w:val="0"/>
        </w:rPr>
      </w:pPr>
      <w:bookmarkStart w:name="（1）商誉账面原值" w:id="305"/>
      <w:bookmarkEnd w:id="305"/>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7"/>
        <w:gridCol w:w="1367"/>
        <w:gridCol w:w="1367"/>
        <w:gridCol w:w="1367"/>
        <w:gridCol w:w="1367"/>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37" w:right="137"/>
              <w:jc w:val="center"/>
              <w:rPr>
                <w:rFonts w:ascii="宋体" w:hAnsi="宋体" w:cs="宋体" w:eastAsia="宋体" w:hint="default"/>
                <w:sz w:val="18"/>
                <w:szCs w:val="18"/>
              </w:rPr>
            </w:pPr>
            <w:r>
              <w:rPr>
                <w:rFonts w:ascii="宋体" w:hAnsi="宋体" w:cs="宋体" w:eastAsia="宋体" w:hint="default"/>
                <w:sz w:val="18"/>
                <w:szCs w:val="18"/>
              </w:rPr>
              <w:t>被投资单位名 称或形成商誉 的事项</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8" w:right="137" w:hanging="452"/>
              <w:jc w:val="left"/>
              <w:rPr>
                <w:rFonts w:ascii="宋体" w:hAnsi="宋体" w:cs="宋体" w:eastAsia="宋体" w:hint="default"/>
                <w:sz w:val="18"/>
                <w:szCs w:val="18"/>
              </w:rPr>
            </w:pPr>
            <w:r>
              <w:rPr>
                <w:rFonts w:ascii="宋体" w:hAnsi="宋体" w:cs="宋体" w:eastAsia="宋体" w:hint="default"/>
                <w:sz w:val="18"/>
                <w:szCs w:val="18"/>
              </w:rPr>
              <w:t>企业合并形成 的</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357" w:hRule="exact"/>
        </w:trPr>
        <w:tc>
          <w:tcPr>
            <w:tcW w:w="136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上海蒲园供应</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链管理有限公</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316" w:right="0"/>
              <w:jc w:val="left"/>
              <w:rPr>
                <w:rFonts w:ascii="Times New Roman" w:hAnsi="Times New Roman" w:cs="Times New Roman" w:eastAsia="Times New Roman" w:hint="default"/>
                <w:sz w:val="18"/>
                <w:szCs w:val="18"/>
              </w:rPr>
            </w:pPr>
            <w:r>
              <w:rPr>
                <w:rFonts w:ascii="Times New Roman"/>
                <w:sz w:val="18"/>
              </w:rPr>
              <w:t>1,504,511.33</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316" w:right="0"/>
              <w:jc w:val="left"/>
              <w:rPr>
                <w:rFonts w:ascii="Times New Roman" w:hAnsi="Times New Roman" w:cs="Times New Roman" w:eastAsia="Times New Roman" w:hint="default"/>
                <w:sz w:val="18"/>
                <w:szCs w:val="18"/>
              </w:rPr>
            </w:pPr>
            <w:r>
              <w:rPr>
                <w:rFonts w:ascii="Times New Roman"/>
                <w:sz w:val="18"/>
              </w:rPr>
              <w:t>1,504,511.33</w:t>
            </w:r>
          </w:p>
        </w:tc>
      </w:tr>
      <w:tr>
        <w:trPr>
          <w:trHeight w:val="352" w:hRule="exact"/>
        </w:trPr>
        <w:tc>
          <w:tcPr>
            <w:tcW w:w="136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919" w:footer="1016"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7"/>
        <w:gridCol w:w="1367"/>
        <w:gridCol w:w="1367"/>
        <w:gridCol w:w="1367"/>
        <w:gridCol w:w="1367"/>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16" w:right="0"/>
              <w:jc w:val="left"/>
              <w:rPr>
                <w:rFonts w:ascii="Times New Roman" w:hAnsi="Times New Roman" w:cs="Times New Roman" w:eastAsia="Times New Roman" w:hint="default"/>
                <w:sz w:val="18"/>
                <w:szCs w:val="18"/>
              </w:rPr>
            </w:pPr>
            <w:r>
              <w:rPr>
                <w:rFonts w:ascii="Times New Roman"/>
                <w:sz w:val="18"/>
              </w:rPr>
              <w:t>1,504,511.33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16" w:right="0"/>
              <w:jc w:val="left"/>
              <w:rPr>
                <w:rFonts w:ascii="Times New Roman" w:hAnsi="Times New Roman" w:cs="Times New Roman" w:eastAsia="Times New Roman" w:hint="default"/>
                <w:sz w:val="18"/>
                <w:szCs w:val="18"/>
              </w:rPr>
            </w:pPr>
            <w:r>
              <w:rPr>
                <w:rFonts w:ascii="Times New Roman"/>
                <w:sz w:val="18"/>
              </w:rPr>
              <w:t>1,504,511.33</w:t>
            </w:r>
          </w:p>
        </w:tc>
      </w:tr>
    </w:tbl>
    <w:p>
      <w:pPr>
        <w:spacing w:line="240" w:lineRule="auto" w:before="4"/>
        <w:rPr>
          <w:rFonts w:ascii="宋体" w:hAnsi="宋体" w:cs="宋体" w:eastAsia="宋体" w:hint="default"/>
          <w:sz w:val="19"/>
          <w:szCs w:val="19"/>
        </w:rPr>
      </w:pPr>
    </w:p>
    <w:p>
      <w:pPr>
        <w:pStyle w:val="Heading3"/>
        <w:spacing w:line="240" w:lineRule="auto" w:before="34"/>
        <w:ind w:right="915"/>
        <w:jc w:val="left"/>
        <w:rPr>
          <w:b w:val="0"/>
          <w:bCs w:val="0"/>
        </w:rPr>
      </w:pPr>
      <w:bookmarkStart w:name="（2）商誉减值准备" w:id="306"/>
      <w:bookmarkEnd w:id="306"/>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7"/>
        <w:gridCol w:w="1367"/>
        <w:gridCol w:w="1367"/>
        <w:gridCol w:w="1367"/>
        <w:gridCol w:w="1367"/>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137" w:right="137"/>
              <w:jc w:val="center"/>
              <w:rPr>
                <w:rFonts w:ascii="宋体" w:hAnsi="宋体" w:cs="宋体" w:eastAsia="宋体" w:hint="default"/>
                <w:sz w:val="18"/>
                <w:szCs w:val="18"/>
              </w:rPr>
            </w:pPr>
            <w:r>
              <w:rPr>
                <w:rFonts w:ascii="宋体" w:hAnsi="宋体" w:cs="宋体" w:eastAsia="宋体" w:hint="default"/>
                <w:sz w:val="18"/>
                <w:szCs w:val="18"/>
              </w:rPr>
              <w:t>被投资单位名 称或形成商誉 的事项</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358" w:hRule="exact"/>
        </w:trPr>
        <w:tc>
          <w:tcPr>
            <w:tcW w:w="136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上海蒲园供应</w:t>
            </w: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链管理有限公</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1,504,511.33</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1,504,511.33</w:t>
            </w:r>
          </w:p>
        </w:tc>
      </w:tr>
      <w:tr>
        <w:trPr>
          <w:trHeight w:val="352" w:hRule="exact"/>
        </w:trPr>
        <w:tc>
          <w:tcPr>
            <w:tcW w:w="136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1,504,511.33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1,504,511.33</w:t>
            </w:r>
          </w:p>
        </w:tc>
      </w:tr>
    </w:tbl>
    <w:p>
      <w:pPr>
        <w:pStyle w:val="BodyText"/>
        <w:spacing w:line="240" w:lineRule="auto" w:before="51"/>
        <w:ind w:right="915"/>
        <w:jc w:val="left"/>
      </w:pPr>
      <w:r>
        <w:rPr/>
        <w:t>商誉所在资产组或资产组组合的相关信息</w:t>
      </w:r>
    </w:p>
    <w:p>
      <w:pPr>
        <w:spacing w:line="240" w:lineRule="auto" w:before="10"/>
        <w:rPr>
          <w:rFonts w:ascii="宋体" w:hAnsi="宋体" w:cs="宋体" w:eastAsia="宋体" w:hint="default"/>
          <w:sz w:val="17"/>
          <w:szCs w:val="17"/>
        </w:rPr>
      </w:pPr>
    </w:p>
    <w:p>
      <w:pPr>
        <w:pStyle w:val="BodyText"/>
        <w:spacing w:line="316" w:lineRule="auto"/>
        <w:ind w:right="915" w:firstLine="360"/>
        <w:jc w:val="left"/>
      </w:pPr>
      <w:r>
        <w:rPr/>
        <w:t>在考虑到能够受益于企业合并的协同效应以及管理层对生产经营活动的管理或监控方式情况下确定的能够独立产生现 金流量的资产组或资产组组合。</w:t>
      </w:r>
    </w:p>
    <w:p>
      <w:pPr>
        <w:spacing w:line="240" w:lineRule="auto" w:before="5"/>
        <w:rPr>
          <w:rFonts w:ascii="宋体" w:hAnsi="宋体" w:cs="宋体" w:eastAsia="宋体" w:hint="default"/>
          <w:sz w:val="13"/>
          <w:szCs w:val="13"/>
        </w:rPr>
      </w:pPr>
    </w:p>
    <w:p>
      <w:pPr>
        <w:pStyle w:val="BodyText"/>
        <w:spacing w:line="316" w:lineRule="auto"/>
        <w:ind w:right="915"/>
        <w:jc w:val="left"/>
      </w:pPr>
      <w:r>
        <w:rPr>
          <w:spacing w:val="-2"/>
        </w:rPr>
        <w:t>说明商誉减值测试过程、关键参数（如预计未来现金流量现值时的预测期增长率、稳定期增长率、利润率、折现率、预测期</w:t>
      </w:r>
      <w:r>
        <w:rPr>
          <w:spacing w:val="-66"/>
        </w:rPr>
        <w:t> </w:t>
      </w:r>
      <w:r>
        <w:rPr>
          <w:spacing w:val="-66"/>
        </w:rPr>
      </w:r>
      <w:r>
        <w:rPr/>
        <w:t>等）及商誉减值损失的确认方法：</w:t>
      </w:r>
    </w:p>
    <w:p>
      <w:pPr>
        <w:pStyle w:val="BodyText"/>
        <w:spacing w:line="360" w:lineRule="auto" w:before="57"/>
        <w:ind w:right="9134"/>
        <w:jc w:val="left"/>
      </w:pPr>
      <w:r>
        <w:rPr/>
        <w:t>无 商誉减值测试的影响 无</w:t>
      </w:r>
    </w:p>
    <w:p>
      <w:pPr>
        <w:pStyle w:val="BodyText"/>
        <w:spacing w:line="360" w:lineRule="auto" w:before="25"/>
        <w:ind w:right="10034"/>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915"/>
        <w:jc w:val="left"/>
        <w:rPr>
          <w:b w:val="0"/>
          <w:bCs w:val="0"/>
        </w:rPr>
      </w:pPr>
      <w:bookmarkStart w:name="16、长期待摊费用" w:id="307"/>
      <w:bookmarkEnd w:id="307"/>
      <w:r>
        <w:rPr>
          <w:b w:val="0"/>
          <w:bCs w:val="0"/>
        </w:rPr>
      </w:r>
      <w:r>
        <w:rPr>
          <w:rFonts w:ascii="Times New Roman" w:hAnsi="Times New Roman" w:cs="Times New Roman" w:eastAsia="Times New Roman" w:hint="default"/>
        </w:rPr>
        <w:t>16</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装修费用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8,090.69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1,735,195.99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181,610.28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1,561,676.40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电信服务费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553,827.42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28,301.89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316,191.13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265,938.18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561,918.11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1,763,497.88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497,801.41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1,827,614.58</w:t>
            </w:r>
          </w:p>
        </w:tc>
      </w:tr>
    </w:tbl>
    <w:p>
      <w:pPr>
        <w:pStyle w:val="BodyText"/>
        <w:spacing w:line="360" w:lineRule="auto" w:before="50"/>
        <w:ind w:right="10034"/>
        <w:jc w:val="left"/>
      </w:pPr>
      <w:r>
        <w:rPr/>
        <w:t>其他说明 无</w:t>
      </w:r>
    </w:p>
    <w:p>
      <w:pPr>
        <w:spacing w:line="240" w:lineRule="auto" w:before="12"/>
        <w:rPr>
          <w:rFonts w:ascii="宋体" w:hAnsi="宋体" w:cs="宋体" w:eastAsia="宋体" w:hint="default"/>
          <w:sz w:val="19"/>
          <w:szCs w:val="19"/>
        </w:rPr>
      </w:pPr>
    </w:p>
    <w:p>
      <w:pPr>
        <w:pStyle w:val="Heading3"/>
        <w:spacing w:line="240" w:lineRule="auto"/>
        <w:ind w:right="915"/>
        <w:jc w:val="left"/>
        <w:rPr>
          <w:b w:val="0"/>
          <w:bCs w:val="0"/>
        </w:rPr>
      </w:pPr>
      <w:bookmarkStart w:name="17、递延所得税资产/递延所得税负债" w:id="308"/>
      <w:bookmarkEnd w:id="308"/>
      <w:r>
        <w:rPr>
          <w:b w:val="0"/>
          <w:bCs w:val="0"/>
        </w:rPr>
      </w:r>
      <w:r>
        <w:rPr>
          <w:rFonts w:ascii="Times New Roman" w:hAnsi="Times New Roman" w:cs="Times New Roman" w:eastAsia="Times New Roman" w:hint="default"/>
        </w:rPr>
        <w:t>17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15"/>
        <w:jc w:val="left"/>
        <w:rPr>
          <w:b w:val="0"/>
          <w:bCs w:val="0"/>
        </w:rPr>
      </w:pPr>
      <w:bookmarkStart w:name="（1）未经抵销的递延所得税资产" w:id="309"/>
      <w:bookmarkEnd w:id="309"/>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3830"/>
        <w:gridCol w:w="3828"/>
      </w:tblGrid>
      <w:tr>
        <w:trPr>
          <w:trHeight w:val="400"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919" w:footer="1016"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58,521,450.59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6,886,694.16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47,510,664.97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7,204,234.84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2,173,445.67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326,016.85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4,237,946.37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423,794.64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6,223,859.60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622,385.96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4,625.91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693.89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1,265.76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189.86</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78"/>
              <w:jc w:val="left"/>
              <w:rPr>
                <w:rFonts w:ascii="宋体" w:hAnsi="宋体" w:cs="宋体" w:eastAsia="宋体" w:hint="default"/>
                <w:sz w:val="18"/>
                <w:szCs w:val="18"/>
              </w:rPr>
            </w:pPr>
            <w:r>
              <w:rPr>
                <w:rFonts w:ascii="宋体" w:hAnsi="宋体" w:cs="宋体" w:eastAsia="宋体" w:hint="default"/>
                <w:sz w:val="18"/>
                <w:szCs w:val="18"/>
              </w:rPr>
              <w:t>其他非流动金融资产 公允价值变动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5,475,420.00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821,313.00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1,222,000.00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122,200.00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71,634,888.54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8,580,712.54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53,735,790.33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7,826,810.66</w:t>
            </w:r>
          </w:p>
        </w:tc>
      </w:tr>
    </w:tbl>
    <w:p>
      <w:pPr>
        <w:spacing w:line="240" w:lineRule="auto" w:before="3"/>
        <w:rPr>
          <w:rFonts w:ascii="宋体" w:hAnsi="宋体" w:cs="宋体" w:eastAsia="宋体" w:hint="default"/>
          <w:sz w:val="19"/>
          <w:szCs w:val="19"/>
        </w:rPr>
      </w:pPr>
    </w:p>
    <w:p>
      <w:pPr>
        <w:pStyle w:val="Heading3"/>
        <w:spacing w:line="240" w:lineRule="auto" w:before="34"/>
        <w:ind w:right="915"/>
        <w:jc w:val="left"/>
        <w:rPr>
          <w:b w:val="0"/>
          <w:bCs w:val="0"/>
        </w:rPr>
      </w:pPr>
      <w:bookmarkStart w:name="（2）未经抵销的递延所得税负债" w:id="310"/>
      <w:bookmarkEnd w:id="310"/>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78"/>
              <w:jc w:val="left"/>
              <w:rPr>
                <w:rFonts w:ascii="宋体" w:hAnsi="宋体" w:cs="宋体" w:eastAsia="宋体" w:hint="default"/>
                <w:sz w:val="18"/>
                <w:szCs w:val="18"/>
              </w:rPr>
            </w:pPr>
            <w:r>
              <w:rPr>
                <w:rFonts w:ascii="宋体" w:hAnsi="宋体" w:cs="宋体" w:eastAsia="宋体" w:hint="default"/>
                <w:sz w:val="18"/>
                <w:szCs w:val="18"/>
              </w:rPr>
              <w:t>交易性金融资产公允 价值变动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557,329.88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51,338.30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1,421,635.20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140,864.89</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78"/>
              <w:jc w:val="left"/>
              <w:rPr>
                <w:rFonts w:ascii="宋体" w:hAnsi="宋体" w:cs="宋体" w:eastAsia="宋体" w:hint="default"/>
                <w:sz w:val="18"/>
                <w:szCs w:val="18"/>
              </w:rPr>
            </w:pPr>
            <w:r>
              <w:rPr>
                <w:rFonts w:ascii="宋体" w:hAnsi="宋体" w:cs="宋体" w:eastAsia="宋体" w:hint="default"/>
                <w:sz w:val="18"/>
                <w:szCs w:val="18"/>
              </w:rPr>
              <w:t>其他非流动金融资产 公允价值变动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131,224,600.00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13,122,460.00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131,781,929.88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13,173,798.30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1,421,635.20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140,864.89</w:t>
            </w:r>
          </w:p>
        </w:tc>
      </w:tr>
    </w:tbl>
    <w:p>
      <w:pPr>
        <w:spacing w:line="240" w:lineRule="auto" w:before="4"/>
        <w:rPr>
          <w:rFonts w:ascii="宋体" w:hAnsi="宋体" w:cs="宋体" w:eastAsia="宋体" w:hint="default"/>
          <w:sz w:val="19"/>
          <w:szCs w:val="19"/>
        </w:rPr>
      </w:pPr>
    </w:p>
    <w:p>
      <w:pPr>
        <w:pStyle w:val="Heading3"/>
        <w:spacing w:line="240" w:lineRule="auto" w:before="34"/>
        <w:ind w:right="915"/>
        <w:jc w:val="left"/>
        <w:rPr>
          <w:b w:val="0"/>
          <w:bCs w:val="0"/>
        </w:rPr>
      </w:pPr>
      <w:bookmarkStart w:name="（3）以抵销后净额列示的递延所得税资产或负债" w:id="311"/>
      <w:bookmarkEnd w:id="311"/>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3" w:right="140" w:hanging="180"/>
              <w:jc w:val="left"/>
              <w:rPr>
                <w:rFonts w:ascii="宋体" w:hAnsi="宋体" w:cs="宋体" w:eastAsia="宋体" w:hint="default"/>
                <w:sz w:val="18"/>
                <w:szCs w:val="18"/>
              </w:rPr>
            </w:pPr>
            <w:r>
              <w:rPr>
                <w:rFonts w:ascii="宋体" w:hAnsi="宋体" w:cs="宋体" w:eastAsia="宋体" w:hint="default"/>
                <w:sz w:val="18"/>
                <w:szCs w:val="18"/>
              </w:rPr>
              <w:t>递延所得税资产和负 债期末互抵金额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1" w:right="139" w:hanging="89"/>
              <w:jc w:val="left"/>
              <w:rPr>
                <w:rFonts w:ascii="宋体" w:hAnsi="宋体" w:cs="宋体" w:eastAsia="宋体" w:hint="default"/>
                <w:sz w:val="18"/>
                <w:szCs w:val="18"/>
              </w:rPr>
            </w:pPr>
            <w:r>
              <w:rPr>
                <w:rFonts w:ascii="宋体" w:hAnsi="宋体" w:cs="宋体" w:eastAsia="宋体" w:hint="default"/>
                <w:sz w:val="18"/>
                <w:szCs w:val="18"/>
              </w:rPr>
              <w:t>抵销后递延所得税资 产或负债期末余额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1" w:right="140" w:hanging="180"/>
              <w:jc w:val="left"/>
              <w:rPr>
                <w:rFonts w:ascii="宋体" w:hAnsi="宋体" w:cs="宋体" w:eastAsia="宋体" w:hint="default"/>
                <w:sz w:val="18"/>
                <w:szCs w:val="18"/>
              </w:rPr>
            </w:pPr>
            <w:r>
              <w:rPr>
                <w:rFonts w:ascii="宋体" w:hAnsi="宋体" w:cs="宋体" w:eastAsia="宋体" w:hint="default"/>
                <w:sz w:val="18"/>
                <w:szCs w:val="18"/>
              </w:rPr>
              <w:t>递延所得税资产和负 债期初互抵金额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1" w:right="139" w:hanging="89"/>
              <w:jc w:val="left"/>
              <w:rPr>
                <w:rFonts w:ascii="宋体" w:hAnsi="宋体" w:cs="宋体" w:eastAsia="宋体" w:hint="default"/>
                <w:sz w:val="18"/>
                <w:szCs w:val="18"/>
              </w:rPr>
            </w:pPr>
            <w:r>
              <w:rPr>
                <w:rFonts w:ascii="宋体" w:hAnsi="宋体" w:cs="宋体" w:eastAsia="宋体" w:hint="default"/>
                <w:sz w:val="18"/>
                <w:szCs w:val="18"/>
              </w:rPr>
              <w:t>抵销后递延所得税资 产或负债期初余额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8,580,712.54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7,826,810.66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13,173,798.30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140,864.89</w:t>
            </w:r>
          </w:p>
        </w:tc>
      </w:tr>
    </w:tbl>
    <w:p>
      <w:pPr>
        <w:spacing w:line="240" w:lineRule="auto" w:before="3"/>
        <w:rPr>
          <w:rFonts w:ascii="宋体" w:hAnsi="宋体" w:cs="宋体" w:eastAsia="宋体" w:hint="default"/>
          <w:sz w:val="19"/>
          <w:szCs w:val="19"/>
        </w:rPr>
      </w:pPr>
    </w:p>
    <w:p>
      <w:pPr>
        <w:pStyle w:val="Heading3"/>
        <w:spacing w:line="240" w:lineRule="auto" w:before="34"/>
        <w:ind w:right="915"/>
        <w:jc w:val="left"/>
        <w:rPr>
          <w:b w:val="0"/>
          <w:bCs w:val="0"/>
        </w:rPr>
      </w:pPr>
      <w:bookmarkStart w:name="（4）未确认递延所得税资产明细" w:id="312"/>
      <w:bookmarkEnd w:id="312"/>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90,733,506.52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19,714,163.00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9,515,827.51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110,447,669.52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9,515,827.51</w:t>
            </w:r>
          </w:p>
        </w:tc>
      </w:tr>
    </w:tbl>
    <w:p>
      <w:pPr>
        <w:spacing w:after="0" w:line="240" w:lineRule="auto"/>
        <w:jc w:val="right"/>
        <w:rPr>
          <w:rFonts w:ascii="Times New Roman" w:hAnsi="Times New Roman" w:cs="Times New Roman" w:eastAsia="Times New Roman" w:hint="default"/>
          <w:sz w:val="18"/>
          <w:szCs w:val="18"/>
        </w:rPr>
        <w:sectPr>
          <w:pgSz w:w="11910" w:h="16840"/>
          <w:pgMar w:header="919" w:footer="1016" w:top="1120" w:bottom="1200" w:left="1020" w:right="0"/>
        </w:sectPr>
      </w:pPr>
    </w:p>
    <w:p>
      <w:pPr>
        <w:spacing w:line="240" w:lineRule="auto" w:before="10"/>
        <w:rPr>
          <w:rFonts w:ascii="宋体" w:hAnsi="宋体" w:cs="宋体" w:eastAsia="宋体" w:hint="default"/>
          <w:sz w:val="19"/>
          <w:szCs w:val="19"/>
        </w:rPr>
      </w:pPr>
    </w:p>
    <w:p>
      <w:pPr>
        <w:pStyle w:val="Heading3"/>
        <w:spacing w:line="240" w:lineRule="auto" w:before="34"/>
        <w:ind w:right="915"/>
        <w:jc w:val="left"/>
        <w:rPr>
          <w:b w:val="0"/>
          <w:bCs w:val="0"/>
        </w:rPr>
      </w:pPr>
      <w:bookmarkStart w:name="（5）未确认递延所得税资产的可抵扣亏损将于以下年度到期" w:id="313"/>
      <w:bookmarkEnd w:id="313"/>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Times New Roman" w:hAnsi="Times New Roman" w:cs="Times New Roman" w:eastAsia="Times New Roman" w:hint="default"/>
                <w:sz w:val="18"/>
                <w:szCs w:val="18"/>
              </w:rPr>
            </w:pPr>
            <w:r>
              <w:rPr>
                <w:rFonts w:ascii="Times New Roman"/>
                <w:sz w:val="18"/>
              </w:rPr>
              <w:t>2020</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1" w:right="0"/>
              <w:jc w:val="left"/>
              <w:rPr>
                <w:rFonts w:ascii="Times New Roman" w:hAnsi="Times New Roman" w:cs="Times New Roman" w:eastAsia="Times New Roman" w:hint="default"/>
                <w:sz w:val="18"/>
                <w:szCs w:val="18"/>
              </w:rPr>
            </w:pPr>
            <w:r>
              <w:rPr>
                <w:rFonts w:ascii="Times New Roman"/>
                <w:sz w:val="18"/>
              </w:rPr>
              <w:t>2021</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5,632.44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5,632.44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Times New Roman" w:hAnsi="Times New Roman" w:cs="Times New Roman" w:eastAsia="Times New Roman" w:hint="default"/>
                <w:sz w:val="18"/>
                <w:szCs w:val="18"/>
              </w:rPr>
            </w:pPr>
            <w:r>
              <w:rPr>
                <w:rFonts w:ascii="Times New Roman"/>
                <w:sz w:val="18"/>
              </w:rPr>
              <w:t>2022</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3,266,461.87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3,266,461.87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1" w:right="0"/>
              <w:jc w:val="left"/>
              <w:rPr>
                <w:rFonts w:ascii="Times New Roman" w:hAnsi="Times New Roman" w:cs="Times New Roman" w:eastAsia="Times New Roman" w:hint="default"/>
                <w:sz w:val="18"/>
                <w:szCs w:val="18"/>
              </w:rPr>
            </w:pPr>
            <w:r>
              <w:rPr>
                <w:rFonts w:ascii="Times New Roman"/>
                <w:sz w:val="18"/>
              </w:rPr>
              <w:t>2023</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6,243,733.20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6,243,733.20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left"/>
              <w:rPr>
                <w:rFonts w:ascii="Times New Roman" w:hAnsi="Times New Roman" w:cs="Times New Roman" w:eastAsia="Times New Roman" w:hint="default"/>
                <w:sz w:val="18"/>
                <w:szCs w:val="18"/>
              </w:rPr>
            </w:pPr>
            <w:r>
              <w:rPr>
                <w:rFonts w:ascii="Times New Roman"/>
                <w:sz w:val="18"/>
              </w:rPr>
              <w:t>2024</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10,198,335.49</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19,714,163.00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9,515,827.51</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60" w:lineRule="auto" w:before="51"/>
        <w:ind w:right="9854"/>
        <w:jc w:val="left"/>
      </w:pPr>
      <w:r>
        <w:rPr/>
        <w:t>其他说明： 无</w:t>
      </w:r>
    </w:p>
    <w:p>
      <w:pPr>
        <w:spacing w:line="240" w:lineRule="auto" w:before="12"/>
        <w:rPr>
          <w:rFonts w:ascii="宋体" w:hAnsi="宋体" w:cs="宋体" w:eastAsia="宋体" w:hint="default"/>
          <w:sz w:val="19"/>
          <w:szCs w:val="19"/>
        </w:rPr>
      </w:pPr>
    </w:p>
    <w:p>
      <w:pPr>
        <w:pStyle w:val="Heading3"/>
        <w:spacing w:line="240" w:lineRule="auto"/>
        <w:ind w:right="915"/>
        <w:jc w:val="left"/>
        <w:rPr>
          <w:b w:val="0"/>
          <w:bCs w:val="0"/>
        </w:rPr>
      </w:pPr>
      <w:bookmarkStart w:name="18、其他非流动资产" w:id="314"/>
      <w:bookmarkEnd w:id="314"/>
      <w:r>
        <w:rPr>
          <w:b w:val="0"/>
          <w:bCs w:val="0"/>
        </w:rPr>
      </w:r>
      <w:r>
        <w:rPr>
          <w:rFonts w:ascii="Times New Roman" w:hAnsi="Times New Roman" w:cs="Times New Roman" w:eastAsia="Times New Roman" w:hint="default"/>
        </w:rPr>
        <w:t>18</w:t>
      </w:r>
      <w:r>
        <w:rPr/>
        <w:t>、其他非流动资产</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19" w:footer="1016" w:top="1120" w:bottom="1200" w:left="1020" w:right="0"/>
        </w:sectPr>
      </w:pPr>
    </w:p>
    <w:p>
      <w:pPr>
        <w:pStyle w:val="BodyText"/>
        <w:spacing w:line="240" w:lineRule="auto" w:before="44"/>
        <w:ind w:right="-20"/>
        <w:jc w:val="left"/>
      </w:pPr>
      <w:r>
        <w:rPr/>
        <w:t>是否已执行新收入准则</w:t>
      </w:r>
    </w:p>
    <w:p>
      <w:pPr>
        <w:pStyle w:val="BodyText"/>
        <w:spacing w:line="240" w:lineRule="auto" w:before="117"/>
        <w:ind w:right="-20"/>
        <w:jc w:val="left"/>
      </w:pPr>
      <w:r>
        <w:rPr/>
        <w:t>□ 是 √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100" w:bottom="1200" w:left="1020" w:right="0"/>
          <w:cols w:num="2" w:equalWidth="0">
            <w:col w:w="1913" w:space="6916"/>
            <w:col w:w="2061"/>
          </w:cols>
        </w:sectPr>
      </w:pP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购房认筹诚意金</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4,710,850.17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4,710,850.17</w:t>
            </w:r>
          </w:p>
        </w:tc>
      </w:tr>
    </w:tbl>
    <w:p>
      <w:pPr>
        <w:pStyle w:val="BodyText"/>
        <w:spacing w:line="360" w:lineRule="auto" w:before="49"/>
        <w:ind w:right="9854"/>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915"/>
        <w:jc w:val="left"/>
        <w:rPr>
          <w:b w:val="0"/>
          <w:bCs w:val="0"/>
        </w:rPr>
      </w:pPr>
      <w:bookmarkStart w:name="19、短期借款" w:id="315"/>
      <w:bookmarkEnd w:id="315"/>
      <w:r>
        <w:rPr>
          <w:b w:val="0"/>
          <w:bCs w:val="0"/>
        </w:rPr>
      </w:r>
      <w:r>
        <w:rPr>
          <w:rFonts w:ascii="Times New Roman" w:hAnsi="Times New Roman" w:cs="Times New Roman" w:eastAsia="Times New Roman" w:hint="default"/>
        </w:rPr>
        <w:t>19</w:t>
      </w:r>
      <w:r>
        <w:rPr/>
        <w:t>、短期借款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15"/>
        <w:jc w:val="left"/>
        <w:rPr>
          <w:b w:val="0"/>
          <w:bCs w:val="0"/>
        </w:rPr>
      </w:pPr>
      <w:bookmarkStart w:name="（1）短期借款分类" w:id="316"/>
      <w:bookmarkEnd w:id="316"/>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100,144,879.17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185,000,000.00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50,062,954.09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150,207,833.26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235,000,000.00</w:t>
            </w:r>
          </w:p>
        </w:tc>
      </w:tr>
    </w:tbl>
    <w:p>
      <w:pPr>
        <w:pStyle w:val="BodyText"/>
        <w:spacing w:line="240" w:lineRule="auto" w:before="51"/>
        <w:ind w:right="915"/>
        <w:jc w:val="left"/>
      </w:pPr>
      <w:r>
        <w:rPr/>
        <w:t>短期借款分类的说明：</w:t>
      </w:r>
    </w:p>
    <w:p>
      <w:pPr>
        <w:spacing w:line="240" w:lineRule="auto" w:before="10"/>
        <w:rPr>
          <w:rFonts w:ascii="宋体" w:hAnsi="宋体" w:cs="宋体" w:eastAsia="宋体" w:hint="default"/>
          <w:sz w:val="17"/>
          <w:szCs w:val="17"/>
        </w:rPr>
      </w:pPr>
    </w:p>
    <w:p>
      <w:pPr>
        <w:pStyle w:val="BodyText"/>
        <w:spacing w:line="316" w:lineRule="auto"/>
        <w:ind w:right="915" w:firstLine="360"/>
        <w:jc w:val="left"/>
      </w:pPr>
      <w:r>
        <w:rPr>
          <w:spacing w:val="-2"/>
        </w:rPr>
        <w:t>注1：2019年3月22日，本公司与中国银行股份有限公司深圳中心区支行签订流动资金借款合同，借款金额为2,500万元，</w:t>
      </w:r>
      <w:r>
        <w:rPr/>
        <w:t> 借款期限为首次提款日起12个月，借款利率为浮动利率，根据按实际提款日前一工作日基准利率上报价平均利率加25.75基</w:t>
      </w:r>
      <w:r>
        <w:rPr>
          <w:spacing w:val="-86"/>
        </w:rPr>
        <w:t> </w:t>
      </w:r>
      <w:r>
        <w:rPr>
          <w:spacing w:val="-86"/>
        </w:rPr>
      </w:r>
      <w:r>
        <w:rPr/>
        <w:t>点确定，该笔借款为信用借款。</w:t>
      </w:r>
    </w:p>
    <w:p>
      <w:pPr>
        <w:spacing w:line="240" w:lineRule="auto" w:before="5"/>
        <w:rPr>
          <w:rFonts w:ascii="宋体" w:hAnsi="宋体" w:cs="宋体" w:eastAsia="宋体" w:hint="default"/>
          <w:sz w:val="13"/>
          <w:szCs w:val="13"/>
        </w:rPr>
      </w:pPr>
    </w:p>
    <w:p>
      <w:pPr>
        <w:pStyle w:val="BodyText"/>
        <w:spacing w:line="240" w:lineRule="auto"/>
        <w:ind w:left="472" w:right="915"/>
        <w:jc w:val="left"/>
      </w:pPr>
      <w:r>
        <w:rPr/>
        <w:t>注2：2019年4月18日，本公司与中国银行股份有限公司深圳中心区支行签订流动资金借款合同，借款金额为2,500万元，</w:t>
      </w:r>
    </w:p>
    <w:p>
      <w:pPr>
        <w:spacing w:after="0" w:line="240" w:lineRule="auto"/>
        <w:jc w:val="left"/>
        <w:sectPr>
          <w:type w:val="continuous"/>
          <w:pgSz w:w="11910" w:h="16840"/>
          <w:pgMar w:top="1100" w:bottom="1200" w:left="1020" w:right="0"/>
        </w:sectPr>
      </w:pPr>
    </w:p>
    <w:p>
      <w:pPr>
        <w:spacing w:line="240" w:lineRule="auto" w:before="12"/>
        <w:rPr>
          <w:rFonts w:ascii="宋体" w:hAnsi="宋体" w:cs="宋体" w:eastAsia="宋体" w:hint="default"/>
          <w:sz w:val="20"/>
          <w:szCs w:val="20"/>
        </w:rPr>
      </w:pPr>
    </w:p>
    <w:p>
      <w:pPr>
        <w:pStyle w:val="BodyText"/>
        <w:spacing w:line="316" w:lineRule="auto" w:before="44"/>
        <w:ind w:right="1124"/>
        <w:jc w:val="left"/>
      </w:pPr>
      <w:r>
        <w:rPr/>
        <w:t>借款期限为首次提款日起12个月，借款利率为浮动利率，根据按实际提款日前一工作日基准利率上报价平均利率加25.75基</w:t>
      </w:r>
      <w:r>
        <w:rPr>
          <w:spacing w:val="-86"/>
        </w:rPr>
        <w:t> </w:t>
      </w:r>
      <w:r>
        <w:rPr>
          <w:spacing w:val="-86"/>
        </w:rPr>
      </w:r>
      <w:r>
        <w:rPr/>
        <w:t>点确定，该笔借款为信用借款。</w:t>
      </w:r>
    </w:p>
    <w:p>
      <w:pPr>
        <w:spacing w:line="240" w:lineRule="auto" w:before="5"/>
        <w:rPr>
          <w:rFonts w:ascii="宋体" w:hAnsi="宋体" w:cs="宋体" w:eastAsia="宋体" w:hint="default"/>
          <w:sz w:val="13"/>
          <w:szCs w:val="13"/>
        </w:rPr>
      </w:pPr>
    </w:p>
    <w:p>
      <w:pPr>
        <w:pStyle w:val="BodyText"/>
        <w:spacing w:line="316" w:lineRule="auto"/>
        <w:ind w:right="915" w:firstLine="360"/>
        <w:jc w:val="left"/>
      </w:pPr>
      <w:r>
        <w:rPr>
          <w:spacing w:val="-2"/>
        </w:rPr>
        <w:t>注3：2019年9月17日，本公司子公司上海赢量信息科技有限公司与北京银行上海分行签订借款合同，借款金额为人民币</w:t>
      </w:r>
      <w:r>
        <w:rPr/>
        <w:t> 5,000万元，借款期限为首次提款日起1年，借款利率为4.785%。该笔借款由本公司作为保证人。</w:t>
      </w:r>
    </w:p>
    <w:p>
      <w:pPr>
        <w:spacing w:line="240" w:lineRule="auto" w:before="5"/>
        <w:rPr>
          <w:rFonts w:ascii="宋体" w:hAnsi="宋体" w:cs="宋体" w:eastAsia="宋体" w:hint="default"/>
          <w:sz w:val="13"/>
          <w:szCs w:val="13"/>
        </w:rPr>
      </w:pPr>
    </w:p>
    <w:p>
      <w:pPr>
        <w:pStyle w:val="BodyText"/>
        <w:spacing w:line="316" w:lineRule="auto"/>
        <w:ind w:right="915" w:firstLine="360"/>
        <w:jc w:val="left"/>
      </w:pPr>
      <w:r>
        <w:rPr>
          <w:spacing w:val="-2"/>
        </w:rPr>
        <w:t>注4：2019年9月27日，本公司子公司上海赢量信息科技有限公司与北京银行上海分行签订借款合同，借款金额为人民币</w:t>
      </w:r>
      <w:r>
        <w:rPr/>
        <w:t> 5,000万元，借款期限为首次提款日起1年，借款利率为4.698%。该笔借款由本公司作为保证人。</w:t>
      </w:r>
    </w:p>
    <w:p>
      <w:pPr>
        <w:spacing w:line="240" w:lineRule="auto" w:before="6"/>
        <w:rPr>
          <w:rFonts w:ascii="宋体" w:hAnsi="宋体" w:cs="宋体" w:eastAsia="宋体" w:hint="default"/>
          <w:sz w:val="22"/>
          <w:szCs w:val="22"/>
        </w:rPr>
      </w:pPr>
    </w:p>
    <w:p>
      <w:pPr>
        <w:pStyle w:val="Heading3"/>
        <w:spacing w:line="240" w:lineRule="auto"/>
        <w:ind w:right="915"/>
        <w:jc w:val="left"/>
        <w:rPr>
          <w:b w:val="0"/>
          <w:bCs w:val="0"/>
        </w:rPr>
      </w:pPr>
      <w:bookmarkStart w:name="（2）已逾期未偿还的短期借款情况" w:id="317"/>
      <w:bookmarkEnd w:id="317"/>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915"/>
        <w:jc w:val="left"/>
      </w:pPr>
      <w:r>
        <w:rPr/>
        <w:t>本期末已逾期未偿还的短期借款总额为元，其中重要的已逾期未偿还的短期借款情况如下：</w:t>
      </w:r>
    </w:p>
    <w:p>
      <w:pPr>
        <w:pStyle w:val="BodyText"/>
        <w:spacing w:line="240" w:lineRule="auto" w:before="117"/>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357" w:lineRule="auto" w:before="51"/>
        <w:ind w:right="9854"/>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915"/>
        <w:jc w:val="left"/>
        <w:rPr>
          <w:b w:val="0"/>
          <w:bCs w:val="0"/>
        </w:rPr>
      </w:pPr>
      <w:bookmarkStart w:name="20、衍生金融负债" w:id="318"/>
      <w:bookmarkEnd w:id="318"/>
      <w:r>
        <w:rPr>
          <w:b w:val="0"/>
          <w:bCs w:val="0"/>
        </w:rPr>
      </w:r>
      <w:r>
        <w:rPr>
          <w:rFonts w:ascii="Times New Roman" w:hAnsi="Times New Roman" w:cs="Times New Roman" w:eastAsia="Times New Roman" w:hint="default"/>
        </w:rPr>
        <w:t>20</w:t>
      </w:r>
      <w:r>
        <w:rPr/>
        <w:t>、衍生金融负债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0"/>
        <w:ind w:right="915"/>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915"/>
        <w:jc w:val="left"/>
        <w:rPr>
          <w:b w:val="0"/>
          <w:bCs w:val="0"/>
        </w:rPr>
      </w:pPr>
      <w:bookmarkStart w:name="21、应付账款" w:id="319"/>
      <w:bookmarkEnd w:id="319"/>
      <w:r>
        <w:rPr>
          <w:b w:val="0"/>
          <w:bCs w:val="0"/>
        </w:rPr>
      </w:r>
      <w:r>
        <w:rPr>
          <w:rFonts w:ascii="Times New Roman" w:hAnsi="Times New Roman" w:cs="Times New Roman" w:eastAsia="Times New Roman" w:hint="default"/>
        </w:rPr>
        <w:t>21</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15"/>
        <w:jc w:val="left"/>
        <w:rPr>
          <w:b w:val="0"/>
          <w:bCs w:val="0"/>
        </w:rPr>
      </w:pPr>
      <w:bookmarkStart w:name="（1）应付账款列示" w:id="320"/>
      <w:bookmarkEnd w:id="320"/>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软件采购款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48,543.69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66,279.54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固定资产采购款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28,448.28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装修款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698,180.90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1,782,824.49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119,685.92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153,990.85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936,410.51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2,031,543.16</w:t>
            </w:r>
          </w:p>
        </w:tc>
      </w:tr>
    </w:tbl>
    <w:p>
      <w:pPr>
        <w:spacing w:line="240" w:lineRule="auto" w:before="3"/>
        <w:rPr>
          <w:rFonts w:ascii="宋体" w:hAnsi="宋体" w:cs="宋体" w:eastAsia="宋体" w:hint="default"/>
          <w:sz w:val="19"/>
          <w:szCs w:val="19"/>
        </w:rPr>
      </w:pPr>
    </w:p>
    <w:p>
      <w:pPr>
        <w:pStyle w:val="Heading3"/>
        <w:spacing w:line="240" w:lineRule="auto" w:before="34"/>
        <w:ind w:right="915"/>
        <w:jc w:val="left"/>
        <w:rPr>
          <w:b w:val="0"/>
          <w:bCs w:val="0"/>
        </w:rPr>
      </w:pPr>
      <w:bookmarkStart w:name="（2）账龄超过1年的重要应付账款" w:id="321"/>
      <w:bookmarkEnd w:id="321"/>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年的重要应付账款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7"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360" w:lineRule="auto" w:before="50"/>
        <w:ind w:right="9854"/>
        <w:jc w:val="left"/>
      </w:pPr>
      <w:r>
        <w:rPr/>
        <w:t>其他说明： 无</w:t>
      </w:r>
    </w:p>
    <w:p>
      <w:pPr>
        <w:spacing w:after="0" w:line="360" w:lineRule="auto"/>
        <w:jc w:val="left"/>
        <w:sectPr>
          <w:pgSz w:w="11910" w:h="16840"/>
          <w:pgMar w:header="919" w:footer="1016" w:top="1120" w:bottom="1200" w:left="1020" w:right="0"/>
        </w:sectPr>
      </w:pPr>
    </w:p>
    <w:p>
      <w:pPr>
        <w:spacing w:line="240" w:lineRule="auto" w:before="10"/>
        <w:rPr>
          <w:rFonts w:ascii="宋体" w:hAnsi="宋体" w:cs="宋体" w:eastAsia="宋体" w:hint="default"/>
          <w:sz w:val="19"/>
          <w:szCs w:val="19"/>
        </w:rPr>
      </w:pPr>
    </w:p>
    <w:p>
      <w:pPr>
        <w:pStyle w:val="Heading3"/>
        <w:spacing w:line="240" w:lineRule="auto" w:before="34"/>
        <w:ind w:right="915"/>
        <w:jc w:val="left"/>
        <w:rPr>
          <w:b w:val="0"/>
          <w:bCs w:val="0"/>
        </w:rPr>
      </w:pPr>
      <w:bookmarkStart w:name="22、预收款项" w:id="322"/>
      <w:bookmarkEnd w:id="322"/>
      <w:r>
        <w:rPr>
          <w:b w:val="0"/>
          <w:bCs w:val="0"/>
        </w:rPr>
      </w:r>
      <w:r>
        <w:rPr>
          <w:rFonts w:ascii="Times New Roman" w:hAnsi="Times New Roman" w:cs="Times New Roman" w:eastAsia="Times New Roman" w:hint="default"/>
        </w:rPr>
        <w:t>22</w:t>
      </w:r>
      <w:r>
        <w:rPr/>
        <w:t>、预收款项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15"/>
        <w:jc w:val="left"/>
      </w:pPr>
      <w:r>
        <w:rPr/>
        <w:t>是否已执行新收入准则</w:t>
      </w:r>
    </w:p>
    <w:p>
      <w:pPr>
        <w:pStyle w:val="BodyText"/>
        <w:spacing w:line="240" w:lineRule="auto" w:before="117"/>
        <w:ind w:right="915"/>
        <w:jc w:val="left"/>
      </w:pPr>
      <w:r>
        <w:rPr/>
        <w:t>□ 是 √ 否</w:t>
      </w:r>
    </w:p>
    <w:p>
      <w:pPr>
        <w:spacing w:line="240" w:lineRule="auto" w:before="11"/>
        <w:rPr>
          <w:rFonts w:ascii="宋体" w:hAnsi="宋体" w:cs="宋体" w:eastAsia="宋体" w:hint="default"/>
          <w:sz w:val="26"/>
          <w:szCs w:val="26"/>
        </w:rPr>
      </w:pPr>
    </w:p>
    <w:p>
      <w:pPr>
        <w:pStyle w:val="Heading3"/>
        <w:spacing w:line="240" w:lineRule="auto"/>
        <w:ind w:right="915"/>
        <w:jc w:val="left"/>
        <w:rPr>
          <w:b w:val="0"/>
          <w:bCs w:val="0"/>
        </w:rPr>
      </w:pPr>
      <w:bookmarkStart w:name="（1）预收款项列示" w:id="323"/>
      <w:bookmarkEnd w:id="323"/>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预收合同款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9,957,885.41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6,343,320.00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预收租金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293,909.68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235,828.01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10,251,795.09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6,579,148.01</w:t>
            </w:r>
          </w:p>
        </w:tc>
      </w:tr>
    </w:tbl>
    <w:p>
      <w:pPr>
        <w:spacing w:line="240" w:lineRule="auto" w:before="4"/>
        <w:rPr>
          <w:rFonts w:ascii="宋体" w:hAnsi="宋体" w:cs="宋体" w:eastAsia="宋体" w:hint="default"/>
          <w:sz w:val="19"/>
          <w:szCs w:val="19"/>
        </w:rPr>
      </w:pPr>
    </w:p>
    <w:p>
      <w:pPr>
        <w:pStyle w:val="Heading3"/>
        <w:spacing w:line="240" w:lineRule="auto" w:before="34"/>
        <w:ind w:right="915"/>
        <w:jc w:val="left"/>
        <w:rPr>
          <w:b w:val="0"/>
          <w:bCs w:val="0"/>
        </w:rPr>
      </w:pPr>
      <w:bookmarkStart w:name="（2）账龄超过1年的重要预收款项" w:id="324"/>
      <w:bookmarkEnd w:id="324"/>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年的重要预收款项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7"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预收软件款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299,566.30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299,566.30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4"/>
        <w:ind w:right="915"/>
        <w:jc w:val="left"/>
        <w:rPr>
          <w:b w:val="0"/>
          <w:bCs w:val="0"/>
        </w:rPr>
      </w:pPr>
      <w:bookmarkStart w:name="（3）期末建造合同形成的已结算未完工项目情况" w:id="325"/>
      <w:bookmarkEnd w:id="325"/>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8"/>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3;width:4774;height:397" coordorigin="13,13" coordsize="4774,397">
              <v:shape style="position:absolute;left:13;top:13;width:4774;height:397" coordorigin="13,13" coordsize="4774,397" path="m13,13l4787,13,4787,410,13,410,13,13xe" filled="true" fillcolor="#d2d2d2" stroked="false">
                <v:path arrowok="t"/>
                <v:fill type="solid"/>
              </v:shape>
            </v:group>
            <v:group style="position:absolute;left:4792;top:13;width:4784;height:397" coordorigin="4792,13" coordsize="4784,397">
              <v:shape style="position:absolute;left:4792;top:13;width:4784;height:397" coordorigin="4792,13" coordsize="4784,397" path="m4792,13l9576,13,9576,410,4792,410,4792,13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89;top:5;width:2;height:402" coordorigin="4789,5" coordsize="2,402">
              <v:shape style="position:absolute;left:4789;top:5;width:2;height:402" coordorigin="4789,5" coordsize="0,402" path="m4789,5l4789,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19;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7002;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pStyle w:val="BodyText"/>
        <w:spacing w:line="357" w:lineRule="auto" w:before="52"/>
        <w:ind w:right="9854"/>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915"/>
        <w:jc w:val="left"/>
        <w:rPr>
          <w:b w:val="0"/>
          <w:bCs w:val="0"/>
        </w:rPr>
      </w:pPr>
      <w:bookmarkStart w:name="23、应付职工薪酬" w:id="326"/>
      <w:bookmarkEnd w:id="326"/>
      <w:r>
        <w:rPr>
          <w:b w:val="0"/>
          <w:bCs w:val="0"/>
        </w:rPr>
      </w:r>
      <w:r>
        <w:rPr>
          <w:rFonts w:ascii="Times New Roman" w:hAnsi="Times New Roman" w:cs="Times New Roman" w:eastAsia="Times New Roman" w:hint="default"/>
        </w:rPr>
        <w:t>23</w:t>
      </w:r>
      <w:r>
        <w:rPr/>
        <w:t>、应付职工薪酬</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15"/>
        <w:jc w:val="left"/>
        <w:rPr>
          <w:b w:val="0"/>
          <w:bCs w:val="0"/>
        </w:rPr>
      </w:pPr>
      <w:bookmarkStart w:name="（1）应付职工薪酬列示" w:id="327"/>
      <w:bookmarkEnd w:id="327"/>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25,656,693.81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424,192,468.78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409,162,347.37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40,686,815.22</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18"/>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 提存计划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1,637,921.22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18,928,432.42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18,999,711.99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1,566,641.65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504,000.00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504,000.00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27,294,615.03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443,624,901.20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428,666,059.36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42,253,456.87</w:t>
            </w:r>
          </w:p>
        </w:tc>
      </w:tr>
    </w:tbl>
    <w:p>
      <w:pPr>
        <w:spacing w:after="0" w:line="240" w:lineRule="auto"/>
        <w:jc w:val="right"/>
        <w:rPr>
          <w:rFonts w:ascii="Times New Roman" w:hAnsi="Times New Roman" w:cs="Times New Roman" w:eastAsia="Times New Roman" w:hint="default"/>
          <w:sz w:val="18"/>
          <w:szCs w:val="18"/>
        </w:rPr>
        <w:sectPr>
          <w:pgSz w:w="11910" w:h="16840"/>
          <w:pgMar w:header="919" w:footer="1016" w:top="1120" w:bottom="1200" w:left="1020" w:right="0"/>
        </w:sectPr>
      </w:pPr>
    </w:p>
    <w:p>
      <w:pPr>
        <w:spacing w:line="240" w:lineRule="auto" w:before="10"/>
        <w:rPr>
          <w:rFonts w:ascii="宋体" w:hAnsi="宋体" w:cs="宋体" w:eastAsia="宋体" w:hint="default"/>
          <w:sz w:val="19"/>
          <w:szCs w:val="19"/>
        </w:rPr>
      </w:pPr>
    </w:p>
    <w:p>
      <w:pPr>
        <w:pStyle w:val="Heading3"/>
        <w:spacing w:line="240" w:lineRule="auto" w:before="34"/>
        <w:ind w:right="915"/>
        <w:jc w:val="left"/>
        <w:rPr>
          <w:b w:val="0"/>
          <w:bCs w:val="0"/>
        </w:rPr>
      </w:pPr>
      <w:bookmarkStart w:name="（2）短期薪酬列示" w:id="328"/>
      <w:bookmarkEnd w:id="328"/>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0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、工资、奖金、津贴</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和补贴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23,904,096.73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384,479,856.04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373,311,395.35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35,072,557.42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17,627,457.15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13,953,028.32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3,674,428.83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1,123,638.18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14,254,669.01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2"/>
                <w:sz w:val="18"/>
              </w:rPr>
              <w:t>14,112,858.38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1,265,448.81</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2" w:right="0"/>
              <w:jc w:val="left"/>
              <w:rPr>
                <w:rFonts w:ascii="宋体" w:hAnsi="宋体" w:cs="宋体" w:eastAsia="宋体" w:hint="default"/>
                <w:sz w:val="18"/>
                <w:szCs w:val="18"/>
              </w:rPr>
            </w:pPr>
            <w:r>
              <w:rPr>
                <w:rFonts w:ascii="宋体" w:hAnsi="宋体" w:cs="宋体" w:eastAsia="宋体" w:hint="default"/>
                <w:sz w:val="18"/>
                <w:szCs w:val="18"/>
              </w:rPr>
              <w:t>其中：医疗保险</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1,029,936.73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12,928,567.27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12,799,659.57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1,158,844.43</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工伤保险</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23,972.15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233,179.01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231,828.75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25,322.41</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2" w:right="0"/>
              <w:jc w:val="left"/>
              <w:rPr>
                <w:rFonts w:ascii="宋体" w:hAnsi="宋体" w:cs="宋体" w:eastAsia="宋体" w:hint="default"/>
                <w:sz w:val="18"/>
                <w:szCs w:val="18"/>
              </w:rPr>
            </w:pPr>
            <w:r>
              <w:rPr>
                <w:rFonts w:ascii="宋体" w:hAnsi="宋体" w:cs="宋体" w:eastAsia="宋体" w:hint="default"/>
                <w:sz w:val="18"/>
                <w:szCs w:val="18"/>
              </w:rPr>
              <w:t>生育保险</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69,729.30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1,092,922.73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1,081,370.06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81,281.97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628,958.90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7,720,514.58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7,675,093.32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674,380.16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、其他短期薪酬</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109,972.00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109,972.00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25,656,693.81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424,192,468.78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409,162,347.37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40,686,815.22</w:t>
            </w:r>
          </w:p>
        </w:tc>
      </w:tr>
    </w:tbl>
    <w:p>
      <w:pPr>
        <w:spacing w:line="240" w:lineRule="auto" w:before="3"/>
        <w:rPr>
          <w:rFonts w:ascii="宋体" w:hAnsi="宋体" w:cs="宋体" w:eastAsia="宋体" w:hint="default"/>
          <w:sz w:val="19"/>
          <w:szCs w:val="19"/>
        </w:rPr>
      </w:pPr>
    </w:p>
    <w:p>
      <w:pPr>
        <w:pStyle w:val="Heading3"/>
        <w:spacing w:line="240" w:lineRule="auto" w:before="34"/>
        <w:ind w:right="915"/>
        <w:jc w:val="left"/>
        <w:rPr>
          <w:b w:val="0"/>
          <w:bCs w:val="0"/>
        </w:rPr>
      </w:pPr>
      <w:bookmarkStart w:name="（3）设定提存计划列示" w:id="329"/>
      <w:bookmarkEnd w:id="329"/>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1,585,546.38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18,208,928.78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18,286,072.79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1,508,402.37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52,374.84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719,503.64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713,639.20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58,239.28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1,637,921.22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18,928,432.42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18,999,711.99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1,566,641.65</w:t>
            </w:r>
          </w:p>
        </w:tc>
      </w:tr>
    </w:tbl>
    <w:p>
      <w:pPr>
        <w:pStyle w:val="BodyText"/>
        <w:spacing w:line="357" w:lineRule="auto" w:before="50"/>
        <w:ind w:right="9854"/>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915"/>
        <w:jc w:val="left"/>
        <w:rPr>
          <w:b w:val="0"/>
          <w:bCs w:val="0"/>
        </w:rPr>
      </w:pPr>
      <w:bookmarkStart w:name="24、应交税费" w:id="330"/>
      <w:bookmarkEnd w:id="330"/>
      <w:r>
        <w:rPr>
          <w:b w:val="0"/>
          <w:bCs w:val="0"/>
        </w:rPr>
      </w:r>
      <w:r>
        <w:rPr>
          <w:rFonts w:ascii="Times New Roman" w:hAnsi="Times New Roman" w:cs="Times New Roman" w:eastAsia="Times New Roman" w:hint="default"/>
        </w:rPr>
        <w:t>24</w:t>
      </w:r>
      <w:r>
        <w:rPr/>
        <w:t>、应交税费</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51,065,712.87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40,989,392.99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3,309,376.20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13,051,361.57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1,978,088.63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1,463,585.25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166,901.24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191,955.84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306,128.17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306,128.17</w:t>
            </w:r>
          </w:p>
        </w:tc>
      </w:tr>
      <w:tr>
        <w:trPr>
          <w:trHeight w:val="400"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220,644.74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269,420.89</w:t>
            </w:r>
          </w:p>
        </w:tc>
      </w:tr>
    </w:tbl>
    <w:p>
      <w:pPr>
        <w:spacing w:after="0" w:line="240" w:lineRule="auto"/>
        <w:jc w:val="right"/>
        <w:rPr>
          <w:rFonts w:ascii="Times New Roman" w:hAnsi="Times New Roman" w:cs="Times New Roman" w:eastAsia="Times New Roman" w:hint="default"/>
          <w:sz w:val="18"/>
          <w:szCs w:val="18"/>
        </w:rPr>
        <w:sectPr>
          <w:footerReference w:type="default" r:id="rId34"/>
          <w:pgSz w:w="11910" w:h="16840"/>
          <w:pgMar w:footer="1016" w:header="919" w:top="1120" w:bottom="1200" w:left="1020" w:right="0"/>
          <w:pgNumType w:start="17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堤围费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9,516.25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9,516.25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1,179,730.42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1,168,455.16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58,236,098.52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57,449,816.12</w:t>
            </w:r>
          </w:p>
        </w:tc>
      </w:tr>
    </w:tbl>
    <w:p>
      <w:pPr>
        <w:pStyle w:val="BodyText"/>
        <w:spacing w:line="360" w:lineRule="auto" w:before="51"/>
        <w:ind w:right="9854"/>
        <w:jc w:val="left"/>
      </w:pPr>
      <w:r>
        <w:rPr/>
        <w:t>其他说明： 无</w:t>
      </w:r>
    </w:p>
    <w:p>
      <w:pPr>
        <w:spacing w:line="240" w:lineRule="auto" w:before="12"/>
        <w:rPr>
          <w:rFonts w:ascii="宋体" w:hAnsi="宋体" w:cs="宋体" w:eastAsia="宋体" w:hint="default"/>
          <w:sz w:val="19"/>
          <w:szCs w:val="19"/>
        </w:rPr>
      </w:pPr>
    </w:p>
    <w:p>
      <w:pPr>
        <w:pStyle w:val="Heading3"/>
        <w:spacing w:line="240" w:lineRule="auto"/>
        <w:ind w:right="915"/>
        <w:jc w:val="left"/>
        <w:rPr>
          <w:b w:val="0"/>
          <w:bCs w:val="0"/>
        </w:rPr>
      </w:pPr>
      <w:bookmarkStart w:name="25、其他应付款" w:id="331"/>
      <w:bookmarkEnd w:id="331"/>
      <w:r>
        <w:rPr>
          <w:b w:val="0"/>
          <w:bCs w:val="0"/>
        </w:rPr>
      </w:r>
      <w:r>
        <w:rPr>
          <w:rFonts w:ascii="Times New Roman" w:hAnsi="Times New Roman" w:cs="Times New Roman" w:eastAsia="Times New Roman" w:hint="default"/>
        </w:rPr>
        <w:t>25</w:t>
      </w:r>
      <w:r>
        <w:rPr/>
        <w:t>、其他应付款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380,107.47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26,465,946.74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39,288,052.74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26,465,946.74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39,668,160.21</w:t>
            </w:r>
          </w:p>
        </w:tc>
      </w:tr>
    </w:tbl>
    <w:p>
      <w:pPr>
        <w:spacing w:line="240" w:lineRule="auto" w:before="3"/>
        <w:rPr>
          <w:rFonts w:ascii="宋体" w:hAnsi="宋体" w:cs="宋体" w:eastAsia="宋体" w:hint="default"/>
          <w:sz w:val="19"/>
          <w:szCs w:val="19"/>
        </w:rPr>
      </w:pPr>
    </w:p>
    <w:p>
      <w:pPr>
        <w:pStyle w:val="Heading3"/>
        <w:spacing w:line="240" w:lineRule="auto" w:before="34"/>
        <w:ind w:right="915"/>
        <w:jc w:val="left"/>
        <w:rPr>
          <w:b w:val="0"/>
          <w:bCs w:val="0"/>
        </w:rPr>
      </w:pPr>
      <w:bookmarkStart w:name="（1）应付利息" w:id="332"/>
      <w:bookmarkEnd w:id="332"/>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7,033.54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373,073.93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380,107.47</w:t>
            </w:r>
          </w:p>
        </w:tc>
      </w:tr>
    </w:tbl>
    <w:p>
      <w:pPr>
        <w:pStyle w:val="BodyText"/>
        <w:spacing w:line="240" w:lineRule="auto" w:before="50"/>
        <w:ind w:right="915"/>
        <w:jc w:val="left"/>
      </w:pPr>
      <w:r>
        <w:rPr/>
        <w:t>重要的已逾期未支付的利息情况：</w:t>
      </w:r>
    </w:p>
    <w:p>
      <w:pPr>
        <w:pStyle w:val="BodyText"/>
        <w:spacing w:line="240" w:lineRule="auto" w:before="115"/>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360" w:lineRule="auto" w:before="49"/>
        <w:ind w:right="9854"/>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915"/>
        <w:jc w:val="left"/>
        <w:rPr>
          <w:b w:val="0"/>
          <w:bCs w:val="0"/>
        </w:rPr>
      </w:pPr>
      <w:bookmarkStart w:name="（2）应付股利" w:id="333"/>
      <w:bookmarkEnd w:id="333"/>
      <w:r>
        <w:rPr>
          <w:b w:val="0"/>
          <w:bCs w:val="0"/>
        </w:rPr>
      </w:r>
      <w:r>
        <w:rPr/>
        <w:t>（</w:t>
      </w:r>
      <w:r>
        <w:rPr>
          <w:rFonts w:ascii="Times New Roman" w:hAnsi="Times New Roman" w:cs="Times New Roman" w:eastAsia="Times New Roman" w:hint="default"/>
        </w:rPr>
        <w:t>2</w:t>
      </w:r>
      <w:r>
        <w:rPr/>
        <w:t>）应付股利</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38" w:lineRule="auto" w:before="51"/>
        <w:ind w:right="4995"/>
        <w:jc w:val="left"/>
      </w:pPr>
      <w:r>
        <w:rPr/>
        <w:t>其他说明，包括重要的超过</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 无</w:t>
      </w:r>
    </w:p>
    <w:p>
      <w:pPr>
        <w:spacing w:line="240" w:lineRule="auto" w:before="5"/>
        <w:rPr>
          <w:rFonts w:ascii="宋体" w:hAnsi="宋体" w:cs="宋体" w:eastAsia="宋体" w:hint="default"/>
          <w:sz w:val="21"/>
          <w:szCs w:val="21"/>
        </w:rPr>
      </w:pPr>
    </w:p>
    <w:p>
      <w:pPr>
        <w:pStyle w:val="Heading3"/>
        <w:spacing w:line="240" w:lineRule="auto"/>
        <w:ind w:right="915"/>
        <w:jc w:val="left"/>
        <w:rPr>
          <w:b w:val="0"/>
          <w:bCs w:val="0"/>
        </w:rPr>
      </w:pPr>
      <w:bookmarkStart w:name="（3）其他应付款" w:id="334"/>
      <w:bookmarkEnd w:id="334"/>
      <w:r>
        <w:rPr>
          <w:b w:val="0"/>
          <w:bCs w:val="0"/>
        </w:rPr>
      </w:r>
      <w:r>
        <w:rPr/>
        <w:t>（</w:t>
      </w:r>
      <w:r>
        <w:rPr>
          <w:rFonts w:ascii="Times New Roman" w:hAnsi="Times New Roman" w:cs="Times New Roman" w:eastAsia="Times New Roman" w:hint="default"/>
        </w:rPr>
        <w:t>3</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15"/>
        <w:jc w:val="left"/>
        <w:rPr>
          <w:b w:val="0"/>
          <w:bCs w:val="0"/>
        </w:rPr>
      </w:pPr>
      <w:bookmarkStart w:name="1）按款项性质列示其他应付款" w:id="335"/>
      <w:bookmarkEnd w:id="335"/>
      <w:r>
        <w:rPr>
          <w:b w:val="0"/>
          <w:bCs w:val="0"/>
        </w:rPr>
      </w:r>
      <w:r>
        <w:rPr>
          <w:rFonts w:ascii="Times New Roman" w:hAnsi="Times New Roman" w:cs="Times New Roman" w:eastAsia="Times New Roman" w:hint="default"/>
        </w:rPr>
        <w:t>1</w:t>
      </w:r>
      <w:r>
        <w:rPr/>
        <w:t>）按款项性质列示其他应付款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after="0" w:line="240" w:lineRule="auto"/>
        <w:jc w:val="right"/>
        <w:sectPr>
          <w:pgSz w:w="11910" w:h="16840"/>
          <w:pgMar w:header="919" w:footer="1016"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19,293,350.00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35,277,742.50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员工报销款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2,927,700.07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1,190,517.80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租房押金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633,538.00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796,300.00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15,500.00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216,000.00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3,595,858.67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1,807,492.44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26,465,946.74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39,288,052.74</w:t>
            </w:r>
          </w:p>
        </w:tc>
      </w:tr>
    </w:tbl>
    <w:p>
      <w:pPr>
        <w:spacing w:line="240" w:lineRule="auto" w:before="4"/>
        <w:rPr>
          <w:rFonts w:ascii="宋体" w:hAnsi="宋体" w:cs="宋体" w:eastAsia="宋体" w:hint="default"/>
          <w:sz w:val="19"/>
          <w:szCs w:val="19"/>
        </w:rPr>
      </w:pPr>
    </w:p>
    <w:p>
      <w:pPr>
        <w:pStyle w:val="Heading3"/>
        <w:spacing w:line="240" w:lineRule="auto" w:before="34"/>
        <w:ind w:right="915"/>
        <w:jc w:val="left"/>
        <w:rPr>
          <w:b w:val="0"/>
          <w:bCs w:val="0"/>
        </w:rPr>
      </w:pPr>
      <w:bookmarkStart w:name="2）账龄超过1年的重要其他应付款" w:id="336"/>
      <w:bookmarkEnd w:id="336"/>
      <w:r>
        <w:rPr>
          <w:b w:val="0"/>
          <w:bCs w:val="0"/>
        </w:rPr>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7"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19,293,350.00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未解锁</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19,293,350.00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10034"/>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915"/>
        <w:jc w:val="left"/>
        <w:rPr>
          <w:b w:val="0"/>
          <w:bCs w:val="0"/>
        </w:rPr>
      </w:pPr>
      <w:bookmarkStart w:name="26、一年内到期的非流动负债" w:id="337"/>
      <w:bookmarkEnd w:id="337"/>
      <w:r>
        <w:rPr>
          <w:b w:val="0"/>
          <w:bCs w:val="0"/>
        </w:rPr>
      </w:r>
      <w:r>
        <w:rPr>
          <w:rFonts w:ascii="Times New Roman" w:hAnsi="Times New Roman" w:cs="Times New Roman" w:eastAsia="Times New Roman" w:hint="default"/>
        </w:rPr>
        <w:t>26</w:t>
      </w:r>
      <w:r>
        <w:rPr/>
        <w:t>、一年内到期的非流动负债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717,965.33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717,965.33</w:t>
            </w:r>
          </w:p>
        </w:tc>
      </w:tr>
    </w:tbl>
    <w:p>
      <w:pPr>
        <w:pStyle w:val="BodyText"/>
        <w:spacing w:line="357" w:lineRule="auto" w:before="50"/>
        <w:ind w:right="9854"/>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915"/>
        <w:jc w:val="left"/>
        <w:rPr>
          <w:b w:val="0"/>
          <w:bCs w:val="0"/>
        </w:rPr>
      </w:pPr>
      <w:bookmarkStart w:name="27、长期借款" w:id="338"/>
      <w:bookmarkEnd w:id="338"/>
      <w:r>
        <w:rPr>
          <w:b w:val="0"/>
          <w:bCs w:val="0"/>
        </w:rPr>
      </w:r>
      <w:r>
        <w:rPr>
          <w:rFonts w:ascii="Times New Roman" w:hAnsi="Times New Roman" w:cs="Times New Roman" w:eastAsia="Times New Roman" w:hint="default"/>
        </w:rPr>
        <w:t>27</w:t>
      </w:r>
      <w:r>
        <w:rPr/>
        <w:t>、长期借款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15"/>
        <w:jc w:val="left"/>
        <w:rPr>
          <w:b w:val="0"/>
          <w:bCs w:val="0"/>
        </w:rPr>
      </w:pPr>
      <w:bookmarkStart w:name="（1）长期借款分类" w:id="339"/>
      <w:bookmarkEnd w:id="339"/>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4,248,919.98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4,243,144.59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4,248,919.98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4,243,144.59</w:t>
            </w:r>
          </w:p>
        </w:tc>
      </w:tr>
    </w:tbl>
    <w:p>
      <w:pPr>
        <w:pStyle w:val="BodyText"/>
        <w:spacing w:line="240" w:lineRule="auto" w:before="51"/>
        <w:ind w:right="915"/>
        <w:jc w:val="left"/>
      </w:pPr>
      <w:r>
        <w:rPr/>
        <w:t>长期借款分类的说明：</w:t>
      </w:r>
    </w:p>
    <w:p>
      <w:pPr>
        <w:spacing w:line="240" w:lineRule="auto" w:before="10"/>
        <w:rPr>
          <w:rFonts w:ascii="宋体" w:hAnsi="宋体" w:cs="宋体" w:eastAsia="宋体" w:hint="default"/>
          <w:sz w:val="17"/>
          <w:szCs w:val="17"/>
        </w:rPr>
      </w:pPr>
    </w:p>
    <w:p>
      <w:pPr>
        <w:pStyle w:val="BodyText"/>
        <w:spacing w:line="316" w:lineRule="auto"/>
        <w:ind w:right="1132" w:firstLine="360"/>
        <w:jc w:val="both"/>
      </w:pPr>
      <w:r>
        <w:rPr/>
        <w:t>注：2011年2月24日本公司与交通银行股份有限公司深圳车公庙支行签订编号为443027G001的《小企业固定资产贷款合 </w:t>
      </w:r>
      <w:r>
        <w:rPr>
          <w:spacing w:val="-2"/>
        </w:rPr>
        <w:t>同》，合同约定借款18,000,000.00元用于购买深圳市南山区沙河街道办事处侨香路智慧广场B栋11层1101号房产，由实际控</w:t>
      </w:r>
      <w:r>
        <w:rPr>
          <w:spacing w:val="-57"/>
        </w:rPr>
        <w:t> </w:t>
      </w:r>
      <w:r>
        <w:rPr>
          <w:spacing w:val="-57"/>
        </w:rPr>
      </w:r>
      <w:r>
        <w:rPr/>
        <w:t>制人唐球先生、鄢建红女士为上述贷款提供连带责任担保，保证期至“智慧广场B栋11层1101号房产”房产证（房产证编号</w:t>
      </w:r>
    </w:p>
    <w:p>
      <w:pPr>
        <w:spacing w:after="0" w:line="316" w:lineRule="auto"/>
        <w:jc w:val="both"/>
        <w:sectPr>
          <w:pgSz w:w="11910" w:h="16840"/>
          <w:pgMar w:header="919" w:footer="1016" w:top="1120" w:bottom="1200" w:left="1020" w:right="0"/>
        </w:sectPr>
      </w:pPr>
    </w:p>
    <w:p>
      <w:pPr>
        <w:spacing w:line="240" w:lineRule="auto" w:before="12"/>
        <w:rPr>
          <w:rFonts w:ascii="宋体" w:hAnsi="宋体" w:cs="宋体" w:eastAsia="宋体" w:hint="default"/>
          <w:sz w:val="20"/>
          <w:szCs w:val="20"/>
        </w:rPr>
      </w:pPr>
    </w:p>
    <w:p>
      <w:pPr>
        <w:pStyle w:val="BodyText"/>
        <w:spacing w:line="316" w:lineRule="auto" w:before="44"/>
        <w:ind w:right="1132"/>
        <w:jc w:val="both"/>
      </w:pPr>
      <w:r>
        <w:rPr>
          <w:spacing w:val="-2"/>
        </w:rPr>
        <w:t>为“深房地字第4000523200号”）办妥抵押并交付债权人止。公司于2014年4月4日与交通银行股份有限公司深圳车公庙支行</w:t>
      </w:r>
      <w:r>
        <w:rPr>
          <w:spacing w:val="-58"/>
        </w:rPr>
        <w:t> </w:t>
      </w:r>
      <w:r>
        <w:rPr>
          <w:spacing w:val="-58"/>
        </w:rPr>
      </w:r>
      <w:r>
        <w:rPr>
          <w:spacing w:val="-3"/>
        </w:rPr>
        <w:t>签订《抵押合同》（编号：交银深443270DY20140404），将“智慧广场B栋1101号房产”设定为《小企业固定资产贷款合同》</w:t>
      </w:r>
      <w:r>
        <w:rPr>
          <w:spacing w:val="-80"/>
        </w:rPr>
        <w:t> </w:t>
      </w:r>
      <w:r>
        <w:rPr>
          <w:spacing w:val="-80"/>
        </w:rPr>
      </w:r>
      <w:r>
        <w:rPr/>
        <w:t>的抵押财产，抵押资产情况详见本附注六（五十）所有权或使用权受到限制的资产。</w:t>
      </w:r>
    </w:p>
    <w:p>
      <w:pPr>
        <w:spacing w:line="240" w:lineRule="auto" w:before="5"/>
        <w:rPr>
          <w:rFonts w:ascii="宋体" w:hAnsi="宋体" w:cs="宋体" w:eastAsia="宋体" w:hint="default"/>
          <w:sz w:val="13"/>
          <w:szCs w:val="13"/>
        </w:rPr>
      </w:pPr>
    </w:p>
    <w:p>
      <w:pPr>
        <w:pStyle w:val="BodyText"/>
        <w:spacing w:line="357" w:lineRule="auto"/>
        <w:ind w:right="8594"/>
        <w:jc w:val="left"/>
      </w:pPr>
      <w:r>
        <w:rPr/>
        <w:t>其他说明，包括利率区间： 无</w:t>
      </w:r>
    </w:p>
    <w:p>
      <w:pPr>
        <w:spacing w:line="240" w:lineRule="auto" w:before="3"/>
        <w:rPr>
          <w:rFonts w:ascii="宋体" w:hAnsi="宋体" w:cs="宋体" w:eastAsia="宋体" w:hint="default"/>
          <w:sz w:val="20"/>
          <w:szCs w:val="20"/>
        </w:rPr>
      </w:pPr>
    </w:p>
    <w:p>
      <w:pPr>
        <w:pStyle w:val="Heading3"/>
        <w:spacing w:line="240" w:lineRule="auto"/>
        <w:ind w:right="0"/>
        <w:jc w:val="both"/>
        <w:rPr>
          <w:b w:val="0"/>
          <w:bCs w:val="0"/>
        </w:rPr>
      </w:pPr>
      <w:bookmarkStart w:name="28、递延收益" w:id="340"/>
      <w:bookmarkEnd w:id="340"/>
      <w:r>
        <w:rPr>
          <w:b w:val="0"/>
          <w:bCs w:val="0"/>
        </w:rPr>
      </w:r>
      <w:r>
        <w:rPr>
          <w:rFonts w:ascii="Times New Roman" w:hAnsi="Times New Roman" w:cs="Times New Roman" w:eastAsia="Times New Roman" w:hint="default"/>
        </w:rPr>
        <w:t>28</w:t>
      </w:r>
      <w:r>
        <w:rPr/>
        <w:t>、递延收益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2,200,000.00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2,200,000.00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2,200,000.00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915"/>
        <w:jc w:val="left"/>
      </w:pPr>
      <w:r>
        <w:rPr/>
        <w:t>涉及政府补助的项目：</w:t>
      </w:r>
    </w:p>
    <w:p>
      <w:pPr>
        <w:pStyle w:val="BodyText"/>
        <w:spacing w:line="240" w:lineRule="auto" w:before="115"/>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12"/>
        <w:gridCol w:w="1249"/>
        <w:gridCol w:w="1010"/>
        <w:gridCol w:w="1010"/>
        <w:gridCol w:w="1010"/>
        <w:gridCol w:w="1010"/>
        <w:gridCol w:w="1010"/>
        <w:gridCol w:w="1248"/>
        <w:gridCol w:w="1010"/>
      </w:tblGrid>
      <w:tr>
        <w:trPr>
          <w:trHeight w:val="1026" w:hRule="exact"/>
        </w:trPr>
        <w:tc>
          <w:tcPr>
            <w:tcW w:w="1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40"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40" w:right="138"/>
              <w:jc w:val="left"/>
              <w:rPr>
                <w:rFonts w:ascii="宋体" w:hAnsi="宋体" w:cs="宋体" w:eastAsia="宋体" w:hint="default"/>
                <w:sz w:val="18"/>
                <w:szCs w:val="18"/>
              </w:rPr>
            </w:pPr>
            <w:r>
              <w:rPr>
                <w:rFonts w:ascii="宋体" w:hAnsi="宋体" w:cs="宋体" w:eastAsia="宋体" w:hint="default"/>
                <w:sz w:val="18"/>
                <w:szCs w:val="18"/>
              </w:rPr>
              <w:t>本期新增 补助金额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40" w:right="137"/>
              <w:jc w:val="both"/>
              <w:rPr>
                <w:rFonts w:ascii="宋体" w:hAnsi="宋体" w:cs="宋体" w:eastAsia="宋体" w:hint="default"/>
                <w:sz w:val="18"/>
                <w:szCs w:val="18"/>
              </w:rPr>
            </w:pPr>
            <w:r>
              <w:rPr>
                <w:rFonts w:ascii="宋体" w:hAnsi="宋体" w:cs="宋体" w:eastAsia="宋体" w:hint="default"/>
                <w:sz w:val="18"/>
                <w:szCs w:val="18"/>
              </w:rPr>
              <w:t>本期计入 营业外收 入金额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41" w:right="137"/>
              <w:jc w:val="center"/>
              <w:rPr>
                <w:rFonts w:ascii="宋体" w:hAnsi="宋体" w:cs="宋体" w:eastAsia="宋体" w:hint="default"/>
                <w:sz w:val="18"/>
                <w:szCs w:val="18"/>
              </w:rPr>
            </w:pPr>
            <w:r>
              <w:rPr>
                <w:rFonts w:ascii="宋体" w:hAnsi="宋体" w:cs="宋体" w:eastAsia="宋体" w:hint="default"/>
                <w:sz w:val="18"/>
                <w:szCs w:val="18"/>
              </w:rPr>
              <w:t>本期计入 其他收益 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38" w:right="139"/>
              <w:jc w:val="center"/>
              <w:rPr>
                <w:rFonts w:ascii="宋体" w:hAnsi="宋体" w:cs="宋体" w:eastAsia="宋体" w:hint="default"/>
                <w:sz w:val="18"/>
                <w:szCs w:val="18"/>
              </w:rPr>
            </w:pPr>
            <w:r>
              <w:rPr>
                <w:rFonts w:ascii="宋体" w:hAnsi="宋体" w:cs="宋体" w:eastAsia="宋体" w:hint="default"/>
                <w:sz w:val="18"/>
                <w:szCs w:val="18"/>
              </w:rPr>
              <w:t>本期冲减 成本费用 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3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5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5" w:right="112" w:hanging="3"/>
              <w:jc w:val="center"/>
              <w:rPr>
                <w:rFonts w:ascii="宋体" w:hAnsi="宋体" w:cs="宋体" w:eastAsia="宋体" w:hint="default"/>
                <w:sz w:val="18"/>
                <w:szCs w:val="18"/>
              </w:rPr>
            </w:pPr>
            <w:r>
              <w:rPr>
                <w:rFonts w:ascii="宋体" w:hAnsi="宋体" w:cs="宋体" w:eastAsia="宋体" w:hint="default"/>
                <w:sz w:val="18"/>
                <w:szCs w:val="18"/>
              </w:rPr>
              <w:t>与资产相 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 相关</w:t>
            </w:r>
          </w:p>
        </w:tc>
      </w:tr>
      <w:tr>
        <w:trPr>
          <w:trHeight w:val="357" w:hRule="exact"/>
        </w:trPr>
        <w:tc>
          <w:tcPr>
            <w:tcW w:w="10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金融风险</w:t>
            </w:r>
          </w:p>
        </w:tc>
        <w:tc>
          <w:tcPr>
            <w:tcW w:w="1249" w:type="dxa"/>
            <w:tcBorders>
              <w:top w:val="single" w:sz="4" w:space="0" w:color="000000"/>
              <w:left w:val="single" w:sz="4" w:space="0" w:color="000000"/>
              <w:bottom w:val="nil" w:sz="6" w:space="0" w:color="auto"/>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248" w:type="dxa"/>
            <w:vMerge w:val="restart"/>
            <w:tcBorders>
              <w:top w:val="single" w:sz="4" w:space="0" w:color="000000"/>
              <w:left w:val="single" w:sz="4" w:space="0" w:color="000000"/>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101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78"/>
              <w:jc w:val="left"/>
              <w:rPr>
                <w:rFonts w:ascii="宋体" w:hAnsi="宋体" w:cs="宋体" w:eastAsia="宋体" w:hint="default"/>
                <w:sz w:val="18"/>
                <w:szCs w:val="18"/>
              </w:rPr>
            </w:pPr>
            <w:r>
              <w:rPr>
                <w:rFonts w:ascii="宋体" w:hAnsi="宋体" w:cs="宋体" w:eastAsia="宋体" w:hint="default"/>
                <w:sz w:val="18"/>
                <w:szCs w:val="18"/>
              </w:rPr>
              <w:t>管理系统 研发产业</w:t>
            </w:r>
          </w:p>
        </w:tc>
        <w:tc>
          <w:tcPr>
            <w:tcW w:w="1249"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0" w:right="0"/>
              <w:jc w:val="center"/>
              <w:rPr>
                <w:rFonts w:ascii="Times New Roman" w:hAnsi="Times New Roman" w:cs="Times New Roman" w:eastAsia="Times New Roman" w:hint="default"/>
                <w:sz w:val="18"/>
                <w:szCs w:val="18"/>
              </w:rPr>
            </w:pPr>
            <w:r>
              <w:rPr>
                <w:rFonts w:ascii="Times New Roman"/>
                <w:sz w:val="18"/>
              </w:rPr>
              <w:t>2,200,000.00</w:t>
            </w: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2,200,000.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00</w:t>
            </w: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174"/>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353" w:hRule="exact"/>
        </w:trPr>
        <w:tc>
          <w:tcPr>
            <w:tcW w:w="10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化</w:t>
            </w:r>
          </w:p>
        </w:tc>
        <w:tc>
          <w:tcPr>
            <w:tcW w:w="1249" w:type="dxa"/>
            <w:tcBorders>
              <w:top w:val="nil" w:sz="6" w:space="0" w:color="auto"/>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248" w:type="dxa"/>
            <w:vMerge/>
            <w:tcBorders>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r>
    </w:tbl>
    <w:p>
      <w:pPr>
        <w:pStyle w:val="BodyText"/>
        <w:spacing w:line="240" w:lineRule="auto" w:before="51"/>
        <w:ind w:right="915"/>
        <w:jc w:val="left"/>
      </w:pPr>
      <w:r>
        <w:rPr/>
        <w:t>其他说明：</w:t>
      </w:r>
    </w:p>
    <w:p>
      <w:pPr>
        <w:pStyle w:val="BodyText"/>
        <w:spacing w:line="316" w:lineRule="auto" w:before="117"/>
        <w:ind w:right="1124" w:firstLine="360"/>
        <w:jc w:val="left"/>
      </w:pPr>
      <w:r>
        <w:rPr/>
        <w:t>注：2017年6月，公司金融风险管理系统研发产业化项目获批深圳市发展和改革委员会重大科技产业专项2017年第一批 扶持计划(金融科技领域)，收到资助款220万元。截至2019年12月31日，项目已完成。</w:t>
      </w:r>
    </w:p>
    <w:p>
      <w:pPr>
        <w:spacing w:line="240" w:lineRule="auto" w:before="6"/>
        <w:rPr>
          <w:rFonts w:ascii="宋体" w:hAnsi="宋体" w:cs="宋体" w:eastAsia="宋体" w:hint="default"/>
          <w:sz w:val="22"/>
          <w:szCs w:val="22"/>
        </w:rPr>
      </w:pPr>
    </w:p>
    <w:p>
      <w:pPr>
        <w:pStyle w:val="Heading3"/>
        <w:spacing w:line="240" w:lineRule="auto"/>
        <w:ind w:right="915"/>
        <w:jc w:val="left"/>
        <w:rPr>
          <w:b w:val="0"/>
          <w:bCs w:val="0"/>
        </w:rPr>
      </w:pPr>
      <w:bookmarkStart w:name="29、股本" w:id="341"/>
      <w:bookmarkEnd w:id="341"/>
      <w:r>
        <w:rPr>
          <w:b w:val="0"/>
          <w:bCs w:val="0"/>
        </w:rPr>
      </w:r>
      <w:r>
        <w:rPr>
          <w:rFonts w:ascii="Times New Roman" w:hAnsi="Times New Roman" w:cs="Times New Roman" w:eastAsia="Times New Roman" w:hint="default"/>
        </w:rPr>
        <w:t>29</w:t>
      </w:r>
      <w:r>
        <w:rPr/>
        <w:t>、股本</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95"/>
        <w:gridCol w:w="1197"/>
        <w:gridCol w:w="1196"/>
        <w:gridCol w:w="1196"/>
        <w:gridCol w:w="1196"/>
        <w:gridCol w:w="1196"/>
        <w:gridCol w:w="1196"/>
        <w:gridCol w:w="1196"/>
      </w:tblGrid>
      <w:tr>
        <w:trPr>
          <w:trHeight w:val="402" w:hRule="exact"/>
        </w:trPr>
        <w:tc>
          <w:tcPr>
            <w:tcW w:w="1195" w:type="dxa"/>
            <w:vMerge w:val="restart"/>
            <w:tcBorders>
              <w:top w:val="single" w:sz="4" w:space="0" w:color="000000"/>
              <w:left w:val="single" w:sz="4" w:space="0" w:color="000000"/>
              <w:right w:val="single" w:sz="4" w:space="0" w:color="000000"/>
            </w:tcBorders>
            <w:shd w:val="clear" w:color="auto" w:fill="D2D2D2"/>
          </w:tcPr>
          <w:p>
            <w:pP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742,214,580.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-122,500.00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4" w:right="0"/>
              <w:jc w:val="left"/>
              <w:rPr>
                <w:rFonts w:ascii="Times New Roman" w:hAnsi="Times New Roman" w:cs="Times New Roman" w:eastAsia="Times New Roman" w:hint="default"/>
                <w:sz w:val="18"/>
                <w:szCs w:val="18"/>
              </w:rPr>
            </w:pPr>
            <w:r>
              <w:rPr>
                <w:rFonts w:ascii="Times New Roman"/>
                <w:sz w:val="18"/>
              </w:rPr>
              <w:t>-122,500.00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742,092,080.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00</w:t>
            </w:r>
          </w:p>
        </w:tc>
      </w:tr>
    </w:tbl>
    <w:p>
      <w:pPr>
        <w:pStyle w:val="BodyText"/>
        <w:spacing w:line="240" w:lineRule="auto" w:before="50"/>
        <w:ind w:right="915"/>
        <w:jc w:val="left"/>
      </w:pPr>
      <w:r>
        <w:rPr/>
        <w:t>其他说明：</w:t>
      </w:r>
    </w:p>
    <w:p>
      <w:pPr>
        <w:pStyle w:val="BodyText"/>
        <w:spacing w:line="316" w:lineRule="auto" w:before="117"/>
        <w:ind w:right="915" w:firstLine="360"/>
        <w:jc w:val="left"/>
      </w:pPr>
      <w:r>
        <w:rPr>
          <w:spacing w:val="-2"/>
        </w:rPr>
        <w:t>注1：截止2019年12月31日，控股股东、实际控制人唐球先生累计质押的股份数量为89,560,000.00股，占其持有公司股</w:t>
      </w:r>
      <w:r>
        <w:rPr/>
        <w:t> 份总数的56.17%，占公司总股本比例为12.07%，质押权人分别为东吴证券股份有限公司、国联证券股份有限公司。</w:t>
      </w:r>
    </w:p>
    <w:p>
      <w:pPr>
        <w:pStyle w:val="BodyText"/>
        <w:spacing w:line="240" w:lineRule="auto" w:before="19"/>
        <w:ind w:left="472" w:right="915"/>
        <w:jc w:val="left"/>
      </w:pPr>
      <w:r>
        <w:rPr/>
        <w:t>注2：本期股本的变动情况详见本财务报表附注一、公司基本情况的相关说明。</w:t>
      </w:r>
    </w:p>
    <w:p>
      <w:pPr>
        <w:spacing w:after="0" w:line="240" w:lineRule="auto"/>
        <w:jc w:val="left"/>
        <w:sectPr>
          <w:pgSz w:w="11910" w:h="16840"/>
          <w:pgMar w:header="919" w:footer="1016" w:top="1120" w:bottom="1200" w:left="1020" w:right="0"/>
        </w:sectPr>
      </w:pPr>
    </w:p>
    <w:p>
      <w:pPr>
        <w:spacing w:line="240" w:lineRule="auto" w:before="10"/>
        <w:rPr>
          <w:rFonts w:ascii="宋体" w:hAnsi="宋体" w:cs="宋体" w:eastAsia="宋体" w:hint="default"/>
          <w:sz w:val="19"/>
          <w:szCs w:val="19"/>
        </w:rPr>
      </w:pPr>
    </w:p>
    <w:p>
      <w:pPr>
        <w:pStyle w:val="Heading3"/>
        <w:spacing w:line="240" w:lineRule="auto" w:before="34"/>
        <w:ind w:right="915"/>
        <w:jc w:val="left"/>
        <w:rPr>
          <w:b w:val="0"/>
          <w:bCs w:val="0"/>
        </w:rPr>
      </w:pPr>
      <w:bookmarkStart w:name="30、资本公积" w:id="342"/>
      <w:bookmarkEnd w:id="342"/>
      <w:r>
        <w:rPr>
          <w:b w:val="0"/>
          <w:bCs w:val="0"/>
        </w:rPr>
      </w:r>
      <w:r>
        <w:rPr>
          <w:rFonts w:ascii="Times New Roman" w:hAnsi="Times New Roman" w:cs="Times New Roman" w:eastAsia="Times New Roman" w:hint="default"/>
        </w:rPr>
        <w:t>30</w:t>
      </w:r>
      <w:r>
        <w:rPr/>
        <w:t>、资本公积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1,537,296,925.59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2,371,082.00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1,539,668,007.59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3,695,294.94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42,340,277.77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28,655,246.43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17,380,326.28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1,540,992,220.53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44,711,359.77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28,655,246.43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1,557,048,333.87</w:t>
            </w:r>
          </w:p>
        </w:tc>
      </w:tr>
    </w:tbl>
    <w:p>
      <w:pPr>
        <w:pStyle w:val="BodyText"/>
        <w:spacing w:line="240" w:lineRule="auto" w:before="52"/>
        <w:ind w:right="915"/>
        <w:jc w:val="left"/>
      </w:pPr>
      <w:r>
        <w:rPr/>
        <w:t>其他说明，包括本期增减变动情况、变动原因说明：</w:t>
      </w:r>
    </w:p>
    <w:p>
      <w:pPr>
        <w:spacing w:line="240" w:lineRule="auto" w:before="10"/>
        <w:rPr>
          <w:rFonts w:ascii="宋体" w:hAnsi="宋体" w:cs="宋体" w:eastAsia="宋体" w:hint="default"/>
          <w:sz w:val="17"/>
          <w:szCs w:val="17"/>
        </w:rPr>
      </w:pPr>
    </w:p>
    <w:p>
      <w:pPr>
        <w:pStyle w:val="BodyText"/>
        <w:spacing w:line="316" w:lineRule="auto"/>
        <w:ind w:right="915" w:firstLine="360"/>
        <w:jc w:val="left"/>
      </w:pPr>
      <w:r>
        <w:rPr>
          <w:spacing w:val="-2"/>
        </w:rPr>
        <w:t>注：本期资本公积变化主要系公司2016年发行限制性股票数量在本年度确认股权激励成本摊销费用及对已获授权但尚未</w:t>
      </w:r>
      <w:r>
        <w:rPr/>
        <w:t> 解锁的限制性股票进行回购注销。</w:t>
      </w:r>
    </w:p>
    <w:p>
      <w:pPr>
        <w:spacing w:line="240" w:lineRule="auto" w:before="6"/>
        <w:rPr>
          <w:rFonts w:ascii="宋体" w:hAnsi="宋体" w:cs="宋体" w:eastAsia="宋体" w:hint="default"/>
          <w:sz w:val="22"/>
          <w:szCs w:val="22"/>
        </w:rPr>
      </w:pPr>
    </w:p>
    <w:p>
      <w:pPr>
        <w:pStyle w:val="Heading3"/>
        <w:spacing w:line="240" w:lineRule="auto"/>
        <w:ind w:right="915"/>
        <w:jc w:val="left"/>
        <w:rPr>
          <w:b w:val="0"/>
          <w:bCs w:val="0"/>
        </w:rPr>
      </w:pPr>
      <w:bookmarkStart w:name="31、库存股" w:id="343"/>
      <w:bookmarkEnd w:id="343"/>
      <w:r>
        <w:rPr>
          <w:b w:val="0"/>
          <w:bCs w:val="0"/>
        </w:rPr>
      </w:r>
      <w:r>
        <w:rPr>
          <w:rFonts w:ascii="Times New Roman" w:hAnsi="Times New Roman" w:cs="Times New Roman" w:eastAsia="Times New Roman" w:hint="default"/>
        </w:rPr>
        <w:t>31</w:t>
      </w:r>
      <w:r>
        <w:rPr/>
        <w:t>、库存股</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78"/>
              <w:jc w:val="left"/>
              <w:rPr>
                <w:rFonts w:ascii="宋体" w:hAnsi="宋体" w:cs="宋体" w:eastAsia="宋体" w:hint="default"/>
                <w:sz w:val="18"/>
                <w:szCs w:val="18"/>
              </w:rPr>
            </w:pPr>
            <w:r>
              <w:rPr>
                <w:rFonts w:ascii="宋体" w:hAnsi="宋体" w:cs="宋体" w:eastAsia="宋体" w:hint="default"/>
                <w:sz w:val="18"/>
                <w:szCs w:val="18"/>
              </w:rPr>
              <w:t>具有回购义务的限制 性股票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35,277,742.50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15,984,392.50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19,293,350.00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35,277,742.50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15,984,392.50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19,293,350.00</w:t>
            </w:r>
          </w:p>
        </w:tc>
      </w:tr>
    </w:tbl>
    <w:p>
      <w:pPr>
        <w:pStyle w:val="BodyText"/>
        <w:spacing w:line="240" w:lineRule="auto" w:before="50"/>
        <w:ind w:right="915"/>
        <w:jc w:val="left"/>
      </w:pPr>
      <w:r>
        <w:rPr/>
        <w:t>其他说明，包括本期增减变动情况、变动原因说明：</w:t>
      </w:r>
    </w:p>
    <w:p>
      <w:pPr>
        <w:spacing w:line="240" w:lineRule="auto" w:before="10"/>
        <w:rPr>
          <w:rFonts w:ascii="宋体" w:hAnsi="宋体" w:cs="宋体" w:eastAsia="宋体" w:hint="default"/>
          <w:sz w:val="17"/>
          <w:szCs w:val="17"/>
        </w:rPr>
      </w:pPr>
    </w:p>
    <w:p>
      <w:pPr>
        <w:pStyle w:val="BodyText"/>
        <w:spacing w:line="316" w:lineRule="auto"/>
        <w:ind w:right="915" w:firstLine="360"/>
        <w:jc w:val="left"/>
      </w:pPr>
      <w:r>
        <w:rPr>
          <w:spacing w:val="-2"/>
        </w:rPr>
        <w:t>注：本期库存股的减少系根据公司2016年实施的限制性股票激励计划，于第三个解锁期对于符合解锁条件的限制性股票</w:t>
      </w:r>
      <w:r>
        <w:rPr/>
        <w:t> 解锁所致。</w:t>
      </w:r>
    </w:p>
    <w:p>
      <w:pPr>
        <w:spacing w:line="240" w:lineRule="auto" w:before="8"/>
        <w:rPr>
          <w:rFonts w:ascii="宋体" w:hAnsi="宋体" w:cs="宋体" w:eastAsia="宋体" w:hint="default"/>
          <w:sz w:val="22"/>
          <w:szCs w:val="22"/>
        </w:rPr>
      </w:pPr>
    </w:p>
    <w:p>
      <w:pPr>
        <w:pStyle w:val="Heading3"/>
        <w:spacing w:line="240" w:lineRule="auto"/>
        <w:ind w:right="915"/>
        <w:jc w:val="left"/>
        <w:rPr>
          <w:b w:val="0"/>
          <w:bCs w:val="0"/>
        </w:rPr>
      </w:pPr>
      <w:bookmarkStart w:name="32、其他综合收益" w:id="344"/>
      <w:bookmarkEnd w:id="344"/>
      <w:r>
        <w:rPr>
          <w:b w:val="0"/>
          <w:bCs w:val="0"/>
        </w:rPr>
      </w:r>
      <w:r>
        <w:rPr>
          <w:rFonts w:ascii="Times New Roman" w:hAnsi="Times New Roman" w:cs="Times New Roman" w:eastAsia="Times New Roman" w:hint="default"/>
        </w:rPr>
        <w:t>32</w:t>
      </w:r>
      <w:r>
        <w:rPr/>
        <w:t>、其他综合收益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557"/>
        <w:gridCol w:w="974"/>
        <w:gridCol w:w="852"/>
        <w:gridCol w:w="1050"/>
        <w:gridCol w:w="852"/>
        <w:gridCol w:w="852"/>
        <w:gridCol w:w="853"/>
        <w:gridCol w:w="852"/>
        <w:gridCol w:w="726"/>
      </w:tblGrid>
      <w:tr>
        <w:trPr>
          <w:trHeight w:val="402" w:hRule="exact"/>
        </w:trPr>
        <w:tc>
          <w:tcPr>
            <w:tcW w:w="2557" w:type="dxa"/>
            <w:tcBorders>
              <w:top w:val="single" w:sz="4" w:space="0" w:color="000000"/>
              <w:left w:val="single" w:sz="4" w:space="0" w:color="000000"/>
              <w:bottom w:val="nil" w:sz="6" w:space="0" w:color="auto"/>
              <w:right w:val="single" w:sz="4" w:space="0" w:color="000000"/>
            </w:tcBorders>
            <w:shd w:val="clear" w:color="auto" w:fill="D2D2D2"/>
          </w:tcPr>
          <w:p>
            <w:pPr/>
          </w:p>
        </w:tc>
        <w:tc>
          <w:tcPr>
            <w:tcW w:w="974" w:type="dxa"/>
            <w:tcBorders>
              <w:top w:val="single" w:sz="4" w:space="0" w:color="000000"/>
              <w:left w:val="single" w:sz="4" w:space="0" w:color="000000"/>
              <w:bottom w:val="nil" w:sz="6" w:space="0" w:color="auto"/>
              <w:right w:val="single" w:sz="4" w:space="0" w:color="000000"/>
            </w:tcBorders>
            <w:shd w:val="clear" w:color="auto" w:fill="D2D2D2"/>
          </w:tcPr>
          <w:p>
            <w:pPr/>
          </w:p>
        </w:tc>
        <w:tc>
          <w:tcPr>
            <w:tcW w:w="5311"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2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6" w:hRule="exact"/>
        </w:trPr>
        <w:tc>
          <w:tcPr>
            <w:tcW w:w="2557" w:type="dxa"/>
            <w:tcBorders>
              <w:top w:val="nil" w:sz="6" w:space="0" w:color="auto"/>
              <w:left w:val="single" w:sz="4" w:space="0" w:color="000000"/>
              <w:bottom w:val="nil" w:sz="6" w:space="0" w:color="auto"/>
              <w:right w:val="single" w:sz="4" w:space="0" w:color="000000"/>
            </w:tcBorders>
            <w:shd w:val="clear" w:color="auto" w:fill="D2D2D2"/>
          </w:tcPr>
          <w:p>
            <w:pPr/>
          </w:p>
        </w:tc>
        <w:tc>
          <w:tcPr>
            <w:tcW w:w="974" w:type="dxa"/>
            <w:tcBorders>
              <w:top w:val="nil" w:sz="6" w:space="0" w:color="auto"/>
              <w:left w:val="single" w:sz="4" w:space="0" w:color="000000"/>
              <w:bottom w:val="nil" w:sz="6" w:space="0" w:color="auto"/>
              <w:right w:val="single" w:sz="4" w:space="0" w:color="000000"/>
            </w:tcBorders>
            <w:shd w:val="clear" w:color="auto" w:fill="D2D2D2"/>
          </w:tcPr>
          <w:p>
            <w:pPr/>
          </w:p>
        </w:tc>
        <w:tc>
          <w:tcPr>
            <w:tcW w:w="8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0" w:type="dxa"/>
            <w:tcBorders>
              <w:top w:val="single" w:sz="4" w:space="0" w:color="000000"/>
              <w:left w:val="single" w:sz="4" w:space="0" w:color="000000"/>
              <w:bottom w:val="nil" w:sz="6" w:space="0" w:color="auto"/>
              <w:right w:val="single" w:sz="4" w:space="0" w:color="000000"/>
            </w:tcBorders>
            <w:shd w:val="clear" w:color="auto" w:fill="D2D2D2"/>
          </w:tcPr>
          <w:p>
            <w:pPr/>
          </w:p>
        </w:tc>
        <w:tc>
          <w:tcPr>
            <w:tcW w:w="852"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right="101"/>
              <w:jc w:val="right"/>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pacing w:val="-84"/>
                <w:sz w:val="18"/>
                <w:szCs w:val="18"/>
              </w:rPr>
              <w:t>：</w:t>
            </w:r>
            <w:r>
              <w:rPr>
                <w:rFonts w:ascii="宋体" w:hAnsi="宋体" w:cs="宋体" w:eastAsia="宋体" w:hint="default"/>
                <w:sz w:val="18"/>
                <w:szCs w:val="18"/>
              </w:rPr>
              <w:t>前期</w:t>
            </w:r>
          </w:p>
        </w:tc>
        <w:tc>
          <w:tcPr>
            <w:tcW w:w="852" w:type="dxa"/>
            <w:tcBorders>
              <w:top w:val="single" w:sz="4" w:space="0" w:color="000000"/>
              <w:left w:val="single" w:sz="4" w:space="0" w:color="000000"/>
              <w:bottom w:val="nil" w:sz="6" w:space="0" w:color="auto"/>
              <w:right w:val="single" w:sz="4" w:space="0" w:color="000000"/>
            </w:tcBorders>
            <w:shd w:val="clear" w:color="auto" w:fill="D2D2D2"/>
          </w:tcPr>
          <w:p>
            <w:pPr/>
          </w:p>
        </w:tc>
        <w:tc>
          <w:tcPr>
            <w:tcW w:w="8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52" w:type="dxa"/>
            <w:tcBorders>
              <w:top w:val="single" w:sz="4" w:space="0" w:color="000000"/>
              <w:left w:val="single" w:sz="4" w:space="0" w:color="000000"/>
              <w:bottom w:val="nil" w:sz="6" w:space="0" w:color="auto"/>
              <w:right w:val="single" w:sz="4" w:space="0" w:color="000000"/>
            </w:tcBorders>
            <w:shd w:val="clear" w:color="auto" w:fill="D2D2D2"/>
          </w:tcPr>
          <w:p>
            <w:pPr/>
          </w:p>
        </w:tc>
        <w:tc>
          <w:tcPr>
            <w:tcW w:w="726" w:type="dxa"/>
            <w:tcBorders>
              <w:top w:val="nil" w:sz="6" w:space="0" w:color="auto"/>
              <w:left w:val="single" w:sz="4" w:space="0" w:color="000000"/>
              <w:bottom w:val="nil" w:sz="6" w:space="0" w:color="auto"/>
              <w:right w:val="single" w:sz="4" w:space="0" w:color="000000"/>
            </w:tcBorders>
            <w:shd w:val="clear" w:color="auto" w:fill="D2D2D2"/>
          </w:tcPr>
          <w:p>
            <w:pPr/>
          </w:p>
        </w:tc>
      </w:tr>
      <w:tr>
        <w:trPr>
          <w:trHeight w:val="290" w:hRule="exact"/>
        </w:trPr>
        <w:tc>
          <w:tcPr>
            <w:tcW w:w="2557" w:type="dxa"/>
            <w:tcBorders>
              <w:top w:val="nil" w:sz="6" w:space="0" w:color="auto"/>
              <w:left w:val="single" w:sz="4" w:space="0" w:color="000000"/>
              <w:bottom w:val="nil" w:sz="6" w:space="0" w:color="auto"/>
              <w:right w:val="single" w:sz="4" w:space="0" w:color="000000"/>
            </w:tcBorders>
            <w:shd w:val="clear" w:color="auto" w:fill="D2D2D2"/>
          </w:tcPr>
          <w:p>
            <w:pPr/>
          </w:p>
        </w:tc>
        <w:tc>
          <w:tcPr>
            <w:tcW w:w="974" w:type="dxa"/>
            <w:tcBorders>
              <w:top w:val="nil" w:sz="6" w:space="0" w:color="auto"/>
              <w:left w:val="single" w:sz="4" w:space="0" w:color="000000"/>
              <w:bottom w:val="nil" w:sz="6" w:space="0" w:color="auto"/>
              <w:right w:val="single" w:sz="4" w:space="0" w:color="000000"/>
            </w:tcBorders>
            <w:shd w:val="clear" w:color="auto" w:fill="D2D2D2"/>
          </w:tcPr>
          <w:p>
            <w:pPr/>
          </w:p>
        </w:tc>
        <w:tc>
          <w:tcPr>
            <w:tcW w:w="852" w:type="dxa"/>
            <w:tcBorders>
              <w:top w:val="nil" w:sz="6" w:space="0" w:color="auto"/>
              <w:left w:val="single" w:sz="4" w:space="0" w:color="000000"/>
              <w:bottom w:val="nil" w:sz="6" w:space="0" w:color="auto"/>
              <w:right w:val="single" w:sz="4" w:space="0" w:color="000000"/>
            </w:tcBorders>
            <w:shd w:val="clear" w:color="auto" w:fill="D2D2D2"/>
          </w:tcPr>
          <w:p>
            <w:pPr/>
          </w:p>
        </w:tc>
        <w:tc>
          <w:tcPr>
            <w:tcW w:w="10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pacing w:val="-14"/>
                <w:sz w:val="18"/>
                <w:szCs w:val="18"/>
              </w:rPr>
              <w:t>减：前期计</w:t>
            </w:r>
          </w:p>
        </w:tc>
        <w:tc>
          <w:tcPr>
            <w:tcW w:w="8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149"/>
              <w:jc w:val="right"/>
              <w:rPr>
                <w:rFonts w:ascii="宋体" w:hAnsi="宋体" w:cs="宋体" w:eastAsia="宋体" w:hint="default"/>
                <w:sz w:val="18"/>
                <w:szCs w:val="18"/>
              </w:rPr>
            </w:pPr>
            <w:r>
              <w:rPr>
                <w:rFonts w:ascii="宋体" w:hAnsi="宋体" w:cs="宋体" w:eastAsia="宋体" w:hint="default"/>
                <w:sz w:val="18"/>
                <w:szCs w:val="18"/>
              </w:rPr>
              <w:t>计入其</w:t>
            </w:r>
          </w:p>
        </w:tc>
        <w:tc>
          <w:tcPr>
            <w:tcW w:w="852" w:type="dxa"/>
            <w:tcBorders>
              <w:top w:val="nil" w:sz="6" w:space="0" w:color="auto"/>
              <w:left w:val="single" w:sz="4" w:space="0" w:color="000000"/>
              <w:bottom w:val="nil" w:sz="6" w:space="0" w:color="auto"/>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shd w:val="clear" w:color="auto" w:fill="D2D2D2"/>
          </w:tcPr>
          <w:p>
            <w:pPr/>
          </w:p>
        </w:tc>
        <w:tc>
          <w:tcPr>
            <w:tcW w:w="852" w:type="dxa"/>
            <w:tcBorders>
              <w:top w:val="nil" w:sz="6" w:space="0" w:color="auto"/>
              <w:left w:val="single" w:sz="4" w:space="0" w:color="000000"/>
              <w:bottom w:val="nil" w:sz="6" w:space="0" w:color="auto"/>
              <w:right w:val="single" w:sz="4" w:space="0" w:color="000000"/>
            </w:tcBorders>
            <w:shd w:val="clear" w:color="auto" w:fill="D2D2D2"/>
          </w:tcPr>
          <w:p>
            <w:pPr/>
          </w:p>
        </w:tc>
        <w:tc>
          <w:tcPr>
            <w:tcW w:w="726" w:type="dxa"/>
            <w:tcBorders>
              <w:top w:val="nil" w:sz="6" w:space="0" w:color="auto"/>
              <w:left w:val="single" w:sz="4" w:space="0" w:color="000000"/>
              <w:bottom w:val="nil" w:sz="6" w:space="0" w:color="auto"/>
              <w:right w:val="single" w:sz="4" w:space="0" w:color="000000"/>
            </w:tcBorders>
            <w:shd w:val="clear" w:color="auto" w:fill="D2D2D2"/>
          </w:tcPr>
          <w:p>
            <w:pPr/>
          </w:p>
        </w:tc>
      </w:tr>
      <w:tr>
        <w:trPr>
          <w:trHeight w:val="958" w:hRule="exact"/>
        </w:trPr>
        <w:tc>
          <w:tcPr>
            <w:tcW w:w="25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45"/>
              <w:ind w:right="119"/>
              <w:jc w:val="right"/>
              <w:rPr>
                <w:rFonts w:ascii="宋体" w:hAnsi="宋体" w:cs="宋体" w:eastAsia="宋体" w:hint="default"/>
                <w:sz w:val="18"/>
                <w:szCs w:val="18"/>
              </w:rPr>
            </w:pPr>
            <w:r>
              <w:rPr>
                <w:rFonts w:ascii="宋体" w:hAnsi="宋体" w:cs="宋体" w:eastAsia="宋体" w:hint="default"/>
                <w:sz w:val="18"/>
                <w:szCs w:val="18"/>
              </w:rPr>
              <w:t>期初余额</w:t>
            </w:r>
          </w:p>
        </w:tc>
        <w:tc>
          <w:tcPr>
            <w:tcW w:w="8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32"/>
              <w:ind w:left="151" w:right="148"/>
              <w:jc w:val="both"/>
              <w:rPr>
                <w:rFonts w:ascii="宋体" w:hAnsi="宋体" w:cs="宋体" w:eastAsia="宋体" w:hint="default"/>
                <w:sz w:val="18"/>
                <w:szCs w:val="18"/>
              </w:rPr>
            </w:pPr>
            <w:r>
              <w:rPr>
                <w:rFonts w:ascii="宋体" w:hAnsi="宋体" w:cs="宋体" w:eastAsia="宋体" w:hint="default"/>
                <w:sz w:val="18"/>
                <w:szCs w:val="18"/>
              </w:rPr>
              <w:t>本期所 得税前 发生额</w:t>
            </w:r>
          </w:p>
        </w:tc>
        <w:tc>
          <w:tcPr>
            <w:tcW w:w="10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32"/>
              <w:ind w:left="158" w:right="159"/>
              <w:jc w:val="both"/>
              <w:rPr>
                <w:rFonts w:ascii="宋体" w:hAnsi="宋体" w:cs="宋体" w:eastAsia="宋体" w:hint="default"/>
                <w:sz w:val="18"/>
                <w:szCs w:val="18"/>
              </w:rPr>
            </w:pPr>
            <w:r>
              <w:rPr>
                <w:rFonts w:ascii="宋体" w:hAnsi="宋体" w:cs="宋体" w:eastAsia="宋体" w:hint="default"/>
                <w:sz w:val="18"/>
                <w:szCs w:val="18"/>
              </w:rPr>
              <w:t>入其他综 合收益当 期转入损</w:t>
            </w:r>
          </w:p>
        </w:tc>
        <w:tc>
          <w:tcPr>
            <w:tcW w:w="8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32"/>
              <w:ind w:left="150" w:right="149"/>
              <w:jc w:val="both"/>
              <w:rPr>
                <w:rFonts w:ascii="宋体" w:hAnsi="宋体" w:cs="宋体" w:eastAsia="宋体" w:hint="default"/>
                <w:sz w:val="18"/>
                <w:szCs w:val="18"/>
              </w:rPr>
            </w:pPr>
            <w:r>
              <w:rPr>
                <w:rFonts w:ascii="宋体" w:hAnsi="宋体" w:cs="宋体" w:eastAsia="宋体" w:hint="default"/>
                <w:sz w:val="18"/>
                <w:szCs w:val="18"/>
              </w:rPr>
              <w:t>他综合 收益当 期转入</w:t>
            </w:r>
          </w:p>
        </w:tc>
        <w:tc>
          <w:tcPr>
            <w:tcW w:w="8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150" w:right="101" w:hanging="48"/>
              <w:jc w:val="left"/>
              <w:rPr>
                <w:rFonts w:ascii="宋体" w:hAnsi="宋体" w:cs="宋体" w:eastAsia="宋体" w:hint="default"/>
                <w:sz w:val="18"/>
                <w:szCs w:val="18"/>
              </w:rPr>
            </w:pPr>
            <w:r>
              <w:rPr>
                <w:rFonts w:ascii="宋体" w:hAnsi="宋体" w:cs="宋体" w:eastAsia="宋体" w:hint="default"/>
                <w:spacing w:val="-21"/>
                <w:sz w:val="18"/>
                <w:szCs w:val="18"/>
              </w:rPr>
              <w:t>减：所得</w:t>
            </w:r>
            <w:r>
              <w:rPr>
                <w:rFonts w:ascii="宋体" w:hAnsi="宋体" w:cs="宋体" w:eastAsia="宋体" w:hint="default"/>
                <w:sz w:val="18"/>
                <w:szCs w:val="18"/>
              </w:rPr>
              <w:t> 税费用</w:t>
            </w:r>
          </w:p>
        </w:tc>
        <w:tc>
          <w:tcPr>
            <w:tcW w:w="8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32"/>
              <w:ind w:left="150" w:right="150"/>
              <w:jc w:val="both"/>
              <w:rPr>
                <w:rFonts w:ascii="宋体" w:hAnsi="宋体" w:cs="宋体" w:eastAsia="宋体" w:hint="default"/>
                <w:sz w:val="18"/>
                <w:szCs w:val="18"/>
              </w:rPr>
            </w:pPr>
            <w:r>
              <w:rPr>
                <w:rFonts w:ascii="宋体" w:hAnsi="宋体" w:cs="宋体" w:eastAsia="宋体" w:hint="default"/>
                <w:sz w:val="18"/>
                <w:szCs w:val="18"/>
              </w:rPr>
              <w:t>税后归 属于母 公司</w:t>
            </w:r>
          </w:p>
        </w:tc>
        <w:tc>
          <w:tcPr>
            <w:tcW w:w="8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32"/>
              <w:ind w:left="152" w:right="148"/>
              <w:jc w:val="both"/>
              <w:rPr>
                <w:rFonts w:ascii="宋体" w:hAnsi="宋体" w:cs="宋体" w:eastAsia="宋体" w:hint="default"/>
                <w:sz w:val="18"/>
                <w:szCs w:val="18"/>
              </w:rPr>
            </w:pPr>
            <w:r>
              <w:rPr>
                <w:rFonts w:ascii="宋体" w:hAnsi="宋体" w:cs="宋体" w:eastAsia="宋体" w:hint="default"/>
                <w:sz w:val="18"/>
                <w:szCs w:val="18"/>
              </w:rPr>
              <w:t>税后归 属于少 数股东</w:t>
            </w:r>
          </w:p>
        </w:tc>
        <w:tc>
          <w:tcPr>
            <w:tcW w:w="7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ind w:left="178" w:right="176"/>
              <w:jc w:val="left"/>
              <w:rPr>
                <w:rFonts w:ascii="宋体" w:hAnsi="宋体" w:cs="宋体" w:eastAsia="宋体" w:hint="default"/>
                <w:sz w:val="18"/>
                <w:szCs w:val="18"/>
              </w:rPr>
            </w:pPr>
            <w:r>
              <w:rPr>
                <w:rFonts w:ascii="宋体" w:hAnsi="宋体" w:cs="宋体" w:eastAsia="宋体" w:hint="default"/>
                <w:sz w:val="18"/>
                <w:szCs w:val="18"/>
              </w:rPr>
              <w:t>期末 余额</w:t>
            </w:r>
          </w:p>
        </w:tc>
      </w:tr>
      <w:tr>
        <w:trPr>
          <w:trHeight w:val="312" w:hRule="exact"/>
        </w:trPr>
        <w:tc>
          <w:tcPr>
            <w:tcW w:w="2557" w:type="dxa"/>
            <w:tcBorders>
              <w:top w:val="nil" w:sz="6" w:space="0" w:color="auto"/>
              <w:left w:val="single" w:sz="4" w:space="0" w:color="000000"/>
              <w:bottom w:val="nil" w:sz="6" w:space="0" w:color="auto"/>
              <w:right w:val="single" w:sz="4" w:space="0" w:color="000000"/>
            </w:tcBorders>
            <w:shd w:val="clear" w:color="auto" w:fill="D2D2D2"/>
          </w:tcPr>
          <w:p>
            <w:pPr/>
          </w:p>
        </w:tc>
        <w:tc>
          <w:tcPr>
            <w:tcW w:w="974" w:type="dxa"/>
            <w:tcBorders>
              <w:top w:val="nil" w:sz="6" w:space="0" w:color="auto"/>
              <w:left w:val="single" w:sz="4" w:space="0" w:color="000000"/>
              <w:bottom w:val="nil" w:sz="6" w:space="0" w:color="auto"/>
              <w:right w:val="single" w:sz="4" w:space="0" w:color="000000"/>
            </w:tcBorders>
            <w:shd w:val="clear" w:color="auto" w:fill="D2D2D2"/>
          </w:tcPr>
          <w:p>
            <w:pPr/>
          </w:p>
        </w:tc>
        <w:tc>
          <w:tcPr>
            <w:tcW w:w="852" w:type="dxa"/>
            <w:tcBorders>
              <w:top w:val="nil" w:sz="6" w:space="0" w:color="auto"/>
              <w:left w:val="single" w:sz="4" w:space="0" w:color="000000"/>
              <w:bottom w:val="nil" w:sz="6" w:space="0" w:color="auto"/>
              <w:right w:val="single" w:sz="4" w:space="0" w:color="000000"/>
            </w:tcBorders>
            <w:shd w:val="clear" w:color="auto" w:fill="D2D2D2"/>
          </w:tcPr>
          <w:p>
            <w:pPr/>
          </w:p>
        </w:tc>
        <w:tc>
          <w:tcPr>
            <w:tcW w:w="10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益</w:t>
            </w:r>
          </w:p>
        </w:tc>
        <w:tc>
          <w:tcPr>
            <w:tcW w:w="8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149"/>
              <w:jc w:val="right"/>
              <w:rPr>
                <w:rFonts w:ascii="宋体" w:hAnsi="宋体" w:cs="宋体" w:eastAsia="宋体" w:hint="default"/>
                <w:sz w:val="18"/>
                <w:szCs w:val="18"/>
              </w:rPr>
            </w:pPr>
            <w:r>
              <w:rPr>
                <w:rFonts w:ascii="宋体" w:hAnsi="宋体" w:cs="宋体" w:eastAsia="宋体" w:hint="default"/>
                <w:sz w:val="18"/>
                <w:szCs w:val="18"/>
              </w:rPr>
              <w:t>留存收</w:t>
            </w:r>
          </w:p>
        </w:tc>
        <w:tc>
          <w:tcPr>
            <w:tcW w:w="852" w:type="dxa"/>
            <w:tcBorders>
              <w:top w:val="nil" w:sz="6" w:space="0" w:color="auto"/>
              <w:left w:val="single" w:sz="4" w:space="0" w:color="000000"/>
              <w:bottom w:val="nil" w:sz="6" w:space="0" w:color="auto"/>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shd w:val="clear" w:color="auto" w:fill="D2D2D2"/>
          </w:tcPr>
          <w:p>
            <w:pPr/>
          </w:p>
        </w:tc>
        <w:tc>
          <w:tcPr>
            <w:tcW w:w="852" w:type="dxa"/>
            <w:tcBorders>
              <w:top w:val="nil" w:sz="6" w:space="0" w:color="auto"/>
              <w:left w:val="single" w:sz="4" w:space="0" w:color="000000"/>
              <w:bottom w:val="nil" w:sz="6" w:space="0" w:color="auto"/>
              <w:right w:val="single" w:sz="4" w:space="0" w:color="000000"/>
            </w:tcBorders>
            <w:shd w:val="clear" w:color="auto" w:fill="D2D2D2"/>
          </w:tcPr>
          <w:p>
            <w:pPr/>
          </w:p>
        </w:tc>
        <w:tc>
          <w:tcPr>
            <w:tcW w:w="726" w:type="dxa"/>
            <w:tcBorders>
              <w:top w:val="nil" w:sz="6" w:space="0" w:color="auto"/>
              <w:left w:val="single" w:sz="4" w:space="0" w:color="000000"/>
              <w:bottom w:val="nil" w:sz="6" w:space="0" w:color="auto"/>
              <w:right w:val="single" w:sz="4" w:space="0" w:color="000000"/>
            </w:tcBorders>
            <w:shd w:val="clear" w:color="auto" w:fill="D2D2D2"/>
          </w:tcPr>
          <w:p>
            <w:pPr/>
          </w:p>
        </w:tc>
      </w:tr>
      <w:tr>
        <w:trPr>
          <w:trHeight w:val="358" w:hRule="exact"/>
        </w:trPr>
        <w:tc>
          <w:tcPr>
            <w:tcW w:w="2557" w:type="dxa"/>
            <w:tcBorders>
              <w:top w:val="nil" w:sz="6" w:space="0" w:color="auto"/>
              <w:left w:val="single" w:sz="4" w:space="0" w:color="000000"/>
              <w:bottom w:val="single" w:sz="4" w:space="0" w:color="000000"/>
              <w:right w:val="single" w:sz="4" w:space="0" w:color="000000"/>
            </w:tcBorders>
            <w:shd w:val="clear" w:color="auto" w:fill="D2D2D2"/>
          </w:tcPr>
          <w:p>
            <w:pPr/>
          </w:p>
        </w:tc>
        <w:tc>
          <w:tcPr>
            <w:tcW w:w="974" w:type="dxa"/>
            <w:tcBorders>
              <w:top w:val="nil" w:sz="6" w:space="0" w:color="auto"/>
              <w:left w:val="single" w:sz="4" w:space="0" w:color="000000"/>
              <w:bottom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0" w:type="dxa"/>
            <w:tcBorders>
              <w:top w:val="nil" w:sz="6" w:space="0" w:color="auto"/>
              <w:left w:val="single" w:sz="4" w:space="0" w:color="000000"/>
              <w:bottom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益</w:t>
            </w:r>
          </w:p>
        </w:tc>
        <w:tc>
          <w:tcPr>
            <w:tcW w:w="852" w:type="dxa"/>
            <w:tcBorders>
              <w:top w:val="nil" w:sz="6" w:space="0" w:color="auto"/>
              <w:left w:val="single" w:sz="4" w:space="0" w:color="000000"/>
              <w:bottom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single" w:sz="4" w:space="0" w:color="000000"/>
              <w:right w:val="single" w:sz="4" w:space="0" w:color="000000"/>
            </w:tcBorders>
            <w:shd w:val="clear" w:color="auto" w:fill="D2D2D2"/>
          </w:tcPr>
          <w:p>
            <w:pPr/>
          </w:p>
        </w:tc>
        <w:tc>
          <w:tcPr>
            <w:tcW w:w="72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60" w:hRule="exact"/>
        </w:trPr>
        <w:tc>
          <w:tcPr>
            <w:tcW w:w="255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w:t>
            </w:r>
          </w:p>
        </w:tc>
        <w:tc>
          <w:tcPr>
            <w:tcW w:w="97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-1,042,63</w:t>
            </w:r>
          </w:p>
        </w:tc>
        <w:tc>
          <w:tcPr>
            <w:tcW w:w="852" w:type="dxa"/>
            <w:vMerge w:val="restart"/>
            <w:tcBorders>
              <w:top w:val="single" w:sz="4" w:space="0" w:color="000000"/>
              <w:left w:val="single" w:sz="4" w:space="0" w:color="000000"/>
              <w:right w:val="single" w:sz="4" w:space="0" w:color="000000"/>
            </w:tcBorders>
          </w:tcPr>
          <w:p>
            <w:pPr/>
          </w:p>
        </w:tc>
        <w:tc>
          <w:tcPr>
            <w:tcW w:w="1050"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3"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7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8"/>
                <w:szCs w:val="18"/>
              </w:rPr>
            </w:pPr>
            <w:r>
              <w:rPr>
                <w:rFonts w:ascii="Times New Roman"/>
                <w:sz w:val="18"/>
              </w:rPr>
              <w:t>-1,042,</w:t>
            </w:r>
          </w:p>
        </w:tc>
      </w:tr>
      <w:tr>
        <w:trPr>
          <w:trHeight w:val="354" w:hRule="exact"/>
        </w:trPr>
        <w:tc>
          <w:tcPr>
            <w:tcW w:w="255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合收益</w:t>
            </w:r>
          </w:p>
        </w:tc>
        <w:tc>
          <w:tcPr>
            <w:tcW w:w="97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pacing w:val="-1"/>
                <w:sz w:val="18"/>
              </w:rPr>
              <w:t>4.10</w:t>
            </w:r>
          </w:p>
        </w:tc>
        <w:tc>
          <w:tcPr>
            <w:tcW w:w="852" w:type="dxa"/>
            <w:vMerge/>
            <w:tcBorders>
              <w:left w:val="single" w:sz="4" w:space="0" w:color="000000"/>
              <w:bottom w:val="single" w:sz="4" w:space="0" w:color="000000"/>
              <w:right w:val="single" w:sz="4" w:space="0" w:color="000000"/>
            </w:tcBorders>
          </w:tcPr>
          <w:p>
            <w:pPr/>
          </w:p>
        </w:tc>
        <w:tc>
          <w:tcPr>
            <w:tcW w:w="1050"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7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left="118" w:right="0"/>
              <w:jc w:val="left"/>
              <w:rPr>
                <w:rFonts w:ascii="Times New Roman" w:hAnsi="Times New Roman" w:cs="Times New Roman" w:eastAsia="Times New Roman" w:hint="default"/>
                <w:sz w:val="18"/>
                <w:szCs w:val="18"/>
              </w:rPr>
            </w:pPr>
            <w:r>
              <w:rPr>
                <w:rFonts w:ascii="Times New Roman"/>
                <w:sz w:val="18"/>
              </w:rPr>
              <w:t>634.10</w:t>
            </w:r>
          </w:p>
        </w:tc>
      </w:tr>
      <w:tr>
        <w:trPr>
          <w:trHeight w:val="360" w:hRule="exact"/>
        </w:trPr>
        <w:tc>
          <w:tcPr>
            <w:tcW w:w="255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其中：权益法下可转损益的其</w:t>
            </w:r>
          </w:p>
        </w:tc>
        <w:tc>
          <w:tcPr>
            <w:tcW w:w="97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-1,042,63</w:t>
            </w:r>
          </w:p>
        </w:tc>
        <w:tc>
          <w:tcPr>
            <w:tcW w:w="852" w:type="dxa"/>
            <w:vMerge w:val="restart"/>
            <w:tcBorders>
              <w:top w:val="single" w:sz="4" w:space="0" w:color="000000"/>
              <w:left w:val="single" w:sz="4" w:space="0" w:color="000000"/>
              <w:right w:val="single" w:sz="4" w:space="0" w:color="000000"/>
            </w:tcBorders>
          </w:tcPr>
          <w:p>
            <w:pPr/>
          </w:p>
        </w:tc>
        <w:tc>
          <w:tcPr>
            <w:tcW w:w="1050"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3"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7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-1,042,</w:t>
            </w:r>
          </w:p>
        </w:tc>
      </w:tr>
      <w:tr>
        <w:trPr>
          <w:trHeight w:val="354" w:hRule="exact"/>
        </w:trPr>
        <w:tc>
          <w:tcPr>
            <w:tcW w:w="255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97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8"/>
                <w:szCs w:val="18"/>
              </w:rPr>
            </w:pPr>
            <w:r>
              <w:rPr>
                <w:rFonts w:ascii="Times New Roman"/>
                <w:spacing w:val="-1"/>
                <w:sz w:val="18"/>
              </w:rPr>
              <w:t>4.10</w:t>
            </w:r>
          </w:p>
        </w:tc>
        <w:tc>
          <w:tcPr>
            <w:tcW w:w="852" w:type="dxa"/>
            <w:vMerge/>
            <w:tcBorders>
              <w:left w:val="single" w:sz="4" w:space="0" w:color="000000"/>
              <w:bottom w:val="single" w:sz="4" w:space="0" w:color="000000"/>
              <w:right w:val="single" w:sz="4" w:space="0" w:color="000000"/>
            </w:tcBorders>
          </w:tcPr>
          <w:p>
            <w:pPr/>
          </w:p>
        </w:tc>
        <w:tc>
          <w:tcPr>
            <w:tcW w:w="1050"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7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left="118" w:right="0"/>
              <w:jc w:val="left"/>
              <w:rPr>
                <w:rFonts w:ascii="Times New Roman" w:hAnsi="Times New Roman" w:cs="Times New Roman" w:eastAsia="Times New Roman" w:hint="default"/>
                <w:sz w:val="18"/>
                <w:szCs w:val="18"/>
              </w:rPr>
            </w:pPr>
            <w:r>
              <w:rPr>
                <w:rFonts w:ascii="Times New Roman"/>
                <w:sz w:val="18"/>
              </w:rPr>
              <w:t>634.10</w:t>
            </w:r>
          </w:p>
        </w:tc>
      </w:tr>
      <w:tr>
        <w:trPr>
          <w:trHeight w:val="714" w:hRule="exact"/>
        </w:trPr>
        <w:tc>
          <w:tcPr>
            <w:tcW w:w="2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72" w:right="0"/>
              <w:jc w:val="left"/>
              <w:rPr>
                <w:rFonts w:ascii="Times New Roman" w:hAnsi="Times New Roman" w:cs="Times New Roman" w:eastAsia="Times New Roman" w:hint="default"/>
                <w:sz w:val="18"/>
                <w:szCs w:val="18"/>
              </w:rPr>
            </w:pPr>
            <w:r>
              <w:rPr>
                <w:rFonts w:ascii="Times New Roman"/>
                <w:sz w:val="18"/>
              </w:rPr>
              <w:t>-1,042,63</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4.10</w:t>
            </w:r>
          </w:p>
        </w:tc>
        <w:tc>
          <w:tcPr>
            <w:tcW w:w="852"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8"/>
                <w:szCs w:val="18"/>
              </w:rPr>
            </w:pPr>
            <w:r>
              <w:rPr>
                <w:rFonts w:ascii="Times New Roman"/>
                <w:sz w:val="18"/>
              </w:rPr>
              <w:t>-1,042,</w:t>
            </w:r>
          </w:p>
          <w:p>
            <w:pPr>
              <w:pStyle w:val="TableParagraph"/>
              <w:spacing w:line="240" w:lineRule="auto" w:before="105"/>
              <w:ind w:left="118" w:right="0"/>
              <w:jc w:val="left"/>
              <w:rPr>
                <w:rFonts w:ascii="Times New Roman" w:hAnsi="Times New Roman" w:cs="Times New Roman" w:eastAsia="Times New Roman" w:hint="default"/>
                <w:sz w:val="18"/>
                <w:szCs w:val="18"/>
              </w:rPr>
            </w:pPr>
            <w:r>
              <w:rPr>
                <w:rFonts w:ascii="Times New Roman"/>
                <w:sz w:val="18"/>
              </w:rPr>
              <w:t>634.10</w:t>
            </w:r>
          </w:p>
        </w:tc>
      </w:tr>
    </w:tbl>
    <w:p>
      <w:pPr>
        <w:spacing w:after="0" w:line="240" w:lineRule="auto"/>
        <w:jc w:val="left"/>
        <w:rPr>
          <w:rFonts w:ascii="Times New Roman" w:hAnsi="Times New Roman" w:cs="Times New Roman" w:eastAsia="Times New Roman" w:hint="default"/>
          <w:sz w:val="18"/>
          <w:szCs w:val="18"/>
        </w:rPr>
        <w:sectPr>
          <w:pgSz w:w="11910" w:h="16840"/>
          <w:pgMar w:header="919" w:footer="1016" w:top="1120" w:bottom="1200" w:left="1020" w:right="0"/>
        </w:sectPr>
      </w:pPr>
    </w:p>
    <w:p>
      <w:pPr>
        <w:spacing w:line="240" w:lineRule="auto" w:before="12"/>
        <w:rPr>
          <w:rFonts w:ascii="宋体" w:hAnsi="宋体" w:cs="宋体" w:eastAsia="宋体" w:hint="default"/>
          <w:sz w:val="20"/>
          <w:szCs w:val="20"/>
        </w:rPr>
      </w:pPr>
    </w:p>
    <w:p>
      <w:pPr>
        <w:pStyle w:val="BodyText"/>
        <w:spacing w:line="357" w:lineRule="auto" w:before="44"/>
        <w:ind w:right="4094"/>
        <w:jc w:val="left"/>
      </w:pPr>
      <w:r>
        <w:rPr/>
        <w:t>其他说明，包括对现金流量套期损益的有效部分转为被套期项目初始确认金额调整： 无</w:t>
      </w:r>
    </w:p>
    <w:p>
      <w:pPr>
        <w:spacing w:line="240" w:lineRule="auto" w:before="3"/>
        <w:rPr>
          <w:rFonts w:ascii="宋体" w:hAnsi="宋体" w:cs="宋体" w:eastAsia="宋体" w:hint="default"/>
          <w:sz w:val="20"/>
          <w:szCs w:val="20"/>
        </w:rPr>
      </w:pPr>
    </w:p>
    <w:p>
      <w:pPr>
        <w:pStyle w:val="Heading3"/>
        <w:spacing w:line="240" w:lineRule="auto"/>
        <w:ind w:right="915"/>
        <w:jc w:val="left"/>
        <w:rPr>
          <w:b w:val="0"/>
          <w:bCs w:val="0"/>
        </w:rPr>
      </w:pPr>
      <w:bookmarkStart w:name="33、盈余公积" w:id="345"/>
      <w:bookmarkEnd w:id="345"/>
      <w:r>
        <w:rPr>
          <w:b w:val="0"/>
          <w:bCs w:val="0"/>
        </w:rPr>
      </w:r>
      <w:r>
        <w:rPr>
          <w:rFonts w:ascii="Times New Roman" w:hAnsi="Times New Roman" w:cs="Times New Roman" w:eastAsia="Times New Roman" w:hint="default"/>
        </w:rPr>
        <w:t>33</w:t>
      </w:r>
      <w:r>
        <w:rPr/>
        <w:t>、盈余公积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71,810,565.35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19,430,306.91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91,240,872.26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71,810,565.35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19,430,306.91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91,240,872.26</w:t>
            </w:r>
          </w:p>
        </w:tc>
      </w:tr>
    </w:tbl>
    <w:p>
      <w:pPr>
        <w:pStyle w:val="BodyText"/>
        <w:spacing w:line="357" w:lineRule="auto" w:before="51"/>
        <w:ind w:right="6254"/>
        <w:jc w:val="left"/>
      </w:pPr>
      <w:r>
        <w:rPr/>
        <w:t>盈余公积说明，包括本期增减变动情况、变动原因说明： 无</w:t>
      </w:r>
    </w:p>
    <w:p>
      <w:pPr>
        <w:spacing w:line="240" w:lineRule="auto" w:before="3"/>
        <w:rPr>
          <w:rFonts w:ascii="宋体" w:hAnsi="宋体" w:cs="宋体" w:eastAsia="宋体" w:hint="default"/>
          <w:sz w:val="20"/>
          <w:szCs w:val="20"/>
        </w:rPr>
      </w:pPr>
    </w:p>
    <w:p>
      <w:pPr>
        <w:pStyle w:val="Heading3"/>
        <w:spacing w:line="240" w:lineRule="auto"/>
        <w:ind w:right="915"/>
        <w:jc w:val="left"/>
        <w:rPr>
          <w:b w:val="0"/>
          <w:bCs w:val="0"/>
        </w:rPr>
      </w:pPr>
      <w:bookmarkStart w:name="34、未分配利润" w:id="346"/>
      <w:bookmarkEnd w:id="346"/>
      <w:r>
        <w:rPr>
          <w:b w:val="0"/>
          <w:bCs w:val="0"/>
        </w:rPr>
      </w:r>
      <w:r>
        <w:rPr>
          <w:rFonts w:ascii="Times New Roman" w:hAnsi="Times New Roman" w:cs="Times New Roman" w:eastAsia="Times New Roman" w:hint="default"/>
        </w:rPr>
        <w:t>34</w:t>
      </w:r>
      <w:r>
        <w:rPr/>
        <w:t>、未分配利润</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725"/>
        <w:gridCol w:w="2924"/>
        <w:gridCol w:w="2918"/>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399,658,743.99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350,159,000.84</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-3,434,438.49</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396,224,305.50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350,159,000.84</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136,436,981.53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177,780,372.07</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19,430,306.91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16,968,691.92</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提取一般风险准备</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2,443,092.65</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74,176,133.00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2"/>
                <w:sz w:val="18"/>
              </w:rPr>
              <w:t>111,311,937.00</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436,611,754.47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399,658,743.99</w:t>
            </w:r>
          </w:p>
        </w:tc>
      </w:tr>
    </w:tbl>
    <w:p>
      <w:pPr>
        <w:pStyle w:val="BodyText"/>
        <w:spacing w:line="240" w:lineRule="auto" w:before="50"/>
        <w:ind w:right="915"/>
        <w:jc w:val="left"/>
      </w:pPr>
      <w:r>
        <w:rPr/>
        <w:t>调整期初未分配利润明细：</w:t>
      </w:r>
    </w:p>
    <w:p>
      <w:pPr>
        <w:pStyle w:val="BodyText"/>
        <w:spacing w:line="240" w:lineRule="auto" w:before="115"/>
        <w:ind w:right="915"/>
        <w:jc w:val="left"/>
      </w:pPr>
      <w:r>
        <w:rPr>
          <w:rFonts w:ascii="Times New Roman" w:hAnsi="Times New Roman" w:cs="Times New Roman" w:eastAsia="Times New Roman" w:hint="default"/>
        </w:rPr>
        <w:t>1)</w:t>
      </w:r>
      <w:r>
        <w:rPr/>
        <w:t>、由于《企业会计准则》及其相关新规定进行追溯调整，影响期初未分配利润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915"/>
        <w:jc w:val="left"/>
      </w:pPr>
      <w:r>
        <w:rPr>
          <w:rFonts w:ascii="Times New Roman" w:hAnsi="Times New Roman" w:cs="Times New Roman" w:eastAsia="Times New Roman" w:hint="default"/>
        </w:rPr>
        <w:t>2)</w:t>
      </w:r>
      <w:r>
        <w:rPr/>
        <w:t>、由于会计政策变更，影响期初未分配利润</w:t>
      </w:r>
      <w:r>
        <w:rPr>
          <w:rFonts w:ascii="Times New Roman" w:hAnsi="Times New Roman" w:cs="Times New Roman" w:eastAsia="Times New Roman" w:hint="default"/>
        </w:rPr>
        <w:t>-3,434,438.49</w:t>
      </w:r>
      <w:r>
        <w:rPr>
          <w:rFonts w:ascii="Times New Roman" w:hAnsi="Times New Roman" w:cs="Times New Roman" w:eastAsia="Times New Roman" w:hint="default"/>
          <w:spacing w:val="-6"/>
        </w:rPr>
        <w:t> </w:t>
      </w:r>
      <w:r>
        <w:rPr/>
        <w:t>元。</w:t>
      </w:r>
    </w:p>
    <w:p>
      <w:pPr>
        <w:pStyle w:val="BodyText"/>
        <w:spacing w:line="240" w:lineRule="auto" w:before="103"/>
        <w:ind w:right="915"/>
        <w:jc w:val="left"/>
      </w:pPr>
      <w:r>
        <w:rPr>
          <w:rFonts w:ascii="Times New Roman" w:hAnsi="Times New Roman" w:cs="Times New Roman" w:eastAsia="Times New Roman" w:hint="default"/>
        </w:rPr>
        <w:t>3)</w:t>
      </w:r>
      <w:r>
        <w:rPr/>
        <w:t>、由于重大会计差错更正，影响期初未分配利润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1"/>
        <w:ind w:right="915"/>
        <w:jc w:val="left"/>
      </w:pPr>
      <w:r>
        <w:rPr>
          <w:rFonts w:ascii="Times New Roman" w:hAnsi="Times New Roman" w:cs="Times New Roman" w:eastAsia="Times New Roman" w:hint="default"/>
        </w:rPr>
        <w:t>4)</w:t>
      </w:r>
      <w:r>
        <w:rPr/>
        <w:t>、由于同一控制导致的合并范围变更，影响期初未分配利润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915"/>
        <w:jc w:val="left"/>
      </w:pPr>
      <w:r>
        <w:rPr>
          <w:rFonts w:ascii="Times New Roman" w:hAnsi="Times New Roman" w:cs="Times New Roman" w:eastAsia="Times New Roman" w:hint="default"/>
        </w:rPr>
        <w:t>5)</w:t>
      </w:r>
      <w:r>
        <w:rPr/>
        <w:t>、其他调整合计影响期初未分配利润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3"/>
        <w:rPr>
          <w:rFonts w:ascii="宋体" w:hAnsi="宋体" w:cs="宋体" w:eastAsia="宋体" w:hint="default"/>
          <w:sz w:val="25"/>
          <w:szCs w:val="25"/>
        </w:rPr>
      </w:pPr>
    </w:p>
    <w:p>
      <w:pPr>
        <w:pStyle w:val="Heading3"/>
        <w:spacing w:line="240" w:lineRule="auto"/>
        <w:ind w:right="915"/>
        <w:jc w:val="left"/>
        <w:rPr>
          <w:b w:val="0"/>
          <w:bCs w:val="0"/>
        </w:rPr>
      </w:pPr>
      <w:bookmarkStart w:name="35、营业收入和营业成本" w:id="347"/>
      <w:bookmarkEnd w:id="347"/>
      <w:r>
        <w:rPr>
          <w:b w:val="0"/>
          <w:bCs w:val="0"/>
        </w:rPr>
      </w:r>
      <w:r>
        <w:rPr>
          <w:rFonts w:ascii="Times New Roman" w:hAnsi="Times New Roman" w:cs="Times New Roman" w:eastAsia="Times New Roman" w:hint="default"/>
        </w:rPr>
        <w:t>35</w:t>
      </w:r>
      <w:r>
        <w:rPr/>
        <w:t>、营业收入和营业成本</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651,300,995.92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174,310,950.57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631,422,037.89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122,147,400.62</w:t>
            </w:r>
          </w:p>
        </w:tc>
      </w:tr>
      <w:tr>
        <w:trPr>
          <w:trHeight w:val="400"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4,278,982.19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2,547,916.38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7,678,455.92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6,047,000.56</w:t>
            </w:r>
          </w:p>
        </w:tc>
      </w:tr>
    </w:tbl>
    <w:p>
      <w:pPr>
        <w:spacing w:after="0" w:line="240" w:lineRule="auto"/>
        <w:jc w:val="right"/>
        <w:rPr>
          <w:rFonts w:ascii="Times New Roman" w:hAnsi="Times New Roman" w:cs="Times New Roman" w:eastAsia="Times New Roman" w:hint="default"/>
          <w:sz w:val="18"/>
          <w:szCs w:val="18"/>
        </w:rPr>
        <w:sectPr>
          <w:pgSz w:w="11910" w:h="16840"/>
          <w:pgMar w:header="919" w:footer="1016"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85" w:right="0"/>
              <w:jc w:val="left"/>
              <w:rPr>
                <w:rFonts w:ascii="Times New Roman" w:hAnsi="Times New Roman" w:cs="Times New Roman" w:eastAsia="Times New Roman" w:hint="default"/>
                <w:sz w:val="18"/>
                <w:szCs w:val="18"/>
              </w:rPr>
            </w:pPr>
            <w:r>
              <w:rPr>
                <w:rFonts w:ascii="Times New Roman"/>
                <w:sz w:val="18"/>
              </w:rPr>
              <w:t>655,579,978.11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75" w:right="0"/>
              <w:jc w:val="left"/>
              <w:rPr>
                <w:rFonts w:ascii="Times New Roman" w:hAnsi="Times New Roman" w:cs="Times New Roman" w:eastAsia="Times New Roman" w:hint="default"/>
                <w:sz w:val="18"/>
                <w:szCs w:val="18"/>
              </w:rPr>
            </w:pPr>
            <w:r>
              <w:rPr>
                <w:rFonts w:ascii="Times New Roman"/>
                <w:sz w:val="18"/>
              </w:rPr>
              <w:t>176,858,866.95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76" w:right="0"/>
              <w:jc w:val="left"/>
              <w:rPr>
                <w:rFonts w:ascii="Times New Roman" w:hAnsi="Times New Roman" w:cs="Times New Roman" w:eastAsia="Times New Roman" w:hint="default"/>
                <w:sz w:val="18"/>
                <w:szCs w:val="18"/>
              </w:rPr>
            </w:pPr>
            <w:r>
              <w:rPr>
                <w:rFonts w:ascii="Times New Roman"/>
                <w:sz w:val="18"/>
              </w:rPr>
              <w:t>639,100,493.81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75" w:right="0"/>
              <w:jc w:val="left"/>
              <w:rPr>
                <w:rFonts w:ascii="Times New Roman" w:hAnsi="Times New Roman" w:cs="Times New Roman" w:eastAsia="Times New Roman" w:hint="default"/>
                <w:sz w:val="18"/>
                <w:szCs w:val="18"/>
              </w:rPr>
            </w:pPr>
            <w:r>
              <w:rPr>
                <w:rFonts w:ascii="Times New Roman"/>
                <w:sz w:val="18"/>
              </w:rPr>
              <w:t>128,194,401.18</w:t>
            </w:r>
          </w:p>
        </w:tc>
      </w:tr>
    </w:tbl>
    <w:p>
      <w:pPr>
        <w:pStyle w:val="BodyText"/>
        <w:spacing w:line="240" w:lineRule="auto" w:before="51"/>
        <w:ind w:right="915"/>
        <w:jc w:val="left"/>
      </w:pPr>
      <w:r>
        <w:rPr/>
        <w:t>是否已执行新收入准则</w:t>
      </w:r>
    </w:p>
    <w:p>
      <w:pPr>
        <w:pStyle w:val="BodyText"/>
        <w:spacing w:line="357" w:lineRule="auto" w:before="117"/>
        <w:ind w:right="9764"/>
        <w:jc w:val="left"/>
      </w:pPr>
      <w:r>
        <w:rPr/>
        <w:t>□ 是 √ 否 其他说明 无。</w:t>
      </w:r>
    </w:p>
    <w:p>
      <w:pPr>
        <w:spacing w:line="240" w:lineRule="auto" w:before="3"/>
        <w:rPr>
          <w:rFonts w:ascii="宋体" w:hAnsi="宋体" w:cs="宋体" w:eastAsia="宋体" w:hint="default"/>
          <w:sz w:val="20"/>
          <w:szCs w:val="20"/>
        </w:rPr>
      </w:pPr>
    </w:p>
    <w:p>
      <w:pPr>
        <w:pStyle w:val="Heading3"/>
        <w:spacing w:line="240" w:lineRule="auto"/>
        <w:ind w:right="915"/>
        <w:jc w:val="left"/>
        <w:rPr>
          <w:b w:val="0"/>
          <w:bCs w:val="0"/>
        </w:rPr>
      </w:pPr>
      <w:bookmarkStart w:name="36、税金及附加" w:id="348"/>
      <w:bookmarkEnd w:id="348"/>
      <w:r>
        <w:rPr>
          <w:b w:val="0"/>
          <w:bCs w:val="0"/>
        </w:rPr>
      </w:r>
      <w:r>
        <w:rPr>
          <w:rFonts w:ascii="Times New Roman" w:hAnsi="Times New Roman" w:cs="Times New Roman" w:eastAsia="Times New Roman" w:hint="default"/>
        </w:rPr>
        <w:t>36</w:t>
      </w:r>
      <w:r>
        <w:rPr/>
        <w:t>、税金及附加</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2,351,381.79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1,083,248.65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1,746,011.45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861,348.34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3,929,300.69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1,934,640.05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215,388.85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646,593.58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73,151.64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65,477.13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8,315,234.42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4,591,307.75</w:t>
            </w:r>
          </w:p>
        </w:tc>
      </w:tr>
    </w:tbl>
    <w:p>
      <w:pPr>
        <w:pStyle w:val="BodyText"/>
        <w:spacing w:line="360" w:lineRule="auto" w:before="50"/>
        <w:ind w:right="9854"/>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915"/>
        <w:jc w:val="left"/>
        <w:rPr>
          <w:b w:val="0"/>
          <w:bCs w:val="0"/>
        </w:rPr>
      </w:pPr>
      <w:bookmarkStart w:name="37、销售费用" w:id="349"/>
      <w:bookmarkEnd w:id="349"/>
      <w:r>
        <w:rPr>
          <w:b w:val="0"/>
          <w:bCs w:val="0"/>
        </w:rPr>
      </w:r>
      <w:r>
        <w:rPr>
          <w:rFonts w:ascii="Times New Roman" w:hAnsi="Times New Roman" w:cs="Times New Roman" w:eastAsia="Times New Roman" w:hint="default"/>
        </w:rPr>
        <w:t>37</w:t>
      </w:r>
      <w:r>
        <w:rPr/>
        <w:t>、销售费用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12,711,049.47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10,622,405.37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差旅费及业务费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18"/>
                <w:szCs w:val="18"/>
              </w:rPr>
            </w:pPr>
            <w:r>
              <w:rPr>
                <w:rFonts w:ascii="Times New Roman"/>
                <w:spacing w:val="-1"/>
                <w:sz w:val="18"/>
              </w:rPr>
              <w:t>4,913,546.11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5,449,841.01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2,116,875.89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2,247,152.83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98,301.89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280,985.68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3,608,531.60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2,097,443.95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运杂费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454,761.72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443,401.49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887,066.53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404,528.02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24,790,133.21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21,545,758.35</w:t>
            </w:r>
          </w:p>
        </w:tc>
      </w:tr>
    </w:tbl>
    <w:p>
      <w:pPr>
        <w:pStyle w:val="BodyText"/>
        <w:spacing w:line="360" w:lineRule="auto" w:before="49"/>
        <w:ind w:right="9854"/>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915"/>
        <w:jc w:val="left"/>
        <w:rPr>
          <w:b w:val="0"/>
          <w:bCs w:val="0"/>
        </w:rPr>
      </w:pPr>
      <w:bookmarkStart w:name="38、管理费用" w:id="350"/>
      <w:bookmarkEnd w:id="350"/>
      <w:r>
        <w:rPr>
          <w:b w:val="0"/>
          <w:bCs w:val="0"/>
        </w:rPr>
      </w:r>
      <w:r>
        <w:rPr>
          <w:rFonts w:ascii="Times New Roman" w:hAnsi="Times New Roman" w:cs="Times New Roman" w:eastAsia="Times New Roman" w:hint="default"/>
        </w:rPr>
        <w:t>38</w:t>
      </w:r>
      <w:r>
        <w:rPr/>
        <w:t>、管理费用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0"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919" w:footer="1016"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24,266,930.95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24,559,957.92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10,062,523.30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12,622,772.99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1,098,039.22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1,062,606.32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751,761.13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2,127,261.83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11,378,795.48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9,591,830.20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培训费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745,314.74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6,402,822.95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股权激励摊销费用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849,574.31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2,591,858.64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21,749,401.42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23,728,598.87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70,902,340.55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82,687,709.72</w:t>
            </w:r>
          </w:p>
        </w:tc>
      </w:tr>
    </w:tbl>
    <w:p>
      <w:pPr>
        <w:pStyle w:val="BodyText"/>
        <w:spacing w:line="360" w:lineRule="auto" w:before="51"/>
        <w:ind w:right="9854"/>
        <w:jc w:val="left"/>
      </w:pPr>
      <w:r>
        <w:rPr/>
        <w:t>其他说明： 无</w:t>
      </w:r>
    </w:p>
    <w:p>
      <w:pPr>
        <w:spacing w:line="240" w:lineRule="auto" w:before="12"/>
        <w:rPr>
          <w:rFonts w:ascii="宋体" w:hAnsi="宋体" w:cs="宋体" w:eastAsia="宋体" w:hint="default"/>
          <w:sz w:val="19"/>
          <w:szCs w:val="19"/>
        </w:rPr>
      </w:pPr>
    </w:p>
    <w:p>
      <w:pPr>
        <w:pStyle w:val="Heading3"/>
        <w:spacing w:line="240" w:lineRule="auto"/>
        <w:ind w:right="915"/>
        <w:jc w:val="left"/>
        <w:rPr>
          <w:b w:val="0"/>
          <w:bCs w:val="0"/>
        </w:rPr>
      </w:pPr>
      <w:bookmarkStart w:name="39、研发费用" w:id="351"/>
      <w:bookmarkEnd w:id="351"/>
      <w:r>
        <w:rPr>
          <w:b w:val="0"/>
          <w:bCs w:val="0"/>
        </w:rPr>
      </w:r>
      <w:r>
        <w:rPr>
          <w:rFonts w:ascii="Times New Roman" w:hAnsi="Times New Roman" w:cs="Times New Roman" w:eastAsia="Times New Roman" w:hint="default"/>
        </w:rPr>
        <w:t>39</w:t>
      </w:r>
      <w:r>
        <w:rPr/>
        <w:t>、研发费用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249,225,340.74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205,112,948.33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28,723,717.70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17,320,596.61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房租物业费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9,556,338.24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6,337,545.96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1,408,570.74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1,608,015.48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288,913,967.42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230,379,106.38</w:t>
            </w:r>
          </w:p>
        </w:tc>
      </w:tr>
    </w:tbl>
    <w:p>
      <w:pPr>
        <w:pStyle w:val="BodyText"/>
        <w:spacing w:line="357" w:lineRule="auto" w:before="52"/>
        <w:ind w:right="9854"/>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915"/>
        <w:jc w:val="left"/>
        <w:rPr>
          <w:b w:val="0"/>
          <w:bCs w:val="0"/>
        </w:rPr>
      </w:pPr>
      <w:bookmarkStart w:name="40、财务费用" w:id="352"/>
      <w:bookmarkEnd w:id="352"/>
      <w:r>
        <w:rPr>
          <w:b w:val="0"/>
          <w:bCs w:val="0"/>
        </w:rPr>
      </w:r>
      <w:r>
        <w:rPr>
          <w:rFonts w:ascii="Times New Roman" w:hAnsi="Times New Roman" w:cs="Times New Roman" w:eastAsia="Times New Roman" w:hint="default"/>
        </w:rPr>
        <w:t>40</w:t>
      </w:r>
      <w:r>
        <w:rPr/>
        <w:t>、财务费用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8,824,474.17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5,716,525.04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7,585,371.39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11,219,653.60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8"/>
                <w:szCs w:val="18"/>
              </w:rPr>
            </w:pPr>
            <w:r>
              <w:rPr>
                <w:rFonts w:ascii="Times New Roman"/>
                <w:w w:val="95"/>
                <w:sz w:val="18"/>
              </w:rPr>
              <w:t>-0.02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w w:val="95"/>
                <w:sz w:val="18"/>
              </w:rPr>
              <w:t>-0.06</w:t>
            </w:r>
            <w:r>
              <w:rPr>
                <w:rFonts w:ascii="Times New Roman"/>
                <w:sz w:val="18"/>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49,720.66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53,570.79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1,288,823.42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-5,449,557.83</w:t>
            </w:r>
          </w:p>
        </w:tc>
      </w:tr>
    </w:tbl>
    <w:p>
      <w:pPr>
        <w:pStyle w:val="BodyText"/>
        <w:spacing w:line="360" w:lineRule="auto" w:before="49"/>
        <w:ind w:right="9854"/>
        <w:jc w:val="left"/>
      </w:pPr>
      <w:r>
        <w:rPr/>
        <w:t>其他说明： 无</w:t>
      </w:r>
    </w:p>
    <w:p>
      <w:pPr>
        <w:spacing w:after="0" w:line="360" w:lineRule="auto"/>
        <w:jc w:val="left"/>
        <w:sectPr>
          <w:pgSz w:w="11910" w:h="16840"/>
          <w:pgMar w:header="919" w:footer="1016" w:top="1120" w:bottom="1200" w:left="1020" w:right="0"/>
        </w:sectPr>
      </w:pPr>
    </w:p>
    <w:p>
      <w:pPr>
        <w:spacing w:line="240" w:lineRule="auto" w:before="10"/>
        <w:rPr>
          <w:rFonts w:ascii="宋体" w:hAnsi="宋体" w:cs="宋体" w:eastAsia="宋体" w:hint="default"/>
          <w:sz w:val="19"/>
          <w:szCs w:val="19"/>
        </w:rPr>
      </w:pPr>
    </w:p>
    <w:p>
      <w:pPr>
        <w:pStyle w:val="Heading3"/>
        <w:spacing w:line="240" w:lineRule="auto" w:before="34"/>
        <w:ind w:right="915"/>
        <w:jc w:val="left"/>
        <w:rPr>
          <w:b w:val="0"/>
          <w:bCs w:val="0"/>
        </w:rPr>
      </w:pPr>
      <w:bookmarkStart w:name="41、其他收益" w:id="353"/>
      <w:bookmarkEnd w:id="353"/>
      <w:r>
        <w:rPr>
          <w:b w:val="0"/>
          <w:bCs w:val="0"/>
        </w:rPr>
      </w:r>
      <w:r>
        <w:rPr>
          <w:rFonts w:ascii="Times New Roman" w:hAnsi="Times New Roman" w:cs="Times New Roman" w:eastAsia="Times New Roman" w:hint="default"/>
        </w:rPr>
        <w:t>41</w:t>
      </w:r>
      <w:r>
        <w:rPr/>
        <w:t>、其他收益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8"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13,587,985.77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19,927,376.75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增值税返还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15,549,341.46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19,393,289.67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个税手续费返还款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17,712.93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12,308.59</w:t>
            </w:r>
          </w:p>
        </w:tc>
      </w:tr>
    </w:tbl>
    <w:p>
      <w:pPr>
        <w:spacing w:line="240" w:lineRule="auto" w:before="3"/>
        <w:rPr>
          <w:rFonts w:ascii="宋体" w:hAnsi="宋体" w:cs="宋体" w:eastAsia="宋体" w:hint="default"/>
          <w:sz w:val="19"/>
          <w:szCs w:val="19"/>
        </w:rPr>
      </w:pPr>
    </w:p>
    <w:p>
      <w:pPr>
        <w:pStyle w:val="Heading3"/>
        <w:spacing w:line="240" w:lineRule="auto" w:before="34"/>
        <w:ind w:right="915"/>
        <w:jc w:val="left"/>
        <w:rPr>
          <w:b w:val="0"/>
          <w:bCs w:val="0"/>
        </w:rPr>
      </w:pPr>
      <w:bookmarkStart w:name="42、投资收益" w:id="354"/>
      <w:bookmarkEnd w:id="354"/>
      <w:r>
        <w:rPr>
          <w:b w:val="0"/>
          <w:bCs w:val="0"/>
        </w:rPr>
      </w:r>
      <w:r>
        <w:rPr>
          <w:rFonts w:ascii="Times New Roman" w:hAnsi="Times New Roman" w:cs="Times New Roman" w:eastAsia="Times New Roman" w:hint="default"/>
        </w:rPr>
        <w:t>42</w:t>
      </w:r>
      <w:r>
        <w:rPr/>
        <w:t>、投资收益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460"/>
        <w:gridCol w:w="3190"/>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8,947,576.06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-1,121,088.99</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处置交易性金融资产取得的投资收益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6,864,304.46</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 w:right="106"/>
              <w:jc w:val="left"/>
              <w:rPr>
                <w:rFonts w:ascii="宋体" w:hAnsi="宋体" w:cs="宋体" w:eastAsia="宋体" w:hint="default"/>
                <w:sz w:val="18"/>
                <w:szCs w:val="18"/>
              </w:rPr>
            </w:pPr>
            <w:r>
              <w:rPr>
                <w:rFonts w:ascii="宋体" w:hAnsi="宋体" w:cs="宋体" w:eastAsia="宋体" w:hint="default"/>
                <w:sz w:val="18"/>
                <w:szCs w:val="18"/>
              </w:rPr>
              <w:t>丧失控制权后，剩余股权按公允价值重新 计量产生的利得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112,157,587.00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理财产品产生的投资收益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3,626,706.17</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委托贷款产生的投资收益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资产收益权回购取得的收益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296,375.03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2,152,830.19</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128,265,842.55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4,658,447.37</w:t>
            </w:r>
          </w:p>
        </w:tc>
      </w:tr>
    </w:tbl>
    <w:p>
      <w:pPr>
        <w:pStyle w:val="BodyText"/>
        <w:spacing w:line="357" w:lineRule="auto" w:before="50"/>
        <w:ind w:right="9854"/>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915"/>
        <w:jc w:val="left"/>
        <w:rPr>
          <w:b w:val="0"/>
          <w:bCs w:val="0"/>
        </w:rPr>
      </w:pPr>
      <w:bookmarkStart w:name="43、公允价值变动收益" w:id="355"/>
      <w:bookmarkEnd w:id="355"/>
      <w:r>
        <w:rPr>
          <w:b w:val="0"/>
          <w:bCs w:val="0"/>
        </w:rPr>
      </w:r>
      <w:r>
        <w:rPr>
          <w:rFonts w:ascii="Times New Roman" w:hAnsi="Times New Roman" w:cs="Times New Roman" w:eastAsia="Times New Roman" w:hint="default"/>
        </w:rPr>
        <w:t>43</w:t>
      </w:r>
      <w:r>
        <w:rPr/>
        <w:t>、公允价值变动收益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8"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-864,305.32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-5,475,420.00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-6,339,725.32</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49"/>
        <w:ind w:right="9854"/>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915"/>
        <w:jc w:val="left"/>
        <w:rPr>
          <w:b w:val="0"/>
          <w:bCs w:val="0"/>
        </w:rPr>
      </w:pPr>
      <w:bookmarkStart w:name="44、信用减值损失" w:id="356"/>
      <w:bookmarkEnd w:id="356"/>
      <w:r>
        <w:rPr>
          <w:b w:val="0"/>
          <w:bCs w:val="0"/>
        </w:rPr>
      </w:r>
      <w:r>
        <w:rPr>
          <w:rFonts w:ascii="Times New Roman" w:hAnsi="Times New Roman" w:cs="Times New Roman" w:eastAsia="Times New Roman" w:hint="default"/>
        </w:rPr>
        <w:t>44</w:t>
      </w:r>
      <w:r>
        <w:rPr/>
        <w:t>、信用减值损失</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0"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3" w:right="0"/>
              <w:jc w:val="left"/>
              <w:rPr>
                <w:rFonts w:ascii="Times New Roman" w:hAnsi="Times New Roman" w:cs="Times New Roman" w:eastAsia="Times New Roman" w:hint="default"/>
                <w:sz w:val="18"/>
                <w:szCs w:val="18"/>
              </w:rPr>
            </w:pPr>
            <w:r>
              <w:rPr>
                <w:rFonts w:ascii="Times New Roman"/>
                <w:sz w:val="18"/>
              </w:rPr>
              <w:t>-101,889,642.68</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9" w:footer="1016"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93" w:right="0"/>
              <w:jc w:val="left"/>
              <w:rPr>
                <w:rFonts w:ascii="Times New Roman" w:hAnsi="Times New Roman" w:cs="Times New Roman" w:eastAsia="Times New Roman" w:hint="default"/>
                <w:sz w:val="18"/>
                <w:szCs w:val="18"/>
              </w:rPr>
            </w:pPr>
            <w:r>
              <w:rPr>
                <w:rFonts w:ascii="Times New Roman"/>
                <w:sz w:val="18"/>
              </w:rPr>
              <w:t>-101,889,642.68</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right="9854"/>
        <w:jc w:val="left"/>
      </w:pPr>
      <w:r>
        <w:rPr/>
        <w:t>其他说明： 无</w:t>
      </w:r>
    </w:p>
    <w:p>
      <w:pPr>
        <w:spacing w:line="240" w:lineRule="auto" w:before="12"/>
        <w:rPr>
          <w:rFonts w:ascii="宋体" w:hAnsi="宋体" w:cs="宋体" w:eastAsia="宋体" w:hint="default"/>
          <w:sz w:val="19"/>
          <w:szCs w:val="19"/>
        </w:rPr>
      </w:pPr>
    </w:p>
    <w:p>
      <w:pPr>
        <w:pStyle w:val="Heading3"/>
        <w:spacing w:line="240" w:lineRule="auto"/>
        <w:ind w:right="915"/>
        <w:jc w:val="left"/>
        <w:rPr>
          <w:b w:val="0"/>
          <w:bCs w:val="0"/>
        </w:rPr>
      </w:pPr>
      <w:bookmarkStart w:name="45、资产减值损失" w:id="357"/>
      <w:bookmarkEnd w:id="357"/>
      <w:r>
        <w:rPr>
          <w:b w:val="0"/>
          <w:bCs w:val="0"/>
        </w:rPr>
      </w:r>
      <w:r>
        <w:rPr>
          <w:rFonts w:ascii="Times New Roman" w:hAnsi="Times New Roman" w:cs="Times New Roman" w:eastAsia="Times New Roman" w:hint="default"/>
        </w:rPr>
        <w:t>45</w:t>
      </w:r>
      <w:r>
        <w:rPr/>
        <w:t>、资产减值损失</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19" w:footer="1016" w:top="1120" w:bottom="1200" w:left="1020" w:right="0"/>
        </w:sectPr>
      </w:pPr>
    </w:p>
    <w:p>
      <w:pPr>
        <w:pStyle w:val="BodyText"/>
        <w:spacing w:line="240" w:lineRule="auto" w:before="44"/>
        <w:ind w:right="-20"/>
        <w:jc w:val="left"/>
      </w:pPr>
      <w:r>
        <w:rPr/>
        <w:t>是否已执行新收入准则</w:t>
      </w:r>
    </w:p>
    <w:p>
      <w:pPr>
        <w:pStyle w:val="BodyText"/>
        <w:spacing w:line="240" w:lineRule="auto" w:before="117"/>
        <w:ind w:right="-20"/>
        <w:jc w:val="left"/>
      </w:pPr>
      <w:r>
        <w:rPr/>
        <w:t>□ 是 √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100" w:bottom="1200" w:left="1020" w:right="0"/>
          <w:cols w:num="2" w:equalWidth="0">
            <w:col w:w="1913" w:space="6916"/>
            <w:col w:w="206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-28,274,334.57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145,350.54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-137,387.82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五、长期股权投资减值损失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-10,755,507.64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-1,504,511.33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-12,114,668.43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-28,411,722.39</w:t>
            </w:r>
          </w:p>
        </w:tc>
      </w:tr>
    </w:tbl>
    <w:p>
      <w:pPr>
        <w:pStyle w:val="BodyText"/>
        <w:spacing w:line="360" w:lineRule="auto" w:before="51"/>
        <w:ind w:right="9854"/>
        <w:jc w:val="left"/>
      </w:pPr>
      <w:r>
        <w:rPr/>
        <w:t>其他说明： 无</w:t>
      </w:r>
    </w:p>
    <w:p>
      <w:pPr>
        <w:spacing w:line="240" w:lineRule="auto" w:before="12"/>
        <w:rPr>
          <w:rFonts w:ascii="宋体" w:hAnsi="宋体" w:cs="宋体" w:eastAsia="宋体" w:hint="default"/>
          <w:sz w:val="19"/>
          <w:szCs w:val="19"/>
        </w:rPr>
      </w:pPr>
    </w:p>
    <w:p>
      <w:pPr>
        <w:pStyle w:val="Heading3"/>
        <w:spacing w:line="240" w:lineRule="auto"/>
        <w:ind w:right="915"/>
        <w:jc w:val="left"/>
        <w:rPr>
          <w:b w:val="0"/>
          <w:bCs w:val="0"/>
        </w:rPr>
      </w:pPr>
      <w:bookmarkStart w:name="46、资产处置收益" w:id="358"/>
      <w:bookmarkEnd w:id="358"/>
      <w:r>
        <w:rPr>
          <w:b w:val="0"/>
          <w:bCs w:val="0"/>
        </w:rPr>
      </w:r>
      <w:r>
        <w:rPr>
          <w:rFonts w:ascii="Times New Roman" w:hAnsi="Times New Roman" w:cs="Times New Roman" w:eastAsia="Times New Roman" w:hint="default"/>
        </w:rPr>
        <w:t>46</w:t>
      </w:r>
      <w:r>
        <w:rPr/>
        <w:t>、资产处置收益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8"/>
              <w:jc w:val="righ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735"/>
              <w:jc w:val="right"/>
              <w:rPr>
                <w:rFonts w:ascii="宋体" w:hAnsi="宋体" w:cs="宋体" w:eastAsia="宋体" w:hint="default"/>
                <w:sz w:val="18"/>
                <w:szCs w:val="18"/>
              </w:rPr>
            </w:pPr>
            <w:r>
              <w:rPr>
                <w:rFonts w:ascii="宋体" w:hAnsi="宋体" w:cs="宋体" w:eastAsia="宋体" w:hint="default"/>
                <w:sz w:val="18"/>
                <w:szCs w:val="18"/>
              </w:rPr>
              <w:t>非流动资产处置利得（损失）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-5,681.41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-52,015.37</w:t>
            </w:r>
          </w:p>
        </w:tc>
      </w:tr>
    </w:tbl>
    <w:p>
      <w:pPr>
        <w:spacing w:line="240" w:lineRule="auto" w:before="2"/>
        <w:rPr>
          <w:rFonts w:ascii="宋体" w:hAnsi="宋体" w:cs="宋体" w:eastAsia="宋体" w:hint="default"/>
          <w:sz w:val="19"/>
          <w:szCs w:val="19"/>
        </w:rPr>
      </w:pPr>
    </w:p>
    <w:p>
      <w:pPr>
        <w:pStyle w:val="Heading3"/>
        <w:spacing w:line="240" w:lineRule="auto" w:before="34"/>
        <w:ind w:right="915"/>
        <w:jc w:val="left"/>
        <w:rPr>
          <w:b w:val="0"/>
          <w:bCs w:val="0"/>
        </w:rPr>
      </w:pPr>
      <w:bookmarkStart w:name="47、营业外收入" w:id="359"/>
      <w:bookmarkEnd w:id="359"/>
      <w:r>
        <w:rPr>
          <w:b w:val="0"/>
          <w:bCs w:val="0"/>
        </w:rPr>
      </w:r>
      <w:r>
        <w:rPr>
          <w:rFonts w:ascii="Times New Roman" w:hAnsi="Times New Roman" w:cs="Times New Roman" w:eastAsia="Times New Roman" w:hint="default"/>
        </w:rPr>
        <w:t>47</w:t>
      </w:r>
      <w:r>
        <w:rPr/>
        <w:t>、营业外收入</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714"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100" w:right="108" w:hanging="989"/>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非流动资产毁损报废所得</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4,620.52</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4,620.52</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罚款收入</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1,322.12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500,005.00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1,322.12</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103,359.29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45,146.15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103,359.29</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109,301.93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545,151.15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109,301.93</w:t>
            </w:r>
          </w:p>
        </w:tc>
      </w:tr>
    </w:tbl>
    <w:p>
      <w:pPr>
        <w:pStyle w:val="BodyText"/>
        <w:spacing w:line="240" w:lineRule="auto" w:before="49"/>
        <w:ind w:right="915"/>
        <w:jc w:val="left"/>
      </w:pPr>
      <w:r>
        <w:rPr/>
        <w:t>计入当期损益的政府补助：</w:t>
      </w:r>
    </w:p>
    <w:p>
      <w:pPr>
        <w:pStyle w:val="BodyText"/>
        <w:spacing w:line="240" w:lineRule="auto" w:before="117"/>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5"/>
        <w:gridCol w:w="1063"/>
        <w:gridCol w:w="1063"/>
        <w:gridCol w:w="1063"/>
        <w:gridCol w:w="1063"/>
        <w:gridCol w:w="1063"/>
        <w:gridCol w:w="1063"/>
        <w:gridCol w:w="1063"/>
        <w:gridCol w:w="1063"/>
      </w:tblGrid>
      <w:tr>
        <w:trPr>
          <w:trHeight w:val="1026"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5"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65" w:right="165"/>
              <w:jc w:val="center"/>
              <w:rPr>
                <w:rFonts w:ascii="宋体" w:hAnsi="宋体" w:cs="宋体" w:eastAsia="宋体" w:hint="default"/>
                <w:sz w:val="18"/>
                <w:szCs w:val="18"/>
              </w:rPr>
            </w:pPr>
            <w:r>
              <w:rPr>
                <w:rFonts w:ascii="宋体" w:hAnsi="宋体" w:cs="宋体" w:eastAsia="宋体" w:hint="default"/>
                <w:sz w:val="18"/>
                <w:szCs w:val="18"/>
              </w:rPr>
              <w:t>补贴是否 影响当年 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45" w:right="165" w:hanging="180"/>
              <w:jc w:val="left"/>
              <w:rPr>
                <w:rFonts w:ascii="宋体" w:hAnsi="宋体" w:cs="宋体" w:eastAsia="宋体" w:hint="default"/>
                <w:sz w:val="18"/>
                <w:szCs w:val="18"/>
              </w:rPr>
            </w:pPr>
            <w:r>
              <w:rPr>
                <w:rFonts w:ascii="宋体" w:hAnsi="宋体" w:cs="宋体" w:eastAsia="宋体" w:hint="default"/>
                <w:sz w:val="18"/>
                <w:szCs w:val="18"/>
              </w:rPr>
              <w:t>是否特殊 补贴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46" w:right="165" w:hanging="180"/>
              <w:jc w:val="left"/>
              <w:rPr>
                <w:rFonts w:ascii="宋体" w:hAnsi="宋体" w:cs="宋体" w:eastAsia="宋体" w:hint="default"/>
                <w:sz w:val="18"/>
                <w:szCs w:val="18"/>
              </w:rPr>
            </w:pPr>
            <w:r>
              <w:rPr>
                <w:rFonts w:ascii="宋体" w:hAnsi="宋体" w:cs="宋体" w:eastAsia="宋体" w:hint="default"/>
                <w:sz w:val="18"/>
                <w:szCs w:val="18"/>
              </w:rPr>
              <w:t>本期发生 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46" w:right="165" w:hanging="180"/>
              <w:jc w:val="left"/>
              <w:rPr>
                <w:rFonts w:ascii="宋体" w:hAnsi="宋体" w:cs="宋体" w:eastAsia="宋体" w:hint="default"/>
                <w:sz w:val="18"/>
                <w:szCs w:val="18"/>
              </w:rPr>
            </w:pPr>
            <w:r>
              <w:rPr>
                <w:rFonts w:ascii="宋体" w:hAnsi="宋体" w:cs="宋体" w:eastAsia="宋体" w:hint="default"/>
                <w:sz w:val="18"/>
                <w:szCs w:val="18"/>
              </w:rPr>
              <w:t>上期发生 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40" w:right="141" w:firstLine="2"/>
              <w:jc w:val="center"/>
              <w:rPr>
                <w:rFonts w:ascii="宋体" w:hAnsi="宋体" w:cs="宋体" w:eastAsia="宋体" w:hint="default"/>
                <w:sz w:val="18"/>
                <w:szCs w:val="18"/>
              </w:rPr>
            </w:pPr>
            <w:r>
              <w:rPr>
                <w:rFonts w:ascii="宋体" w:hAnsi="宋体" w:cs="宋体" w:eastAsia="宋体" w:hint="default"/>
                <w:sz w:val="18"/>
                <w:szCs w:val="18"/>
              </w:rPr>
              <w:t>与资产相 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 相关</w:t>
            </w:r>
          </w:p>
        </w:tc>
      </w:tr>
    </w:tbl>
    <w:p>
      <w:pPr>
        <w:spacing w:after="0" w:line="309" w:lineRule="auto"/>
        <w:jc w:val="center"/>
        <w:rPr>
          <w:rFonts w:ascii="宋体" w:hAnsi="宋体" w:cs="宋体" w:eastAsia="宋体" w:hint="default"/>
          <w:sz w:val="18"/>
          <w:szCs w:val="18"/>
        </w:rPr>
        <w:sectPr>
          <w:type w:val="continuous"/>
          <w:pgSz w:w="11910" w:h="16840"/>
          <w:pgMar w:top="1100" w:bottom="1200" w:left="1020" w:right="0"/>
        </w:sectPr>
      </w:pPr>
    </w:p>
    <w:p>
      <w:pPr>
        <w:spacing w:line="240" w:lineRule="auto" w:before="12"/>
        <w:rPr>
          <w:rFonts w:ascii="宋体" w:hAnsi="宋体" w:cs="宋体" w:eastAsia="宋体" w:hint="default"/>
          <w:sz w:val="20"/>
          <w:szCs w:val="20"/>
        </w:rPr>
      </w:pPr>
    </w:p>
    <w:p>
      <w:pPr>
        <w:pStyle w:val="BodyText"/>
        <w:spacing w:line="357" w:lineRule="auto" w:before="44"/>
        <w:ind w:right="9854"/>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915"/>
        <w:jc w:val="left"/>
        <w:rPr>
          <w:b w:val="0"/>
          <w:bCs w:val="0"/>
        </w:rPr>
      </w:pPr>
      <w:bookmarkStart w:name="48、营业外支出" w:id="360"/>
      <w:bookmarkEnd w:id="360"/>
      <w:r>
        <w:rPr>
          <w:b w:val="0"/>
          <w:bCs w:val="0"/>
        </w:rPr>
      </w:r>
      <w:r>
        <w:rPr>
          <w:rFonts w:ascii="Times New Roman" w:hAnsi="Times New Roman" w:cs="Times New Roman" w:eastAsia="Times New Roman" w:hint="default"/>
        </w:rPr>
        <w:t>48</w:t>
      </w:r>
      <w:r>
        <w:rPr/>
        <w:t>、营业外支出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714"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100" w:right="108" w:hanging="989"/>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非流动资产损毁报废损失</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9,776.66</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9,776.66</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罚款及滞纳金</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7,347.00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20,263.46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7,347.00</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84,134.53</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84,134.53</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101,258.19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20,263.46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101,258.19</w:t>
            </w:r>
          </w:p>
        </w:tc>
      </w:tr>
    </w:tbl>
    <w:p>
      <w:pPr>
        <w:pStyle w:val="BodyText"/>
        <w:spacing w:line="357" w:lineRule="auto" w:before="51"/>
        <w:ind w:right="9854"/>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915"/>
        <w:jc w:val="left"/>
        <w:rPr>
          <w:b w:val="0"/>
          <w:bCs w:val="0"/>
        </w:rPr>
      </w:pPr>
      <w:bookmarkStart w:name="49、所得税费用" w:id="361"/>
      <w:bookmarkEnd w:id="361"/>
      <w:r>
        <w:rPr>
          <w:b w:val="0"/>
          <w:bCs w:val="0"/>
        </w:rPr>
      </w:r>
      <w:r>
        <w:rPr>
          <w:rFonts w:ascii="Times New Roman" w:hAnsi="Times New Roman" w:cs="Times New Roman" w:eastAsia="Times New Roman" w:hint="default"/>
        </w:rPr>
        <w:t>49</w:t>
      </w:r>
      <w:r>
        <w:rPr/>
        <w:t>、所得税费用</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15"/>
        <w:jc w:val="left"/>
        <w:rPr>
          <w:b w:val="0"/>
          <w:bCs w:val="0"/>
        </w:rPr>
      </w:pPr>
      <w:bookmarkStart w:name="（1）所得税费用表" w:id="362"/>
      <w:bookmarkEnd w:id="362"/>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7,120,765.31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2"/>
                <w:sz w:val="18"/>
              </w:rPr>
              <w:t>17,111,683.86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12,279,031.53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-5,268,435.09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19,399,796.84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11,843,248.77</w:t>
            </w:r>
          </w:p>
        </w:tc>
      </w:tr>
    </w:tbl>
    <w:p>
      <w:pPr>
        <w:spacing w:line="240" w:lineRule="auto" w:before="4"/>
        <w:rPr>
          <w:rFonts w:ascii="宋体" w:hAnsi="宋体" w:cs="宋体" w:eastAsia="宋体" w:hint="default"/>
          <w:sz w:val="19"/>
          <w:szCs w:val="19"/>
        </w:rPr>
      </w:pPr>
    </w:p>
    <w:p>
      <w:pPr>
        <w:pStyle w:val="Heading3"/>
        <w:spacing w:line="240" w:lineRule="auto" w:before="34"/>
        <w:ind w:right="915"/>
        <w:jc w:val="left"/>
        <w:rPr>
          <w:b w:val="0"/>
          <w:bCs w:val="0"/>
        </w:rPr>
      </w:pPr>
      <w:bookmarkStart w:name="（2）会计利润与所得税费用调整过程" w:id="363"/>
      <w:bookmarkEnd w:id="363"/>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79"/>
        <w:gridCol w:w="4789"/>
      </w:tblGrid>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121,589,820.75</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12,158,982.07</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-11,003,561.34</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-18,382.45</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-57,587.52</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1,558,883.64</w:t>
            </w:r>
          </w:p>
        </w:tc>
      </w:tr>
      <w:tr>
        <w:trPr>
          <w:trHeight w:val="714"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6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 亏损的影响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23,245,718.22</w:t>
            </w:r>
          </w:p>
        </w:tc>
      </w:tr>
      <w:tr>
        <w:trPr>
          <w:trHeight w:val="400"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归属于合营企业和联营企业的损益</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-894,757.60</w:t>
            </w:r>
          </w:p>
        </w:tc>
      </w:tr>
    </w:tbl>
    <w:p>
      <w:pPr>
        <w:spacing w:after="0" w:line="240" w:lineRule="auto"/>
        <w:jc w:val="right"/>
        <w:rPr>
          <w:rFonts w:ascii="Times New Roman" w:hAnsi="Times New Roman" w:cs="Times New Roman" w:eastAsia="Times New Roman" w:hint="default"/>
          <w:sz w:val="18"/>
          <w:szCs w:val="18"/>
        </w:rPr>
        <w:sectPr>
          <w:footerReference w:type="default" r:id="rId35"/>
          <w:pgSz w:w="11910" w:h="16840"/>
          <w:pgMar w:footer="1016" w:header="919" w:top="1120" w:bottom="1200" w:left="1020" w:right="0"/>
          <w:pgNumType w:start="18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4779"/>
        <w:gridCol w:w="4789"/>
      </w:tblGrid>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-5,589,498.18</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19,399,796.84</w:t>
            </w:r>
          </w:p>
        </w:tc>
      </w:tr>
    </w:tbl>
    <w:p>
      <w:pPr>
        <w:pStyle w:val="BodyText"/>
        <w:spacing w:line="360" w:lineRule="auto" w:before="50"/>
        <w:ind w:right="10034"/>
        <w:jc w:val="left"/>
      </w:pPr>
      <w:r>
        <w:rPr/>
        <w:t>其他说明 无</w:t>
      </w:r>
    </w:p>
    <w:p>
      <w:pPr>
        <w:spacing w:line="240" w:lineRule="auto" w:before="2"/>
        <w:rPr>
          <w:rFonts w:ascii="宋体" w:hAnsi="宋体" w:cs="宋体" w:eastAsia="宋体" w:hint="default"/>
          <w:sz w:val="20"/>
          <w:szCs w:val="20"/>
        </w:rPr>
      </w:pPr>
    </w:p>
    <w:p>
      <w:pPr>
        <w:spacing w:line="544" w:lineRule="auto" w:before="0"/>
        <w:ind w:left="112" w:right="6340" w:firstLine="0"/>
        <w:jc w:val="left"/>
        <w:rPr>
          <w:rFonts w:ascii="宋体" w:hAnsi="宋体" w:cs="宋体" w:eastAsia="宋体" w:hint="default"/>
          <w:sz w:val="21"/>
          <w:szCs w:val="21"/>
        </w:rPr>
      </w:pPr>
      <w:bookmarkStart w:name="50、其他综合收益" w:id="364"/>
      <w:bookmarkEnd w:id="364"/>
      <w:r>
        <w:rPr/>
      </w:r>
      <w:r>
        <w:rPr>
          <w:rFonts w:ascii="Times New Roman" w:hAnsi="Times New Roman" w:cs="Times New Roman" w:eastAsia="Times New Roman" w:hint="default"/>
          <w:b/>
          <w:bCs/>
          <w:sz w:val="21"/>
          <w:szCs w:val="21"/>
        </w:rPr>
        <w:t>50</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18"/>
          <w:szCs w:val="18"/>
        </w:rPr>
        <w:t>详见附注合并财务报表主要项目注释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w:t>
      </w:r>
      <w:r>
        <w:rPr>
          <w:rFonts w:ascii="宋体" w:hAnsi="宋体" w:cs="宋体" w:eastAsia="宋体" w:hint="default"/>
          <w:sz w:val="18"/>
          <w:szCs w:val="18"/>
        </w:rPr>
        <w:t>其他综合收益。 </w:t>
      </w:r>
      <w:bookmarkStart w:name="51、现金流量表项目" w:id="365"/>
      <w:bookmarkEnd w:id="365"/>
      <w:r>
        <w:rPr>
          <w:rFonts w:ascii="宋体" w:hAnsi="宋体" w:cs="宋体" w:eastAsia="宋体" w:hint="default"/>
          <w:sz w:val="18"/>
          <w:szCs w:val="18"/>
        </w:rPr>
      </w:r>
      <w:r>
        <w:rPr>
          <w:rFonts w:ascii="Times New Roman" w:hAnsi="Times New Roman" w:cs="Times New Roman" w:eastAsia="Times New Roman" w:hint="default"/>
          <w:b/>
          <w:bCs/>
          <w:sz w:val="21"/>
          <w:szCs w:val="21"/>
        </w:rPr>
        <w:t>51</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28"/>
        <w:ind w:right="915"/>
        <w:jc w:val="left"/>
        <w:rPr>
          <w:b w:val="0"/>
          <w:bCs w:val="0"/>
        </w:rPr>
      </w:pPr>
      <w:bookmarkStart w:name="（1）收到的其他与经营活动有关的现金" w:id="366"/>
      <w:bookmarkEnd w:id="366"/>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收到的政府补助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11,043,621.44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12,341,833.75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存款利息收入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7,585,371.39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7,666,191.32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1,221,500.00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3,230,290.25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代采购业务垫付款收回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170,842,719.18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41,172,715.07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应收保理款的减少</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467,114.34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2,677,092.18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41,407,575.48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193,370,304.19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106,285,720.21</w:t>
            </w:r>
          </w:p>
        </w:tc>
      </w:tr>
    </w:tbl>
    <w:p>
      <w:pPr>
        <w:pStyle w:val="BodyText"/>
        <w:spacing w:line="360" w:lineRule="auto" w:before="50"/>
        <w:ind w:right="7514"/>
        <w:jc w:val="left"/>
      </w:pPr>
      <w:r>
        <w:rPr/>
        <w:t>收到的其他与经营活动有关的现金说明： 无</w:t>
      </w:r>
    </w:p>
    <w:p>
      <w:pPr>
        <w:spacing w:line="240" w:lineRule="auto" w:before="12"/>
        <w:rPr>
          <w:rFonts w:ascii="宋体" w:hAnsi="宋体" w:cs="宋体" w:eastAsia="宋体" w:hint="default"/>
          <w:sz w:val="19"/>
          <w:szCs w:val="19"/>
        </w:rPr>
      </w:pPr>
    </w:p>
    <w:p>
      <w:pPr>
        <w:pStyle w:val="Heading3"/>
        <w:spacing w:line="240" w:lineRule="auto"/>
        <w:ind w:right="915"/>
        <w:jc w:val="left"/>
        <w:rPr>
          <w:b w:val="0"/>
          <w:bCs w:val="0"/>
        </w:rPr>
      </w:pPr>
      <w:bookmarkStart w:name="（2）支付的其他与经营活动有关的现金" w:id="367"/>
      <w:bookmarkEnd w:id="367"/>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付现的费用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56,735,940.79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63,492,327.78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1,709,957.43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443,128.00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代采购业务垫付款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127,738,984.29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应收保理款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2"/>
                <w:sz w:val="18"/>
              </w:rPr>
              <w:t>111,578,580.09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24,402,883.57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47,823,698.48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194,427,361.88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239,498,138.55</w:t>
            </w:r>
          </w:p>
        </w:tc>
      </w:tr>
    </w:tbl>
    <w:p>
      <w:pPr>
        <w:pStyle w:val="BodyText"/>
        <w:spacing w:line="360" w:lineRule="auto" w:before="50"/>
        <w:ind w:right="7514"/>
        <w:jc w:val="left"/>
      </w:pPr>
      <w:r>
        <w:rPr/>
        <w:t>支付的其他与经营活动有关的现金说明： 无</w:t>
      </w:r>
    </w:p>
    <w:p>
      <w:pPr>
        <w:spacing w:after="0" w:line="360" w:lineRule="auto"/>
        <w:jc w:val="left"/>
        <w:sectPr>
          <w:pgSz w:w="11910" w:h="16840"/>
          <w:pgMar w:header="919" w:footer="1016" w:top="1120" w:bottom="1200" w:left="1020" w:right="0"/>
        </w:sectPr>
      </w:pPr>
    </w:p>
    <w:p>
      <w:pPr>
        <w:spacing w:line="240" w:lineRule="auto" w:before="10"/>
        <w:rPr>
          <w:rFonts w:ascii="宋体" w:hAnsi="宋体" w:cs="宋体" w:eastAsia="宋体" w:hint="default"/>
          <w:sz w:val="19"/>
          <w:szCs w:val="19"/>
        </w:rPr>
      </w:pPr>
    </w:p>
    <w:p>
      <w:pPr>
        <w:pStyle w:val="Heading3"/>
        <w:spacing w:line="240" w:lineRule="auto" w:before="34"/>
        <w:ind w:right="915"/>
        <w:jc w:val="left"/>
        <w:rPr>
          <w:b w:val="0"/>
          <w:bCs w:val="0"/>
        </w:rPr>
      </w:pPr>
      <w:bookmarkStart w:name="（3）收到的其他与投资活动有关的现金" w:id="368"/>
      <w:bookmarkEnd w:id="368"/>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资产收益权本金和利息的收回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20,022,402.43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122,152,830.19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交易性金融资产的本金和收益的收回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195,503,702.59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215,526,105.02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122,152,830.19</w:t>
            </w:r>
          </w:p>
        </w:tc>
      </w:tr>
    </w:tbl>
    <w:p>
      <w:pPr>
        <w:pStyle w:val="BodyText"/>
        <w:spacing w:line="357" w:lineRule="auto" w:before="52"/>
        <w:ind w:right="7514"/>
        <w:jc w:val="left"/>
      </w:pPr>
      <w:r>
        <w:rPr/>
        <w:t>收到的其他与投资活动有关的现金说明： 无</w:t>
      </w:r>
    </w:p>
    <w:p>
      <w:pPr>
        <w:spacing w:line="240" w:lineRule="auto" w:before="3"/>
        <w:rPr>
          <w:rFonts w:ascii="宋体" w:hAnsi="宋体" w:cs="宋体" w:eastAsia="宋体" w:hint="default"/>
          <w:sz w:val="20"/>
          <w:szCs w:val="20"/>
        </w:rPr>
      </w:pPr>
    </w:p>
    <w:p>
      <w:pPr>
        <w:pStyle w:val="Heading3"/>
        <w:spacing w:line="240" w:lineRule="auto"/>
        <w:ind w:right="915"/>
        <w:jc w:val="left"/>
        <w:rPr>
          <w:b w:val="0"/>
          <w:bCs w:val="0"/>
        </w:rPr>
      </w:pPr>
      <w:bookmarkStart w:name="（4）支付的其他与投资活动有关的现金" w:id="369"/>
      <w:bookmarkEnd w:id="369"/>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购买资产收益权</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20,000,000.00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120,000,000.00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交易性金融资产的本金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195,009,140.00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215,009,140.00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120,000,000.00</w:t>
            </w:r>
          </w:p>
        </w:tc>
      </w:tr>
    </w:tbl>
    <w:p>
      <w:pPr>
        <w:pStyle w:val="BodyText"/>
        <w:spacing w:line="360" w:lineRule="auto" w:before="49"/>
        <w:ind w:right="7514"/>
        <w:jc w:val="left"/>
      </w:pPr>
      <w:r>
        <w:rPr/>
        <w:t>支付的其他与投资活动有关的现金说明： 无</w:t>
      </w:r>
    </w:p>
    <w:p>
      <w:pPr>
        <w:spacing w:line="240" w:lineRule="auto" w:before="12"/>
        <w:rPr>
          <w:rFonts w:ascii="宋体" w:hAnsi="宋体" w:cs="宋体" w:eastAsia="宋体" w:hint="default"/>
          <w:sz w:val="19"/>
          <w:szCs w:val="19"/>
        </w:rPr>
      </w:pPr>
    </w:p>
    <w:p>
      <w:pPr>
        <w:pStyle w:val="Heading3"/>
        <w:spacing w:line="240" w:lineRule="auto"/>
        <w:ind w:right="915"/>
        <w:jc w:val="left"/>
        <w:rPr>
          <w:b w:val="0"/>
          <w:bCs w:val="0"/>
        </w:rPr>
      </w:pPr>
      <w:bookmarkStart w:name="（5）收到的其他与筹资活动有关的现金" w:id="370"/>
      <w:bookmarkEnd w:id="370"/>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60" w:lineRule="auto" w:before="49"/>
        <w:ind w:right="7514"/>
        <w:jc w:val="left"/>
      </w:pPr>
      <w:r>
        <w:rPr/>
        <w:t>收到的其他与筹资活动有关的现金说明： 无</w:t>
      </w:r>
    </w:p>
    <w:p>
      <w:pPr>
        <w:spacing w:line="240" w:lineRule="auto" w:before="12"/>
        <w:rPr>
          <w:rFonts w:ascii="宋体" w:hAnsi="宋体" w:cs="宋体" w:eastAsia="宋体" w:hint="default"/>
          <w:sz w:val="19"/>
          <w:szCs w:val="19"/>
        </w:rPr>
      </w:pPr>
    </w:p>
    <w:p>
      <w:pPr>
        <w:pStyle w:val="Heading3"/>
        <w:spacing w:line="240" w:lineRule="auto"/>
        <w:ind w:right="915"/>
        <w:jc w:val="left"/>
        <w:rPr>
          <w:b w:val="0"/>
          <w:bCs w:val="0"/>
        </w:rPr>
      </w:pPr>
      <w:bookmarkStart w:name="（6）支付的其他与筹资活动有关的现金" w:id="371"/>
      <w:bookmarkEnd w:id="371"/>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限制性股票回购款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1,184,330.00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1,631,475.00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1,184,330.00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1,631,475.00</w:t>
            </w:r>
          </w:p>
        </w:tc>
      </w:tr>
    </w:tbl>
    <w:p>
      <w:pPr>
        <w:pStyle w:val="BodyText"/>
        <w:spacing w:line="357" w:lineRule="auto" w:before="51"/>
        <w:ind w:right="7514"/>
        <w:jc w:val="left"/>
      </w:pPr>
      <w:r>
        <w:rPr/>
        <w:t>支付的其他与筹资活动有关的现金说明： 无</w:t>
      </w:r>
    </w:p>
    <w:p>
      <w:pPr>
        <w:spacing w:after="0" w:line="357" w:lineRule="auto"/>
        <w:jc w:val="left"/>
        <w:sectPr>
          <w:pgSz w:w="11910" w:h="16840"/>
          <w:pgMar w:header="919" w:footer="1016" w:top="1120" w:bottom="1200" w:left="1020" w:right="0"/>
        </w:sectPr>
      </w:pPr>
    </w:p>
    <w:p>
      <w:pPr>
        <w:spacing w:line="240" w:lineRule="auto" w:before="10"/>
        <w:rPr>
          <w:rFonts w:ascii="宋体" w:hAnsi="宋体" w:cs="宋体" w:eastAsia="宋体" w:hint="default"/>
          <w:sz w:val="19"/>
          <w:szCs w:val="19"/>
        </w:rPr>
      </w:pPr>
    </w:p>
    <w:p>
      <w:pPr>
        <w:pStyle w:val="Heading3"/>
        <w:spacing w:line="240" w:lineRule="auto" w:before="34"/>
        <w:ind w:right="915"/>
        <w:jc w:val="left"/>
        <w:rPr>
          <w:b w:val="0"/>
          <w:bCs w:val="0"/>
        </w:rPr>
      </w:pPr>
      <w:bookmarkStart w:name="52、现金流量表补充资料" w:id="372"/>
      <w:bookmarkEnd w:id="372"/>
      <w:r>
        <w:rPr>
          <w:b w:val="0"/>
          <w:bCs w:val="0"/>
        </w:rPr>
      </w:r>
      <w:r>
        <w:rPr>
          <w:rFonts w:ascii="Times New Roman" w:hAnsi="Times New Roman" w:cs="Times New Roman" w:eastAsia="Times New Roman" w:hint="default"/>
        </w:rPr>
        <w:t>52</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15"/>
        <w:jc w:val="left"/>
        <w:rPr>
          <w:b w:val="0"/>
          <w:bCs w:val="0"/>
        </w:rPr>
      </w:pPr>
      <w:bookmarkStart w:name="（1）现金流量表补充资料" w:id="373"/>
      <w:bookmarkEnd w:id="373"/>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2"/>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102,190,023.91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181,361,091.80</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2"/>
                <w:sz w:val="18"/>
              </w:rPr>
              <w:t>114,004,311.11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28,411,722.39</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1" w:firstLine="720"/>
              <w:jc w:val="left"/>
              <w:rPr>
                <w:rFonts w:ascii="宋体" w:hAnsi="宋体" w:cs="宋体" w:eastAsia="宋体" w:hint="default"/>
                <w:sz w:val="18"/>
                <w:szCs w:val="18"/>
              </w:rPr>
            </w:pPr>
            <w:r>
              <w:rPr>
                <w:rFonts w:ascii="宋体" w:hAnsi="宋体" w:cs="宋体" w:eastAsia="宋体" w:hint="default"/>
                <w:spacing w:val="-3"/>
                <w:sz w:val="18"/>
                <w:szCs w:val="18"/>
              </w:rPr>
              <w:t>固定资产折旧、油气资产折耗、</w:t>
            </w:r>
            <w:r>
              <w:rPr>
                <w:rFonts w:ascii="宋体" w:hAnsi="宋体" w:cs="宋体" w:eastAsia="宋体" w:hint="default"/>
                <w:sz w:val="18"/>
                <w:szCs w:val="18"/>
              </w:rPr>
              <w:t> 生产性生物资产折旧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42,951,149.78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29,455,028.96</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599,208.37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392,810.07</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497,801.41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350,200.99</w:t>
            </w:r>
          </w:p>
        </w:tc>
      </w:tr>
      <w:tr>
        <w:trPr>
          <w:trHeight w:val="1026"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 w:right="153" w:firstLine="720"/>
              <w:jc w:val="both"/>
              <w:rPr>
                <w:rFonts w:ascii="宋体" w:hAnsi="宋体" w:cs="宋体" w:eastAsia="宋体" w:hint="default"/>
                <w:sz w:val="18"/>
                <w:szCs w:val="18"/>
              </w:rPr>
            </w:pPr>
            <w:r>
              <w:rPr>
                <w:rFonts w:ascii="宋体" w:hAnsi="宋体" w:cs="宋体" w:eastAsia="宋体" w:hint="default"/>
                <w:sz w:val="18"/>
                <w:szCs w:val="18"/>
              </w:rPr>
              <w:t>处置固定资产、无形资产和其 他长期资产的损失（收益以“－”号填 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5,250.00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52,015.37</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333" w:firstLine="720"/>
              <w:jc w:val="left"/>
              <w:rPr>
                <w:rFonts w:ascii="宋体" w:hAnsi="宋体" w:cs="宋体" w:eastAsia="宋体" w:hint="default"/>
                <w:sz w:val="18"/>
                <w:szCs w:val="18"/>
              </w:rPr>
            </w:pPr>
            <w:r>
              <w:rPr>
                <w:rFonts w:ascii="宋体" w:hAnsi="宋体" w:cs="宋体" w:eastAsia="宋体" w:hint="default"/>
                <w:sz w:val="18"/>
                <w:szCs w:val="18"/>
              </w:rPr>
              <w:t>固定资产报废损失（收益以 “－”号填列）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5,156.14</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 w:right="333" w:firstLine="720"/>
              <w:jc w:val="left"/>
              <w:rPr>
                <w:rFonts w:ascii="宋体" w:hAnsi="宋体" w:cs="宋体" w:eastAsia="宋体" w:hint="default"/>
                <w:sz w:val="18"/>
                <w:szCs w:val="18"/>
              </w:rPr>
            </w:pPr>
            <w:r>
              <w:rPr>
                <w:rFonts w:ascii="宋体" w:hAnsi="宋体" w:cs="宋体" w:eastAsia="宋体" w:hint="default"/>
                <w:sz w:val="18"/>
                <w:szCs w:val="18"/>
              </w:rPr>
              <w:t>公允价值变动损失（收益以 “－”号填列）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6,339,725.32</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2" w:right="0"/>
              <w:jc w:val="left"/>
              <w:rPr>
                <w:rFonts w:ascii="宋体" w:hAnsi="宋体" w:cs="宋体" w:eastAsia="宋体" w:hint="default"/>
                <w:sz w:val="18"/>
                <w:szCs w:val="18"/>
              </w:rPr>
            </w:pPr>
            <w:r>
              <w:rPr>
                <w:rFonts w:ascii="宋体" w:hAnsi="宋体" w:cs="宋体" w:eastAsia="宋体" w:hint="default"/>
                <w:sz w:val="18"/>
                <w:szCs w:val="18"/>
              </w:rPr>
              <w:t>财务费用（收益以“－”号填</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8,715,766.68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5,540,231.74</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2" w:right="0"/>
              <w:jc w:val="left"/>
              <w:rPr>
                <w:rFonts w:ascii="宋体" w:hAnsi="宋体" w:cs="宋体" w:eastAsia="宋体" w:hint="default"/>
                <w:sz w:val="18"/>
                <w:szCs w:val="18"/>
              </w:rPr>
            </w:pPr>
            <w:r>
              <w:rPr>
                <w:rFonts w:ascii="宋体" w:hAnsi="宋体" w:cs="宋体" w:eastAsia="宋体" w:hint="default"/>
                <w:sz w:val="18"/>
                <w:szCs w:val="18"/>
              </w:rPr>
              <w:t>投资损失（收益以“－”号填</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-128,265,842.55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-4,658,447.37</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3" w:firstLine="720"/>
              <w:jc w:val="left"/>
              <w:rPr>
                <w:rFonts w:ascii="宋体" w:hAnsi="宋体" w:cs="宋体" w:eastAsia="宋体" w:hint="default"/>
                <w:sz w:val="18"/>
                <w:szCs w:val="18"/>
              </w:rPr>
            </w:pPr>
            <w:r>
              <w:rPr>
                <w:rFonts w:ascii="宋体" w:hAnsi="宋体" w:cs="宋体" w:eastAsia="宋体" w:hint="default"/>
                <w:sz w:val="18"/>
                <w:szCs w:val="18"/>
              </w:rPr>
              <w:t>递延所得税资产减少（增加以 “－”号填列）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-753,901.88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-5,268,435.09</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 w:right="153" w:firstLine="720"/>
              <w:jc w:val="left"/>
              <w:rPr>
                <w:rFonts w:ascii="宋体" w:hAnsi="宋体" w:cs="宋体" w:eastAsia="宋体" w:hint="default"/>
                <w:sz w:val="18"/>
                <w:szCs w:val="18"/>
              </w:rPr>
            </w:pPr>
            <w:r>
              <w:rPr>
                <w:rFonts w:ascii="宋体" w:hAnsi="宋体" w:cs="宋体" w:eastAsia="宋体" w:hint="default"/>
                <w:sz w:val="18"/>
                <w:szCs w:val="18"/>
              </w:rPr>
              <w:t>递延所得税负债增加（减少以 “－”号填列）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13,032,933.41</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2" w:right="0"/>
              <w:jc w:val="left"/>
              <w:rPr>
                <w:rFonts w:ascii="宋体" w:hAnsi="宋体" w:cs="宋体" w:eastAsia="宋体" w:hint="default"/>
                <w:sz w:val="18"/>
                <w:szCs w:val="18"/>
              </w:rPr>
            </w:pPr>
            <w:r>
              <w:rPr>
                <w:rFonts w:ascii="宋体" w:hAnsi="宋体" w:cs="宋体" w:eastAsia="宋体" w:hint="default"/>
                <w:sz w:val="18"/>
                <w:szCs w:val="18"/>
              </w:rPr>
              <w:t>存货的减少（增加以“－”号</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1,661,707.99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496,277.52</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 w:right="153" w:firstLine="720"/>
              <w:jc w:val="left"/>
              <w:rPr>
                <w:rFonts w:ascii="宋体" w:hAnsi="宋体" w:cs="宋体" w:eastAsia="宋体" w:hint="default"/>
                <w:sz w:val="18"/>
                <w:szCs w:val="18"/>
              </w:rPr>
            </w:pPr>
            <w:r>
              <w:rPr>
                <w:rFonts w:ascii="宋体" w:hAnsi="宋体" w:cs="宋体" w:eastAsia="宋体" w:hint="default"/>
                <w:sz w:val="18"/>
                <w:szCs w:val="18"/>
              </w:rPr>
              <w:t>经营性应收项目的减少（增加 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-59,804,842.87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-279,813,552.82</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3" w:firstLine="720"/>
              <w:jc w:val="left"/>
              <w:rPr>
                <w:rFonts w:ascii="宋体" w:hAnsi="宋体" w:cs="宋体" w:eastAsia="宋体" w:hint="default"/>
                <w:sz w:val="18"/>
                <w:szCs w:val="18"/>
              </w:rPr>
            </w:pPr>
            <w:r>
              <w:rPr>
                <w:rFonts w:ascii="宋体" w:hAnsi="宋体" w:cs="宋体" w:eastAsia="宋体" w:hint="default"/>
                <w:sz w:val="18"/>
                <w:szCs w:val="18"/>
              </w:rPr>
              <w:t>经营性应付项目的增加（减少 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22,558,897.19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-8,021,146.39</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849,574.31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2,657,314.49</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53"/>
              <w:jc w:val="righ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124,586,918.32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-49,044,888.34</w:t>
            </w:r>
          </w:p>
        </w:tc>
      </w:tr>
      <w:tr>
        <w:trPr>
          <w:trHeight w:val="71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1" w:right="10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．不涉及现金收支的重大投资和筹资活</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动：</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919" w:footer="1016"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472,081,995.84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372,002,940.35</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372,002,940.35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786,950,024.60</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100,079,055.49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-414,947,084.25</w:t>
            </w:r>
          </w:p>
        </w:tc>
      </w:tr>
    </w:tbl>
    <w:p>
      <w:pPr>
        <w:spacing w:line="240" w:lineRule="auto" w:before="3"/>
        <w:rPr>
          <w:rFonts w:ascii="宋体" w:hAnsi="宋体" w:cs="宋体" w:eastAsia="宋体" w:hint="default"/>
          <w:sz w:val="19"/>
          <w:szCs w:val="19"/>
        </w:rPr>
      </w:pPr>
    </w:p>
    <w:p>
      <w:pPr>
        <w:pStyle w:val="Heading3"/>
        <w:spacing w:line="240" w:lineRule="auto" w:before="34"/>
        <w:ind w:right="915"/>
        <w:jc w:val="left"/>
        <w:rPr>
          <w:b w:val="0"/>
          <w:bCs w:val="0"/>
        </w:rPr>
      </w:pPr>
      <w:bookmarkStart w:name="（2）本期支付的取得子公司的现金净额" w:id="374"/>
      <w:bookmarkEnd w:id="374"/>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8"/>
        <w:gridCol w:w="4580"/>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9854"/>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915"/>
        <w:jc w:val="left"/>
        <w:rPr>
          <w:b w:val="0"/>
          <w:bCs w:val="0"/>
        </w:rPr>
      </w:pPr>
      <w:bookmarkStart w:name="（3）本期收到的处置子公司的现金净额" w:id="375"/>
      <w:bookmarkEnd w:id="375"/>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8"/>
        <w:gridCol w:w="4580"/>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15"/>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15"/>
        <w:jc w:val="left"/>
        <w:rPr>
          <w:b w:val="0"/>
          <w:bCs w:val="0"/>
        </w:rPr>
      </w:pPr>
      <w:bookmarkStart w:name="（4）现金和现金等价物的构成" w:id="376"/>
      <w:bookmarkEnd w:id="376"/>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472,081,995.84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372,002,940.35</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472,081,995.84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372,002,940.35</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472,081,995.84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372,002,940.35</w:t>
            </w:r>
          </w:p>
        </w:tc>
      </w:tr>
    </w:tbl>
    <w:p>
      <w:pPr>
        <w:pStyle w:val="BodyText"/>
        <w:spacing w:line="360" w:lineRule="auto" w:before="49"/>
        <w:ind w:right="9854"/>
        <w:jc w:val="left"/>
      </w:pPr>
      <w:r>
        <w:rPr/>
        <w:t>其他说明： 无。</w:t>
      </w:r>
    </w:p>
    <w:p>
      <w:pPr>
        <w:spacing w:line="240" w:lineRule="auto" w:before="12"/>
        <w:rPr>
          <w:rFonts w:ascii="宋体" w:hAnsi="宋体" w:cs="宋体" w:eastAsia="宋体" w:hint="default"/>
          <w:sz w:val="19"/>
          <w:szCs w:val="19"/>
        </w:rPr>
      </w:pPr>
    </w:p>
    <w:p>
      <w:pPr>
        <w:pStyle w:val="Heading3"/>
        <w:spacing w:line="240" w:lineRule="auto"/>
        <w:ind w:right="915"/>
        <w:jc w:val="left"/>
        <w:rPr>
          <w:b w:val="0"/>
          <w:bCs w:val="0"/>
        </w:rPr>
      </w:pPr>
      <w:bookmarkStart w:name="53、所有者权益变动表项目注释" w:id="377"/>
      <w:bookmarkEnd w:id="377"/>
      <w:r>
        <w:rPr>
          <w:b w:val="0"/>
          <w:bCs w:val="0"/>
        </w:rPr>
      </w:r>
      <w:r>
        <w:rPr>
          <w:rFonts w:ascii="Times New Roman" w:hAnsi="Times New Roman" w:cs="Times New Roman" w:eastAsia="Times New Roman" w:hint="default"/>
        </w:rPr>
        <w:t>53</w:t>
      </w:r>
      <w:r>
        <w:rPr/>
        <w:t>、所有者权益变动表项目注释</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5174"/>
        <w:jc w:val="left"/>
      </w:pPr>
      <w:r>
        <w:rPr/>
        <w:t>说明对上年期末余额进行调整的“其他”项目名称及调整金额等事项： 无</w:t>
      </w:r>
    </w:p>
    <w:p>
      <w:pPr>
        <w:spacing w:after="0" w:line="357" w:lineRule="auto"/>
        <w:jc w:val="left"/>
        <w:sectPr>
          <w:pgSz w:w="11910" w:h="16840"/>
          <w:pgMar w:header="919" w:footer="1016" w:top="1120" w:bottom="1200" w:left="1020" w:right="0"/>
        </w:sectPr>
      </w:pPr>
    </w:p>
    <w:p>
      <w:pPr>
        <w:spacing w:line="240" w:lineRule="auto" w:before="10"/>
        <w:rPr>
          <w:rFonts w:ascii="宋体" w:hAnsi="宋体" w:cs="宋体" w:eastAsia="宋体" w:hint="default"/>
          <w:sz w:val="19"/>
          <w:szCs w:val="19"/>
        </w:rPr>
      </w:pPr>
    </w:p>
    <w:p>
      <w:pPr>
        <w:pStyle w:val="Heading3"/>
        <w:spacing w:line="240" w:lineRule="auto" w:before="34"/>
        <w:ind w:right="915"/>
        <w:jc w:val="left"/>
        <w:rPr>
          <w:b w:val="0"/>
          <w:bCs w:val="0"/>
        </w:rPr>
      </w:pPr>
      <w:bookmarkStart w:name="54、所有权或使用权受到限制的资产" w:id="378"/>
      <w:bookmarkEnd w:id="378"/>
      <w:r>
        <w:rPr>
          <w:b w:val="0"/>
          <w:bCs w:val="0"/>
        </w:rPr>
      </w:r>
      <w:r>
        <w:rPr>
          <w:rFonts w:ascii="Times New Roman" w:hAnsi="Times New Roman" w:cs="Times New Roman" w:eastAsia="Times New Roman" w:hint="default"/>
        </w:rPr>
        <w:t>54</w:t>
      </w:r>
      <w:r>
        <w:rPr/>
        <w:t>、所有权或使用权受到限制的资产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8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30,000.00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履约保证金</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大额存单</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20,000,000.00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投资性房地产</w:t>
            </w:r>
            <w:r>
              <w:rPr>
                <w:rFonts w:ascii="Times New Roman" w:hAnsi="Times New Roman" w:cs="Times New Roman" w:eastAsia="Times New Roman" w:hint="default"/>
                <w:sz w:val="18"/>
                <w:szCs w:val="18"/>
              </w:rPr>
              <w:t>-</w:t>
            </w:r>
            <w:r>
              <w:rPr>
                <w:rFonts w:ascii="宋体" w:hAnsi="宋体" w:cs="宋体" w:eastAsia="宋体" w:hint="default"/>
                <w:sz w:val="18"/>
                <w:szCs w:val="18"/>
              </w:rPr>
              <w:t>智慧广场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栋</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1101</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41,255,295.99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61,285,295.99</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915"/>
        <w:jc w:val="left"/>
      </w:pPr>
      <w:r>
        <w:rPr/>
        <w:t>其他说明：</w:t>
      </w:r>
    </w:p>
    <w:p>
      <w:pPr>
        <w:pStyle w:val="BodyText"/>
        <w:spacing w:line="240" w:lineRule="auto" w:before="117"/>
        <w:ind w:left="472" w:right="915"/>
        <w:jc w:val="left"/>
      </w:pPr>
      <w:r>
        <w:rPr/>
        <w:t>注1：2019年9月27日公司使用自有闲置资金 20,000,000.00元购买3年期大额存单，至</w:t>
      </w:r>
      <w:r>
        <w:rPr>
          <w:spacing w:val="-14"/>
        </w:rPr>
        <w:t> </w:t>
      </w:r>
      <w:r>
        <w:rPr/>
        <w:t>2022年9月27日到期。</w:t>
      </w:r>
    </w:p>
    <w:p>
      <w:pPr>
        <w:spacing w:line="240" w:lineRule="auto" w:before="10"/>
        <w:rPr>
          <w:rFonts w:ascii="宋体" w:hAnsi="宋体" w:cs="宋体" w:eastAsia="宋体" w:hint="default"/>
          <w:sz w:val="17"/>
          <w:szCs w:val="17"/>
        </w:rPr>
      </w:pPr>
    </w:p>
    <w:p>
      <w:pPr>
        <w:pStyle w:val="BodyText"/>
        <w:spacing w:line="316" w:lineRule="auto"/>
        <w:ind w:right="1130" w:firstLine="360"/>
        <w:jc w:val="both"/>
      </w:pPr>
      <w:r>
        <w:rPr>
          <w:spacing w:val="-2"/>
        </w:rPr>
        <w:t>注2：本公司以智慧广场B栋1101作为抵押物，同时，唐球、鄢建红提供连带责任保证，向交通银行股份有限公司深圳车</w:t>
      </w:r>
      <w:r>
        <w:rPr/>
        <w:t> </w:t>
      </w:r>
      <w:r>
        <w:rPr>
          <w:spacing w:val="-2"/>
        </w:rPr>
        <w:t>公庙支行借款人民币18,000,000.00元，借款期10年，约定的借款到期日为2021年2月25日。截止2019年12月31日，借款余额</w:t>
      </w:r>
      <w:r>
        <w:rPr>
          <w:spacing w:val="-48"/>
        </w:rPr>
        <w:t> </w:t>
      </w:r>
      <w:r>
        <w:rPr>
          <w:spacing w:val="-48"/>
        </w:rPr>
      </w:r>
      <w:r>
        <w:rPr/>
        <w:t>4,243,144.59元。</w:t>
      </w:r>
    </w:p>
    <w:p>
      <w:pPr>
        <w:spacing w:line="240" w:lineRule="auto" w:before="6"/>
        <w:rPr>
          <w:rFonts w:ascii="宋体" w:hAnsi="宋体" w:cs="宋体" w:eastAsia="宋体" w:hint="default"/>
          <w:sz w:val="22"/>
          <w:szCs w:val="22"/>
        </w:rPr>
      </w:pPr>
    </w:p>
    <w:p>
      <w:pPr>
        <w:pStyle w:val="Heading3"/>
        <w:spacing w:line="240" w:lineRule="auto"/>
        <w:ind w:right="915"/>
        <w:jc w:val="left"/>
        <w:rPr>
          <w:b w:val="0"/>
          <w:bCs w:val="0"/>
        </w:rPr>
      </w:pPr>
      <w:bookmarkStart w:name="55、外币货币性项目" w:id="379"/>
      <w:bookmarkEnd w:id="379"/>
      <w:r>
        <w:rPr>
          <w:b w:val="0"/>
          <w:bCs w:val="0"/>
        </w:rPr>
      </w:r>
      <w:r>
        <w:rPr>
          <w:rFonts w:ascii="Times New Roman" w:hAnsi="Times New Roman" w:cs="Times New Roman" w:eastAsia="Times New Roman" w:hint="default"/>
        </w:rPr>
        <w:t>55</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15"/>
        <w:jc w:val="left"/>
        <w:rPr>
          <w:b w:val="0"/>
          <w:bCs w:val="0"/>
        </w:rPr>
      </w:pPr>
      <w:bookmarkStart w:name="（1）外币货币性项目" w:id="380"/>
      <w:bookmarkEnd w:id="380"/>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5"/>
        <w:gridCol w:w="2293"/>
        <w:gridCol w:w="2390"/>
        <w:gridCol w:w="2390"/>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0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0"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4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1" w:right="0"/>
              <w:jc w:val="left"/>
              <w:rPr>
                <w:rFonts w:ascii="Times New Roman" w:hAnsi="Times New Roman" w:cs="Times New Roman" w:eastAsia="Times New Roman" w:hint="default"/>
                <w:sz w:val="18"/>
                <w:szCs w:val="18"/>
              </w:rPr>
            </w:pPr>
            <w:r>
              <w:rPr>
                <w:rFonts w:ascii="Times New Roman"/>
                <w:sz w:val="18"/>
              </w:rPr>
              <w:t>0.89578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4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4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0"/>
        <w:ind w:right="9854"/>
        <w:jc w:val="left"/>
      </w:pPr>
      <w:r>
        <w:rPr/>
        <w:t>其他说明： 无</w:t>
      </w:r>
    </w:p>
    <w:p>
      <w:pPr>
        <w:spacing w:after="0" w:line="360" w:lineRule="auto"/>
        <w:jc w:val="left"/>
        <w:sectPr>
          <w:pgSz w:w="11910" w:h="16840"/>
          <w:pgMar w:header="919" w:footer="1016" w:top="1120" w:bottom="1200" w:left="1020" w:right="0"/>
        </w:sectPr>
      </w:pPr>
    </w:p>
    <w:p>
      <w:pPr>
        <w:spacing w:line="240" w:lineRule="auto" w:before="10"/>
        <w:rPr>
          <w:rFonts w:ascii="宋体" w:hAnsi="宋体" w:cs="宋体" w:eastAsia="宋体" w:hint="default"/>
          <w:sz w:val="19"/>
          <w:szCs w:val="19"/>
        </w:rPr>
      </w:pPr>
    </w:p>
    <w:p>
      <w:pPr>
        <w:pStyle w:val="Heading3"/>
        <w:spacing w:line="259" w:lineRule="auto" w:before="34"/>
        <w:ind w:right="915"/>
        <w:jc w:val="left"/>
        <w:rPr>
          <w:b w:val="0"/>
          <w:bCs w:val="0"/>
        </w:rPr>
      </w:pPr>
      <w:bookmarkStart w:name="（2）境外经营实体说明，包括对于重要的境外经营实体，应披露其境外主要经营地、记账" w:id="381"/>
      <w:bookmarkEnd w:id="381"/>
      <w:r>
        <w:rPr>
          <w:b w:val="0"/>
          <w:bCs w:val="0"/>
        </w:rPr>
      </w:r>
      <w:r>
        <w:rPr>
          <w:spacing w:val="3"/>
          <w:w w:val="95"/>
        </w:rPr>
        <w:t>（</w:t>
      </w:r>
      <w:r>
        <w:rPr>
          <w:rFonts w:ascii="Times New Roman" w:hAnsi="Times New Roman" w:cs="Times New Roman" w:eastAsia="Times New Roman" w:hint="default"/>
          <w:spacing w:val="3"/>
          <w:w w:val="95"/>
        </w:rPr>
        <w:t>2</w:t>
      </w:r>
      <w:r>
        <w:rPr>
          <w:spacing w:val="3"/>
          <w:w w:val="95"/>
        </w:rPr>
        <w:t>）境外经营实体说明，包括对于重要的境外经营实体，应披露其境外主要经营地、记账本位币及选择</w:t>
      </w:r>
      <w:r>
        <w:rPr>
          <w:spacing w:val="93"/>
          <w:w w:val="95"/>
        </w:rPr>
        <w:t> </w:t>
      </w:r>
      <w:r>
        <w:rPr>
          <w:spacing w:val="93"/>
          <w:w w:val="95"/>
        </w:rPr>
      </w:r>
      <w:r>
        <w:rPr/>
        <w:t>依据，记账本位币发生变化的还应披露原因。</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right="915"/>
        <w:jc w:val="left"/>
      </w:pPr>
      <w:r>
        <w:rPr/>
        <w:t>□ 适用 √ 不适用</w:t>
      </w:r>
    </w:p>
    <w:p>
      <w:pPr>
        <w:spacing w:line="240" w:lineRule="auto" w:before="0"/>
        <w:rPr>
          <w:rFonts w:ascii="宋体" w:hAnsi="宋体" w:cs="宋体" w:eastAsia="宋体" w:hint="default"/>
          <w:sz w:val="18"/>
          <w:szCs w:val="18"/>
        </w:rPr>
      </w:pPr>
    </w:p>
    <w:p>
      <w:pPr>
        <w:pStyle w:val="Heading3"/>
        <w:spacing w:line="240" w:lineRule="auto" w:before="118"/>
        <w:ind w:right="915"/>
        <w:jc w:val="left"/>
        <w:rPr>
          <w:b w:val="0"/>
          <w:bCs w:val="0"/>
        </w:rPr>
      </w:pPr>
      <w:bookmarkStart w:name="56、政府补助" w:id="382"/>
      <w:bookmarkEnd w:id="382"/>
      <w:r>
        <w:rPr>
          <w:b w:val="0"/>
          <w:bCs w:val="0"/>
        </w:rPr>
      </w:r>
      <w:r>
        <w:rPr>
          <w:rFonts w:ascii="Times New Roman" w:hAnsi="Times New Roman" w:cs="Times New Roman" w:eastAsia="Times New Roman" w:hint="default"/>
        </w:rPr>
        <w:t>56</w:t>
      </w:r>
      <w:r>
        <w:rPr/>
        <w:t>、政府补助</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15"/>
        <w:jc w:val="left"/>
        <w:rPr>
          <w:b w:val="0"/>
          <w:bCs w:val="0"/>
        </w:rPr>
      </w:pPr>
      <w:bookmarkStart w:name="（1）政府补助基本情况" w:id="383"/>
      <w:bookmarkEnd w:id="383"/>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0"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稳岗补贴款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363,791.83</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363,791.83</w:t>
            </w:r>
          </w:p>
        </w:tc>
      </w:tr>
      <w:tr>
        <w:trPr>
          <w:trHeight w:val="1650"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0"/>
              <w:ind w:left="101" w:right="118"/>
              <w:jc w:val="left"/>
              <w:rPr>
                <w:rFonts w:ascii="宋体" w:hAnsi="宋体" w:cs="宋体" w:eastAsia="宋体" w:hint="default"/>
                <w:sz w:val="18"/>
                <w:szCs w:val="18"/>
              </w:rPr>
            </w:pPr>
            <w:r>
              <w:rPr>
                <w:rFonts w:ascii="宋体" w:hAnsi="宋体" w:cs="宋体" w:eastAsia="宋体" w:hint="default"/>
                <w:sz w:val="18"/>
                <w:szCs w:val="18"/>
              </w:rPr>
              <w:t>深商务服贸易字</w:t>
            </w:r>
            <w:r>
              <w:rPr>
                <w:rFonts w:ascii="Times New Roman" w:hAnsi="Times New Roman" w:cs="Times New Roman" w:eastAsia="Times New Roman" w:hint="default"/>
                <w:sz w:val="18"/>
                <w:szCs w:val="18"/>
              </w:rPr>
              <w:t>[2019]80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 深圳市商务局关于下达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年深圳市外经贸发展 专项资金服务贸易创新发展 项目资助计划的通知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714,000.00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714,000.00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18"/>
              <w:jc w:val="left"/>
              <w:rPr>
                <w:rFonts w:ascii="宋体" w:hAnsi="宋体" w:cs="宋体" w:eastAsia="宋体" w:hint="default"/>
                <w:sz w:val="18"/>
                <w:szCs w:val="18"/>
              </w:rPr>
            </w:pPr>
            <w:r>
              <w:rPr>
                <w:rFonts w:ascii="宋体" w:hAnsi="宋体" w:cs="宋体" w:eastAsia="宋体" w:hint="default"/>
                <w:sz w:val="18"/>
                <w:szCs w:val="18"/>
              </w:rPr>
              <w:t>福田区产业发展专项资金补 助</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5,000,000.00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0"/>
              <w:ind w:left="101" w:right="252"/>
              <w:jc w:val="left"/>
              <w:rPr>
                <w:rFonts w:ascii="宋体" w:hAnsi="宋体" w:cs="宋体" w:eastAsia="宋体" w:hint="default"/>
                <w:sz w:val="18"/>
                <w:szCs w:val="18"/>
              </w:rPr>
            </w:pPr>
            <w:r>
              <w:rPr>
                <w:rFonts w:ascii="宋体" w:hAnsi="宋体" w:cs="宋体" w:eastAsia="宋体" w:hint="default"/>
                <w:sz w:val="18"/>
                <w:szCs w:val="18"/>
              </w:rPr>
              <w:t>深圳市科技创新委员会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年研究开发费用资助 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4,321,000.00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4,321,000.00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18"/>
              <w:jc w:val="left"/>
              <w:rPr>
                <w:rFonts w:ascii="宋体" w:hAnsi="宋体" w:cs="宋体" w:eastAsia="宋体" w:hint="default"/>
                <w:sz w:val="18"/>
                <w:szCs w:val="18"/>
              </w:rPr>
            </w:pPr>
            <w:r>
              <w:rPr>
                <w:rFonts w:ascii="宋体" w:hAnsi="宋体" w:cs="宋体" w:eastAsia="宋体" w:hint="default"/>
                <w:sz w:val="18"/>
                <w:szCs w:val="18"/>
              </w:rPr>
              <w:t>残疾人和用人单位养老及医 疗保险补贴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3,651.47</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3,651.47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黄浦区税务局扶持资金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300,000.00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进项税额加计抵减</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335,192.47</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大学生实习基地补贴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293,350.00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18"/>
              <w:jc w:val="left"/>
              <w:rPr>
                <w:rFonts w:ascii="宋体" w:hAnsi="宋体" w:cs="宋体" w:eastAsia="宋体" w:hint="default"/>
                <w:sz w:val="18"/>
                <w:szCs w:val="18"/>
              </w:rPr>
            </w:pPr>
            <w:r>
              <w:rPr>
                <w:rFonts w:ascii="宋体" w:hAnsi="宋体" w:cs="宋体" w:eastAsia="宋体" w:hint="default"/>
                <w:sz w:val="18"/>
                <w:szCs w:val="18"/>
              </w:rPr>
              <w:t>知识产权体系认证服务费补 助款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27,000.00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18"/>
              <w:jc w:val="left"/>
              <w:rPr>
                <w:rFonts w:ascii="宋体" w:hAnsi="宋体" w:cs="宋体" w:eastAsia="宋体" w:hint="default"/>
                <w:sz w:val="18"/>
                <w:szCs w:val="18"/>
              </w:rPr>
            </w:pPr>
            <w:r>
              <w:rPr>
                <w:rFonts w:ascii="宋体" w:hAnsi="宋体" w:cs="宋体" w:eastAsia="宋体" w:hint="default"/>
                <w:sz w:val="18"/>
                <w:szCs w:val="18"/>
              </w:rPr>
              <w:t>金融风险管理系统研发产业 化资助</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2,200,000.00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政府扶持补助（高管个税）</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pStyle w:val="Heading3"/>
        <w:spacing w:line="240" w:lineRule="auto" w:before="34"/>
        <w:ind w:right="915"/>
        <w:jc w:val="left"/>
        <w:rPr>
          <w:b w:val="0"/>
          <w:bCs w:val="0"/>
        </w:rPr>
      </w:pPr>
      <w:bookmarkStart w:name="（2）政府补助退回情况" w:id="384"/>
      <w:bookmarkEnd w:id="384"/>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9224"/>
        <w:jc w:val="left"/>
      </w:pPr>
      <w:r>
        <w:rPr/>
        <w:t>□ 适用 √ 不适用 其他说明：</w:t>
      </w:r>
    </w:p>
    <w:p>
      <w:pPr>
        <w:pStyle w:val="BodyText"/>
        <w:spacing w:line="240" w:lineRule="auto" w:before="25"/>
        <w:ind w:right="915"/>
        <w:jc w:val="left"/>
      </w:pPr>
      <w:r>
        <w:rPr/>
        <w:t>无。</w:t>
      </w:r>
    </w:p>
    <w:p>
      <w:pPr>
        <w:spacing w:after="0" w:line="240" w:lineRule="auto"/>
        <w:jc w:val="left"/>
        <w:sectPr>
          <w:pgSz w:w="11910" w:h="16840"/>
          <w:pgMar w:header="919" w:footer="1016" w:top="1120" w:bottom="1200" w:left="1020" w:right="0"/>
        </w:sectPr>
      </w:pPr>
    </w:p>
    <w:p>
      <w:pPr>
        <w:spacing w:line="240" w:lineRule="auto" w:before="10"/>
        <w:rPr>
          <w:rFonts w:ascii="宋体" w:hAnsi="宋体" w:cs="宋体" w:eastAsia="宋体" w:hint="default"/>
          <w:sz w:val="19"/>
          <w:szCs w:val="19"/>
        </w:rPr>
      </w:pPr>
    </w:p>
    <w:p>
      <w:pPr>
        <w:pStyle w:val="Heading3"/>
        <w:spacing w:line="240" w:lineRule="auto" w:before="34"/>
        <w:ind w:right="915"/>
        <w:jc w:val="left"/>
        <w:rPr>
          <w:b w:val="0"/>
          <w:bCs w:val="0"/>
        </w:rPr>
      </w:pPr>
      <w:bookmarkStart w:name="57、其他" w:id="385"/>
      <w:bookmarkEnd w:id="385"/>
      <w:r>
        <w:rPr>
          <w:b w:val="0"/>
          <w:bCs w:val="0"/>
        </w:rPr>
      </w:r>
      <w:r>
        <w:rPr>
          <w:rFonts w:ascii="Times New Roman" w:hAnsi="Times New Roman" w:cs="Times New Roman" w:eastAsia="Times New Roman" w:hint="default"/>
        </w:rPr>
        <w:t>57</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15"/>
        <w:jc w:val="left"/>
      </w:pPr>
      <w:r>
        <w:rPr/>
        <w:t>无</w:t>
      </w:r>
    </w:p>
    <w:p>
      <w:pPr>
        <w:spacing w:line="240" w:lineRule="auto" w:before="1"/>
        <w:rPr>
          <w:rFonts w:ascii="宋体" w:hAnsi="宋体" w:cs="宋体" w:eastAsia="宋体" w:hint="default"/>
          <w:sz w:val="25"/>
          <w:szCs w:val="25"/>
        </w:rPr>
      </w:pPr>
    </w:p>
    <w:p>
      <w:pPr>
        <w:pStyle w:val="Heading2"/>
        <w:spacing w:line="240" w:lineRule="auto"/>
        <w:ind w:right="915"/>
        <w:jc w:val="left"/>
        <w:rPr>
          <w:b w:val="0"/>
          <w:bCs w:val="0"/>
        </w:rPr>
      </w:pPr>
      <w:bookmarkStart w:name="八、合并范围的变更" w:id="386"/>
      <w:bookmarkEnd w:id="386"/>
      <w:r>
        <w:rPr>
          <w:b w:val="0"/>
          <w:bCs w:val="0"/>
        </w:rPr>
      </w:r>
      <w:r>
        <w:rPr/>
        <w:t>八、合并范围的变更</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15"/>
        <w:jc w:val="left"/>
        <w:rPr>
          <w:b w:val="0"/>
          <w:bCs w:val="0"/>
        </w:rPr>
      </w:pPr>
      <w:bookmarkStart w:name="1、非同一控制下企业合并" w:id="387"/>
      <w:bookmarkEnd w:id="387"/>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15"/>
        <w:jc w:val="left"/>
        <w:rPr>
          <w:b w:val="0"/>
          <w:bCs w:val="0"/>
        </w:rPr>
      </w:pPr>
      <w:bookmarkStart w:name="（1）本期发生的非同一控制下企业合并" w:id="388"/>
      <w:bookmarkEnd w:id="388"/>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3"/>
        <w:gridCol w:w="1064"/>
        <w:gridCol w:w="1064"/>
        <w:gridCol w:w="1064"/>
        <w:gridCol w:w="1064"/>
        <w:gridCol w:w="1064"/>
        <w:gridCol w:w="1062"/>
        <w:gridCol w:w="1062"/>
        <w:gridCol w:w="1062"/>
      </w:tblGrid>
      <w:tr>
        <w:trPr>
          <w:trHeight w:val="357" w:hRule="exact"/>
        </w:trPr>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2"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购买日至</w:t>
            </w:r>
          </w:p>
        </w:tc>
        <w:tc>
          <w:tcPr>
            <w:tcW w:w="1062"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购买日至</w:t>
            </w:r>
          </w:p>
        </w:tc>
      </w:tr>
      <w:tr>
        <w:trPr>
          <w:trHeight w:val="624" w:hRule="exact"/>
        </w:trPr>
        <w:tc>
          <w:tcPr>
            <w:tcW w:w="10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346" w:right="164" w:hanging="180"/>
              <w:jc w:val="left"/>
              <w:rPr>
                <w:rFonts w:ascii="宋体" w:hAnsi="宋体" w:cs="宋体" w:eastAsia="宋体" w:hint="default"/>
                <w:sz w:val="18"/>
                <w:szCs w:val="18"/>
              </w:rPr>
            </w:pPr>
            <w:r>
              <w:rPr>
                <w:rFonts w:ascii="宋体" w:hAnsi="宋体" w:cs="宋体" w:eastAsia="宋体" w:hint="default"/>
                <w:sz w:val="18"/>
                <w:szCs w:val="18"/>
              </w:rPr>
              <w:t>被购买方 名称</w:t>
            </w:r>
          </w:p>
        </w:tc>
        <w:tc>
          <w:tcPr>
            <w:tcW w:w="10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347" w:right="165" w:hanging="180"/>
              <w:jc w:val="left"/>
              <w:rPr>
                <w:rFonts w:ascii="宋体" w:hAnsi="宋体" w:cs="宋体" w:eastAsia="宋体" w:hint="default"/>
                <w:sz w:val="18"/>
                <w:szCs w:val="18"/>
              </w:rPr>
            </w:pPr>
            <w:r>
              <w:rPr>
                <w:rFonts w:ascii="宋体" w:hAnsi="宋体" w:cs="宋体" w:eastAsia="宋体" w:hint="default"/>
                <w:sz w:val="18"/>
                <w:szCs w:val="18"/>
              </w:rPr>
              <w:t>股权取得 时点</w:t>
            </w:r>
          </w:p>
        </w:tc>
        <w:tc>
          <w:tcPr>
            <w:tcW w:w="10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346" w:right="166" w:hanging="180"/>
              <w:jc w:val="left"/>
              <w:rPr>
                <w:rFonts w:ascii="宋体" w:hAnsi="宋体" w:cs="宋体" w:eastAsia="宋体" w:hint="default"/>
                <w:sz w:val="18"/>
                <w:szCs w:val="18"/>
              </w:rPr>
            </w:pPr>
            <w:r>
              <w:rPr>
                <w:rFonts w:ascii="宋体" w:hAnsi="宋体" w:cs="宋体" w:eastAsia="宋体" w:hint="default"/>
                <w:sz w:val="18"/>
                <w:szCs w:val="18"/>
              </w:rPr>
              <w:t>股权取得 成本</w:t>
            </w:r>
          </w:p>
        </w:tc>
        <w:tc>
          <w:tcPr>
            <w:tcW w:w="10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347" w:right="164" w:hanging="180"/>
              <w:jc w:val="left"/>
              <w:rPr>
                <w:rFonts w:ascii="宋体" w:hAnsi="宋体" w:cs="宋体" w:eastAsia="宋体" w:hint="default"/>
                <w:sz w:val="18"/>
                <w:szCs w:val="18"/>
              </w:rPr>
            </w:pPr>
            <w:r>
              <w:rPr>
                <w:rFonts w:ascii="宋体" w:hAnsi="宋体" w:cs="宋体" w:eastAsia="宋体" w:hint="default"/>
                <w:sz w:val="18"/>
                <w:szCs w:val="18"/>
              </w:rPr>
              <w:t>股权取得 比例</w:t>
            </w:r>
          </w:p>
        </w:tc>
        <w:tc>
          <w:tcPr>
            <w:tcW w:w="10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347" w:right="165" w:hanging="180"/>
              <w:jc w:val="left"/>
              <w:rPr>
                <w:rFonts w:ascii="宋体" w:hAnsi="宋体" w:cs="宋体" w:eastAsia="宋体" w:hint="default"/>
                <w:sz w:val="18"/>
                <w:szCs w:val="18"/>
              </w:rPr>
            </w:pPr>
            <w:r>
              <w:rPr>
                <w:rFonts w:ascii="宋体" w:hAnsi="宋体" w:cs="宋体" w:eastAsia="宋体" w:hint="default"/>
                <w:sz w:val="18"/>
                <w:szCs w:val="18"/>
              </w:rPr>
              <w:t>股权取得 方式</w:t>
            </w:r>
          </w:p>
        </w:tc>
        <w:tc>
          <w:tcPr>
            <w:tcW w:w="10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57"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165" w:right="165"/>
              <w:jc w:val="left"/>
              <w:rPr>
                <w:rFonts w:ascii="宋体" w:hAnsi="宋体" w:cs="宋体" w:eastAsia="宋体" w:hint="default"/>
                <w:sz w:val="18"/>
                <w:szCs w:val="18"/>
              </w:rPr>
            </w:pPr>
            <w:r>
              <w:rPr>
                <w:rFonts w:ascii="宋体" w:hAnsi="宋体" w:cs="宋体" w:eastAsia="宋体" w:hint="default"/>
                <w:sz w:val="18"/>
                <w:szCs w:val="18"/>
              </w:rPr>
              <w:t>购买日的 确定依据</w:t>
            </w:r>
          </w:p>
        </w:tc>
        <w:tc>
          <w:tcPr>
            <w:tcW w:w="10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166" w:right="163"/>
              <w:jc w:val="left"/>
              <w:rPr>
                <w:rFonts w:ascii="宋体" w:hAnsi="宋体" w:cs="宋体" w:eastAsia="宋体" w:hint="default"/>
                <w:sz w:val="18"/>
                <w:szCs w:val="18"/>
              </w:rPr>
            </w:pPr>
            <w:r>
              <w:rPr>
                <w:rFonts w:ascii="宋体" w:hAnsi="宋体" w:cs="宋体" w:eastAsia="宋体" w:hint="default"/>
                <w:sz w:val="18"/>
                <w:szCs w:val="18"/>
              </w:rPr>
              <w:t>期末被购 买方的收</w:t>
            </w:r>
          </w:p>
        </w:tc>
        <w:tc>
          <w:tcPr>
            <w:tcW w:w="10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165" w:right="165"/>
              <w:jc w:val="left"/>
              <w:rPr>
                <w:rFonts w:ascii="宋体" w:hAnsi="宋体" w:cs="宋体" w:eastAsia="宋体" w:hint="default"/>
                <w:sz w:val="18"/>
                <w:szCs w:val="18"/>
              </w:rPr>
            </w:pPr>
            <w:r>
              <w:rPr>
                <w:rFonts w:ascii="宋体" w:hAnsi="宋体" w:cs="宋体" w:eastAsia="宋体" w:hint="default"/>
                <w:sz w:val="18"/>
                <w:szCs w:val="18"/>
              </w:rPr>
              <w:t>期末被购 买方的净</w:t>
            </w:r>
          </w:p>
        </w:tc>
      </w:tr>
      <w:tr>
        <w:trPr>
          <w:trHeight w:val="357" w:hRule="exact"/>
        </w:trPr>
        <w:tc>
          <w:tcPr>
            <w:tcW w:w="1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入</w:t>
            </w:r>
          </w:p>
        </w:tc>
        <w:tc>
          <w:tcPr>
            <w:tcW w:w="106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利润</w:t>
            </w:r>
          </w:p>
        </w:tc>
      </w:tr>
    </w:tbl>
    <w:p>
      <w:pPr>
        <w:pStyle w:val="BodyText"/>
        <w:spacing w:line="357" w:lineRule="auto" w:before="51"/>
        <w:ind w:right="9854"/>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915"/>
        <w:jc w:val="left"/>
        <w:rPr>
          <w:b w:val="0"/>
          <w:bCs w:val="0"/>
        </w:rPr>
      </w:pPr>
      <w:bookmarkStart w:name="（2）合并成本及商誉" w:id="389"/>
      <w:bookmarkEnd w:id="389"/>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0"/>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779;height:397" coordorigin="13,12" coordsize="4779,397">
              <v:shape style="position:absolute;left:13;top:12;width:4779;height:397" coordorigin="13,12" coordsize="4779,397" path="m13,12l4792,12,4792,409,13,409,13,12xe" filled="true" fillcolor="#d2d2d2" stroked="false">
                <v:path arrowok="t"/>
                <v:fill type="solid"/>
              </v:shape>
            </v:group>
            <v:group style="position:absolute;left:4797;top:12;width:4779;height:397" coordorigin="4797,12" coordsize="4779,397">
              <v:shape style="position:absolute;left:4797;top:12;width:4779;height:397" coordorigin="4797,12" coordsize="4779,397" path="m4797,12l9576,12,9576,409,4797,409,4797,12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4;top:5;width:2;height:402" coordorigin="4794,5" coordsize="2,402">
              <v:shape style="position:absolute;left:4794;top:5;width:2;height:402" coordorigin="4794,5" coordsize="0,402" path="m4794,5l4794,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10;top:10;width:4784;height:402" type="#_x0000_t202" filled="false" stroked="false">
                <v:textbox inset="0,0,0,0">
                  <w:txbxContent>
                    <w:p>
                      <w:pPr>
                        <w:spacing w:before="54"/>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57" w:lineRule="auto" w:before="51"/>
        <w:ind w:right="6074"/>
        <w:jc w:val="left"/>
      </w:pPr>
      <w:r>
        <w:rPr/>
        <w:t>合并成本公允价值的确定方法、或有对价及其变动的说明： 无。</w:t>
      </w:r>
    </w:p>
    <w:p>
      <w:pPr>
        <w:pStyle w:val="BodyText"/>
        <w:spacing w:line="360" w:lineRule="auto" w:before="29"/>
        <w:ind w:right="8594"/>
        <w:jc w:val="left"/>
      </w:pPr>
      <w:r>
        <w:rPr/>
        <w:t>大额商誉形成的主要原因： 无。</w:t>
      </w:r>
    </w:p>
    <w:p>
      <w:pPr>
        <w:pStyle w:val="BodyText"/>
        <w:spacing w:line="360" w:lineRule="auto" w:before="25"/>
        <w:ind w:right="9854"/>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915"/>
        <w:jc w:val="left"/>
        <w:rPr>
          <w:b w:val="0"/>
          <w:bCs w:val="0"/>
        </w:rPr>
      </w:pPr>
      <w:bookmarkStart w:name="（3）被购买方于购买日可辨认资产、负债" w:id="390"/>
      <w:bookmarkEnd w:id="390"/>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0"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pStyle w:val="BodyText"/>
        <w:spacing w:line="357" w:lineRule="auto" w:before="50"/>
        <w:ind w:right="7514"/>
        <w:jc w:val="left"/>
      </w:pPr>
      <w:r>
        <w:rPr/>
        <w:t>可辨认资产、负债公允价值的确定方法： 无。 企业合并中承担的被购买方的或有负债： 无。</w:t>
      </w:r>
    </w:p>
    <w:p>
      <w:pPr>
        <w:pStyle w:val="BodyText"/>
        <w:spacing w:line="357" w:lineRule="auto" w:before="29"/>
        <w:ind w:right="9854"/>
        <w:jc w:val="left"/>
      </w:pPr>
      <w:r>
        <w:rPr/>
        <w:t>其他说明： 无。</w:t>
      </w:r>
    </w:p>
    <w:p>
      <w:pPr>
        <w:spacing w:after="0" w:line="357" w:lineRule="auto"/>
        <w:jc w:val="left"/>
        <w:sectPr>
          <w:pgSz w:w="11910" w:h="16840"/>
          <w:pgMar w:header="919" w:footer="1016" w:top="1120" w:bottom="1200" w:left="1020" w:right="0"/>
        </w:sectPr>
      </w:pPr>
    </w:p>
    <w:p>
      <w:pPr>
        <w:spacing w:line="240" w:lineRule="auto" w:before="10"/>
        <w:rPr>
          <w:rFonts w:ascii="宋体" w:hAnsi="宋体" w:cs="宋体" w:eastAsia="宋体" w:hint="default"/>
          <w:sz w:val="19"/>
          <w:szCs w:val="19"/>
        </w:rPr>
      </w:pPr>
    </w:p>
    <w:p>
      <w:pPr>
        <w:pStyle w:val="Heading3"/>
        <w:spacing w:line="240" w:lineRule="auto" w:before="34"/>
        <w:ind w:right="915"/>
        <w:jc w:val="left"/>
        <w:rPr>
          <w:b w:val="0"/>
          <w:bCs w:val="0"/>
        </w:rPr>
      </w:pPr>
      <w:bookmarkStart w:name="（4）购买日之前持有的股权按照公允价值重新计量产生的利得或损失" w:id="391"/>
      <w:bookmarkEnd w:id="391"/>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15"/>
        <w:jc w:val="left"/>
      </w:pPr>
      <w:r>
        <w:rPr/>
        <w:t>是否存在通过多次交易分步实现企业合并且在报告期内取得控制权的交易</w:t>
      </w:r>
    </w:p>
    <w:p>
      <w:pPr>
        <w:pStyle w:val="BodyText"/>
        <w:spacing w:line="240" w:lineRule="auto" w:before="117"/>
        <w:ind w:right="915"/>
        <w:jc w:val="left"/>
      </w:pPr>
      <w:r>
        <w:rPr/>
        <w:t>□ 是 √ 否</w:t>
      </w:r>
    </w:p>
    <w:p>
      <w:pPr>
        <w:spacing w:line="240" w:lineRule="auto" w:before="11"/>
        <w:rPr>
          <w:rFonts w:ascii="宋体" w:hAnsi="宋体" w:cs="宋体" w:eastAsia="宋体" w:hint="default"/>
          <w:sz w:val="26"/>
          <w:szCs w:val="26"/>
        </w:rPr>
      </w:pPr>
    </w:p>
    <w:p>
      <w:pPr>
        <w:pStyle w:val="Heading3"/>
        <w:spacing w:line="240" w:lineRule="auto"/>
        <w:ind w:right="915"/>
        <w:jc w:val="left"/>
        <w:rPr>
          <w:b w:val="0"/>
          <w:bCs w:val="0"/>
        </w:rPr>
      </w:pPr>
      <w:bookmarkStart w:name="（5）购买日或合并当期期末无法合理确定合并对价或被购买方可辨认资产、负债公允价值" w:id="392"/>
      <w:bookmarkEnd w:id="392"/>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15"/>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15"/>
        <w:jc w:val="left"/>
        <w:rPr>
          <w:b w:val="0"/>
          <w:bCs w:val="0"/>
        </w:rPr>
      </w:pPr>
      <w:bookmarkStart w:name="（6）其他说明" w:id="393"/>
      <w:bookmarkEnd w:id="393"/>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15"/>
        <w:jc w:val="left"/>
      </w:pPr>
      <w:r>
        <w:rPr/>
        <w:t>无。</w:t>
      </w:r>
    </w:p>
    <w:p>
      <w:pPr>
        <w:spacing w:line="240" w:lineRule="auto" w:before="11"/>
        <w:rPr>
          <w:rFonts w:ascii="宋体" w:hAnsi="宋体" w:cs="宋体" w:eastAsia="宋体" w:hint="default"/>
          <w:sz w:val="26"/>
          <w:szCs w:val="26"/>
        </w:rPr>
      </w:pPr>
    </w:p>
    <w:p>
      <w:pPr>
        <w:pStyle w:val="Heading3"/>
        <w:spacing w:line="240" w:lineRule="auto"/>
        <w:ind w:right="915"/>
        <w:jc w:val="left"/>
        <w:rPr>
          <w:b w:val="0"/>
          <w:bCs w:val="0"/>
        </w:rPr>
      </w:pPr>
      <w:bookmarkStart w:name="2、同一控制下企业合并" w:id="394"/>
      <w:bookmarkEnd w:id="394"/>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15"/>
        <w:jc w:val="left"/>
        <w:rPr>
          <w:b w:val="0"/>
          <w:bCs w:val="0"/>
        </w:rPr>
      </w:pPr>
      <w:bookmarkStart w:name="（1）本期发生的同一控制下企业合并" w:id="395"/>
      <w:bookmarkEnd w:id="395"/>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1"/>
        <w:gridCol w:w="1061"/>
        <w:gridCol w:w="1063"/>
        <w:gridCol w:w="1064"/>
        <w:gridCol w:w="1064"/>
        <w:gridCol w:w="1064"/>
        <w:gridCol w:w="1064"/>
        <w:gridCol w:w="1064"/>
        <w:gridCol w:w="1064"/>
      </w:tblGrid>
      <w:tr>
        <w:trPr>
          <w:trHeight w:val="1650"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44" w:right="165" w:hanging="180"/>
              <w:jc w:val="left"/>
              <w:rPr>
                <w:rFonts w:ascii="宋体" w:hAnsi="宋体" w:cs="宋体" w:eastAsia="宋体" w:hint="default"/>
                <w:sz w:val="18"/>
                <w:szCs w:val="18"/>
              </w:rPr>
            </w:pPr>
            <w:r>
              <w:rPr>
                <w:rFonts w:ascii="宋体" w:hAnsi="宋体" w:cs="宋体" w:eastAsia="宋体" w:hint="default"/>
                <w:sz w:val="18"/>
                <w:szCs w:val="18"/>
              </w:rPr>
              <w:t>被合并方 名称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64" w:right="165"/>
              <w:jc w:val="both"/>
              <w:rPr>
                <w:rFonts w:ascii="宋体" w:hAnsi="宋体" w:cs="宋体" w:eastAsia="宋体" w:hint="default"/>
                <w:sz w:val="18"/>
                <w:szCs w:val="18"/>
              </w:rPr>
            </w:pPr>
            <w:r>
              <w:rPr>
                <w:rFonts w:ascii="宋体" w:hAnsi="宋体" w:cs="宋体" w:eastAsia="宋体" w:hint="default"/>
                <w:sz w:val="18"/>
                <w:szCs w:val="18"/>
              </w:rPr>
              <w:t>企业合并 中取得的 权益比例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66" w:right="165"/>
              <w:jc w:val="center"/>
              <w:rPr>
                <w:rFonts w:ascii="宋体" w:hAnsi="宋体" w:cs="宋体" w:eastAsia="宋体" w:hint="default"/>
                <w:sz w:val="18"/>
                <w:szCs w:val="18"/>
              </w:rPr>
            </w:pPr>
            <w:r>
              <w:rPr>
                <w:rFonts w:ascii="宋体" w:hAnsi="宋体" w:cs="宋体" w:eastAsia="宋体" w:hint="default"/>
                <w:sz w:val="18"/>
                <w:szCs w:val="18"/>
              </w:rPr>
              <w:t>构成同一 控制下企 业合并的 依据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57"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68" w:right="164"/>
              <w:jc w:val="left"/>
              <w:rPr>
                <w:rFonts w:ascii="宋体" w:hAnsi="宋体" w:cs="宋体" w:eastAsia="宋体" w:hint="default"/>
                <w:sz w:val="18"/>
                <w:szCs w:val="18"/>
              </w:rPr>
            </w:pPr>
            <w:r>
              <w:rPr>
                <w:rFonts w:ascii="宋体" w:hAnsi="宋体" w:cs="宋体" w:eastAsia="宋体" w:hint="default"/>
                <w:sz w:val="18"/>
                <w:szCs w:val="18"/>
              </w:rPr>
              <w:t>合并日的 确定依据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67" w:right="165"/>
              <w:jc w:val="center"/>
              <w:rPr>
                <w:rFonts w:ascii="宋体" w:hAnsi="宋体" w:cs="宋体" w:eastAsia="宋体" w:hint="default"/>
                <w:sz w:val="18"/>
                <w:szCs w:val="18"/>
              </w:rPr>
            </w:pPr>
            <w:r>
              <w:rPr>
                <w:rFonts w:ascii="宋体" w:hAnsi="宋体" w:cs="宋体" w:eastAsia="宋体" w:hint="default"/>
                <w:sz w:val="18"/>
                <w:szCs w:val="18"/>
              </w:rPr>
              <w:t>合并当期 期初至合 并日被合 并方的收 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66" w:right="165"/>
              <w:jc w:val="center"/>
              <w:rPr>
                <w:rFonts w:ascii="宋体" w:hAnsi="宋体" w:cs="宋体" w:eastAsia="宋体" w:hint="default"/>
                <w:sz w:val="18"/>
                <w:szCs w:val="18"/>
              </w:rPr>
            </w:pPr>
            <w:r>
              <w:rPr>
                <w:rFonts w:ascii="宋体" w:hAnsi="宋体" w:cs="宋体" w:eastAsia="宋体" w:hint="default"/>
                <w:sz w:val="18"/>
                <w:szCs w:val="18"/>
              </w:rPr>
              <w:t>合并当期 期初至合 并日被合 并方的净 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68" w:right="164"/>
              <w:jc w:val="both"/>
              <w:rPr>
                <w:rFonts w:ascii="宋体" w:hAnsi="宋体" w:cs="宋体" w:eastAsia="宋体" w:hint="default"/>
                <w:sz w:val="18"/>
                <w:szCs w:val="18"/>
              </w:rPr>
            </w:pPr>
            <w:r>
              <w:rPr>
                <w:rFonts w:ascii="宋体" w:hAnsi="宋体" w:cs="宋体" w:eastAsia="宋体" w:hint="default"/>
                <w:sz w:val="18"/>
                <w:szCs w:val="18"/>
              </w:rPr>
              <w:t>比较期间 被合并方 的收入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67" w:right="165"/>
              <w:jc w:val="both"/>
              <w:rPr>
                <w:rFonts w:ascii="宋体" w:hAnsi="宋体" w:cs="宋体" w:eastAsia="宋体" w:hint="default"/>
                <w:sz w:val="18"/>
                <w:szCs w:val="18"/>
              </w:rPr>
            </w:pPr>
            <w:r>
              <w:rPr>
                <w:rFonts w:ascii="宋体" w:hAnsi="宋体" w:cs="宋体" w:eastAsia="宋体" w:hint="default"/>
                <w:sz w:val="18"/>
                <w:szCs w:val="18"/>
              </w:rPr>
              <w:t>比较期间 被合并方 的净利润</w:t>
            </w:r>
          </w:p>
        </w:tc>
      </w:tr>
    </w:tbl>
    <w:p>
      <w:pPr>
        <w:pStyle w:val="BodyText"/>
        <w:spacing w:line="240" w:lineRule="auto" w:before="50"/>
        <w:ind w:right="915"/>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915"/>
        <w:jc w:val="left"/>
        <w:rPr>
          <w:b w:val="0"/>
          <w:bCs w:val="0"/>
        </w:rPr>
      </w:pPr>
      <w:bookmarkStart w:name="（2）合并成本" w:id="396"/>
      <w:bookmarkEnd w:id="396"/>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1"/>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779;height:397" coordorigin="13,12" coordsize="4779,397">
              <v:shape style="position:absolute;left:13;top:12;width:4779;height:397" coordorigin="13,12" coordsize="4779,397" path="m13,12l4792,12,4792,409,13,409,13,12xe" filled="true" fillcolor="#d2d2d2" stroked="false">
                <v:path arrowok="t"/>
                <v:fill type="solid"/>
              </v:shape>
            </v:group>
            <v:group style="position:absolute;left:4797;top:12;width:4779;height:397" coordorigin="4797,12" coordsize="4779,397">
              <v:shape style="position:absolute;left:4797;top:12;width:4779;height:397" coordorigin="4797,12" coordsize="4779,397" path="m4797,12l9576,12,9576,409,4797,409,4797,12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4;top:5;width:2;height:402" coordorigin="4794,5" coordsize="2,402">
              <v:shape style="position:absolute;left:4794;top:5;width:2;height:402" coordorigin="4794,5" coordsize="0,402" path="m4794,5l4794,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10;top:10;width:4784;height:402" type="#_x0000_t202" filled="false" stroked="false">
                <v:textbox inset="0,0,0,0">
                  <w:txbxContent>
                    <w:p>
                      <w:pPr>
                        <w:spacing w:before="55"/>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60" w:lineRule="auto" w:before="50"/>
        <w:ind w:right="8594"/>
        <w:jc w:val="left"/>
      </w:pPr>
      <w:r>
        <w:rPr/>
        <w:t>或有对价及其变动的说明： 其他说明：</w:t>
      </w:r>
    </w:p>
    <w:p>
      <w:pPr>
        <w:spacing w:line="240" w:lineRule="auto" w:before="12"/>
        <w:rPr>
          <w:rFonts w:ascii="宋体" w:hAnsi="宋体" w:cs="宋体" w:eastAsia="宋体" w:hint="default"/>
          <w:sz w:val="19"/>
          <w:szCs w:val="19"/>
        </w:rPr>
      </w:pPr>
    </w:p>
    <w:p>
      <w:pPr>
        <w:pStyle w:val="Heading3"/>
        <w:spacing w:line="240" w:lineRule="auto"/>
        <w:ind w:right="915"/>
        <w:jc w:val="left"/>
        <w:rPr>
          <w:b w:val="0"/>
          <w:bCs w:val="0"/>
        </w:rPr>
      </w:pPr>
      <w:bookmarkStart w:name="（3）合并日被合并方资产、负债的账面价值" w:id="397"/>
      <w:bookmarkEnd w:id="397"/>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9"/>
        <w:rPr>
          <w:rFonts w:ascii="宋体" w:hAnsi="宋体" w:cs="宋体" w:eastAsia="宋体" w:hint="default"/>
          <w:sz w:val="7"/>
          <w:szCs w:val="7"/>
        </w:rPr>
      </w:pPr>
    </w:p>
    <w:p>
      <w:pPr>
        <w:spacing w:line="823" w:lineRule="exact"/>
        <w:ind w:left="104"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5pt;height:41.2pt;mso-position-horizontal-relative:char;mso-position-vertical-relative:line" coordorigin="0,0" coordsize="9590,824">
            <v:group style="position:absolute;left:13;top:13;width:3185;height:397" coordorigin="13,13" coordsize="3185,397">
              <v:shape style="position:absolute;left:13;top:13;width:3185;height:397" coordorigin="13,13" coordsize="3185,397" path="m13,13l3198,13,3198,410,13,410,13,13xe" filled="true" fillcolor="#d2d2d2" stroked="false">
                <v:path arrowok="t"/>
                <v:fill type="solid"/>
              </v:shape>
            </v:group>
            <v:group style="position:absolute;left:3203;top:13;width:6375;height:397" coordorigin="3203,13" coordsize="6375,397">
              <v:shape style="position:absolute;left:3203;top:13;width:6375;height:397" coordorigin="3203,13" coordsize="6375,397" path="m3203,13l9578,13,9578,410,3203,410,3203,13xe" filled="true" fillcolor="#d2d2d2" stroked="false">
                <v:path arrowok="t"/>
                <v:fill type="solid"/>
              </v:shape>
            </v:group>
            <v:group style="position:absolute;left:13;top:415;width:3185;height:397" coordorigin="13,415" coordsize="3185,397">
              <v:shape style="position:absolute;left:13;top:415;width:3185;height:397" coordorigin="13,415" coordsize="3185,397" path="m13,415l3198,415,3198,812,13,812,13,415xe" filled="true" fillcolor="#d2d2d2" stroked="false">
                <v:path arrowok="t"/>
                <v:fill type="solid"/>
              </v:shape>
            </v:group>
            <v:group style="position:absolute;left:3203;top:415;width:3185;height:397" coordorigin="3203,415" coordsize="3185,397">
              <v:shape style="position:absolute;left:3203;top:415;width:3185;height:397" coordorigin="3203,415" coordsize="3185,397" path="m3203,415l6388,415,6388,812,3203,812,3203,415xe" filled="true" fillcolor="#d2d2d2" stroked="false">
                <v:path arrowok="t"/>
                <v:fill type="solid"/>
              </v:shape>
            </v:group>
            <v:group style="position:absolute;left:6393;top:415;width:3185;height:397" coordorigin="6393,415" coordsize="3185,397">
              <v:shape style="position:absolute;left:6393;top:415;width:3185;height:397" coordorigin="6393,415" coordsize="3185,397" path="m6393,415l9578,415,9578,812,6393,812,6393,415xe" filled="true" fillcolor="#d2d2d2" stroked="false">
                <v:path arrowok="t"/>
                <v:fill type="solid"/>
              </v:shape>
            </v:group>
            <v:group style="position:absolute;left:5;top:10;width:9580;height:2" coordorigin="5,10" coordsize="9580,2">
              <v:shape style="position:absolute;left:5;top:10;width:9580;height:2" coordorigin="5,10" coordsize="9580,0" path="m5,10l9584,10e" filled="false" stroked="true" strokeweight=".48pt" strokecolor="#000000">
                <v:path arrowok="t"/>
              </v:shape>
            </v:group>
            <v:group style="position:absolute;left:5;top:412;width:9580;height:2" coordorigin="5,412" coordsize="9580,2">
              <v:shape style="position:absolute;left:5;top:412;width:9580;height:2" coordorigin="5,412" coordsize="9580,0" path="m5,412l9584,412e" filled="false" stroked="true" strokeweight=".48pt" strokecolor="#000000">
                <v:path arrowok="t"/>
              </v:shape>
            </v:group>
            <v:group style="position:absolute;left:5;top:814;width:9580;height:2" coordorigin="5,814" coordsize="9580,2">
              <v:shape style="position:absolute;left:5;top:814;width:9580;height:2" coordorigin="5,814" coordsize="9580,0" path="m5,814l9584,814e" filled="false" stroked="true" strokeweight=".48pt" strokecolor="#000000">
                <v:path arrowok="t"/>
              </v:shape>
            </v:group>
            <v:group style="position:absolute;left:10;top:5;width:2;height:814" coordorigin="10,5" coordsize="2,814">
              <v:shape style="position:absolute;left:10;top:5;width:2;height:814" coordorigin="10,5" coordsize="0,814" path="m10,5l10,818e" filled="false" stroked="true" strokeweight=".48pt" strokecolor="#000000">
                <v:path arrowok="t"/>
              </v:shape>
            </v:group>
            <v:group style="position:absolute;left:3200;top:5;width:2;height:804" coordorigin="3200,5" coordsize="2,804">
              <v:shape style="position:absolute;left:3200;top:5;width:2;height:804" coordorigin="3200,5" coordsize="0,804" path="m3200,5l3200,809e" filled="false" stroked="true" strokeweight=".48pt" strokecolor="#000000">
                <v:path arrowok="t"/>
              </v:shape>
            </v:group>
            <v:group style="position:absolute;left:6390;top:407;width:2;height:402" coordorigin="6390,407" coordsize="2,402">
              <v:shape style="position:absolute;left:6390;top:407;width:2;height:402" coordorigin="6390,407" coordsize="0,402" path="m6390,407l6390,809e" filled="false" stroked="true" strokeweight=".48pt" strokecolor="#000000">
                <v:path arrowok="t"/>
              </v:shape>
            </v:group>
            <v:group style="position:absolute;left:9580;top:14;width:2;height:804" coordorigin="9580,14" coordsize="2,804">
              <v:shape style="position:absolute;left:9580;top:14;width:2;height:804" coordorigin="9580,14" coordsize="0,804" path="m9580,14l9580,818e" filled="false" stroked="true" strokeweight=".48pt" strokecolor="#000000">
                <v:path arrowok="t"/>
              </v:shape>
              <v:shape style="position:absolute;left:3200;top:412;width:3190;height:402" type="#_x0000_t202" filled="false" stroked="false">
                <v:textbox inset="0,0,0,0">
                  <w:txbxContent>
                    <w:p>
                      <w:pPr>
                        <w:spacing w:before="56"/>
                        <w:ind w:left="1"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90;top:412;width:3190;height:402" type="#_x0000_t202" filled="false" stroked="false">
                <v:textbox inset="0,0,0,0">
                  <w:txbxContent>
                    <w:p>
                      <w:pPr>
                        <w:spacing w:before="56"/>
                        <w:ind w:left="0" w:right="1"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pStyle w:val="BodyText"/>
        <w:spacing w:line="360" w:lineRule="auto" w:before="46"/>
        <w:ind w:right="7514"/>
        <w:jc w:val="left"/>
      </w:pPr>
      <w:r>
        <w:rPr/>
        <w:t>企业合并中承担的被合并方的或有负债： 其他说明：</w:t>
      </w:r>
    </w:p>
    <w:p>
      <w:pPr>
        <w:spacing w:after="0" w:line="360" w:lineRule="auto"/>
        <w:jc w:val="left"/>
        <w:sectPr>
          <w:pgSz w:w="11910" w:h="16840"/>
          <w:pgMar w:header="919" w:footer="1016" w:top="1120" w:bottom="1200" w:left="1020" w:right="0"/>
        </w:sectPr>
      </w:pPr>
    </w:p>
    <w:p>
      <w:pPr>
        <w:spacing w:line="240" w:lineRule="auto" w:before="10"/>
        <w:rPr>
          <w:rFonts w:ascii="宋体" w:hAnsi="宋体" w:cs="宋体" w:eastAsia="宋体" w:hint="default"/>
          <w:sz w:val="19"/>
          <w:szCs w:val="19"/>
        </w:rPr>
      </w:pPr>
    </w:p>
    <w:p>
      <w:pPr>
        <w:pStyle w:val="Heading3"/>
        <w:spacing w:line="240" w:lineRule="auto" w:before="34"/>
        <w:ind w:right="915"/>
        <w:jc w:val="left"/>
        <w:rPr>
          <w:b w:val="0"/>
          <w:bCs w:val="0"/>
        </w:rPr>
      </w:pPr>
      <w:bookmarkStart w:name="3、反向购买" w:id="398"/>
      <w:bookmarkEnd w:id="398"/>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15"/>
        <w:jc w:val="left"/>
      </w:pPr>
      <w:r>
        <w:rPr>
          <w:spacing w:val="-2"/>
        </w:rPr>
        <w:t>交易基本信息、交易构成反向购买的依据、上市公司保留的资产、负债是否构成业务及其依据、合并成本的确定、按照权益</w:t>
      </w:r>
      <w:r>
        <w:rPr>
          <w:spacing w:val="-65"/>
        </w:rPr>
        <w:t> </w:t>
      </w:r>
      <w:r>
        <w:rPr>
          <w:spacing w:val="-65"/>
        </w:rPr>
      </w:r>
      <w:r>
        <w:rPr/>
        <w:t>性交易处理时调整权益的金额及其计算：</w:t>
      </w:r>
    </w:p>
    <w:p>
      <w:pPr>
        <w:spacing w:line="240" w:lineRule="auto" w:before="8"/>
        <w:rPr>
          <w:rFonts w:ascii="宋体" w:hAnsi="宋体" w:cs="宋体" w:eastAsia="宋体" w:hint="default"/>
          <w:sz w:val="22"/>
          <w:szCs w:val="22"/>
        </w:rPr>
      </w:pPr>
    </w:p>
    <w:p>
      <w:pPr>
        <w:pStyle w:val="Heading3"/>
        <w:spacing w:line="240" w:lineRule="auto"/>
        <w:ind w:right="915"/>
        <w:jc w:val="left"/>
        <w:rPr>
          <w:b w:val="0"/>
          <w:bCs w:val="0"/>
        </w:rPr>
      </w:pPr>
      <w:bookmarkStart w:name="4、处置子公司" w:id="399"/>
      <w:bookmarkEnd w:id="399"/>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15"/>
        <w:jc w:val="left"/>
      </w:pPr>
      <w:r>
        <w:rPr/>
        <w:t>是否存在单次处置对子公司投资即丧失控制权的情形</w:t>
      </w:r>
    </w:p>
    <w:p>
      <w:pPr>
        <w:pStyle w:val="BodyText"/>
        <w:spacing w:line="360" w:lineRule="auto" w:before="117"/>
        <w:ind w:right="4994"/>
        <w:jc w:val="left"/>
      </w:pPr>
      <w:r>
        <w:rPr/>
        <w:t>□ 是 √ 否 是否存在通过多次交易分步处置对子公司投资且在本期丧失控制权的情形</w:t>
      </w:r>
    </w:p>
    <w:p>
      <w:pPr>
        <w:pStyle w:val="BodyText"/>
        <w:spacing w:line="240" w:lineRule="auto" w:before="25"/>
        <w:ind w:right="915"/>
        <w:jc w:val="left"/>
      </w:pPr>
      <w:r>
        <w:rPr/>
        <w:t>□ 是 √ 否</w:t>
      </w:r>
    </w:p>
    <w:p>
      <w:pPr>
        <w:spacing w:line="240" w:lineRule="auto" w:before="0"/>
        <w:rPr>
          <w:rFonts w:ascii="宋体" w:hAnsi="宋体" w:cs="宋体" w:eastAsia="宋体" w:hint="default"/>
          <w:sz w:val="18"/>
          <w:szCs w:val="18"/>
        </w:rPr>
      </w:pPr>
    </w:p>
    <w:p>
      <w:pPr>
        <w:pStyle w:val="Heading3"/>
        <w:spacing w:line="240" w:lineRule="auto" w:before="118"/>
        <w:ind w:right="915"/>
        <w:jc w:val="left"/>
        <w:rPr>
          <w:b w:val="0"/>
          <w:bCs w:val="0"/>
        </w:rPr>
      </w:pPr>
      <w:bookmarkStart w:name="5、其他原因的合并范围变动" w:id="400"/>
      <w:bookmarkEnd w:id="400"/>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6"/>
        <w:rPr>
          <w:rFonts w:ascii="宋体" w:hAnsi="宋体" w:cs="宋体" w:eastAsia="宋体" w:hint="default"/>
          <w:b/>
          <w:bCs/>
          <w:sz w:val="26"/>
          <w:szCs w:val="26"/>
        </w:rPr>
      </w:pPr>
    </w:p>
    <w:p>
      <w:pPr>
        <w:pStyle w:val="BodyText"/>
        <w:spacing w:line="477" w:lineRule="auto"/>
        <w:ind w:left="532" w:right="3914" w:hanging="420"/>
        <w:jc w:val="left"/>
      </w:pPr>
      <w:r>
        <w:rPr/>
        <w:t>说明其他原因导致的合并范围变动（如，新设子公司、清算子公司等）及其相关情况： 1.本年度新设立子公司</w:t>
      </w:r>
    </w:p>
    <w:p>
      <w:pPr>
        <w:pStyle w:val="BodyText"/>
        <w:spacing w:line="316" w:lineRule="auto" w:before="54"/>
        <w:ind w:right="915" w:firstLine="420"/>
        <w:jc w:val="left"/>
      </w:pPr>
      <w:r>
        <w:rPr/>
        <w:t>深圳市赢时胜信息技术股份有限公司于2019年11月11日成立全资子公司深圳市赢时胜软件技术服务有限公司，注册资 本2000万元，该公司自成立之日起纳入合并报表范围。</w:t>
      </w:r>
    </w:p>
    <w:p>
      <w:pPr>
        <w:spacing w:line="240" w:lineRule="auto" w:before="6"/>
        <w:rPr>
          <w:rFonts w:ascii="宋体" w:hAnsi="宋体" w:cs="宋体" w:eastAsia="宋体" w:hint="default"/>
          <w:sz w:val="22"/>
          <w:szCs w:val="22"/>
        </w:rPr>
      </w:pPr>
    </w:p>
    <w:p>
      <w:pPr>
        <w:spacing w:line="487" w:lineRule="auto" w:before="0"/>
        <w:ind w:left="112" w:right="8103" w:firstLine="0"/>
        <w:jc w:val="left"/>
        <w:rPr>
          <w:rFonts w:ascii="宋体" w:hAnsi="宋体" w:cs="宋体" w:eastAsia="宋体" w:hint="default"/>
          <w:sz w:val="21"/>
          <w:szCs w:val="21"/>
        </w:rPr>
      </w:pPr>
      <w:bookmarkStart w:name="6、其他" w:id="401"/>
      <w:bookmarkEnd w:id="401"/>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九、在其他主体中的权益" w:id="402"/>
      <w:bookmarkEnd w:id="402"/>
      <w:r>
        <w:rPr>
          <w:rFonts w:ascii="宋体" w:hAnsi="宋体" w:cs="宋体" w:eastAsia="宋体" w:hint="default"/>
          <w:b/>
          <w:bCs/>
          <w:w w:val="99"/>
          <w:sz w:val="21"/>
          <w:szCs w:val="21"/>
        </w:rPr>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bookmarkStart w:name="1、在子公司中的权益" w:id="403"/>
      <w:bookmarkEnd w:id="403"/>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1"/>
        <w:ind w:right="915"/>
        <w:jc w:val="left"/>
        <w:rPr>
          <w:b w:val="0"/>
          <w:bCs w:val="0"/>
        </w:rPr>
      </w:pPr>
      <w:bookmarkStart w:name="（1）企业集团的构成" w:id="404"/>
      <w:bookmarkEnd w:id="404"/>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71"/>
        <w:gridCol w:w="1367"/>
        <w:gridCol w:w="1367"/>
        <w:gridCol w:w="1367"/>
        <w:gridCol w:w="1367"/>
        <w:gridCol w:w="1366"/>
        <w:gridCol w:w="1366"/>
      </w:tblGrid>
      <w:tr>
        <w:trPr>
          <w:trHeight w:val="402"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77"/>
              <w:jc w:val="left"/>
              <w:rPr>
                <w:rFonts w:ascii="宋体" w:hAnsi="宋体" w:cs="宋体" w:eastAsia="宋体" w:hint="default"/>
                <w:sz w:val="18"/>
                <w:szCs w:val="18"/>
              </w:rPr>
            </w:pPr>
            <w:r>
              <w:rPr>
                <w:rFonts w:ascii="宋体" w:hAnsi="宋体" w:cs="宋体" w:eastAsia="宋体" w:hint="default"/>
                <w:sz w:val="18"/>
                <w:szCs w:val="18"/>
              </w:rPr>
              <w:t>上海赢量信息 科技有限公司</w:t>
            </w:r>
          </w:p>
          <w:p>
            <w:pPr>
              <w:pStyle w:val="TableParagraph"/>
              <w:spacing w:line="240" w:lineRule="auto" w:before="19"/>
              <w:ind w:left="101"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金融信息服务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63.64%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77"/>
              <w:jc w:val="both"/>
              <w:rPr>
                <w:rFonts w:ascii="宋体" w:hAnsi="宋体" w:cs="宋体" w:eastAsia="宋体" w:hint="default"/>
                <w:sz w:val="18"/>
                <w:szCs w:val="18"/>
              </w:rPr>
            </w:pPr>
            <w:r>
              <w:rPr>
                <w:rFonts w:ascii="宋体" w:hAnsi="宋体" w:cs="宋体" w:eastAsia="宋体" w:hint="default"/>
                <w:sz w:val="18"/>
                <w:szCs w:val="18"/>
              </w:rPr>
              <w:t>链石（苏州） 信息科技有限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苏州市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2" w:right="0"/>
              <w:jc w:val="left"/>
              <w:rPr>
                <w:rFonts w:ascii="宋体" w:hAnsi="宋体" w:cs="宋体" w:eastAsia="宋体" w:hint="default"/>
                <w:sz w:val="18"/>
                <w:szCs w:val="18"/>
              </w:rPr>
            </w:pPr>
            <w:r>
              <w:rPr>
                <w:rFonts w:ascii="宋体" w:hAnsi="宋体" w:cs="宋体" w:eastAsia="宋体" w:hint="default"/>
                <w:sz w:val="18"/>
                <w:szCs w:val="18"/>
              </w:rPr>
              <w:t>苏州市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53.85%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77"/>
              <w:jc w:val="left"/>
              <w:rPr>
                <w:rFonts w:ascii="宋体" w:hAnsi="宋体" w:cs="宋体" w:eastAsia="宋体" w:hint="default"/>
                <w:sz w:val="18"/>
                <w:szCs w:val="18"/>
              </w:rPr>
            </w:pPr>
            <w:r>
              <w:rPr>
                <w:rFonts w:ascii="宋体" w:hAnsi="宋体" w:cs="宋体" w:eastAsia="宋体" w:hint="default"/>
                <w:sz w:val="18"/>
                <w:szCs w:val="18"/>
              </w:rPr>
              <w:t>上海赢保商业 保理有限公司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保理业务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49.00%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32.46%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77"/>
              <w:jc w:val="both"/>
              <w:rPr>
                <w:rFonts w:ascii="宋体" w:hAnsi="宋体" w:cs="宋体" w:eastAsia="宋体" w:hint="default"/>
                <w:sz w:val="18"/>
                <w:szCs w:val="18"/>
              </w:rPr>
            </w:pPr>
            <w:r>
              <w:rPr>
                <w:rFonts w:ascii="宋体" w:hAnsi="宋体" w:cs="宋体" w:eastAsia="宋体" w:hint="default"/>
                <w:sz w:val="18"/>
                <w:szCs w:val="18"/>
              </w:rPr>
              <w:t>链石（上海） 信息科技有限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53.85%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0"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1" w:right="0"/>
              <w:jc w:val="left"/>
              <w:rPr>
                <w:rFonts w:ascii="宋体" w:hAnsi="宋体" w:cs="宋体" w:eastAsia="宋体" w:hint="default"/>
                <w:sz w:val="18"/>
                <w:szCs w:val="18"/>
              </w:rPr>
            </w:pPr>
            <w:r>
              <w:rPr>
                <w:rFonts w:ascii="宋体" w:hAnsi="宋体" w:cs="宋体" w:eastAsia="宋体" w:hint="default"/>
                <w:sz w:val="18"/>
                <w:szCs w:val="18"/>
              </w:rPr>
              <w:t>上海蒲园供应</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供应链服务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63.64%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919" w:footer="1016" w:top="1120" w:bottom="1200" w:left="1020" w:right="0"/>
        </w:sectPr>
      </w:pPr>
    </w:p>
    <w:p>
      <w:pPr>
        <w:spacing w:line="240" w:lineRule="auto" w:before="5"/>
        <w:rPr>
          <w:rFonts w:ascii="宋体" w:hAnsi="宋体" w:cs="宋体" w:eastAsia="宋体" w:hint="default"/>
          <w:b/>
          <w:bCs/>
          <w:sz w:val="23"/>
          <w:szCs w:val="23"/>
        </w:rPr>
      </w:pPr>
    </w:p>
    <w:tbl>
      <w:tblPr>
        <w:tblW w:w="0" w:type="auto"/>
        <w:jc w:val="left"/>
        <w:tblInd w:w="109" w:type="dxa"/>
        <w:tblLayout w:type="fixed"/>
        <w:tblCellMar>
          <w:top w:w="0" w:type="dxa"/>
          <w:left w:w="0" w:type="dxa"/>
          <w:bottom w:w="0" w:type="dxa"/>
          <w:right w:w="0" w:type="dxa"/>
        </w:tblCellMar>
        <w:tblLook w:val="01E0"/>
      </w:tblPr>
      <w:tblGrid>
        <w:gridCol w:w="1371"/>
        <w:gridCol w:w="1367"/>
        <w:gridCol w:w="1367"/>
        <w:gridCol w:w="1367"/>
        <w:gridCol w:w="1367"/>
        <w:gridCol w:w="1366"/>
        <w:gridCol w:w="1366"/>
      </w:tblGrid>
      <w:tr>
        <w:trPr>
          <w:trHeight w:val="67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1" w:right="177"/>
              <w:jc w:val="left"/>
              <w:rPr>
                <w:rFonts w:ascii="宋体" w:hAnsi="宋体" w:cs="宋体" w:eastAsia="宋体" w:hint="default"/>
                <w:sz w:val="18"/>
                <w:szCs w:val="18"/>
              </w:rPr>
            </w:pPr>
            <w:r>
              <w:rPr>
                <w:rFonts w:ascii="宋体" w:hAnsi="宋体" w:cs="宋体" w:eastAsia="宋体" w:hint="default"/>
                <w:sz w:val="18"/>
                <w:szCs w:val="18"/>
              </w:rPr>
              <w:t>链管理有限公 司（注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77"/>
              <w:jc w:val="left"/>
              <w:rPr>
                <w:rFonts w:ascii="宋体" w:hAnsi="宋体" w:cs="宋体" w:eastAsia="宋体" w:hint="default"/>
                <w:sz w:val="18"/>
                <w:szCs w:val="18"/>
              </w:rPr>
            </w:pPr>
            <w:r>
              <w:rPr>
                <w:rFonts w:ascii="宋体" w:hAnsi="宋体" w:cs="宋体" w:eastAsia="宋体" w:hint="default"/>
                <w:sz w:val="18"/>
                <w:szCs w:val="18"/>
              </w:rPr>
              <w:t>上海赢数网络 科技有限公司</w:t>
            </w:r>
          </w:p>
          <w:p>
            <w:pPr>
              <w:pStyle w:val="TableParagraph"/>
              <w:spacing w:line="240" w:lineRule="auto" w:before="19"/>
              <w:ind w:left="101"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698" w:right="0"/>
              <w:jc w:val="left"/>
              <w:rPr>
                <w:rFonts w:ascii="Times New Roman" w:hAnsi="Times New Roman" w:cs="Times New Roman" w:eastAsia="Times New Roman" w:hint="default"/>
                <w:sz w:val="18"/>
                <w:szCs w:val="18"/>
              </w:rPr>
            </w:pPr>
            <w:r>
              <w:rPr>
                <w:rFonts w:ascii="Times New Roman"/>
                <w:sz w:val="18"/>
              </w:rPr>
              <w:t>63.64%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58" w:hRule="exact"/>
        </w:trPr>
        <w:tc>
          <w:tcPr>
            <w:tcW w:w="13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深圳市赢时胜</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77"/>
              <w:jc w:val="left"/>
              <w:rPr>
                <w:rFonts w:ascii="宋体" w:hAnsi="宋体" w:cs="宋体" w:eastAsia="宋体" w:hint="default"/>
                <w:sz w:val="18"/>
                <w:szCs w:val="18"/>
              </w:rPr>
            </w:pPr>
            <w:r>
              <w:rPr>
                <w:rFonts w:ascii="宋体" w:hAnsi="宋体" w:cs="宋体" w:eastAsia="宋体" w:hint="default"/>
                <w:sz w:val="18"/>
                <w:szCs w:val="18"/>
              </w:rPr>
              <w:t>软件技术服务 有限公司（注</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56" w:hRule="exact"/>
        </w:trPr>
        <w:tc>
          <w:tcPr>
            <w:tcW w:w="13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3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pacing w:val="-3"/>
                <w:sz w:val="18"/>
                <w:szCs w:val="18"/>
              </w:rPr>
              <w:t>赢时胜（北京）</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信息技术有限</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52" w:hRule="exact"/>
        </w:trPr>
        <w:tc>
          <w:tcPr>
            <w:tcW w:w="13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bl>
    <w:p>
      <w:pPr>
        <w:pStyle w:val="BodyText"/>
        <w:spacing w:line="357" w:lineRule="auto" w:before="51"/>
        <w:ind w:right="6974"/>
        <w:jc w:val="left"/>
      </w:pPr>
      <w:r>
        <w:rPr/>
        <w:t>在子公司的持股比例不同于表决权比例的说明： 无</w:t>
      </w:r>
    </w:p>
    <w:p>
      <w:pPr>
        <w:pStyle w:val="BodyText"/>
        <w:spacing w:line="360" w:lineRule="auto" w:before="29"/>
        <w:ind w:right="2834"/>
        <w:jc w:val="left"/>
      </w:pPr>
      <w:r>
        <w:rPr/>
        <w:t>持有半数或以下表决权但仍控制被投资单位、以及持有半数以上表决权但不控制被投资单位的依据： 无</w:t>
      </w:r>
    </w:p>
    <w:p>
      <w:pPr>
        <w:pStyle w:val="BodyText"/>
        <w:spacing w:line="360" w:lineRule="auto" w:before="25"/>
        <w:ind w:right="6434"/>
        <w:jc w:val="left"/>
      </w:pPr>
      <w:r>
        <w:rPr/>
        <w:t>对于纳入合并范围的重要的结构化主体，控制的依据： 无</w:t>
      </w:r>
    </w:p>
    <w:p>
      <w:pPr>
        <w:pStyle w:val="BodyText"/>
        <w:spacing w:line="357" w:lineRule="auto" w:before="27"/>
        <w:ind w:right="7694"/>
        <w:jc w:val="left"/>
      </w:pPr>
      <w:r>
        <w:rPr/>
        <w:t>确定公司是代理人还是委托人的依据： 无</w:t>
      </w:r>
    </w:p>
    <w:p>
      <w:pPr>
        <w:pStyle w:val="BodyText"/>
        <w:spacing w:line="240" w:lineRule="auto" w:before="29"/>
        <w:ind w:right="915"/>
        <w:jc w:val="left"/>
      </w:pPr>
      <w:r>
        <w:rPr/>
        <w:t>其他说明：</w:t>
      </w:r>
    </w:p>
    <w:p>
      <w:pPr>
        <w:pStyle w:val="BodyText"/>
        <w:spacing w:line="316" w:lineRule="auto" w:before="117"/>
        <w:ind w:right="915" w:firstLine="360"/>
        <w:jc w:val="left"/>
      </w:pPr>
      <w:r>
        <w:rPr>
          <w:spacing w:val="-2"/>
        </w:rPr>
        <w:t>注1：2019年5月25日，上海赢量金融服务有限公司变更名称为上海赢量信息科技有限公司，同时变更经营范围为从事信</w:t>
      </w:r>
      <w:r>
        <w:rPr/>
        <w:t> </w:t>
      </w:r>
      <w:r>
        <w:rPr>
          <w:spacing w:val="-4"/>
        </w:rPr>
        <w:t>息科技、数据科技、计算机科技、网络科技、电子科技领域内的技术开发、技术转让、技术咨询、技术服务；企业管理咨询、</w:t>
      </w:r>
      <w:r>
        <w:rPr>
          <w:spacing w:val="-43"/>
        </w:rPr>
        <w:t> </w:t>
      </w:r>
      <w:r>
        <w:rPr>
          <w:spacing w:val="-43"/>
        </w:rPr>
      </w:r>
      <w:r>
        <w:rPr/>
        <w:t>商务信息咨询、市场信息咨询与调查，自有设备租赁、汽车租赁、电子商务。</w:t>
      </w:r>
    </w:p>
    <w:p>
      <w:pPr>
        <w:spacing w:line="240" w:lineRule="auto" w:before="5"/>
        <w:rPr>
          <w:rFonts w:ascii="宋体" w:hAnsi="宋体" w:cs="宋体" w:eastAsia="宋体" w:hint="default"/>
          <w:sz w:val="13"/>
          <w:szCs w:val="13"/>
        </w:rPr>
      </w:pPr>
    </w:p>
    <w:p>
      <w:pPr>
        <w:pStyle w:val="BodyText"/>
        <w:spacing w:line="316" w:lineRule="auto"/>
        <w:ind w:right="1124" w:firstLine="360"/>
        <w:jc w:val="left"/>
      </w:pPr>
      <w:r>
        <w:rPr/>
        <w:t>注2：链石（上海）信息科技有限公司系一级子公司链石（苏州）信息科技有限公司之全资控股子公司；上海蒲园供应 链管理有限公司和上海赢数网络科技有限公司系一级子公司上海赢量信息科技有限公司之全资控股子公司。</w:t>
      </w:r>
    </w:p>
    <w:p>
      <w:pPr>
        <w:spacing w:line="240" w:lineRule="auto" w:before="5"/>
        <w:rPr>
          <w:rFonts w:ascii="宋体" w:hAnsi="宋体" w:cs="宋体" w:eastAsia="宋体" w:hint="default"/>
          <w:sz w:val="13"/>
          <w:szCs w:val="13"/>
        </w:rPr>
      </w:pPr>
    </w:p>
    <w:p>
      <w:pPr>
        <w:pStyle w:val="BodyText"/>
        <w:spacing w:line="316" w:lineRule="auto"/>
        <w:ind w:right="1130" w:firstLine="360"/>
        <w:jc w:val="both"/>
      </w:pPr>
      <w:r>
        <w:rPr/>
        <w:t>注3：深圳市赢时胜信息技术股份有限公司于2019年11月11日成立全资子公司深圳市赢时胜软件技术服务有限公司，注 </w:t>
      </w:r>
      <w:r>
        <w:rPr>
          <w:spacing w:val="-2"/>
        </w:rPr>
        <w:t>册资本2000万元，截至2019年12月31日，尚未出资，深圳市赢时胜软件技术服务有限公司派驻了部分研发人员，开展软件开</w:t>
      </w:r>
      <w:r>
        <w:rPr>
          <w:spacing w:val="-58"/>
        </w:rPr>
        <w:t> </w:t>
      </w:r>
      <w:r>
        <w:rPr>
          <w:spacing w:val="-58"/>
        </w:rPr>
      </w:r>
      <w:r>
        <w:rPr/>
        <w:t>发业务。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2"/>
          <w:szCs w:val="22"/>
        </w:rPr>
      </w:pPr>
    </w:p>
    <w:p>
      <w:pPr>
        <w:pStyle w:val="Heading3"/>
        <w:spacing w:line="240" w:lineRule="auto"/>
        <w:ind w:right="915"/>
        <w:jc w:val="left"/>
        <w:rPr>
          <w:b w:val="0"/>
          <w:bCs w:val="0"/>
        </w:rPr>
      </w:pPr>
      <w:bookmarkStart w:name="（2）重要的非全资子公司" w:id="405"/>
      <w:bookmarkEnd w:id="405"/>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6"/>
        <w:gridCol w:w="1914"/>
        <w:gridCol w:w="1914"/>
        <w:gridCol w:w="1913"/>
        <w:gridCol w:w="1913"/>
      </w:tblGrid>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3" w:right="139" w:hanging="540"/>
              <w:jc w:val="left"/>
              <w:rPr>
                <w:rFonts w:ascii="宋体" w:hAnsi="宋体" w:cs="宋体" w:eastAsia="宋体" w:hint="default"/>
                <w:sz w:val="18"/>
                <w:szCs w:val="18"/>
              </w:rPr>
            </w:pPr>
            <w:r>
              <w:rPr>
                <w:rFonts w:ascii="宋体" w:hAnsi="宋体" w:cs="宋体" w:eastAsia="宋体" w:hint="default"/>
                <w:sz w:val="18"/>
                <w:szCs w:val="18"/>
              </w:rPr>
              <w:t>本期归属于少数股东 的损益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02" w:right="139" w:hanging="360"/>
              <w:jc w:val="left"/>
              <w:rPr>
                <w:rFonts w:ascii="宋体" w:hAnsi="宋体" w:cs="宋体" w:eastAsia="宋体" w:hint="default"/>
                <w:sz w:val="18"/>
                <w:szCs w:val="18"/>
              </w:rPr>
            </w:pPr>
            <w:r>
              <w:rPr>
                <w:rFonts w:ascii="宋体" w:hAnsi="宋体" w:cs="宋体" w:eastAsia="宋体" w:hint="default"/>
                <w:sz w:val="18"/>
                <w:szCs w:val="18"/>
              </w:rPr>
              <w:t>本期向少数股东宣告 分派的股利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61" w:right="139" w:hanging="720"/>
              <w:jc w:val="left"/>
              <w:rPr>
                <w:rFonts w:ascii="宋体" w:hAnsi="宋体" w:cs="宋体" w:eastAsia="宋体" w:hint="default"/>
                <w:sz w:val="18"/>
                <w:szCs w:val="18"/>
              </w:rPr>
            </w:pPr>
            <w:r>
              <w:rPr>
                <w:rFonts w:ascii="宋体" w:hAnsi="宋体" w:cs="宋体" w:eastAsia="宋体" w:hint="default"/>
                <w:sz w:val="18"/>
                <w:szCs w:val="18"/>
              </w:rPr>
              <w:t>期末少数股东权益余 额</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82"/>
              <w:jc w:val="left"/>
              <w:rPr>
                <w:rFonts w:ascii="宋体" w:hAnsi="宋体" w:cs="宋体" w:eastAsia="宋体" w:hint="default"/>
                <w:sz w:val="18"/>
                <w:szCs w:val="18"/>
              </w:rPr>
            </w:pPr>
            <w:r>
              <w:rPr>
                <w:rFonts w:ascii="宋体" w:hAnsi="宋体" w:cs="宋体" w:eastAsia="宋体" w:hint="default"/>
                <w:sz w:val="18"/>
                <w:szCs w:val="18"/>
              </w:rPr>
              <w:t>上海赢量信息科技有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-32,643,579.84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28,150,407.48</w:t>
            </w:r>
          </w:p>
        </w:tc>
      </w:tr>
      <w:tr>
        <w:trPr>
          <w:trHeight w:val="400"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80"/>
              <w:jc w:val="center"/>
              <w:rPr>
                <w:rFonts w:ascii="宋体" w:hAnsi="宋体" w:cs="宋体" w:eastAsia="宋体" w:hint="default"/>
                <w:sz w:val="18"/>
                <w:szCs w:val="18"/>
              </w:rPr>
            </w:pPr>
            <w:r>
              <w:rPr>
                <w:rFonts w:ascii="宋体" w:hAnsi="宋体" w:cs="宋体" w:eastAsia="宋体" w:hint="default"/>
                <w:sz w:val="18"/>
                <w:szCs w:val="18"/>
              </w:rPr>
              <w:t>链石（苏州）信息科</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-2,398,037.43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4,025,289.85</w:t>
            </w:r>
          </w:p>
        </w:tc>
      </w:tr>
    </w:tbl>
    <w:p>
      <w:pPr>
        <w:spacing w:after="0" w:line="240" w:lineRule="auto"/>
        <w:jc w:val="right"/>
        <w:rPr>
          <w:rFonts w:ascii="Times New Roman" w:hAnsi="Times New Roman" w:cs="Times New Roman" w:eastAsia="Times New Roman" w:hint="default"/>
          <w:sz w:val="18"/>
          <w:szCs w:val="18"/>
        </w:rPr>
        <w:sectPr>
          <w:footerReference w:type="default" r:id="rId36"/>
          <w:pgSz w:w="11910" w:h="16840"/>
          <w:pgMar w:footer="1016" w:header="919" w:top="1120" w:bottom="1200" w:left="1020" w:right="0"/>
          <w:pgNumType w:start="19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1916"/>
        <w:gridCol w:w="1914"/>
        <w:gridCol w:w="1914"/>
        <w:gridCol w:w="1913"/>
        <w:gridCol w:w="1913"/>
      </w:tblGrid>
      <w:tr>
        <w:trPr>
          <w:trHeight w:val="362"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82"/>
              <w:jc w:val="left"/>
              <w:rPr>
                <w:rFonts w:ascii="宋体" w:hAnsi="宋体" w:cs="宋体" w:eastAsia="宋体" w:hint="default"/>
                <w:sz w:val="18"/>
                <w:szCs w:val="18"/>
              </w:rPr>
            </w:pPr>
            <w:r>
              <w:rPr>
                <w:rFonts w:ascii="宋体" w:hAnsi="宋体" w:cs="宋体" w:eastAsia="宋体" w:hint="default"/>
                <w:sz w:val="18"/>
                <w:szCs w:val="18"/>
              </w:rPr>
              <w:t>上海赢保商业保理有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45" w:right="0"/>
              <w:jc w:val="left"/>
              <w:rPr>
                <w:rFonts w:ascii="Times New Roman" w:hAnsi="Times New Roman" w:cs="Times New Roman" w:eastAsia="Times New Roman" w:hint="default"/>
                <w:sz w:val="18"/>
                <w:szCs w:val="18"/>
              </w:rPr>
            </w:pPr>
            <w:r>
              <w:rPr>
                <w:rFonts w:ascii="Times New Roman"/>
                <w:sz w:val="18"/>
              </w:rPr>
              <w:t>18.54%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0" w:right="0"/>
              <w:jc w:val="left"/>
              <w:rPr>
                <w:rFonts w:ascii="Times New Roman" w:hAnsi="Times New Roman" w:cs="Times New Roman" w:eastAsia="Times New Roman" w:hint="default"/>
                <w:sz w:val="18"/>
                <w:szCs w:val="18"/>
              </w:rPr>
            </w:pPr>
            <w:r>
              <w:rPr>
                <w:rFonts w:ascii="Times New Roman"/>
                <w:sz w:val="18"/>
              </w:rPr>
              <w:t>794,659.65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65" w:right="0"/>
              <w:jc w:val="left"/>
              <w:rPr>
                <w:rFonts w:ascii="Times New Roman" w:hAnsi="Times New Roman" w:cs="Times New Roman" w:eastAsia="Times New Roman" w:hint="default"/>
                <w:sz w:val="18"/>
                <w:szCs w:val="18"/>
              </w:rPr>
            </w:pPr>
            <w:r>
              <w:rPr>
                <w:rFonts w:ascii="Times New Roman"/>
                <w:sz w:val="18"/>
              </w:rPr>
              <w:t>38,851,429.45</w:t>
            </w:r>
          </w:p>
        </w:tc>
      </w:tr>
    </w:tbl>
    <w:p>
      <w:pPr>
        <w:pStyle w:val="BodyText"/>
        <w:spacing w:line="357" w:lineRule="auto" w:before="51"/>
        <w:ind w:right="6434"/>
        <w:jc w:val="left"/>
      </w:pPr>
      <w:r>
        <w:rPr/>
        <w:t>子公司少数股东的持股比例不同于表决权比例的说明： 无</w:t>
      </w:r>
    </w:p>
    <w:p>
      <w:pPr>
        <w:pStyle w:val="BodyText"/>
        <w:spacing w:line="360" w:lineRule="auto" w:before="29"/>
        <w:ind w:right="9854"/>
        <w:jc w:val="left"/>
      </w:pPr>
      <w:r>
        <w:rPr/>
        <w:t>其他说明： 无</w:t>
      </w:r>
    </w:p>
    <w:p>
      <w:pPr>
        <w:spacing w:line="240" w:lineRule="auto" w:before="12"/>
        <w:rPr>
          <w:rFonts w:ascii="宋体" w:hAnsi="宋体" w:cs="宋体" w:eastAsia="宋体" w:hint="default"/>
          <w:sz w:val="19"/>
          <w:szCs w:val="19"/>
        </w:rPr>
      </w:pPr>
    </w:p>
    <w:p>
      <w:pPr>
        <w:pStyle w:val="Heading3"/>
        <w:spacing w:line="240" w:lineRule="auto"/>
        <w:ind w:right="915"/>
        <w:jc w:val="left"/>
        <w:rPr>
          <w:b w:val="0"/>
          <w:bCs w:val="0"/>
        </w:rPr>
      </w:pPr>
      <w:bookmarkStart w:name="（3）重要非全资子公司的主要财务信息" w:id="406"/>
      <w:bookmarkEnd w:id="406"/>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36"/>
        <w:gridCol w:w="736"/>
        <w:gridCol w:w="736"/>
        <w:gridCol w:w="736"/>
        <w:gridCol w:w="736"/>
        <w:gridCol w:w="735"/>
        <w:gridCol w:w="735"/>
        <w:gridCol w:w="735"/>
        <w:gridCol w:w="735"/>
        <w:gridCol w:w="735"/>
        <w:gridCol w:w="737"/>
        <w:gridCol w:w="736"/>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83" w:right="180"/>
              <w:jc w:val="both"/>
              <w:rPr>
                <w:rFonts w:ascii="宋体" w:hAnsi="宋体" w:cs="宋体" w:eastAsia="宋体" w:hint="default"/>
                <w:sz w:val="18"/>
                <w:szCs w:val="18"/>
              </w:rPr>
            </w:pPr>
            <w:r>
              <w:rPr>
                <w:rFonts w:ascii="宋体" w:hAnsi="宋体" w:cs="宋体" w:eastAsia="宋体" w:hint="default"/>
                <w:sz w:val="18"/>
                <w:szCs w:val="18"/>
              </w:rPr>
              <w:t>子公 司名 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026"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82" w:right="182"/>
              <w:jc w:val="left"/>
              <w:rPr>
                <w:rFonts w:ascii="宋体" w:hAnsi="宋体" w:cs="宋体" w:eastAsia="宋体" w:hint="default"/>
                <w:sz w:val="18"/>
                <w:szCs w:val="18"/>
              </w:rPr>
            </w:pPr>
            <w:r>
              <w:rPr>
                <w:rFonts w:ascii="宋体" w:hAnsi="宋体" w:cs="宋体" w:eastAsia="宋体" w:hint="default"/>
                <w:sz w:val="18"/>
                <w:szCs w:val="18"/>
              </w:rPr>
              <w:t>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82" w:right="181"/>
              <w:jc w:val="both"/>
              <w:rPr>
                <w:rFonts w:ascii="宋体" w:hAnsi="宋体" w:cs="宋体" w:eastAsia="宋体" w:hint="default"/>
                <w:sz w:val="18"/>
                <w:szCs w:val="18"/>
              </w:rPr>
            </w:pPr>
            <w:r>
              <w:rPr>
                <w:rFonts w:ascii="宋体" w:hAnsi="宋体" w:cs="宋体" w:eastAsia="宋体" w:hint="default"/>
                <w:sz w:val="18"/>
                <w:szCs w:val="18"/>
              </w:rPr>
              <w:t>非流 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83" w:right="180"/>
              <w:jc w:val="left"/>
              <w:rPr>
                <w:rFonts w:ascii="宋体" w:hAnsi="宋体" w:cs="宋体" w:eastAsia="宋体" w:hint="default"/>
                <w:sz w:val="18"/>
                <w:szCs w:val="18"/>
              </w:rPr>
            </w:pPr>
            <w:r>
              <w:rPr>
                <w:rFonts w:ascii="宋体" w:hAnsi="宋体" w:cs="宋体" w:eastAsia="宋体" w:hint="default"/>
                <w:sz w:val="18"/>
                <w:szCs w:val="18"/>
              </w:rPr>
              <w:t>资产 合计</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81" w:right="182"/>
              <w:jc w:val="left"/>
              <w:rPr>
                <w:rFonts w:ascii="宋体" w:hAnsi="宋体" w:cs="宋体" w:eastAsia="宋体" w:hint="default"/>
                <w:sz w:val="18"/>
                <w:szCs w:val="18"/>
              </w:rPr>
            </w:pPr>
            <w:r>
              <w:rPr>
                <w:rFonts w:ascii="宋体" w:hAnsi="宋体" w:cs="宋体" w:eastAsia="宋体" w:hint="default"/>
                <w:sz w:val="18"/>
                <w:szCs w:val="18"/>
              </w:rPr>
              <w:t>流动 负债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82" w:right="180"/>
              <w:jc w:val="both"/>
              <w:rPr>
                <w:rFonts w:ascii="宋体" w:hAnsi="宋体" w:cs="宋体" w:eastAsia="宋体" w:hint="default"/>
                <w:sz w:val="18"/>
                <w:szCs w:val="18"/>
              </w:rPr>
            </w:pPr>
            <w:r>
              <w:rPr>
                <w:rFonts w:ascii="宋体" w:hAnsi="宋体" w:cs="宋体" w:eastAsia="宋体" w:hint="default"/>
                <w:sz w:val="18"/>
                <w:szCs w:val="18"/>
              </w:rPr>
              <w:t>非流 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82" w:right="181"/>
              <w:jc w:val="left"/>
              <w:rPr>
                <w:rFonts w:ascii="宋体" w:hAnsi="宋体" w:cs="宋体" w:eastAsia="宋体" w:hint="default"/>
                <w:sz w:val="18"/>
                <w:szCs w:val="18"/>
              </w:rPr>
            </w:pPr>
            <w:r>
              <w:rPr>
                <w:rFonts w:ascii="宋体" w:hAnsi="宋体" w:cs="宋体" w:eastAsia="宋体" w:hint="default"/>
                <w:sz w:val="18"/>
                <w:szCs w:val="18"/>
              </w:rPr>
              <w:t>负债 合计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81" w:right="181"/>
              <w:jc w:val="left"/>
              <w:rPr>
                <w:rFonts w:ascii="宋体" w:hAnsi="宋体" w:cs="宋体" w:eastAsia="宋体" w:hint="default"/>
                <w:sz w:val="18"/>
                <w:szCs w:val="18"/>
              </w:rPr>
            </w:pPr>
            <w:r>
              <w:rPr>
                <w:rFonts w:ascii="宋体" w:hAnsi="宋体" w:cs="宋体" w:eastAsia="宋体" w:hint="default"/>
                <w:sz w:val="18"/>
                <w:szCs w:val="18"/>
              </w:rPr>
              <w:t>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81" w:right="182"/>
              <w:jc w:val="both"/>
              <w:rPr>
                <w:rFonts w:ascii="宋体" w:hAnsi="宋体" w:cs="宋体" w:eastAsia="宋体" w:hint="default"/>
                <w:sz w:val="18"/>
                <w:szCs w:val="18"/>
              </w:rPr>
            </w:pPr>
            <w:r>
              <w:rPr>
                <w:rFonts w:ascii="宋体" w:hAnsi="宋体" w:cs="宋体" w:eastAsia="宋体" w:hint="default"/>
                <w:sz w:val="18"/>
                <w:szCs w:val="18"/>
              </w:rPr>
              <w:t>非流 动资 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82" w:right="180"/>
              <w:jc w:val="left"/>
              <w:rPr>
                <w:rFonts w:ascii="宋体" w:hAnsi="宋体" w:cs="宋体" w:eastAsia="宋体" w:hint="default"/>
                <w:sz w:val="18"/>
                <w:szCs w:val="18"/>
              </w:rPr>
            </w:pPr>
            <w:r>
              <w:rPr>
                <w:rFonts w:ascii="宋体" w:hAnsi="宋体" w:cs="宋体" w:eastAsia="宋体" w:hint="default"/>
                <w:sz w:val="18"/>
                <w:szCs w:val="18"/>
              </w:rPr>
              <w:t>资产 合计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82" w:right="183"/>
              <w:jc w:val="left"/>
              <w:rPr>
                <w:rFonts w:ascii="宋体" w:hAnsi="宋体" w:cs="宋体" w:eastAsia="宋体" w:hint="default"/>
                <w:sz w:val="18"/>
                <w:szCs w:val="18"/>
              </w:rPr>
            </w:pPr>
            <w:r>
              <w:rPr>
                <w:rFonts w:ascii="宋体" w:hAnsi="宋体" w:cs="宋体" w:eastAsia="宋体" w:hint="default"/>
                <w:sz w:val="18"/>
                <w:szCs w:val="18"/>
              </w:rPr>
              <w:t>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81" w:right="182"/>
              <w:jc w:val="both"/>
              <w:rPr>
                <w:rFonts w:ascii="宋体" w:hAnsi="宋体" w:cs="宋体" w:eastAsia="宋体" w:hint="default"/>
                <w:sz w:val="18"/>
                <w:szCs w:val="18"/>
              </w:rPr>
            </w:pPr>
            <w:r>
              <w:rPr>
                <w:rFonts w:ascii="宋体" w:hAnsi="宋体" w:cs="宋体" w:eastAsia="宋体" w:hint="default"/>
                <w:sz w:val="18"/>
                <w:szCs w:val="18"/>
              </w:rPr>
              <w:t>非流 动负 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82" w:right="181"/>
              <w:jc w:val="left"/>
              <w:rPr>
                <w:rFonts w:ascii="宋体" w:hAnsi="宋体" w:cs="宋体" w:eastAsia="宋体" w:hint="default"/>
                <w:sz w:val="18"/>
                <w:szCs w:val="18"/>
              </w:rPr>
            </w:pPr>
            <w:r>
              <w:rPr>
                <w:rFonts w:ascii="宋体" w:hAnsi="宋体" w:cs="宋体" w:eastAsia="宋体" w:hint="default"/>
                <w:sz w:val="18"/>
                <w:szCs w:val="18"/>
              </w:rPr>
              <w:t>负债 合计</w:t>
            </w:r>
          </w:p>
        </w:tc>
      </w:tr>
      <w:tr>
        <w:trPr>
          <w:trHeight w:val="358"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1248"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262"/>
              <w:jc w:val="both"/>
              <w:rPr>
                <w:rFonts w:ascii="宋体" w:hAnsi="宋体" w:cs="宋体" w:eastAsia="宋体" w:hint="default"/>
                <w:sz w:val="18"/>
                <w:szCs w:val="18"/>
              </w:rPr>
            </w:pPr>
            <w:r>
              <w:rPr>
                <w:rFonts w:ascii="宋体" w:hAnsi="宋体" w:cs="宋体" w:eastAsia="宋体" w:hint="default"/>
                <w:sz w:val="18"/>
                <w:szCs w:val="18"/>
              </w:rPr>
              <w:t>赢量 信息 科技 有限</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138,35</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1,068.</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03</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117,44</w:t>
            </w:r>
          </w:p>
          <w:p>
            <w:pPr>
              <w:pStyle w:val="TableParagraph"/>
              <w:spacing w:line="240" w:lineRule="auto" w:before="105"/>
              <w:ind w:left="180" w:right="0"/>
              <w:jc w:val="left"/>
              <w:rPr>
                <w:rFonts w:ascii="Times New Roman" w:hAnsi="Times New Roman" w:cs="Times New Roman" w:eastAsia="Times New Roman" w:hint="default"/>
                <w:sz w:val="18"/>
                <w:szCs w:val="18"/>
              </w:rPr>
            </w:pPr>
            <w:r>
              <w:rPr>
                <w:rFonts w:ascii="Times New Roman"/>
                <w:sz w:val="18"/>
              </w:rPr>
              <w:t>4,511.</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21</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255,79</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5,579.</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24</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108,38</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5,217.</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65</w:t>
            </w:r>
          </w:p>
        </w:tc>
        <w:tc>
          <w:tcPr>
            <w:tcW w:w="735" w:type="dxa"/>
            <w:vMerge/>
            <w:tcBorders>
              <w:left w:val="single" w:sz="4" w:space="0" w:color="000000"/>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108,38</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5,217.</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65</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6" w:right="0"/>
              <w:jc w:val="left"/>
              <w:rPr>
                <w:rFonts w:ascii="Times New Roman" w:hAnsi="Times New Roman" w:cs="Times New Roman" w:eastAsia="Times New Roman" w:hint="default"/>
                <w:sz w:val="18"/>
                <w:szCs w:val="18"/>
              </w:rPr>
            </w:pPr>
            <w:r>
              <w:rPr>
                <w:rFonts w:ascii="Times New Roman"/>
                <w:sz w:val="18"/>
              </w:rPr>
              <w:t>376,04</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1,853.</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39</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124,97</w:t>
            </w:r>
          </w:p>
          <w:p>
            <w:pPr>
              <w:pStyle w:val="TableParagraph"/>
              <w:spacing w:line="240" w:lineRule="auto" w:before="105"/>
              <w:ind w:left="171" w:right="0"/>
              <w:jc w:val="left"/>
              <w:rPr>
                <w:rFonts w:ascii="Times New Roman" w:hAnsi="Times New Roman" w:cs="Times New Roman" w:eastAsia="Times New Roman" w:hint="default"/>
                <w:sz w:val="18"/>
                <w:szCs w:val="18"/>
              </w:rPr>
            </w:pPr>
            <w:r>
              <w:rPr>
                <w:rFonts w:ascii="Times New Roman"/>
                <w:sz w:val="18"/>
              </w:rPr>
              <w:t>2,125.</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68</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501,01</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3,979.</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07</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263,82</w:t>
            </w:r>
          </w:p>
          <w:p>
            <w:pPr>
              <w:pStyle w:val="TableParagraph"/>
              <w:spacing w:line="240" w:lineRule="auto" w:before="105"/>
              <w:ind w:left="175" w:right="0"/>
              <w:jc w:val="left"/>
              <w:rPr>
                <w:rFonts w:ascii="Times New Roman" w:hAnsi="Times New Roman" w:cs="Times New Roman" w:eastAsia="Times New Roman" w:hint="default"/>
                <w:sz w:val="18"/>
                <w:szCs w:val="18"/>
              </w:rPr>
            </w:pPr>
            <w:r>
              <w:rPr>
                <w:rFonts w:ascii="Times New Roman"/>
                <w:sz w:val="18"/>
              </w:rPr>
              <w:t>4,795.</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03</w:t>
            </w: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263,82</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4,795.</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03</w:t>
            </w:r>
          </w:p>
        </w:tc>
      </w:tr>
      <w:tr>
        <w:trPr>
          <w:trHeight w:val="356"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1248"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262"/>
              <w:jc w:val="both"/>
              <w:rPr>
                <w:rFonts w:ascii="宋体" w:hAnsi="宋体" w:cs="宋体" w:eastAsia="宋体" w:hint="default"/>
                <w:sz w:val="18"/>
                <w:szCs w:val="18"/>
              </w:rPr>
            </w:pPr>
            <w:r>
              <w:rPr>
                <w:rFonts w:ascii="宋体" w:hAnsi="宋体" w:cs="宋体" w:eastAsia="宋体" w:hint="default"/>
                <w:sz w:val="18"/>
                <w:szCs w:val="18"/>
              </w:rPr>
              <w:t>赢保 商业 保理 有限</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246,49</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8,327.</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98</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73" w:right="0"/>
              <w:jc w:val="left"/>
              <w:rPr>
                <w:rFonts w:ascii="Times New Roman" w:hAnsi="Times New Roman" w:cs="Times New Roman" w:eastAsia="Times New Roman" w:hint="default"/>
                <w:sz w:val="18"/>
                <w:szCs w:val="18"/>
              </w:rPr>
            </w:pPr>
            <w:r>
              <w:rPr>
                <w:rFonts w:ascii="Times New Roman"/>
                <w:sz w:val="18"/>
              </w:rPr>
              <w:t>3,384,</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245.09</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249,88</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2,573.</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07</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w w:val="95"/>
                <w:sz w:val="18"/>
              </w:rPr>
              <w:t>42,811</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pacing w:val="-1"/>
                <w:sz w:val="18"/>
              </w:rPr>
              <w:t>,712.4</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735" w:type="dxa"/>
            <w:vMerge/>
            <w:tcBorders>
              <w:left w:val="single" w:sz="4" w:space="0" w:color="000000"/>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w w:val="95"/>
                <w:sz w:val="18"/>
              </w:rPr>
              <w:t>42,811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,712.4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6" w:right="0"/>
              <w:jc w:val="left"/>
              <w:rPr>
                <w:rFonts w:ascii="Times New Roman" w:hAnsi="Times New Roman" w:cs="Times New Roman" w:eastAsia="Times New Roman" w:hint="default"/>
                <w:sz w:val="18"/>
                <w:szCs w:val="18"/>
              </w:rPr>
            </w:pPr>
            <w:r>
              <w:rPr>
                <w:rFonts w:ascii="Times New Roman"/>
                <w:sz w:val="18"/>
              </w:rPr>
              <w:t>203,00</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7,691.</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80</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71" w:right="0"/>
              <w:jc w:val="left"/>
              <w:rPr>
                <w:rFonts w:ascii="Times New Roman" w:hAnsi="Times New Roman" w:cs="Times New Roman" w:eastAsia="Times New Roman" w:hint="default"/>
                <w:sz w:val="18"/>
                <w:szCs w:val="18"/>
              </w:rPr>
            </w:pPr>
            <w:r>
              <w:rPr>
                <w:rFonts w:ascii="Times New Roman"/>
                <w:sz w:val="18"/>
              </w:rPr>
              <w:t>3,829,</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794.53</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206,83</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7,486.</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33</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75" w:right="0"/>
              <w:jc w:val="left"/>
              <w:rPr>
                <w:rFonts w:ascii="Times New Roman" w:hAnsi="Times New Roman" w:cs="Times New Roman" w:eastAsia="Times New Roman" w:hint="default"/>
                <w:sz w:val="18"/>
                <w:szCs w:val="18"/>
              </w:rPr>
            </w:pPr>
            <w:r>
              <w:rPr>
                <w:rFonts w:ascii="Times New Roman"/>
                <w:sz w:val="18"/>
              </w:rPr>
              <w:t>4,051,</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983.67</w:t>
            </w: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73" w:right="0"/>
              <w:jc w:val="left"/>
              <w:rPr>
                <w:rFonts w:ascii="Times New Roman" w:hAnsi="Times New Roman" w:cs="Times New Roman" w:eastAsia="Times New Roman" w:hint="default"/>
                <w:sz w:val="18"/>
                <w:szCs w:val="18"/>
              </w:rPr>
            </w:pPr>
            <w:r>
              <w:rPr>
                <w:rFonts w:ascii="Times New Roman"/>
                <w:sz w:val="18"/>
              </w:rPr>
              <w:t>4,051,</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983.67</w:t>
            </w:r>
          </w:p>
        </w:tc>
      </w:tr>
      <w:tr>
        <w:trPr>
          <w:trHeight w:val="357"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链石</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（苏</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940"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01"/>
              <w:jc w:val="left"/>
              <w:rPr>
                <w:rFonts w:ascii="宋体" w:hAnsi="宋体" w:cs="宋体" w:eastAsia="宋体" w:hint="default"/>
                <w:sz w:val="18"/>
                <w:szCs w:val="18"/>
              </w:rPr>
            </w:pPr>
            <w:r>
              <w:rPr>
                <w:rFonts w:ascii="宋体" w:hAnsi="宋体" w:cs="宋体" w:eastAsia="宋体" w:hint="default"/>
                <w:spacing w:val="-7"/>
                <w:sz w:val="18"/>
                <w:szCs w:val="18"/>
              </w:rPr>
              <w:t>州）信</w:t>
            </w:r>
            <w:r>
              <w:rPr>
                <w:rFonts w:ascii="宋体" w:hAnsi="宋体" w:cs="宋体" w:eastAsia="宋体" w:hint="default"/>
                <w:sz w:val="18"/>
                <w:szCs w:val="18"/>
              </w:rPr>
              <w:t> 息科 技有</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19,749</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pacing w:val="-1"/>
                <w:sz w:val="18"/>
              </w:rPr>
              <w:t>,762.1</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8</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203,54</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3.02</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19,953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,305.2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 w:right="0"/>
              <w:jc w:val="center"/>
              <w:rPr>
                <w:rFonts w:ascii="Times New Roman" w:hAnsi="Times New Roman" w:cs="Times New Roman" w:eastAsia="Times New Roman" w:hint="default"/>
                <w:sz w:val="18"/>
                <w:szCs w:val="18"/>
              </w:rPr>
            </w:pPr>
            <w:r>
              <w:rPr>
                <w:rFonts w:ascii="Times New Roman"/>
                <w:sz w:val="18"/>
              </w:rPr>
              <w:t>728,34</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7.45</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4,394.</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69</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732,74</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2.14</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24,695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,460.0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149,39</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5.69</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24,844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,855.7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452,78</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5.85</w:t>
            </w: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452,78</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5.85</w:t>
            </w:r>
          </w:p>
        </w:tc>
      </w:tr>
      <w:tr>
        <w:trPr>
          <w:trHeight w:val="308"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限公</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bl>
    <w:p>
      <w:pPr>
        <w:pStyle w:val="BodyText"/>
        <w:spacing w:line="240" w:lineRule="auto" w:before="50"/>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1"/>
        <w:gridCol w:w="1061"/>
        <w:gridCol w:w="1062"/>
        <w:gridCol w:w="1065"/>
        <w:gridCol w:w="1065"/>
        <w:gridCol w:w="1063"/>
        <w:gridCol w:w="1063"/>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435" w:right="165" w:hanging="272"/>
              <w:jc w:val="left"/>
              <w:rPr>
                <w:rFonts w:ascii="宋体" w:hAnsi="宋体" w:cs="宋体" w:eastAsia="宋体" w:hint="default"/>
                <w:sz w:val="18"/>
                <w:szCs w:val="18"/>
              </w:rPr>
            </w:pPr>
            <w:r>
              <w:rPr>
                <w:rFonts w:ascii="宋体" w:hAnsi="宋体" w:cs="宋体" w:eastAsia="宋体" w:hint="default"/>
                <w:sz w:val="18"/>
                <w:szCs w:val="18"/>
              </w:rPr>
              <w:t>子公司名 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47" w:right="165" w:hanging="180"/>
              <w:jc w:val="left"/>
              <w:rPr>
                <w:rFonts w:ascii="宋体" w:hAnsi="宋体" w:cs="宋体" w:eastAsia="宋体" w:hint="default"/>
                <w:sz w:val="18"/>
                <w:szCs w:val="18"/>
              </w:rPr>
            </w:pPr>
            <w:r>
              <w:rPr>
                <w:rFonts w:ascii="宋体" w:hAnsi="宋体" w:cs="宋体" w:eastAsia="宋体" w:hint="default"/>
                <w:sz w:val="18"/>
                <w:szCs w:val="18"/>
              </w:rPr>
              <w:t>综合收益 总额</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68" w:right="165"/>
              <w:jc w:val="left"/>
              <w:rPr>
                <w:rFonts w:ascii="宋体" w:hAnsi="宋体" w:cs="宋体" w:eastAsia="宋体" w:hint="default"/>
                <w:sz w:val="18"/>
                <w:szCs w:val="18"/>
              </w:rPr>
            </w:pPr>
            <w:r>
              <w:rPr>
                <w:rFonts w:ascii="宋体" w:hAnsi="宋体" w:cs="宋体" w:eastAsia="宋体" w:hint="default"/>
                <w:sz w:val="18"/>
                <w:szCs w:val="18"/>
              </w:rPr>
              <w:t>经营活动 现金流量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46" w:right="164" w:hanging="180"/>
              <w:jc w:val="left"/>
              <w:rPr>
                <w:rFonts w:ascii="宋体" w:hAnsi="宋体" w:cs="宋体" w:eastAsia="宋体" w:hint="default"/>
                <w:sz w:val="18"/>
                <w:szCs w:val="18"/>
              </w:rPr>
            </w:pPr>
            <w:r>
              <w:rPr>
                <w:rFonts w:ascii="宋体" w:hAnsi="宋体" w:cs="宋体" w:eastAsia="宋体" w:hint="default"/>
                <w:sz w:val="18"/>
                <w:szCs w:val="18"/>
              </w:rPr>
              <w:t>综合收益 总额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66" w:right="167"/>
              <w:jc w:val="left"/>
              <w:rPr>
                <w:rFonts w:ascii="宋体" w:hAnsi="宋体" w:cs="宋体" w:eastAsia="宋体" w:hint="default"/>
                <w:sz w:val="18"/>
                <w:szCs w:val="18"/>
              </w:rPr>
            </w:pPr>
            <w:r>
              <w:rPr>
                <w:rFonts w:ascii="宋体" w:hAnsi="宋体" w:cs="宋体" w:eastAsia="宋体" w:hint="default"/>
                <w:sz w:val="18"/>
                <w:szCs w:val="18"/>
              </w:rPr>
              <w:t>经营活动 现金流量</w:t>
            </w:r>
          </w:p>
        </w:tc>
      </w:tr>
      <w:tr>
        <w:trPr>
          <w:trHeight w:val="102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227"/>
              <w:jc w:val="both"/>
              <w:rPr>
                <w:rFonts w:ascii="宋体" w:hAnsi="宋体" w:cs="宋体" w:eastAsia="宋体" w:hint="default"/>
                <w:sz w:val="18"/>
                <w:szCs w:val="18"/>
              </w:rPr>
            </w:pPr>
            <w:r>
              <w:rPr>
                <w:rFonts w:ascii="宋体" w:hAnsi="宋体" w:cs="宋体" w:eastAsia="宋体" w:hint="default"/>
                <w:sz w:val="18"/>
                <w:szCs w:val="18"/>
              </w:rPr>
              <w:t>上海赢量 信息科技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31,446,306</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.40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Times New Roman"/>
                <w:sz w:val="18"/>
              </w:rPr>
              <w:t>-89,778,82</w:t>
            </w:r>
          </w:p>
          <w:p>
            <w:pPr>
              <w:pStyle w:val="TableParagraph"/>
              <w:spacing w:line="240" w:lineRule="auto" w:before="105"/>
              <w:ind w:left="634" w:right="0"/>
              <w:jc w:val="left"/>
              <w:rPr>
                <w:rFonts w:ascii="Times New Roman" w:hAnsi="Times New Roman" w:cs="Times New Roman" w:eastAsia="Times New Roman" w:hint="default"/>
                <w:sz w:val="18"/>
                <w:szCs w:val="18"/>
              </w:rPr>
            </w:pPr>
            <w:r>
              <w:rPr>
                <w:rFonts w:ascii="Times New Roman"/>
                <w:sz w:val="18"/>
              </w:rPr>
              <w:t>2.45</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-89,778,82</w:t>
            </w:r>
          </w:p>
          <w:p>
            <w:pPr>
              <w:pStyle w:val="TableParagraph"/>
              <w:spacing w:line="240" w:lineRule="auto" w:before="105"/>
              <w:ind w:left="637" w:right="0"/>
              <w:jc w:val="left"/>
              <w:rPr>
                <w:rFonts w:ascii="Times New Roman" w:hAnsi="Times New Roman" w:cs="Times New Roman" w:eastAsia="Times New Roman" w:hint="default"/>
                <w:sz w:val="18"/>
                <w:szCs w:val="18"/>
              </w:rPr>
            </w:pPr>
            <w:r>
              <w:rPr>
                <w:rFonts w:ascii="Times New Roman"/>
                <w:sz w:val="18"/>
              </w:rPr>
              <w:t>2.45</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151,514,99</w:t>
            </w:r>
          </w:p>
          <w:p>
            <w:pPr>
              <w:pStyle w:val="TableParagraph"/>
              <w:spacing w:line="240" w:lineRule="auto" w:before="105"/>
              <w:ind w:left="636" w:right="0"/>
              <w:jc w:val="left"/>
              <w:rPr>
                <w:rFonts w:ascii="Times New Roman" w:hAnsi="Times New Roman" w:cs="Times New Roman" w:eastAsia="Times New Roman" w:hint="default"/>
                <w:sz w:val="18"/>
                <w:szCs w:val="18"/>
              </w:rPr>
            </w:pPr>
            <w:r>
              <w:rPr>
                <w:rFonts w:ascii="Times New Roman"/>
                <w:sz w:val="18"/>
              </w:rPr>
              <w:t>4.16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46,279,532</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.36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13,442,531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.22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13,442,531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.22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4" w:right="0"/>
              <w:jc w:val="left"/>
              <w:rPr>
                <w:rFonts w:ascii="Times New Roman" w:hAnsi="Times New Roman" w:cs="Times New Roman" w:eastAsia="Times New Roman" w:hint="default"/>
                <w:sz w:val="18"/>
                <w:szCs w:val="18"/>
              </w:rPr>
            </w:pPr>
            <w:r>
              <w:rPr>
                <w:rFonts w:ascii="Times New Roman"/>
                <w:sz w:val="18"/>
              </w:rPr>
              <w:t>-56,131,05</w:t>
            </w:r>
          </w:p>
          <w:p>
            <w:pPr>
              <w:pStyle w:val="TableParagraph"/>
              <w:spacing w:line="240" w:lineRule="auto" w:before="105"/>
              <w:ind w:left="637" w:right="0"/>
              <w:jc w:val="left"/>
              <w:rPr>
                <w:rFonts w:ascii="Times New Roman" w:hAnsi="Times New Roman" w:cs="Times New Roman" w:eastAsia="Times New Roman" w:hint="default"/>
                <w:sz w:val="18"/>
                <w:szCs w:val="18"/>
              </w:rPr>
            </w:pPr>
            <w:r>
              <w:rPr>
                <w:rFonts w:ascii="Times New Roman"/>
                <w:sz w:val="18"/>
              </w:rPr>
              <w:t>3.81</w:t>
            </w:r>
          </w:p>
        </w:tc>
      </w:tr>
    </w:tbl>
    <w:p>
      <w:pPr>
        <w:spacing w:after="0" w:line="240" w:lineRule="auto"/>
        <w:jc w:val="left"/>
        <w:rPr>
          <w:rFonts w:ascii="Times New Roman" w:hAnsi="Times New Roman" w:cs="Times New Roman" w:eastAsia="Times New Roman" w:hint="default"/>
          <w:sz w:val="18"/>
          <w:szCs w:val="18"/>
        </w:rPr>
        <w:sectPr>
          <w:pgSz w:w="11910" w:h="16840"/>
          <w:pgMar w:header="919" w:footer="1016"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1061"/>
        <w:gridCol w:w="1061"/>
        <w:gridCol w:w="1062"/>
        <w:gridCol w:w="1065"/>
        <w:gridCol w:w="1065"/>
        <w:gridCol w:w="1063"/>
        <w:gridCol w:w="1063"/>
        <w:gridCol w:w="1063"/>
        <w:gridCol w:w="1066"/>
      </w:tblGrid>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227"/>
              <w:jc w:val="both"/>
              <w:rPr>
                <w:rFonts w:ascii="宋体" w:hAnsi="宋体" w:cs="宋体" w:eastAsia="宋体" w:hint="default"/>
                <w:sz w:val="18"/>
                <w:szCs w:val="18"/>
              </w:rPr>
            </w:pPr>
            <w:r>
              <w:rPr>
                <w:rFonts w:ascii="宋体" w:hAnsi="宋体" w:cs="宋体" w:eastAsia="宋体" w:hint="default"/>
                <w:sz w:val="18"/>
                <w:szCs w:val="18"/>
              </w:rPr>
              <w:t>上海赢保 商业保理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24,468,551</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4,285,358.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01</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4,285,358.</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01</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-3,820,221.</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72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15,228,642</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.51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2,632,116.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2,632,116.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3,793,999.</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27</w:t>
            </w:r>
          </w:p>
        </w:tc>
      </w:tr>
      <w:tr>
        <w:trPr>
          <w:trHeight w:val="358" w:hRule="exact"/>
        </w:trPr>
        <w:tc>
          <w:tcPr>
            <w:tcW w:w="10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链石（苏</w:t>
            </w:r>
          </w:p>
        </w:tc>
        <w:tc>
          <w:tcPr>
            <w:tcW w:w="1061"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5" w:type="dxa"/>
            <w:tcBorders>
              <w:top w:val="single" w:sz="4" w:space="0" w:color="000000"/>
              <w:left w:val="single" w:sz="4" w:space="0" w:color="000000"/>
              <w:bottom w:val="nil" w:sz="6" w:space="0" w:color="auto"/>
              <w:right w:val="single" w:sz="4" w:space="0" w:color="000000"/>
            </w:tcBorders>
          </w:tcPr>
          <w:p>
            <w:pPr/>
          </w:p>
        </w:tc>
        <w:tc>
          <w:tcPr>
            <w:tcW w:w="1065"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106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00"/>
              <w:jc w:val="left"/>
              <w:rPr>
                <w:rFonts w:ascii="宋体" w:hAnsi="宋体" w:cs="宋体" w:eastAsia="宋体" w:hint="default"/>
                <w:sz w:val="18"/>
                <w:szCs w:val="18"/>
              </w:rPr>
            </w:pPr>
            <w:r>
              <w:rPr>
                <w:rFonts w:ascii="宋体" w:hAnsi="宋体" w:cs="宋体" w:eastAsia="宋体" w:hint="default"/>
                <w:spacing w:val="-11"/>
                <w:sz w:val="18"/>
                <w:szCs w:val="18"/>
              </w:rPr>
              <w:t>州）信息科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技有限公</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Times New Roman" w:hAnsi="Times New Roman" w:cs="Times New Roman" w:eastAsia="Times New Roman" w:hint="default"/>
                <w:sz w:val="18"/>
                <w:szCs w:val="18"/>
              </w:rPr>
            </w:pPr>
            <w:r>
              <w:rPr>
                <w:rFonts w:ascii="Times New Roman"/>
                <w:sz w:val="18"/>
              </w:rPr>
              <w:t>9,708.74</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-5,196,180.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77</w:t>
            </w:r>
          </w:p>
        </w:tc>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-5,196,180.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77</w:t>
            </w:r>
          </w:p>
        </w:tc>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-5,358,977.</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90</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-3,585,999.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57</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-3,585,999.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57</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-3,778,994.</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15</w:t>
            </w:r>
          </w:p>
        </w:tc>
      </w:tr>
      <w:tr>
        <w:trPr>
          <w:trHeight w:val="352" w:hRule="exact"/>
        </w:trPr>
        <w:tc>
          <w:tcPr>
            <w:tcW w:w="10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061"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5" w:type="dxa"/>
            <w:tcBorders>
              <w:top w:val="nil" w:sz="6" w:space="0" w:color="auto"/>
              <w:left w:val="single" w:sz="4" w:space="0" w:color="000000"/>
              <w:bottom w:val="single" w:sz="4" w:space="0" w:color="000000"/>
              <w:right w:val="single" w:sz="4" w:space="0" w:color="000000"/>
            </w:tcBorders>
          </w:tcPr>
          <w:p>
            <w:pPr/>
          </w:p>
        </w:tc>
        <w:tc>
          <w:tcPr>
            <w:tcW w:w="1065"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r>
    </w:tbl>
    <w:p>
      <w:pPr>
        <w:pStyle w:val="BodyText"/>
        <w:spacing w:line="360" w:lineRule="auto" w:before="50"/>
        <w:ind w:right="9854"/>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915"/>
        <w:jc w:val="left"/>
        <w:rPr>
          <w:b w:val="0"/>
          <w:bCs w:val="0"/>
        </w:rPr>
      </w:pPr>
      <w:bookmarkStart w:name="（4）使用企业集团资产和清偿企业集团债务的重大限制" w:id="407"/>
      <w:bookmarkEnd w:id="407"/>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15"/>
        <w:jc w:val="left"/>
      </w:pPr>
      <w:r>
        <w:rPr/>
        <w:t>无</w:t>
      </w:r>
    </w:p>
    <w:p>
      <w:pPr>
        <w:spacing w:line="240" w:lineRule="auto" w:before="11"/>
        <w:rPr>
          <w:rFonts w:ascii="宋体" w:hAnsi="宋体" w:cs="宋体" w:eastAsia="宋体" w:hint="default"/>
          <w:sz w:val="26"/>
          <w:szCs w:val="26"/>
        </w:rPr>
      </w:pPr>
    </w:p>
    <w:p>
      <w:pPr>
        <w:pStyle w:val="Heading3"/>
        <w:spacing w:line="240" w:lineRule="auto"/>
        <w:ind w:right="915"/>
        <w:jc w:val="left"/>
        <w:rPr>
          <w:b w:val="0"/>
          <w:bCs w:val="0"/>
        </w:rPr>
      </w:pPr>
      <w:bookmarkStart w:name="（5）向纳入合并财务报表范围的结构化主体提供的财务支持或其他支持" w:id="408"/>
      <w:bookmarkEnd w:id="408"/>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9854"/>
        <w:jc w:val="left"/>
      </w:pPr>
      <w:r>
        <w:rPr/>
        <w:t>无 其他说明： 无</w:t>
      </w:r>
    </w:p>
    <w:p>
      <w:pPr>
        <w:spacing w:line="240" w:lineRule="auto" w:before="3"/>
        <w:rPr>
          <w:rFonts w:ascii="宋体" w:hAnsi="宋体" w:cs="宋体" w:eastAsia="宋体" w:hint="default"/>
          <w:sz w:val="20"/>
          <w:szCs w:val="20"/>
        </w:rPr>
      </w:pPr>
    </w:p>
    <w:p>
      <w:pPr>
        <w:pStyle w:val="Heading3"/>
        <w:spacing w:line="240" w:lineRule="auto"/>
        <w:ind w:right="915"/>
        <w:jc w:val="left"/>
        <w:rPr>
          <w:b w:val="0"/>
          <w:bCs w:val="0"/>
        </w:rPr>
      </w:pPr>
      <w:bookmarkStart w:name="2、在子公司的所有者权益份额发生变化且仍控制子公司的交易" w:id="409"/>
      <w:bookmarkEnd w:id="409"/>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15"/>
        <w:jc w:val="left"/>
        <w:rPr>
          <w:b w:val="0"/>
          <w:bCs w:val="0"/>
        </w:rPr>
      </w:pPr>
      <w:bookmarkStart w:name="（1）在子公司所有者权益份额发生变化的情况说明" w:id="410"/>
      <w:bookmarkEnd w:id="410"/>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15"/>
        <w:jc w:val="left"/>
        <w:rPr>
          <w:b w:val="0"/>
          <w:bCs w:val="0"/>
        </w:rPr>
      </w:pPr>
      <w:bookmarkStart w:name="（2）交易对于少数股东权益及归属于母公司所有者权益的影响" w:id="411"/>
      <w:bookmarkEnd w:id="411"/>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9"/>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3;width:4779;height:397" coordorigin="13,13" coordsize="4779,397">
              <v:shape style="position:absolute;left:13;top:13;width:4779;height:397" coordorigin="13,13" coordsize="4779,397" path="m13,13l4792,13,4792,410,13,410,13,13xe" filled="true" fillcolor="#d2d2d2" stroked="false">
                <v:path arrowok="t"/>
                <v:fill type="solid"/>
              </v:shape>
            </v:group>
            <v:group style="position:absolute;left:4797;top:13;width:4779;height:397" coordorigin="4797,13" coordsize="4779,397">
              <v:shape style="position:absolute;left:4797;top:13;width:4779;height:397" coordorigin="4797,13" coordsize="4779,397" path="m4797,13l9576,13,9576,410,4797,410,4797,13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4;top:5;width:2;height:402" coordorigin="4794,5" coordsize="2,402">
              <v:shape style="position:absolute;left:4794;top:5;width:2;height:402" coordorigin="4794,5" coordsize="0,402" path="m4794,5l4794,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group>
          </v:group>
        </w:pict>
      </w:r>
      <w:r>
        <w:rPr>
          <w:rFonts w:ascii="宋体" w:hAnsi="宋体" w:cs="宋体" w:eastAsia="宋体" w:hint="default"/>
          <w:position w:val="-7"/>
          <w:sz w:val="20"/>
          <w:szCs w:val="20"/>
        </w:rPr>
      </w:r>
    </w:p>
    <w:p>
      <w:pPr>
        <w:pStyle w:val="BodyText"/>
        <w:spacing w:line="240" w:lineRule="auto" w:before="51"/>
        <w:ind w:right="915"/>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15"/>
        <w:jc w:val="left"/>
        <w:rPr>
          <w:b w:val="0"/>
          <w:bCs w:val="0"/>
        </w:rPr>
      </w:pPr>
      <w:bookmarkStart w:name="3、在合营安排或联营企业中的权益" w:id="412"/>
      <w:bookmarkEnd w:id="412"/>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15"/>
        <w:jc w:val="left"/>
        <w:rPr>
          <w:b w:val="0"/>
          <w:bCs w:val="0"/>
        </w:rPr>
      </w:pPr>
      <w:bookmarkStart w:name="（1）重要的合营企业或联营企业" w:id="413"/>
      <w:bookmarkEnd w:id="413"/>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71"/>
        <w:gridCol w:w="1367"/>
        <w:gridCol w:w="1367"/>
        <w:gridCol w:w="1367"/>
        <w:gridCol w:w="1367"/>
        <w:gridCol w:w="1366"/>
        <w:gridCol w:w="1366"/>
      </w:tblGrid>
      <w:tr>
        <w:trPr>
          <w:trHeight w:val="402" w:hRule="exact"/>
        </w:trPr>
        <w:tc>
          <w:tcPr>
            <w:tcW w:w="1371"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138" w:right="0"/>
              <w:jc w:val="left"/>
              <w:rPr>
                <w:rFonts w:ascii="宋体" w:hAnsi="宋体" w:cs="宋体" w:eastAsia="宋体" w:hint="default"/>
                <w:sz w:val="18"/>
                <w:szCs w:val="18"/>
              </w:rPr>
            </w:pPr>
            <w:r>
              <w:rPr>
                <w:rFonts w:ascii="宋体" w:hAnsi="宋体" w:cs="宋体" w:eastAsia="宋体" w:hint="default"/>
                <w:sz w:val="18"/>
                <w:szCs w:val="18"/>
              </w:rPr>
              <w:t>对合营企业或</w:t>
            </w:r>
          </w:p>
        </w:tc>
      </w:tr>
      <w:tr>
        <w:trPr>
          <w:trHeight w:val="579" w:hRule="exact"/>
        </w:trPr>
        <w:tc>
          <w:tcPr>
            <w:tcW w:w="137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01" w:lineRule="exact"/>
              <w:ind w:left="229" w:right="0" w:hanging="89"/>
              <w:jc w:val="left"/>
              <w:rPr>
                <w:rFonts w:ascii="宋体" w:hAnsi="宋体" w:cs="宋体" w:eastAsia="宋体" w:hint="default"/>
                <w:sz w:val="18"/>
                <w:szCs w:val="18"/>
              </w:rPr>
            </w:pPr>
            <w:r>
              <w:rPr>
                <w:rFonts w:ascii="宋体" w:hAnsi="宋体" w:cs="宋体" w:eastAsia="宋体" w:hint="default"/>
                <w:sz w:val="18"/>
                <w:szCs w:val="18"/>
              </w:rPr>
              <w:t>合营企业或联</w:t>
            </w:r>
          </w:p>
          <w:p>
            <w:pPr>
              <w:pStyle w:val="TableParagraph"/>
              <w:spacing w:line="240" w:lineRule="auto" w:before="76"/>
              <w:ind w:left="229" w:right="0"/>
              <w:jc w:val="left"/>
              <w:rPr>
                <w:rFonts w:ascii="宋体" w:hAnsi="宋体" w:cs="宋体" w:eastAsia="宋体" w:hint="default"/>
                <w:sz w:val="18"/>
                <w:szCs w:val="18"/>
              </w:rPr>
            </w:pPr>
            <w:r>
              <w:rPr>
                <w:rFonts w:ascii="宋体" w:hAnsi="宋体" w:cs="宋体" w:eastAsia="宋体" w:hint="default"/>
                <w:sz w:val="18"/>
                <w:szCs w:val="18"/>
              </w:rPr>
              <w:t>营企业名称</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1"/>
              <w:ind w:left="228"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1"/>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1"/>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01" w:lineRule="exact"/>
              <w:ind w:left="138" w:right="0"/>
              <w:jc w:val="left"/>
              <w:rPr>
                <w:rFonts w:ascii="宋体" w:hAnsi="宋体" w:cs="宋体" w:eastAsia="宋体" w:hint="default"/>
                <w:sz w:val="18"/>
                <w:szCs w:val="18"/>
              </w:rPr>
            </w:pPr>
            <w:r>
              <w:rPr>
                <w:rFonts w:ascii="宋体" w:hAnsi="宋体" w:cs="宋体" w:eastAsia="宋体" w:hint="default"/>
                <w:sz w:val="18"/>
                <w:szCs w:val="18"/>
              </w:rPr>
              <w:t>联营企业投资</w:t>
            </w:r>
          </w:p>
          <w:p>
            <w:pPr>
              <w:pStyle w:val="TableParagraph"/>
              <w:spacing w:line="240" w:lineRule="auto" w:before="76"/>
              <w:ind w:left="138" w:right="0"/>
              <w:jc w:val="left"/>
              <w:rPr>
                <w:rFonts w:ascii="宋体" w:hAnsi="宋体" w:cs="宋体" w:eastAsia="宋体" w:hint="default"/>
                <w:sz w:val="18"/>
                <w:szCs w:val="18"/>
              </w:rPr>
            </w:pPr>
            <w:r>
              <w:rPr>
                <w:rFonts w:ascii="宋体" w:hAnsi="宋体" w:cs="宋体" w:eastAsia="宋体" w:hint="default"/>
                <w:sz w:val="18"/>
                <w:szCs w:val="18"/>
              </w:rPr>
              <w:t>的会计处理方</w:t>
            </w:r>
          </w:p>
        </w:tc>
      </w:tr>
      <w:tr>
        <w:trPr>
          <w:trHeight w:val="357" w:hRule="exact"/>
        </w:trPr>
        <w:tc>
          <w:tcPr>
            <w:tcW w:w="13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法</w:t>
            </w:r>
          </w:p>
        </w:tc>
      </w:tr>
      <w:tr>
        <w:trPr>
          <w:trHeight w:val="359" w:hRule="exact"/>
        </w:trPr>
        <w:tc>
          <w:tcPr>
            <w:tcW w:w="13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东吴（苏州）</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金融科技服务</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32.00%</w:t>
            </w: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352" w:hRule="exact"/>
        </w:trPr>
        <w:tc>
          <w:tcPr>
            <w:tcW w:w="13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400"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1" w:right="0"/>
              <w:jc w:val="left"/>
              <w:rPr>
                <w:rFonts w:ascii="宋体" w:hAnsi="宋体" w:cs="宋体" w:eastAsia="宋体" w:hint="default"/>
                <w:sz w:val="18"/>
                <w:szCs w:val="18"/>
              </w:rPr>
            </w:pPr>
            <w:r>
              <w:rPr>
                <w:rFonts w:ascii="宋体" w:hAnsi="宋体" w:cs="宋体" w:eastAsia="宋体" w:hint="default"/>
                <w:sz w:val="18"/>
                <w:szCs w:val="18"/>
              </w:rPr>
              <w:t>北京营安金融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金融信息服务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after="0" w:line="240" w:lineRule="auto"/>
        <w:jc w:val="left"/>
        <w:rPr>
          <w:rFonts w:ascii="宋体" w:hAnsi="宋体" w:cs="宋体" w:eastAsia="宋体" w:hint="default"/>
          <w:sz w:val="18"/>
          <w:szCs w:val="18"/>
        </w:rPr>
        <w:sectPr>
          <w:pgSz w:w="11910" w:h="16840"/>
          <w:pgMar w:header="919" w:footer="1016" w:top="1120" w:bottom="1200" w:left="1020" w:right="0"/>
        </w:sectPr>
      </w:pPr>
    </w:p>
    <w:p>
      <w:pPr>
        <w:spacing w:line="240" w:lineRule="auto" w:before="5"/>
        <w:rPr>
          <w:rFonts w:ascii="宋体" w:hAnsi="宋体" w:cs="宋体" w:eastAsia="宋体" w:hint="default"/>
          <w:b/>
          <w:bCs/>
          <w:sz w:val="23"/>
          <w:szCs w:val="23"/>
        </w:rPr>
      </w:pPr>
    </w:p>
    <w:tbl>
      <w:tblPr>
        <w:tblW w:w="0" w:type="auto"/>
        <w:jc w:val="left"/>
        <w:tblInd w:w="109" w:type="dxa"/>
        <w:tblLayout w:type="fixed"/>
        <w:tblCellMar>
          <w:top w:w="0" w:type="dxa"/>
          <w:left w:w="0" w:type="dxa"/>
          <w:bottom w:w="0" w:type="dxa"/>
          <w:right w:w="0" w:type="dxa"/>
        </w:tblCellMar>
        <w:tblLook w:val="01E0"/>
      </w:tblPr>
      <w:tblGrid>
        <w:gridCol w:w="1371"/>
        <w:gridCol w:w="1367"/>
        <w:gridCol w:w="1367"/>
        <w:gridCol w:w="1367"/>
        <w:gridCol w:w="1367"/>
        <w:gridCol w:w="1366"/>
        <w:gridCol w:w="1366"/>
      </w:tblGrid>
      <w:tr>
        <w:trPr>
          <w:trHeight w:val="67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1" w:right="177"/>
              <w:jc w:val="left"/>
              <w:rPr>
                <w:rFonts w:ascii="宋体" w:hAnsi="宋体" w:cs="宋体" w:eastAsia="宋体" w:hint="default"/>
                <w:sz w:val="18"/>
                <w:szCs w:val="18"/>
              </w:rPr>
            </w:pPr>
            <w:r>
              <w:rPr>
                <w:rFonts w:ascii="宋体" w:hAnsi="宋体" w:cs="宋体" w:eastAsia="宋体" w:hint="default"/>
                <w:sz w:val="18"/>
                <w:szCs w:val="18"/>
              </w:rPr>
              <w:t>信息服务有限 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北京慧闻科技</w:t>
            </w:r>
          </w:p>
          <w:p>
            <w:pPr>
              <w:pStyle w:val="TableParagraph"/>
              <w:spacing w:line="316" w:lineRule="auto" w:before="76"/>
              <w:ind w:left="101" w:right="177"/>
              <w:jc w:val="left"/>
              <w:rPr>
                <w:rFonts w:ascii="宋体" w:hAnsi="宋体" w:cs="宋体" w:eastAsia="宋体" w:hint="default"/>
                <w:sz w:val="18"/>
                <w:szCs w:val="18"/>
              </w:rPr>
            </w:pPr>
            <w:r>
              <w:rPr>
                <w:rFonts w:ascii="宋体" w:hAnsi="宋体" w:cs="宋体" w:eastAsia="宋体" w:hint="default"/>
                <w:sz w:val="18"/>
                <w:szCs w:val="18"/>
              </w:rPr>
              <w:t>（集团）有限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怀光智能科技</w:t>
            </w:r>
          </w:p>
          <w:p>
            <w:pPr>
              <w:pStyle w:val="TableParagraph"/>
              <w:spacing w:line="316" w:lineRule="auto" w:before="76"/>
              <w:ind w:left="101" w:right="177"/>
              <w:jc w:val="left"/>
              <w:rPr>
                <w:rFonts w:ascii="宋体" w:hAnsi="宋体" w:cs="宋体" w:eastAsia="宋体" w:hint="default"/>
                <w:sz w:val="18"/>
                <w:szCs w:val="18"/>
              </w:rPr>
            </w:pPr>
            <w:r>
              <w:rPr>
                <w:rFonts w:ascii="宋体" w:hAnsi="宋体" w:cs="宋体" w:eastAsia="宋体" w:hint="default"/>
                <w:sz w:val="18"/>
                <w:szCs w:val="18"/>
              </w:rPr>
              <w:t>（武汉）有限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2"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77"/>
              <w:jc w:val="left"/>
              <w:rPr>
                <w:rFonts w:ascii="宋体" w:hAnsi="宋体" w:cs="宋体" w:eastAsia="宋体" w:hint="default"/>
                <w:sz w:val="18"/>
                <w:szCs w:val="18"/>
              </w:rPr>
            </w:pPr>
            <w:r>
              <w:rPr>
                <w:rFonts w:ascii="宋体" w:hAnsi="宋体" w:cs="宋体" w:eastAsia="宋体" w:hint="default"/>
                <w:sz w:val="18"/>
                <w:szCs w:val="18"/>
              </w:rPr>
              <w:t>上海怀若智能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77"/>
              <w:jc w:val="left"/>
              <w:rPr>
                <w:rFonts w:ascii="宋体" w:hAnsi="宋体" w:cs="宋体" w:eastAsia="宋体" w:hint="default"/>
                <w:sz w:val="18"/>
                <w:szCs w:val="18"/>
              </w:rPr>
            </w:pPr>
            <w:r>
              <w:rPr>
                <w:rFonts w:ascii="宋体" w:hAnsi="宋体" w:cs="宋体" w:eastAsia="宋体" w:hint="default"/>
                <w:sz w:val="18"/>
                <w:szCs w:val="18"/>
              </w:rPr>
              <w:t>深圳市图灵机 器人有限公司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25.18%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50"/>
        <w:ind w:right="915"/>
        <w:jc w:val="left"/>
      </w:pPr>
      <w:r>
        <w:rPr/>
        <w:t>在合营企业或联营企业的持股比例不同于表决权比例的说明：</w:t>
      </w:r>
    </w:p>
    <w:p>
      <w:pPr>
        <w:pStyle w:val="BodyText"/>
        <w:spacing w:line="240" w:lineRule="auto" w:before="117"/>
        <w:ind w:right="915"/>
        <w:jc w:val="left"/>
      </w:pPr>
      <w:r>
        <w:rPr/>
        <w:t>持有</w:t>
      </w:r>
      <w:r>
        <w:rPr>
          <w:spacing w:val="-47"/>
        </w:rPr>
        <w:t> </w:t>
      </w:r>
      <w:r>
        <w:rPr>
          <w:rFonts w:ascii="Times New Roman" w:hAnsi="Times New Roman" w:cs="Times New Roman" w:eastAsia="Times New Roman" w:hint="default"/>
        </w:rPr>
        <w:t>20%</w:t>
      </w:r>
      <w:r>
        <w:rPr/>
        <w:t>以下表决权但具有重大影响，或者持有</w:t>
      </w:r>
      <w:r>
        <w:rPr>
          <w:spacing w:val="-47"/>
        </w:rPr>
        <w:t> </w:t>
      </w:r>
      <w:r>
        <w:rPr>
          <w:rFonts w:ascii="Times New Roman" w:hAnsi="Times New Roman" w:cs="Times New Roman" w:eastAsia="Times New Roman" w:hint="default"/>
        </w:rPr>
        <w:t>20%</w:t>
      </w:r>
      <w:r>
        <w:rPr/>
        <w:t>或以上表决权但不具有重大影响的依据：</w:t>
      </w:r>
    </w:p>
    <w:p>
      <w:pPr>
        <w:spacing w:line="240" w:lineRule="auto" w:before="13"/>
        <w:rPr>
          <w:rFonts w:ascii="宋体" w:hAnsi="宋体" w:cs="宋体" w:eastAsia="宋体" w:hint="default"/>
          <w:sz w:val="25"/>
          <w:szCs w:val="25"/>
        </w:rPr>
      </w:pPr>
    </w:p>
    <w:p>
      <w:pPr>
        <w:pStyle w:val="Heading3"/>
        <w:spacing w:line="240" w:lineRule="auto"/>
        <w:ind w:right="915"/>
        <w:jc w:val="left"/>
        <w:rPr>
          <w:b w:val="0"/>
          <w:bCs w:val="0"/>
        </w:rPr>
      </w:pPr>
      <w:bookmarkStart w:name="（2）重要合营企业的主要财务信息" w:id="414"/>
      <w:bookmarkEnd w:id="414"/>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1"/>
        <w:ind w:right="915"/>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915"/>
        <w:jc w:val="left"/>
        <w:rPr>
          <w:b w:val="0"/>
          <w:bCs w:val="0"/>
        </w:rPr>
      </w:pPr>
      <w:bookmarkStart w:name="（3）重要联营企业的主要财务信息" w:id="415"/>
      <w:bookmarkEnd w:id="415"/>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36"/>
        <w:gridCol w:w="736"/>
        <w:gridCol w:w="736"/>
        <w:gridCol w:w="736"/>
        <w:gridCol w:w="736"/>
        <w:gridCol w:w="736"/>
        <w:gridCol w:w="736"/>
        <w:gridCol w:w="736"/>
        <w:gridCol w:w="736"/>
        <w:gridCol w:w="736"/>
        <w:gridCol w:w="736"/>
        <w:gridCol w:w="736"/>
        <w:gridCol w:w="736"/>
      </w:tblGrid>
      <w:tr>
        <w:trPr>
          <w:trHeight w:val="402"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41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441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67"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2274"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2" w:right="182"/>
              <w:jc w:val="both"/>
              <w:rPr>
                <w:rFonts w:ascii="宋体" w:hAnsi="宋体" w:cs="宋体" w:eastAsia="宋体" w:hint="default"/>
                <w:sz w:val="18"/>
                <w:szCs w:val="18"/>
              </w:rPr>
            </w:pPr>
            <w:r>
              <w:rPr>
                <w:rFonts w:ascii="宋体" w:hAnsi="宋体" w:cs="宋体" w:eastAsia="宋体" w:hint="default"/>
                <w:sz w:val="18"/>
                <w:szCs w:val="18"/>
              </w:rPr>
              <w:t>深圳 市图 灵机 器人 有限 公司</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181"/>
              <w:jc w:val="both"/>
              <w:rPr>
                <w:rFonts w:ascii="宋体" w:hAnsi="宋体" w:cs="宋体" w:eastAsia="宋体" w:hint="default"/>
                <w:sz w:val="18"/>
                <w:szCs w:val="18"/>
              </w:rPr>
            </w:pPr>
            <w:r>
              <w:rPr>
                <w:rFonts w:ascii="宋体" w:hAnsi="宋体" w:cs="宋体" w:eastAsia="宋体" w:hint="default"/>
                <w:sz w:val="18"/>
                <w:szCs w:val="18"/>
              </w:rPr>
              <w:t>北京 营安 金融 信息 服务 有限 公司</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东吴</w:t>
            </w:r>
          </w:p>
          <w:p>
            <w:pPr>
              <w:pStyle w:val="TableParagraph"/>
              <w:spacing w:line="316" w:lineRule="auto" w:before="76"/>
              <w:ind w:left="101" w:right="101" w:firstLine="2"/>
              <w:jc w:val="center"/>
              <w:rPr>
                <w:rFonts w:ascii="宋体" w:hAnsi="宋体" w:cs="宋体" w:eastAsia="宋体" w:hint="default"/>
                <w:sz w:val="18"/>
                <w:szCs w:val="18"/>
              </w:rPr>
            </w:pPr>
            <w:r>
              <w:rPr>
                <w:rFonts w:ascii="宋体" w:hAnsi="宋体" w:cs="宋体" w:eastAsia="宋体" w:hint="default"/>
                <w:sz w:val="18"/>
                <w:szCs w:val="18"/>
              </w:rPr>
              <w:t>（苏 </w:t>
            </w:r>
            <w:r>
              <w:rPr>
                <w:rFonts w:ascii="宋体" w:hAnsi="宋体" w:cs="宋体" w:eastAsia="宋体" w:hint="default"/>
                <w:spacing w:val="-7"/>
                <w:sz w:val="18"/>
                <w:szCs w:val="18"/>
              </w:rPr>
              <w:t>州）金</w:t>
            </w:r>
            <w:r>
              <w:rPr>
                <w:rFonts w:ascii="宋体" w:hAnsi="宋体" w:cs="宋体" w:eastAsia="宋体" w:hint="default"/>
                <w:sz w:val="18"/>
                <w:szCs w:val="18"/>
              </w:rPr>
              <w:t> 融科 技有 限公 司</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1" w:right="182"/>
              <w:jc w:val="both"/>
              <w:rPr>
                <w:rFonts w:ascii="宋体" w:hAnsi="宋体" w:cs="宋体" w:eastAsia="宋体" w:hint="default"/>
                <w:sz w:val="18"/>
                <w:szCs w:val="18"/>
              </w:rPr>
            </w:pPr>
            <w:r>
              <w:rPr>
                <w:rFonts w:ascii="宋体" w:hAnsi="宋体" w:cs="宋体" w:eastAsia="宋体" w:hint="default"/>
                <w:sz w:val="18"/>
                <w:szCs w:val="18"/>
              </w:rPr>
              <w:t>北京 慧闻 科技</w:t>
            </w:r>
          </w:p>
          <w:p>
            <w:pPr>
              <w:pStyle w:val="TableParagraph"/>
              <w:spacing w:line="316" w:lineRule="auto" w:before="19"/>
              <w:ind w:left="102" w:right="100" w:hanging="3"/>
              <w:jc w:val="center"/>
              <w:rPr>
                <w:rFonts w:ascii="宋体" w:hAnsi="宋体" w:cs="宋体" w:eastAsia="宋体" w:hint="default"/>
                <w:sz w:val="18"/>
                <w:szCs w:val="18"/>
              </w:rPr>
            </w:pPr>
            <w:r>
              <w:rPr>
                <w:rFonts w:ascii="宋体" w:hAnsi="宋体" w:cs="宋体" w:eastAsia="宋体" w:hint="default"/>
                <w:sz w:val="18"/>
                <w:szCs w:val="18"/>
              </w:rPr>
              <w:t>（集 </w:t>
            </w:r>
            <w:r>
              <w:rPr>
                <w:rFonts w:ascii="宋体" w:hAnsi="宋体" w:cs="宋体" w:eastAsia="宋体" w:hint="default"/>
                <w:spacing w:val="-7"/>
                <w:sz w:val="18"/>
                <w:szCs w:val="18"/>
              </w:rPr>
              <w:t>团）有</w:t>
            </w:r>
            <w:r>
              <w:rPr>
                <w:rFonts w:ascii="宋体" w:hAnsi="宋体" w:cs="宋体" w:eastAsia="宋体" w:hint="default"/>
                <w:sz w:val="18"/>
                <w:szCs w:val="18"/>
              </w:rPr>
              <w:t> 限公 司</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181"/>
              <w:jc w:val="both"/>
              <w:rPr>
                <w:rFonts w:ascii="宋体" w:hAnsi="宋体" w:cs="宋体" w:eastAsia="宋体" w:hint="default"/>
                <w:sz w:val="18"/>
                <w:szCs w:val="18"/>
              </w:rPr>
            </w:pPr>
            <w:r>
              <w:rPr>
                <w:rFonts w:ascii="宋体" w:hAnsi="宋体" w:cs="宋体" w:eastAsia="宋体" w:hint="default"/>
                <w:sz w:val="18"/>
                <w:szCs w:val="18"/>
              </w:rPr>
              <w:t>怀光 智能 科技</w:t>
            </w:r>
          </w:p>
          <w:p>
            <w:pPr>
              <w:pStyle w:val="TableParagraph"/>
              <w:spacing w:line="316" w:lineRule="auto" w:before="19"/>
              <w:ind w:left="103" w:right="102"/>
              <w:jc w:val="center"/>
              <w:rPr>
                <w:rFonts w:ascii="宋体" w:hAnsi="宋体" w:cs="宋体" w:eastAsia="宋体" w:hint="default"/>
                <w:sz w:val="18"/>
                <w:szCs w:val="18"/>
              </w:rPr>
            </w:pPr>
            <w:r>
              <w:rPr>
                <w:rFonts w:ascii="宋体" w:hAnsi="宋体" w:cs="宋体" w:eastAsia="宋体" w:hint="default"/>
                <w:sz w:val="18"/>
                <w:szCs w:val="18"/>
              </w:rPr>
              <w:t>（武 </w:t>
            </w:r>
            <w:r>
              <w:rPr>
                <w:rFonts w:ascii="宋体" w:hAnsi="宋体" w:cs="宋体" w:eastAsia="宋体" w:hint="default"/>
                <w:spacing w:val="-8"/>
                <w:sz w:val="18"/>
                <w:szCs w:val="18"/>
              </w:rPr>
              <w:t>汉）有</w:t>
            </w:r>
            <w:r>
              <w:rPr>
                <w:rFonts w:ascii="宋体" w:hAnsi="宋体" w:cs="宋体" w:eastAsia="宋体" w:hint="default"/>
                <w:sz w:val="18"/>
                <w:szCs w:val="18"/>
              </w:rPr>
              <w:t> 限公 司</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3" w:right="180"/>
              <w:jc w:val="both"/>
              <w:rPr>
                <w:rFonts w:ascii="宋体" w:hAnsi="宋体" w:cs="宋体" w:eastAsia="宋体" w:hint="default"/>
                <w:sz w:val="18"/>
                <w:szCs w:val="18"/>
              </w:rPr>
            </w:pPr>
            <w:r>
              <w:rPr>
                <w:rFonts w:ascii="宋体" w:hAnsi="宋体" w:cs="宋体" w:eastAsia="宋体" w:hint="default"/>
                <w:sz w:val="18"/>
                <w:szCs w:val="18"/>
              </w:rPr>
              <w:t>上海 怀若 智能 科技 有限 公司</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1" w:right="182"/>
              <w:jc w:val="both"/>
              <w:rPr>
                <w:rFonts w:ascii="宋体" w:hAnsi="宋体" w:cs="宋体" w:eastAsia="宋体" w:hint="default"/>
                <w:sz w:val="18"/>
                <w:szCs w:val="18"/>
              </w:rPr>
            </w:pPr>
            <w:r>
              <w:rPr>
                <w:rFonts w:ascii="宋体" w:hAnsi="宋体" w:cs="宋体" w:eastAsia="宋体" w:hint="default"/>
                <w:sz w:val="18"/>
                <w:szCs w:val="18"/>
              </w:rPr>
              <w:t>北京 东方 金信 科技 有限 公司</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181"/>
              <w:jc w:val="both"/>
              <w:rPr>
                <w:rFonts w:ascii="宋体" w:hAnsi="宋体" w:cs="宋体" w:eastAsia="宋体" w:hint="default"/>
                <w:sz w:val="18"/>
                <w:szCs w:val="18"/>
              </w:rPr>
            </w:pPr>
            <w:r>
              <w:rPr>
                <w:rFonts w:ascii="宋体" w:hAnsi="宋体" w:cs="宋体" w:eastAsia="宋体" w:hint="default"/>
                <w:sz w:val="18"/>
                <w:szCs w:val="18"/>
              </w:rPr>
              <w:t>北京 营安 金融 信息 服务 有限 公司</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东吴</w:t>
            </w:r>
          </w:p>
          <w:p>
            <w:pPr>
              <w:pStyle w:val="TableParagraph"/>
              <w:spacing w:line="316" w:lineRule="auto" w:before="76"/>
              <w:ind w:left="102" w:right="101" w:firstLine="2"/>
              <w:jc w:val="center"/>
              <w:rPr>
                <w:rFonts w:ascii="宋体" w:hAnsi="宋体" w:cs="宋体" w:eastAsia="宋体" w:hint="default"/>
                <w:sz w:val="18"/>
                <w:szCs w:val="18"/>
              </w:rPr>
            </w:pPr>
            <w:r>
              <w:rPr>
                <w:rFonts w:ascii="宋体" w:hAnsi="宋体" w:cs="宋体" w:eastAsia="宋体" w:hint="default"/>
                <w:sz w:val="18"/>
                <w:szCs w:val="18"/>
              </w:rPr>
              <w:t>（苏 </w:t>
            </w:r>
            <w:r>
              <w:rPr>
                <w:rFonts w:ascii="宋体" w:hAnsi="宋体" w:cs="宋体" w:eastAsia="宋体" w:hint="default"/>
                <w:spacing w:val="-7"/>
                <w:sz w:val="18"/>
                <w:szCs w:val="18"/>
              </w:rPr>
              <w:t>州）金</w:t>
            </w:r>
            <w:r>
              <w:rPr>
                <w:rFonts w:ascii="宋体" w:hAnsi="宋体" w:cs="宋体" w:eastAsia="宋体" w:hint="default"/>
                <w:sz w:val="18"/>
                <w:szCs w:val="18"/>
              </w:rPr>
              <w:t> 融科 技有 限公 司</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182"/>
              <w:jc w:val="both"/>
              <w:rPr>
                <w:rFonts w:ascii="宋体" w:hAnsi="宋体" w:cs="宋体" w:eastAsia="宋体" w:hint="default"/>
                <w:sz w:val="18"/>
                <w:szCs w:val="18"/>
              </w:rPr>
            </w:pPr>
            <w:r>
              <w:rPr>
                <w:rFonts w:ascii="宋体" w:hAnsi="宋体" w:cs="宋体" w:eastAsia="宋体" w:hint="default"/>
                <w:sz w:val="18"/>
                <w:szCs w:val="18"/>
              </w:rPr>
              <w:t>北京 慧闻 科技</w:t>
            </w:r>
          </w:p>
          <w:p>
            <w:pPr>
              <w:pStyle w:val="TableParagraph"/>
              <w:spacing w:line="316" w:lineRule="auto" w:before="19"/>
              <w:ind w:left="102" w:right="100" w:hanging="3"/>
              <w:jc w:val="center"/>
              <w:rPr>
                <w:rFonts w:ascii="宋体" w:hAnsi="宋体" w:cs="宋体" w:eastAsia="宋体" w:hint="default"/>
                <w:sz w:val="18"/>
                <w:szCs w:val="18"/>
              </w:rPr>
            </w:pPr>
            <w:r>
              <w:rPr>
                <w:rFonts w:ascii="宋体" w:hAnsi="宋体" w:cs="宋体" w:eastAsia="宋体" w:hint="default"/>
                <w:sz w:val="18"/>
                <w:szCs w:val="18"/>
              </w:rPr>
              <w:t>（集 </w:t>
            </w:r>
            <w:r>
              <w:rPr>
                <w:rFonts w:ascii="宋体" w:hAnsi="宋体" w:cs="宋体" w:eastAsia="宋体" w:hint="default"/>
                <w:spacing w:val="-7"/>
                <w:sz w:val="18"/>
                <w:szCs w:val="18"/>
              </w:rPr>
              <w:t>团）有</w:t>
            </w:r>
            <w:r>
              <w:rPr>
                <w:rFonts w:ascii="宋体" w:hAnsi="宋体" w:cs="宋体" w:eastAsia="宋体" w:hint="default"/>
                <w:sz w:val="18"/>
                <w:szCs w:val="18"/>
              </w:rPr>
              <w:t> 限公 司</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181"/>
              <w:jc w:val="both"/>
              <w:rPr>
                <w:rFonts w:ascii="宋体" w:hAnsi="宋体" w:cs="宋体" w:eastAsia="宋体" w:hint="default"/>
                <w:sz w:val="18"/>
                <w:szCs w:val="18"/>
              </w:rPr>
            </w:pPr>
            <w:r>
              <w:rPr>
                <w:rFonts w:ascii="宋体" w:hAnsi="宋体" w:cs="宋体" w:eastAsia="宋体" w:hint="default"/>
                <w:sz w:val="18"/>
                <w:szCs w:val="18"/>
              </w:rPr>
              <w:t>怀光 智能 科技</w:t>
            </w:r>
          </w:p>
          <w:p>
            <w:pPr>
              <w:pStyle w:val="TableParagraph"/>
              <w:spacing w:line="316" w:lineRule="auto" w:before="19"/>
              <w:ind w:left="103" w:right="102"/>
              <w:jc w:val="center"/>
              <w:rPr>
                <w:rFonts w:ascii="宋体" w:hAnsi="宋体" w:cs="宋体" w:eastAsia="宋体" w:hint="default"/>
                <w:sz w:val="18"/>
                <w:szCs w:val="18"/>
              </w:rPr>
            </w:pPr>
            <w:r>
              <w:rPr>
                <w:rFonts w:ascii="宋体" w:hAnsi="宋体" w:cs="宋体" w:eastAsia="宋体" w:hint="default"/>
                <w:sz w:val="18"/>
                <w:szCs w:val="18"/>
              </w:rPr>
              <w:t>（武 </w:t>
            </w:r>
            <w:r>
              <w:rPr>
                <w:rFonts w:ascii="宋体" w:hAnsi="宋体" w:cs="宋体" w:eastAsia="宋体" w:hint="default"/>
                <w:spacing w:val="-8"/>
                <w:sz w:val="18"/>
                <w:szCs w:val="18"/>
              </w:rPr>
              <w:t>汉）有</w:t>
            </w:r>
            <w:r>
              <w:rPr>
                <w:rFonts w:ascii="宋体" w:hAnsi="宋体" w:cs="宋体" w:eastAsia="宋体" w:hint="default"/>
                <w:sz w:val="18"/>
                <w:szCs w:val="18"/>
              </w:rPr>
              <w:t> 限公 司</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3" w:right="180"/>
              <w:jc w:val="both"/>
              <w:rPr>
                <w:rFonts w:ascii="宋体" w:hAnsi="宋体" w:cs="宋体" w:eastAsia="宋体" w:hint="default"/>
                <w:sz w:val="18"/>
                <w:szCs w:val="18"/>
              </w:rPr>
            </w:pPr>
            <w:r>
              <w:rPr>
                <w:rFonts w:ascii="宋体" w:hAnsi="宋体" w:cs="宋体" w:eastAsia="宋体" w:hint="default"/>
                <w:sz w:val="18"/>
                <w:szCs w:val="18"/>
              </w:rPr>
              <w:t>上海 怀若 智能 科技 有限 公司</w:t>
            </w:r>
          </w:p>
        </w:tc>
      </w:tr>
      <w:tr>
        <w:trPr>
          <w:trHeight w:val="1026"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1" w:right="262"/>
              <w:jc w:val="left"/>
              <w:rPr>
                <w:rFonts w:ascii="宋体" w:hAnsi="宋体" w:cs="宋体" w:eastAsia="宋体" w:hint="default"/>
                <w:sz w:val="18"/>
                <w:szCs w:val="18"/>
              </w:rPr>
            </w:pPr>
            <w:r>
              <w:rPr>
                <w:rFonts w:ascii="宋体" w:hAnsi="宋体" w:cs="宋体" w:eastAsia="宋体" w:hint="default"/>
                <w:sz w:val="18"/>
                <w:szCs w:val="18"/>
              </w:rPr>
              <w:t>流动 资产</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8,761,</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177.42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42,720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,546.4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28" w:right="0"/>
              <w:jc w:val="left"/>
              <w:rPr>
                <w:rFonts w:ascii="Times New Roman" w:hAnsi="Times New Roman" w:cs="Times New Roman" w:eastAsia="Times New Roman" w:hint="default"/>
                <w:sz w:val="18"/>
                <w:szCs w:val="18"/>
              </w:rPr>
            </w:pPr>
            <w:r>
              <w:rPr>
                <w:rFonts w:ascii="Times New Roman"/>
                <w:sz w:val="18"/>
              </w:rPr>
              <w:t>571,34</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0,979.</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62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8,766,</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703.11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3,388,</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190.18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5,901,</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066.37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29" w:right="0"/>
              <w:jc w:val="left"/>
              <w:rPr>
                <w:rFonts w:ascii="Times New Roman" w:hAnsi="Times New Roman" w:cs="Times New Roman" w:eastAsia="Times New Roman" w:hint="default"/>
                <w:sz w:val="18"/>
                <w:szCs w:val="18"/>
              </w:rPr>
            </w:pPr>
            <w:r>
              <w:rPr>
                <w:rFonts w:ascii="Times New Roman"/>
                <w:sz w:val="18"/>
              </w:rPr>
              <w:t>193,82</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6,261.</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81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46,101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,384.4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35" w:right="0"/>
              <w:jc w:val="left"/>
              <w:rPr>
                <w:rFonts w:ascii="Times New Roman" w:hAnsi="Times New Roman" w:cs="Times New Roman" w:eastAsia="Times New Roman" w:hint="default"/>
                <w:sz w:val="18"/>
                <w:szCs w:val="18"/>
              </w:rPr>
            </w:pPr>
            <w:r>
              <w:rPr>
                <w:rFonts w:ascii="Times New Roman"/>
                <w:sz w:val="18"/>
              </w:rPr>
              <w:t>118,29</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0,017.</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30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4,979,</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926.10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2,156,</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775.41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12,757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,708.4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3</w:t>
            </w:r>
          </w:p>
        </w:tc>
      </w:tr>
      <w:tr>
        <w:trPr>
          <w:trHeight w:val="1026"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 w:right="262"/>
              <w:jc w:val="both"/>
              <w:rPr>
                <w:rFonts w:ascii="宋体" w:hAnsi="宋体" w:cs="宋体" w:eastAsia="宋体" w:hint="default"/>
                <w:sz w:val="18"/>
                <w:szCs w:val="18"/>
              </w:rPr>
            </w:pPr>
            <w:r>
              <w:rPr>
                <w:rFonts w:ascii="宋体" w:hAnsi="宋体" w:cs="宋体" w:eastAsia="宋体" w:hint="default"/>
                <w:sz w:val="18"/>
                <w:szCs w:val="18"/>
              </w:rPr>
              <w:t>非流 动资 产</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center"/>
              <w:rPr>
                <w:rFonts w:ascii="Times New Roman" w:hAnsi="Times New Roman" w:cs="Times New Roman" w:eastAsia="Times New Roman" w:hint="default"/>
                <w:sz w:val="18"/>
                <w:szCs w:val="18"/>
              </w:rPr>
            </w:pPr>
            <w:r>
              <w:rPr>
                <w:rFonts w:ascii="Times New Roman"/>
                <w:sz w:val="18"/>
              </w:rPr>
              <w:t>301,74</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7.91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3,159,</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662.77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464,34</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4,343.</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77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1,502,</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221.84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2,089,</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319.50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791,70</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8.75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8,349,</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685.46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570,11</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0.35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882,73</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2,162.</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95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2,108,</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727.48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1,491,</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584.40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1,173,</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489.45</w:t>
            </w:r>
          </w:p>
        </w:tc>
      </w:tr>
      <w:tr>
        <w:trPr>
          <w:trHeight w:val="360"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72" w:right="0"/>
              <w:jc w:val="left"/>
              <w:rPr>
                <w:rFonts w:ascii="Times New Roman" w:hAnsi="Times New Roman" w:cs="Times New Roman" w:eastAsia="Times New Roman" w:hint="default"/>
                <w:sz w:val="18"/>
                <w:szCs w:val="18"/>
              </w:rPr>
            </w:pPr>
            <w:r>
              <w:rPr>
                <w:rFonts w:ascii="Times New Roman"/>
                <w:sz w:val="18"/>
              </w:rPr>
              <w:t>9,062,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27" w:right="0"/>
              <w:jc w:val="left"/>
              <w:rPr>
                <w:rFonts w:ascii="Times New Roman" w:hAnsi="Times New Roman" w:cs="Times New Roman" w:eastAsia="Times New Roman" w:hint="default"/>
                <w:sz w:val="18"/>
                <w:szCs w:val="18"/>
              </w:rPr>
            </w:pPr>
            <w:r>
              <w:rPr>
                <w:rFonts w:ascii="Times New Roman"/>
                <w:sz w:val="18"/>
              </w:rPr>
              <w:t>45,880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73" w:right="0"/>
              <w:jc w:val="left"/>
              <w:rPr>
                <w:rFonts w:ascii="Times New Roman" w:hAnsi="Times New Roman" w:cs="Times New Roman" w:eastAsia="Times New Roman" w:hint="default"/>
                <w:sz w:val="18"/>
                <w:szCs w:val="18"/>
              </w:rPr>
            </w:pPr>
            <w:r>
              <w:rPr>
                <w:rFonts w:ascii="Times New Roman"/>
                <w:sz w:val="18"/>
              </w:rPr>
              <w:t>1,035,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29" w:right="0"/>
              <w:jc w:val="left"/>
              <w:rPr>
                <w:rFonts w:ascii="Times New Roman" w:hAnsi="Times New Roman" w:cs="Times New Roman" w:eastAsia="Times New Roman" w:hint="default"/>
                <w:sz w:val="18"/>
                <w:szCs w:val="18"/>
              </w:rPr>
            </w:pPr>
            <w:r>
              <w:rPr>
                <w:rFonts w:ascii="Times New Roman"/>
                <w:sz w:val="18"/>
              </w:rPr>
              <w:t>10,268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73" w:right="0"/>
              <w:jc w:val="left"/>
              <w:rPr>
                <w:rFonts w:ascii="Times New Roman" w:hAnsi="Times New Roman" w:cs="Times New Roman" w:eastAsia="Times New Roman" w:hint="default"/>
                <w:sz w:val="18"/>
                <w:szCs w:val="18"/>
              </w:rPr>
            </w:pPr>
            <w:r>
              <w:rPr>
                <w:rFonts w:ascii="Times New Roman"/>
                <w:sz w:val="18"/>
              </w:rPr>
              <w:t>5,477,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73" w:right="0"/>
              <w:jc w:val="left"/>
              <w:rPr>
                <w:rFonts w:ascii="Times New Roman" w:hAnsi="Times New Roman" w:cs="Times New Roman" w:eastAsia="Times New Roman" w:hint="default"/>
                <w:sz w:val="18"/>
                <w:szCs w:val="18"/>
              </w:rPr>
            </w:pPr>
            <w:r>
              <w:rPr>
                <w:rFonts w:ascii="Times New Roman"/>
                <w:sz w:val="18"/>
              </w:rPr>
              <w:t>6,692,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29" w:right="0"/>
              <w:jc w:val="left"/>
              <w:rPr>
                <w:rFonts w:ascii="Times New Roman" w:hAnsi="Times New Roman" w:cs="Times New Roman" w:eastAsia="Times New Roman" w:hint="default"/>
                <w:sz w:val="18"/>
                <w:szCs w:val="18"/>
              </w:rPr>
            </w:pPr>
            <w:r>
              <w:rPr>
                <w:rFonts w:ascii="Times New Roman"/>
                <w:sz w:val="18"/>
              </w:rPr>
              <w:t>202,17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27" w:right="0"/>
              <w:jc w:val="left"/>
              <w:rPr>
                <w:rFonts w:ascii="Times New Roman" w:hAnsi="Times New Roman" w:cs="Times New Roman" w:eastAsia="Times New Roman" w:hint="default"/>
                <w:sz w:val="18"/>
                <w:szCs w:val="18"/>
              </w:rPr>
            </w:pPr>
            <w:r>
              <w:rPr>
                <w:rFonts w:ascii="Times New Roman"/>
                <w:sz w:val="18"/>
              </w:rPr>
              <w:t>46,671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73" w:right="0"/>
              <w:jc w:val="left"/>
              <w:rPr>
                <w:rFonts w:ascii="Times New Roman" w:hAnsi="Times New Roman" w:cs="Times New Roman" w:eastAsia="Times New Roman" w:hint="default"/>
                <w:sz w:val="18"/>
                <w:szCs w:val="18"/>
              </w:rPr>
            </w:pPr>
            <w:r>
              <w:rPr>
                <w:rFonts w:ascii="Times New Roman"/>
                <w:sz w:val="18"/>
              </w:rPr>
              <w:t>1,001,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72" w:right="0"/>
              <w:jc w:val="left"/>
              <w:rPr>
                <w:rFonts w:ascii="Times New Roman" w:hAnsi="Times New Roman" w:cs="Times New Roman" w:eastAsia="Times New Roman" w:hint="default"/>
                <w:sz w:val="18"/>
                <w:szCs w:val="18"/>
              </w:rPr>
            </w:pPr>
            <w:r>
              <w:rPr>
                <w:rFonts w:ascii="Times New Roman"/>
                <w:sz w:val="18"/>
              </w:rPr>
              <w:t>7,088,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73" w:right="0"/>
              <w:jc w:val="left"/>
              <w:rPr>
                <w:rFonts w:ascii="Times New Roman" w:hAnsi="Times New Roman" w:cs="Times New Roman" w:eastAsia="Times New Roman" w:hint="default"/>
                <w:sz w:val="18"/>
                <w:szCs w:val="18"/>
              </w:rPr>
            </w:pPr>
            <w:r>
              <w:rPr>
                <w:rFonts w:ascii="Times New Roman"/>
                <w:sz w:val="18"/>
              </w:rPr>
              <w:t>3,648,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28" w:right="0"/>
              <w:jc w:val="left"/>
              <w:rPr>
                <w:rFonts w:ascii="Times New Roman" w:hAnsi="Times New Roman" w:cs="Times New Roman" w:eastAsia="Times New Roman" w:hint="default"/>
                <w:sz w:val="18"/>
                <w:szCs w:val="18"/>
              </w:rPr>
            </w:pPr>
            <w:r>
              <w:rPr>
                <w:rFonts w:ascii="Times New Roman"/>
                <w:sz w:val="18"/>
              </w:rPr>
              <w:t>13,931</w:t>
            </w:r>
          </w:p>
        </w:tc>
      </w:tr>
    </w:tbl>
    <w:p>
      <w:pPr>
        <w:spacing w:after="0" w:line="240" w:lineRule="auto"/>
        <w:jc w:val="left"/>
        <w:rPr>
          <w:rFonts w:ascii="Times New Roman" w:hAnsi="Times New Roman" w:cs="Times New Roman" w:eastAsia="Times New Roman" w:hint="default"/>
          <w:sz w:val="18"/>
          <w:szCs w:val="18"/>
        </w:rPr>
        <w:sectPr>
          <w:pgSz w:w="11910" w:h="16840"/>
          <w:pgMar w:header="919" w:footer="1016"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736"/>
        <w:gridCol w:w="736"/>
        <w:gridCol w:w="736"/>
        <w:gridCol w:w="736"/>
        <w:gridCol w:w="736"/>
        <w:gridCol w:w="736"/>
        <w:gridCol w:w="736"/>
        <w:gridCol w:w="736"/>
        <w:gridCol w:w="736"/>
        <w:gridCol w:w="736"/>
        <w:gridCol w:w="736"/>
        <w:gridCol w:w="736"/>
        <w:gridCol w:w="736"/>
      </w:tblGrid>
      <w:tr>
        <w:trPr>
          <w:trHeight w:val="674"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9" w:right="0"/>
              <w:jc w:val="left"/>
              <w:rPr>
                <w:rFonts w:ascii="Times New Roman" w:hAnsi="Times New Roman" w:cs="Times New Roman" w:eastAsia="Times New Roman" w:hint="default"/>
                <w:sz w:val="18"/>
                <w:szCs w:val="18"/>
              </w:rPr>
            </w:pPr>
            <w:r>
              <w:rPr>
                <w:rFonts w:ascii="Times New Roman"/>
                <w:sz w:val="18"/>
              </w:rPr>
              <w:t>925.33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,209.2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 w:right="0"/>
              <w:jc w:val="center"/>
              <w:rPr>
                <w:rFonts w:ascii="Times New Roman" w:hAnsi="Times New Roman" w:cs="Times New Roman" w:eastAsia="Times New Roman" w:hint="default"/>
                <w:sz w:val="18"/>
                <w:szCs w:val="18"/>
              </w:rPr>
            </w:pPr>
            <w:r>
              <w:rPr>
                <w:rFonts w:ascii="Times New Roman"/>
                <w:sz w:val="18"/>
              </w:rPr>
              <w:t>685,32</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3.39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pacing w:val="-1"/>
                <w:sz w:val="18"/>
              </w:rPr>
              <w:t>,924.9</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7" w:right="0"/>
              <w:jc w:val="left"/>
              <w:rPr>
                <w:rFonts w:ascii="Times New Roman" w:hAnsi="Times New Roman" w:cs="Times New Roman" w:eastAsia="Times New Roman" w:hint="default"/>
                <w:sz w:val="18"/>
                <w:szCs w:val="18"/>
              </w:rPr>
            </w:pPr>
            <w:r>
              <w:rPr>
                <w:rFonts w:ascii="Times New Roman"/>
                <w:sz w:val="18"/>
              </w:rPr>
              <w:t>509.68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8" w:right="0"/>
              <w:jc w:val="left"/>
              <w:rPr>
                <w:rFonts w:ascii="Times New Roman" w:hAnsi="Times New Roman" w:cs="Times New Roman" w:eastAsia="Times New Roman" w:hint="default"/>
                <w:sz w:val="18"/>
                <w:szCs w:val="18"/>
              </w:rPr>
            </w:pPr>
            <w:r>
              <w:rPr>
                <w:rFonts w:ascii="Times New Roman"/>
                <w:sz w:val="18"/>
              </w:rPr>
              <w:t>775.12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2" w:right="0"/>
              <w:jc w:val="left"/>
              <w:rPr>
                <w:rFonts w:ascii="Times New Roman" w:hAnsi="Times New Roman" w:cs="Times New Roman" w:eastAsia="Times New Roman" w:hint="default"/>
                <w:sz w:val="18"/>
                <w:szCs w:val="18"/>
              </w:rPr>
            </w:pPr>
            <w:r>
              <w:rPr>
                <w:rFonts w:ascii="Times New Roman"/>
                <w:sz w:val="18"/>
              </w:rPr>
              <w:t>5,947.</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27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,494.7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 w:right="0"/>
              <w:jc w:val="center"/>
              <w:rPr>
                <w:rFonts w:ascii="Times New Roman" w:hAnsi="Times New Roman" w:cs="Times New Roman" w:eastAsia="Times New Roman" w:hint="default"/>
                <w:sz w:val="18"/>
                <w:szCs w:val="18"/>
              </w:rPr>
            </w:pPr>
            <w:r>
              <w:rPr>
                <w:rFonts w:ascii="Times New Roman"/>
                <w:sz w:val="18"/>
              </w:rPr>
              <w:t>022,18</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0.25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9" w:right="0"/>
              <w:jc w:val="left"/>
              <w:rPr>
                <w:rFonts w:ascii="Times New Roman" w:hAnsi="Times New Roman" w:cs="Times New Roman" w:eastAsia="Times New Roman" w:hint="default"/>
                <w:sz w:val="18"/>
                <w:szCs w:val="18"/>
              </w:rPr>
            </w:pPr>
            <w:r>
              <w:rPr>
                <w:rFonts w:ascii="Times New Roman"/>
                <w:sz w:val="18"/>
              </w:rPr>
              <w:t>653.58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7" w:right="0"/>
              <w:jc w:val="left"/>
              <w:rPr>
                <w:rFonts w:ascii="Times New Roman" w:hAnsi="Times New Roman" w:cs="Times New Roman" w:eastAsia="Times New Roman" w:hint="default"/>
                <w:sz w:val="18"/>
                <w:szCs w:val="18"/>
              </w:rPr>
            </w:pPr>
            <w:r>
              <w:rPr>
                <w:rFonts w:ascii="Times New Roman"/>
                <w:sz w:val="18"/>
              </w:rPr>
              <w:t>359.81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,197.8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w:t>
            </w:r>
          </w:p>
        </w:tc>
      </w:tr>
      <w:tr>
        <w:trPr>
          <w:trHeight w:val="1026"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1" w:right="262"/>
              <w:jc w:val="left"/>
              <w:rPr>
                <w:rFonts w:ascii="宋体" w:hAnsi="宋体" w:cs="宋体" w:eastAsia="宋体" w:hint="default"/>
                <w:sz w:val="18"/>
                <w:szCs w:val="18"/>
              </w:rPr>
            </w:pPr>
            <w:r>
              <w:rPr>
                <w:rFonts w:ascii="宋体" w:hAnsi="宋体" w:cs="宋体" w:eastAsia="宋体" w:hint="default"/>
                <w:sz w:val="18"/>
                <w:szCs w:val="18"/>
              </w:rPr>
              <w:t>流动 负债</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 w:right="0"/>
              <w:jc w:val="center"/>
              <w:rPr>
                <w:rFonts w:ascii="Times New Roman" w:hAnsi="Times New Roman" w:cs="Times New Roman" w:eastAsia="Times New Roman" w:hint="default"/>
                <w:sz w:val="18"/>
                <w:szCs w:val="18"/>
              </w:rPr>
            </w:pPr>
            <w:r>
              <w:rPr>
                <w:rFonts w:ascii="Times New Roman"/>
                <w:sz w:val="18"/>
              </w:rPr>
              <w:t>220,14</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1.05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246,52</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0.58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8" w:right="0"/>
              <w:jc w:val="left"/>
              <w:rPr>
                <w:rFonts w:ascii="Times New Roman" w:hAnsi="Times New Roman" w:cs="Times New Roman" w:eastAsia="Times New Roman" w:hint="default"/>
                <w:sz w:val="18"/>
                <w:szCs w:val="18"/>
              </w:rPr>
            </w:pPr>
            <w:r>
              <w:rPr>
                <w:rFonts w:ascii="Times New Roman"/>
                <w:sz w:val="18"/>
              </w:rPr>
              <w:t>299,94</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5,731.</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74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10,812</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pacing w:val="-1"/>
                <w:sz w:val="18"/>
              </w:rPr>
              <w:t>,058.7</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43,461</w:t>
            </w:r>
          </w:p>
          <w:p>
            <w:pPr>
              <w:pStyle w:val="TableParagraph"/>
              <w:spacing w:line="240" w:lineRule="auto" w:before="105"/>
              <w:ind w:left="398" w:right="0"/>
              <w:jc w:val="left"/>
              <w:rPr>
                <w:rFonts w:ascii="Times New Roman" w:hAnsi="Times New Roman" w:cs="Times New Roman" w:eastAsia="Times New Roman" w:hint="default"/>
                <w:sz w:val="18"/>
                <w:szCs w:val="18"/>
              </w:rPr>
            </w:pPr>
            <w:r>
              <w:rPr>
                <w:rFonts w:ascii="Times New Roman"/>
                <w:sz w:val="18"/>
              </w:rPr>
              <w:t>.70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866,19</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3.84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83,818</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pacing w:val="-1"/>
                <w:sz w:val="18"/>
              </w:rPr>
              <w:t>,000.4</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1,120,</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006.39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8" w:right="0"/>
              <w:jc w:val="left"/>
              <w:rPr>
                <w:rFonts w:ascii="Times New Roman" w:hAnsi="Times New Roman" w:cs="Times New Roman" w:eastAsia="Times New Roman" w:hint="default"/>
                <w:sz w:val="18"/>
                <w:szCs w:val="18"/>
              </w:rPr>
            </w:pPr>
            <w:r>
              <w:rPr>
                <w:rFonts w:ascii="Times New Roman"/>
                <w:sz w:val="18"/>
              </w:rPr>
              <w:t>297,77</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2,506.</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56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10,405</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pacing w:val="-1"/>
                <w:sz w:val="18"/>
              </w:rPr>
              <w:t>,591.9</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17,219</w:t>
            </w:r>
          </w:p>
          <w:p>
            <w:pPr>
              <w:pStyle w:val="TableParagraph"/>
              <w:spacing w:line="240" w:lineRule="auto" w:before="105"/>
              <w:ind w:left="398" w:right="0"/>
              <w:jc w:val="left"/>
              <w:rPr>
                <w:rFonts w:ascii="Times New Roman" w:hAnsi="Times New Roman" w:cs="Times New Roman" w:eastAsia="Times New Roman" w:hint="default"/>
                <w:sz w:val="18"/>
                <w:szCs w:val="18"/>
              </w:rPr>
            </w:pPr>
            <w:r>
              <w:rPr>
                <w:rFonts w:ascii="Times New Roman"/>
                <w:sz w:val="18"/>
              </w:rPr>
              <w:t>.48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472,04</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1.79</w:t>
            </w:r>
          </w:p>
        </w:tc>
      </w:tr>
      <w:tr>
        <w:trPr>
          <w:trHeight w:val="1026"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262"/>
              <w:jc w:val="both"/>
              <w:rPr>
                <w:rFonts w:ascii="宋体" w:hAnsi="宋体" w:cs="宋体" w:eastAsia="宋体" w:hint="default"/>
                <w:sz w:val="18"/>
                <w:szCs w:val="18"/>
              </w:rPr>
            </w:pPr>
            <w:r>
              <w:rPr>
                <w:rFonts w:ascii="宋体" w:hAnsi="宋体" w:cs="宋体" w:eastAsia="宋体" w:hint="default"/>
                <w:sz w:val="18"/>
                <w:szCs w:val="18"/>
              </w:rPr>
              <w:t>非流 动负 债</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2,139,</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407.11</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1" w:right="262"/>
              <w:jc w:val="left"/>
              <w:rPr>
                <w:rFonts w:ascii="宋体" w:hAnsi="宋体" w:cs="宋体" w:eastAsia="宋体" w:hint="default"/>
                <w:sz w:val="18"/>
                <w:szCs w:val="18"/>
              </w:rPr>
            </w:pPr>
            <w:r>
              <w:rPr>
                <w:rFonts w:ascii="宋体" w:hAnsi="宋体" w:cs="宋体" w:eastAsia="宋体" w:hint="default"/>
                <w:sz w:val="18"/>
                <w:szCs w:val="18"/>
              </w:rPr>
              <w:t>负债 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 w:right="0"/>
              <w:jc w:val="center"/>
              <w:rPr>
                <w:rFonts w:ascii="Times New Roman" w:hAnsi="Times New Roman" w:cs="Times New Roman" w:eastAsia="Times New Roman" w:hint="default"/>
                <w:sz w:val="18"/>
                <w:szCs w:val="18"/>
              </w:rPr>
            </w:pPr>
            <w:r>
              <w:rPr>
                <w:rFonts w:ascii="Times New Roman"/>
                <w:sz w:val="18"/>
              </w:rPr>
              <w:t>220,14</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1.05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246,52</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0.58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8" w:right="0"/>
              <w:jc w:val="left"/>
              <w:rPr>
                <w:rFonts w:ascii="Times New Roman" w:hAnsi="Times New Roman" w:cs="Times New Roman" w:eastAsia="Times New Roman" w:hint="default"/>
                <w:sz w:val="18"/>
                <w:szCs w:val="18"/>
              </w:rPr>
            </w:pPr>
            <w:r>
              <w:rPr>
                <w:rFonts w:ascii="Times New Roman"/>
                <w:sz w:val="18"/>
              </w:rPr>
              <w:t>302,08</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5,138.</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85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10,812</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pacing w:val="-1"/>
                <w:sz w:val="18"/>
              </w:rPr>
              <w:t>,058.7</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43,461</w:t>
            </w:r>
          </w:p>
          <w:p>
            <w:pPr>
              <w:pStyle w:val="TableParagraph"/>
              <w:spacing w:line="240" w:lineRule="auto" w:before="105"/>
              <w:ind w:left="398" w:right="0"/>
              <w:jc w:val="left"/>
              <w:rPr>
                <w:rFonts w:ascii="Times New Roman" w:hAnsi="Times New Roman" w:cs="Times New Roman" w:eastAsia="Times New Roman" w:hint="default"/>
                <w:sz w:val="18"/>
                <w:szCs w:val="18"/>
              </w:rPr>
            </w:pPr>
            <w:r>
              <w:rPr>
                <w:rFonts w:ascii="Times New Roman"/>
                <w:sz w:val="18"/>
              </w:rPr>
              <w:t>.70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866,19</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3.84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83,818</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pacing w:val="-1"/>
                <w:sz w:val="18"/>
              </w:rPr>
              <w:t>,000.4</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1,120,</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006.39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8" w:right="0"/>
              <w:jc w:val="left"/>
              <w:rPr>
                <w:rFonts w:ascii="Times New Roman" w:hAnsi="Times New Roman" w:cs="Times New Roman" w:eastAsia="Times New Roman" w:hint="default"/>
                <w:sz w:val="18"/>
                <w:szCs w:val="18"/>
              </w:rPr>
            </w:pPr>
            <w:r>
              <w:rPr>
                <w:rFonts w:ascii="Times New Roman"/>
                <w:sz w:val="18"/>
              </w:rPr>
              <w:t>297,77</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2,506.</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56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10,405</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pacing w:val="-1"/>
                <w:sz w:val="18"/>
              </w:rPr>
              <w:t>,591.9</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17,219</w:t>
            </w:r>
          </w:p>
          <w:p>
            <w:pPr>
              <w:pStyle w:val="TableParagraph"/>
              <w:spacing w:line="240" w:lineRule="auto" w:before="105"/>
              <w:ind w:left="398" w:right="0"/>
              <w:jc w:val="left"/>
              <w:rPr>
                <w:rFonts w:ascii="Times New Roman" w:hAnsi="Times New Roman" w:cs="Times New Roman" w:eastAsia="Times New Roman" w:hint="default"/>
                <w:sz w:val="18"/>
                <w:szCs w:val="18"/>
              </w:rPr>
            </w:pPr>
            <w:r>
              <w:rPr>
                <w:rFonts w:ascii="Times New Roman"/>
                <w:sz w:val="18"/>
              </w:rPr>
              <w:t>.48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472,04</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1.79</w:t>
            </w:r>
          </w:p>
        </w:tc>
      </w:tr>
      <w:tr>
        <w:trPr>
          <w:trHeight w:val="1026"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1" w:right="262"/>
              <w:jc w:val="left"/>
              <w:rPr>
                <w:rFonts w:ascii="宋体" w:hAnsi="宋体" w:cs="宋体" w:eastAsia="宋体" w:hint="default"/>
                <w:sz w:val="18"/>
                <w:szCs w:val="18"/>
              </w:rPr>
            </w:pPr>
            <w:r>
              <w:rPr>
                <w:rFonts w:ascii="宋体" w:hAnsi="宋体" w:cs="宋体" w:eastAsia="宋体" w:hint="default"/>
                <w:sz w:val="18"/>
                <w:szCs w:val="18"/>
              </w:rPr>
              <w:t>净资 产</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8,842,</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784.28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45,633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,688.6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733,60</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0,184.</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54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7" w:right="0"/>
              <w:jc w:val="left"/>
              <w:rPr>
                <w:rFonts w:ascii="Times New Roman" w:hAnsi="Times New Roman" w:cs="Times New Roman" w:eastAsia="Times New Roman" w:hint="default"/>
                <w:sz w:val="18"/>
                <w:szCs w:val="18"/>
              </w:rPr>
            </w:pPr>
            <w:r>
              <w:rPr>
                <w:rFonts w:ascii="Times New Roman"/>
                <w:sz w:val="18"/>
              </w:rPr>
              <w:t>-543,1</w:t>
            </w:r>
          </w:p>
          <w:p>
            <w:pPr>
              <w:pStyle w:val="TableParagraph"/>
              <w:spacing w:line="240" w:lineRule="auto" w:before="105"/>
              <w:ind w:left="217" w:right="0"/>
              <w:jc w:val="left"/>
              <w:rPr>
                <w:rFonts w:ascii="Times New Roman" w:hAnsi="Times New Roman" w:cs="Times New Roman" w:eastAsia="Times New Roman" w:hint="default"/>
                <w:sz w:val="18"/>
                <w:szCs w:val="18"/>
              </w:rPr>
            </w:pPr>
            <w:r>
              <w:rPr>
                <w:rFonts w:ascii="Times New Roman"/>
                <w:sz w:val="18"/>
              </w:rPr>
              <w:t>33.81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5,434,</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047.98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5,826,</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581.28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118,35</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7,946.</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81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45,551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,488.3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703,24</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9,673.</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69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4" w:right="0"/>
              <w:jc w:val="left"/>
              <w:rPr>
                <w:rFonts w:ascii="Times New Roman" w:hAnsi="Times New Roman" w:cs="Times New Roman" w:eastAsia="Times New Roman" w:hint="default"/>
                <w:sz w:val="18"/>
                <w:szCs w:val="18"/>
              </w:rPr>
            </w:pPr>
            <w:r>
              <w:rPr>
                <w:rFonts w:ascii="Times New Roman"/>
                <w:sz w:val="18"/>
              </w:rPr>
              <w:t>-3,316,</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938.40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3,631,</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140.33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13,459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,156.0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9</w:t>
            </w:r>
          </w:p>
        </w:tc>
      </w:tr>
      <w:tr>
        <w:trPr>
          <w:trHeight w:val="357" w:hRule="exact"/>
        </w:trPr>
        <w:tc>
          <w:tcPr>
            <w:tcW w:w="73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按持</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股比</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941" w:hRule="exact"/>
        </w:trPr>
        <w:tc>
          <w:tcPr>
            <w:tcW w:w="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101" w:right="262"/>
              <w:jc w:val="both"/>
              <w:rPr>
                <w:rFonts w:ascii="宋体" w:hAnsi="宋体" w:cs="宋体" w:eastAsia="宋体" w:hint="default"/>
                <w:sz w:val="18"/>
                <w:szCs w:val="18"/>
              </w:rPr>
            </w:pPr>
            <w:r>
              <w:rPr>
                <w:rFonts w:ascii="宋体" w:hAnsi="宋体" w:cs="宋体" w:eastAsia="宋体" w:hint="default"/>
                <w:sz w:val="18"/>
                <w:szCs w:val="18"/>
              </w:rPr>
              <w:t>例计 算的 净资</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2,652,</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835.28</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13,690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,106.5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28" w:right="0"/>
              <w:jc w:val="left"/>
              <w:rPr>
                <w:rFonts w:ascii="Times New Roman" w:hAnsi="Times New Roman" w:cs="Times New Roman" w:eastAsia="Times New Roman" w:hint="default"/>
                <w:sz w:val="18"/>
                <w:szCs w:val="18"/>
              </w:rPr>
            </w:pPr>
            <w:r>
              <w:rPr>
                <w:rFonts w:ascii="Times New Roman"/>
                <w:sz w:val="18"/>
              </w:rPr>
              <w:t>234,75</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2,059.</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05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57" w:right="0"/>
              <w:jc w:val="left"/>
              <w:rPr>
                <w:rFonts w:ascii="Times New Roman" w:hAnsi="Times New Roman" w:cs="Times New Roman" w:eastAsia="Times New Roman" w:hint="default"/>
                <w:sz w:val="18"/>
                <w:szCs w:val="18"/>
              </w:rPr>
            </w:pPr>
            <w:r>
              <w:rPr>
                <w:rFonts w:ascii="Times New Roman"/>
                <w:sz w:val="18"/>
              </w:rPr>
              <w:t>-108,6</w:t>
            </w:r>
          </w:p>
          <w:p>
            <w:pPr>
              <w:pStyle w:val="TableParagraph"/>
              <w:spacing w:line="240" w:lineRule="auto" w:before="105"/>
              <w:ind w:left="217" w:right="0"/>
              <w:jc w:val="left"/>
              <w:rPr>
                <w:rFonts w:ascii="Times New Roman" w:hAnsi="Times New Roman" w:cs="Times New Roman" w:eastAsia="Times New Roman" w:hint="default"/>
                <w:sz w:val="18"/>
                <w:szCs w:val="18"/>
              </w:rPr>
            </w:pPr>
            <w:r>
              <w:rPr>
                <w:rFonts w:ascii="Times New Roman"/>
                <w:sz w:val="18"/>
              </w:rPr>
              <w:t>26.76</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1,630,</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214.39</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2,330,</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632.51</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25,565</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pacing w:val="-1"/>
                <w:sz w:val="18"/>
              </w:rPr>
              <w:t>,316.5</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1</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13,665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,446.5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28" w:right="0"/>
              <w:jc w:val="left"/>
              <w:rPr>
                <w:rFonts w:ascii="Times New Roman" w:hAnsi="Times New Roman" w:cs="Times New Roman" w:eastAsia="Times New Roman" w:hint="default"/>
                <w:sz w:val="18"/>
                <w:szCs w:val="18"/>
              </w:rPr>
            </w:pPr>
            <w:r>
              <w:rPr>
                <w:rFonts w:ascii="Times New Roman"/>
                <w:sz w:val="18"/>
              </w:rPr>
              <w:t>225,03</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9,895.</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58</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57" w:right="0"/>
              <w:jc w:val="left"/>
              <w:rPr>
                <w:rFonts w:ascii="Times New Roman" w:hAnsi="Times New Roman" w:cs="Times New Roman" w:eastAsia="Times New Roman" w:hint="default"/>
                <w:sz w:val="18"/>
                <w:szCs w:val="18"/>
              </w:rPr>
            </w:pPr>
            <w:r>
              <w:rPr>
                <w:rFonts w:ascii="Times New Roman"/>
                <w:sz w:val="18"/>
              </w:rPr>
              <w:t>-663,3</w:t>
            </w:r>
          </w:p>
          <w:p>
            <w:pPr>
              <w:pStyle w:val="TableParagraph"/>
              <w:spacing w:line="240" w:lineRule="auto" w:before="105"/>
              <w:ind w:left="217" w:right="0"/>
              <w:jc w:val="left"/>
              <w:rPr>
                <w:rFonts w:ascii="Times New Roman" w:hAnsi="Times New Roman" w:cs="Times New Roman" w:eastAsia="Times New Roman" w:hint="default"/>
                <w:sz w:val="18"/>
                <w:szCs w:val="18"/>
              </w:rPr>
            </w:pPr>
            <w:r>
              <w:rPr>
                <w:rFonts w:ascii="Times New Roman"/>
                <w:sz w:val="18"/>
              </w:rPr>
              <w:t>87.68</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1,089,</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342.10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5,383,</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662.44</w:t>
            </w:r>
          </w:p>
        </w:tc>
      </w:tr>
      <w:tr>
        <w:trPr>
          <w:trHeight w:val="307" w:hRule="exact"/>
        </w:trPr>
        <w:tc>
          <w:tcPr>
            <w:tcW w:w="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产份</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73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73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对联</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营企</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940" w:hRule="exact"/>
        </w:trPr>
        <w:tc>
          <w:tcPr>
            <w:tcW w:w="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101" w:right="262"/>
              <w:jc w:val="both"/>
              <w:rPr>
                <w:rFonts w:ascii="宋体" w:hAnsi="宋体" w:cs="宋体" w:eastAsia="宋体" w:hint="default"/>
                <w:sz w:val="18"/>
                <w:szCs w:val="18"/>
              </w:rPr>
            </w:pPr>
            <w:r>
              <w:rPr>
                <w:rFonts w:ascii="宋体" w:hAnsi="宋体" w:cs="宋体" w:eastAsia="宋体" w:hint="default"/>
                <w:sz w:val="18"/>
                <w:szCs w:val="18"/>
              </w:rPr>
              <w:t>业权 益投 资的</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9,374,</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492.06</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13,690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,106.5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128" w:right="0"/>
              <w:jc w:val="left"/>
              <w:rPr>
                <w:rFonts w:ascii="Times New Roman" w:hAnsi="Times New Roman" w:cs="Times New Roman" w:eastAsia="Times New Roman" w:hint="default"/>
                <w:sz w:val="18"/>
                <w:szCs w:val="18"/>
              </w:rPr>
            </w:pPr>
            <w:r>
              <w:rPr>
                <w:rFonts w:ascii="Times New Roman"/>
                <w:sz w:val="18"/>
              </w:rPr>
              <w:t>542,31</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8,253.</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41</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18,701</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pacing w:val="-1"/>
                <w:sz w:val="18"/>
              </w:rPr>
              <w:t>,270.4</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2</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7,003,</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681.41</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14,416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,739.7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47,545</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pacing w:val="-1"/>
                <w:sz w:val="18"/>
              </w:rPr>
              <w:t>,757.3</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13,665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,446.5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128" w:right="0"/>
              <w:jc w:val="left"/>
              <w:rPr>
                <w:rFonts w:ascii="Times New Roman" w:hAnsi="Times New Roman" w:cs="Times New Roman" w:eastAsia="Times New Roman" w:hint="default"/>
                <w:sz w:val="18"/>
                <w:szCs w:val="18"/>
              </w:rPr>
            </w:pPr>
            <w:r>
              <w:rPr>
                <w:rFonts w:ascii="Times New Roman"/>
                <w:sz w:val="18"/>
              </w:rPr>
              <w:t>527,51</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9,187.</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57</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8,746,</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410.85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3,789,</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342.10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17,473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,543.2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9</w:t>
            </w:r>
          </w:p>
        </w:tc>
      </w:tr>
      <w:tr>
        <w:trPr>
          <w:trHeight w:val="308" w:hRule="exact"/>
        </w:trPr>
        <w:tc>
          <w:tcPr>
            <w:tcW w:w="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账面</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73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1" w:right="262"/>
              <w:jc w:val="left"/>
              <w:rPr>
                <w:rFonts w:ascii="宋体" w:hAnsi="宋体" w:cs="宋体" w:eastAsia="宋体" w:hint="default"/>
                <w:sz w:val="18"/>
                <w:szCs w:val="18"/>
              </w:rPr>
            </w:pPr>
            <w:r>
              <w:rPr>
                <w:rFonts w:ascii="宋体" w:hAnsi="宋体" w:cs="宋体" w:eastAsia="宋体" w:hint="default"/>
                <w:sz w:val="18"/>
                <w:szCs w:val="18"/>
              </w:rPr>
              <w:t>营业 收入</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5,429,</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442.68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26,958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,204.0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25,796</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pacing w:val="-1"/>
                <w:sz w:val="18"/>
              </w:rPr>
              <w:t>,471.6</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815,53</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4.00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9" w:right="0"/>
              <w:jc w:val="left"/>
              <w:rPr>
                <w:rFonts w:ascii="Times New Roman" w:hAnsi="Times New Roman" w:cs="Times New Roman" w:eastAsia="Times New Roman" w:hint="default"/>
                <w:sz w:val="18"/>
                <w:szCs w:val="18"/>
              </w:rPr>
            </w:pPr>
            <w:r>
              <w:rPr>
                <w:rFonts w:ascii="Times New Roman"/>
                <w:sz w:val="18"/>
              </w:rPr>
              <w:t>151,32</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5,913.</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62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1,174,</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528.27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w w:val="95"/>
                <w:sz w:val="18"/>
              </w:rPr>
              <w:t>12,611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,582.4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7,331,</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422.40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1" w:right="262"/>
              <w:jc w:val="left"/>
              <w:rPr>
                <w:rFonts w:ascii="宋体" w:hAnsi="宋体" w:cs="宋体" w:eastAsia="宋体" w:hint="default"/>
                <w:sz w:val="18"/>
                <w:szCs w:val="18"/>
              </w:rPr>
            </w:pPr>
            <w:r>
              <w:rPr>
                <w:rFonts w:ascii="宋体" w:hAnsi="宋体" w:cs="宋体" w:eastAsia="宋体" w:hint="default"/>
                <w:sz w:val="18"/>
                <w:szCs w:val="18"/>
              </w:rPr>
              <w:t>净利 润</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-649,0</w:t>
            </w:r>
          </w:p>
          <w:p>
            <w:pPr>
              <w:pStyle w:val="TableParagraph"/>
              <w:spacing w:line="240" w:lineRule="auto" w:before="105"/>
              <w:ind w:left="218" w:right="0"/>
              <w:jc w:val="left"/>
              <w:rPr>
                <w:rFonts w:ascii="Times New Roman" w:hAnsi="Times New Roman" w:cs="Times New Roman" w:eastAsia="Times New Roman" w:hint="default"/>
                <w:sz w:val="18"/>
                <w:szCs w:val="18"/>
              </w:rPr>
            </w:pPr>
            <w:r>
              <w:rPr>
                <w:rFonts w:ascii="Times New Roman"/>
                <w:sz w:val="18"/>
              </w:rPr>
              <w:t>26.86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82,200</w:t>
            </w:r>
          </w:p>
          <w:p>
            <w:pPr>
              <w:pStyle w:val="TableParagraph"/>
              <w:spacing w:line="240" w:lineRule="auto" w:before="105"/>
              <w:ind w:left="398" w:right="0"/>
              <w:jc w:val="left"/>
              <w:rPr>
                <w:rFonts w:ascii="Times New Roman" w:hAnsi="Times New Roman" w:cs="Times New Roman" w:eastAsia="Times New Roman" w:hint="default"/>
                <w:sz w:val="18"/>
                <w:szCs w:val="18"/>
              </w:rPr>
            </w:pPr>
            <w:r>
              <w:rPr>
                <w:rFonts w:ascii="Times New Roman"/>
                <w:sz w:val="18"/>
              </w:rPr>
              <w:t>.25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30,350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,510.8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7" w:right="0"/>
              <w:jc w:val="left"/>
              <w:rPr>
                <w:rFonts w:ascii="Times New Roman" w:hAnsi="Times New Roman" w:cs="Times New Roman" w:eastAsia="Times New Roman" w:hint="default"/>
                <w:sz w:val="18"/>
                <w:szCs w:val="18"/>
              </w:rPr>
            </w:pPr>
            <w:r>
              <w:rPr>
                <w:rFonts w:ascii="Times New Roman"/>
                <w:sz w:val="18"/>
              </w:rPr>
              <w:t>-10,22</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5,702.</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14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-4,285,</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535.62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-7,642,</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008.77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27,323</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pacing w:val="-1"/>
                <w:sz w:val="18"/>
              </w:rPr>
              <w:t>,644.7</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-4,133,</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775.33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2,212,</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000.35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7" w:right="0"/>
              <w:jc w:val="left"/>
              <w:rPr>
                <w:rFonts w:ascii="Times New Roman" w:hAnsi="Times New Roman" w:cs="Times New Roman" w:eastAsia="Times New Roman" w:hint="default"/>
                <w:sz w:val="18"/>
                <w:szCs w:val="18"/>
              </w:rPr>
            </w:pPr>
            <w:r>
              <w:rPr>
                <w:rFonts w:ascii="Times New Roman"/>
                <w:sz w:val="18"/>
              </w:rPr>
              <w:t>-16,26</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7,945.</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73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-2,368,</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859.67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-6,316,</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141.78</w:t>
            </w:r>
          </w:p>
        </w:tc>
      </w:tr>
      <w:tr>
        <w:trPr>
          <w:trHeight w:val="362" w:hRule="exact"/>
        </w:trPr>
        <w:tc>
          <w:tcPr>
            <w:tcW w:w="73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-25,73</w:t>
            </w: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r>
      <w:tr>
        <w:trPr>
          <w:trHeight w:val="312" w:hRule="exact"/>
        </w:trPr>
        <w:tc>
          <w:tcPr>
            <w:tcW w:w="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综合</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pacing w:val="-1"/>
                <w:sz w:val="18"/>
              </w:rPr>
              <w:t>4,297.</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52" w:hRule="exact"/>
        </w:trPr>
        <w:tc>
          <w:tcPr>
            <w:tcW w:w="73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26</w:t>
            </w: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r>
      <w:tr>
        <w:trPr>
          <w:trHeight w:val="1026"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262"/>
              <w:jc w:val="both"/>
              <w:rPr>
                <w:rFonts w:ascii="宋体" w:hAnsi="宋体" w:cs="宋体" w:eastAsia="宋体" w:hint="default"/>
                <w:sz w:val="18"/>
                <w:szCs w:val="18"/>
              </w:rPr>
            </w:pPr>
            <w:r>
              <w:rPr>
                <w:rFonts w:ascii="宋体" w:hAnsi="宋体" w:cs="宋体" w:eastAsia="宋体" w:hint="default"/>
                <w:sz w:val="18"/>
                <w:szCs w:val="18"/>
              </w:rPr>
              <w:t>综合 收益 总额</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82,200</w:t>
            </w:r>
          </w:p>
          <w:p>
            <w:pPr>
              <w:pStyle w:val="TableParagraph"/>
              <w:spacing w:line="240" w:lineRule="auto" w:before="105"/>
              <w:ind w:left="398" w:right="0"/>
              <w:jc w:val="left"/>
              <w:rPr>
                <w:rFonts w:ascii="Times New Roman" w:hAnsi="Times New Roman" w:cs="Times New Roman" w:eastAsia="Times New Roman" w:hint="default"/>
                <w:sz w:val="18"/>
                <w:szCs w:val="18"/>
              </w:rPr>
            </w:pPr>
            <w:r>
              <w:rPr>
                <w:rFonts w:ascii="Times New Roman"/>
                <w:sz w:val="18"/>
              </w:rPr>
              <w:t>.25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30,350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,510.8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7" w:right="0"/>
              <w:jc w:val="left"/>
              <w:rPr>
                <w:rFonts w:ascii="Times New Roman" w:hAnsi="Times New Roman" w:cs="Times New Roman" w:eastAsia="Times New Roman" w:hint="default"/>
                <w:sz w:val="18"/>
                <w:szCs w:val="18"/>
              </w:rPr>
            </w:pPr>
            <w:r>
              <w:rPr>
                <w:rFonts w:ascii="Times New Roman"/>
                <w:sz w:val="18"/>
              </w:rPr>
              <w:t>-10,22</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5,702.</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14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-4,285,</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535.62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-7,642,</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008.77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27,323</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pacing w:val="-1"/>
                <w:sz w:val="18"/>
              </w:rPr>
              <w:t>,644.7</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-4,133,</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775.33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9" w:right="0"/>
              <w:jc w:val="left"/>
              <w:rPr>
                <w:rFonts w:ascii="Times New Roman" w:hAnsi="Times New Roman" w:cs="Times New Roman" w:eastAsia="Times New Roman" w:hint="default"/>
                <w:sz w:val="18"/>
                <w:szCs w:val="18"/>
              </w:rPr>
            </w:pPr>
            <w:r>
              <w:rPr>
                <w:rFonts w:ascii="Times New Roman"/>
                <w:sz w:val="18"/>
              </w:rPr>
              <w:t>-23,52</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2,296.</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91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7" w:right="0"/>
              <w:jc w:val="left"/>
              <w:rPr>
                <w:rFonts w:ascii="Times New Roman" w:hAnsi="Times New Roman" w:cs="Times New Roman" w:eastAsia="Times New Roman" w:hint="default"/>
                <w:sz w:val="18"/>
                <w:szCs w:val="18"/>
              </w:rPr>
            </w:pPr>
            <w:r>
              <w:rPr>
                <w:rFonts w:ascii="Times New Roman"/>
                <w:sz w:val="18"/>
              </w:rPr>
              <w:t>-16,26</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7,945.</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73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-2,368,</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859.67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-6,316,</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141.78</w:t>
            </w:r>
          </w:p>
        </w:tc>
      </w:tr>
    </w:tbl>
    <w:p>
      <w:pPr>
        <w:pStyle w:val="BodyText"/>
        <w:spacing w:line="240" w:lineRule="auto" w:before="50"/>
        <w:ind w:right="915"/>
        <w:jc w:val="left"/>
      </w:pPr>
      <w:r>
        <w:rPr/>
        <w:t>其他说明</w:t>
      </w:r>
    </w:p>
    <w:p>
      <w:pPr>
        <w:spacing w:after="0" w:line="240" w:lineRule="auto"/>
        <w:jc w:val="left"/>
        <w:sectPr>
          <w:pgSz w:w="11910" w:h="16840"/>
          <w:pgMar w:header="919" w:footer="1016" w:top="1120" w:bottom="1200" w:left="1020" w:right="0"/>
        </w:sectPr>
      </w:pPr>
    </w:p>
    <w:p>
      <w:pPr>
        <w:spacing w:line="240" w:lineRule="auto" w:before="10"/>
        <w:rPr>
          <w:rFonts w:ascii="宋体" w:hAnsi="宋体" w:cs="宋体" w:eastAsia="宋体" w:hint="default"/>
          <w:sz w:val="19"/>
          <w:szCs w:val="19"/>
        </w:rPr>
      </w:pPr>
    </w:p>
    <w:p>
      <w:pPr>
        <w:pStyle w:val="Heading3"/>
        <w:spacing w:line="240" w:lineRule="auto" w:before="34"/>
        <w:ind w:right="915"/>
        <w:jc w:val="left"/>
        <w:rPr>
          <w:b w:val="0"/>
          <w:bCs w:val="0"/>
        </w:rPr>
      </w:pPr>
      <w:bookmarkStart w:name="（4）不重要的合营企业和联营企业的汇总财务信息" w:id="416"/>
      <w:bookmarkEnd w:id="416"/>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915"/>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15"/>
        <w:jc w:val="left"/>
        <w:rPr>
          <w:b w:val="0"/>
          <w:bCs w:val="0"/>
        </w:rPr>
      </w:pPr>
      <w:bookmarkStart w:name="（5）合营企业或联营企业向本公司转移资金的能力存在重大限制的说明" w:id="417"/>
      <w:bookmarkEnd w:id="417"/>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15"/>
        <w:jc w:val="left"/>
        <w:rPr>
          <w:b w:val="0"/>
          <w:bCs w:val="0"/>
        </w:rPr>
      </w:pPr>
      <w:bookmarkStart w:name="（6）合营企业或联营企业发生的超额亏损" w:id="418"/>
      <w:bookmarkEnd w:id="418"/>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0"/>
        <w:gridCol w:w="2392"/>
        <w:gridCol w:w="2392"/>
        <w:gridCol w:w="2394"/>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0" w:right="108" w:hanging="989"/>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61" w:right="110" w:hanging="452"/>
              <w:jc w:val="left"/>
              <w:rPr>
                <w:rFonts w:ascii="宋体" w:hAnsi="宋体" w:cs="宋体" w:eastAsia="宋体" w:hint="default"/>
                <w:sz w:val="18"/>
                <w:szCs w:val="18"/>
              </w:rPr>
            </w:pPr>
            <w:r>
              <w:rPr>
                <w:rFonts w:ascii="宋体" w:hAnsi="宋体" w:cs="宋体" w:eastAsia="宋体" w:hint="default"/>
                <w:sz w:val="18"/>
                <w:szCs w:val="18"/>
              </w:rPr>
              <w:t>本期未确认的损失（或本期 分享的净利润）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50"/>
        <w:ind w:right="915"/>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915"/>
        <w:jc w:val="left"/>
        <w:rPr>
          <w:b w:val="0"/>
          <w:bCs w:val="0"/>
        </w:rPr>
      </w:pPr>
      <w:bookmarkStart w:name="（7）与合营企业投资相关的未确认承诺" w:id="419"/>
      <w:bookmarkEnd w:id="419"/>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15"/>
        <w:jc w:val="left"/>
        <w:rPr>
          <w:b w:val="0"/>
          <w:bCs w:val="0"/>
        </w:rPr>
      </w:pPr>
      <w:bookmarkStart w:name="（8）与合营企业或联营企业投资相关的或有负债" w:id="420"/>
      <w:bookmarkEnd w:id="420"/>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15"/>
        <w:jc w:val="left"/>
        <w:rPr>
          <w:b w:val="0"/>
          <w:bCs w:val="0"/>
        </w:rPr>
      </w:pPr>
      <w:bookmarkStart w:name="4、重要的共同经营" w:id="421"/>
      <w:bookmarkEnd w:id="421"/>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597"/>
        <w:gridCol w:w="1594"/>
        <w:gridCol w:w="1594"/>
        <w:gridCol w:w="1594"/>
        <w:gridCol w:w="1594"/>
        <w:gridCol w:w="1593"/>
      </w:tblGrid>
      <w:tr>
        <w:trPr>
          <w:trHeight w:val="402" w:hRule="exact"/>
        </w:trPr>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7"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60" w:lineRule="auto" w:before="49"/>
        <w:ind w:right="5534"/>
        <w:jc w:val="left"/>
      </w:pPr>
      <w:r>
        <w:rPr/>
        <w:t>在共同经营中的持股比例或享有的份额不同于表决权比例的说明： 共同经营为单独主体的，分类为共同经营的依据：</w:t>
      </w:r>
    </w:p>
    <w:p>
      <w:pPr>
        <w:pStyle w:val="BodyText"/>
        <w:spacing w:line="240" w:lineRule="auto" w:before="27"/>
        <w:ind w:right="915"/>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915"/>
        <w:jc w:val="left"/>
        <w:rPr>
          <w:b w:val="0"/>
          <w:bCs w:val="0"/>
        </w:rPr>
      </w:pPr>
      <w:bookmarkStart w:name="5、在未纳入合并财务报表范围的结构化主体中的权益" w:id="422"/>
      <w:bookmarkEnd w:id="422"/>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15"/>
        <w:jc w:val="left"/>
      </w:pPr>
      <w:r>
        <w:rPr/>
        <w:t>未纳入合并财务报表范围的结构化主体的相关说明：</w:t>
      </w:r>
    </w:p>
    <w:p>
      <w:pPr>
        <w:spacing w:line="240" w:lineRule="auto" w:before="11"/>
        <w:rPr>
          <w:rFonts w:ascii="宋体" w:hAnsi="宋体" w:cs="宋体" w:eastAsia="宋体" w:hint="default"/>
          <w:sz w:val="26"/>
          <w:szCs w:val="26"/>
        </w:rPr>
      </w:pPr>
    </w:p>
    <w:p>
      <w:pPr>
        <w:pStyle w:val="Heading3"/>
        <w:spacing w:line="240" w:lineRule="auto"/>
        <w:ind w:right="915"/>
        <w:jc w:val="left"/>
        <w:rPr>
          <w:b w:val="0"/>
          <w:bCs w:val="0"/>
        </w:rPr>
      </w:pPr>
      <w:bookmarkStart w:name="6、其他" w:id="423"/>
      <w:bookmarkEnd w:id="423"/>
      <w:r>
        <w:rPr>
          <w:b w:val="0"/>
          <w:bCs w:val="0"/>
        </w:rPr>
      </w:r>
      <w:r>
        <w:rPr>
          <w:rFonts w:ascii="Times New Roman" w:hAnsi="Times New Roman" w:cs="Times New Roman" w:eastAsia="Times New Roman" w:hint="default"/>
        </w:rPr>
        <w:t>6</w:t>
      </w:r>
      <w:r>
        <w:rPr/>
        <w:t>、其他</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ind w:right="915"/>
        <w:jc w:val="left"/>
        <w:rPr>
          <w:b w:val="0"/>
          <w:bCs w:val="0"/>
        </w:rPr>
      </w:pPr>
      <w:bookmarkStart w:name="十、与金融工具相关的风险" w:id="424"/>
      <w:bookmarkEnd w:id="424"/>
      <w:r>
        <w:rPr>
          <w:b w:val="0"/>
          <w:bCs w:val="0"/>
        </w:rPr>
      </w: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0" w:firstLine="420"/>
        <w:jc w:val="both"/>
      </w:pPr>
      <w:r>
        <w:rPr/>
        <w:t>本公司报告期的金融工具，金融资产主要为因经营而直接产生的贷款与应收款项，如应收账款、其他应收款等；金融 </w:t>
      </w:r>
      <w:r>
        <w:rPr>
          <w:spacing w:val="-2"/>
        </w:rPr>
        <w:t>负债主要为因经营而直接产生的其他金融负债，如应付账款、应付利息、其他应付款、一年内到期的非流动负债、长期借款</w:t>
      </w:r>
      <w:r>
        <w:rPr>
          <w:spacing w:val="-63"/>
        </w:rPr>
        <w:t> </w:t>
      </w:r>
      <w:r>
        <w:rPr>
          <w:spacing w:val="-63"/>
        </w:rPr>
      </w:r>
      <w:r>
        <w:rPr/>
        <w:t>等。</w:t>
      </w:r>
    </w:p>
    <w:p>
      <w:pPr>
        <w:spacing w:after="0" w:line="316" w:lineRule="auto"/>
        <w:jc w:val="both"/>
        <w:sectPr>
          <w:pgSz w:w="11910" w:h="16840"/>
          <w:pgMar w:header="919" w:footer="1016" w:top="1120" w:bottom="1200" w:left="1020" w:right="0"/>
        </w:sectPr>
      </w:pPr>
    </w:p>
    <w:p>
      <w:pPr>
        <w:spacing w:line="240" w:lineRule="auto" w:before="12"/>
        <w:rPr>
          <w:rFonts w:ascii="宋体" w:hAnsi="宋体" w:cs="宋体" w:eastAsia="宋体" w:hint="default"/>
          <w:sz w:val="20"/>
          <w:szCs w:val="20"/>
        </w:rPr>
      </w:pPr>
    </w:p>
    <w:p>
      <w:pPr>
        <w:pStyle w:val="BodyText"/>
        <w:spacing w:line="240" w:lineRule="auto" w:before="44"/>
        <w:ind w:left="552" w:right="1124"/>
        <w:jc w:val="left"/>
      </w:pPr>
      <w:r>
        <w:rPr/>
        <w:t>本公司的金融工具导致的主要风险是信用风险、流动风险及市场风险。</w:t>
      </w:r>
    </w:p>
    <w:p>
      <w:pPr>
        <w:spacing w:line="240" w:lineRule="auto" w:before="10"/>
        <w:rPr>
          <w:rFonts w:ascii="宋体" w:hAnsi="宋体" w:cs="宋体" w:eastAsia="宋体" w:hint="default"/>
          <w:sz w:val="17"/>
          <w:szCs w:val="17"/>
        </w:rPr>
      </w:pPr>
    </w:p>
    <w:p>
      <w:pPr>
        <w:pStyle w:val="BodyText"/>
        <w:spacing w:line="477" w:lineRule="auto"/>
        <w:ind w:left="552" w:right="6374"/>
        <w:jc w:val="left"/>
      </w:pPr>
      <w:r>
        <w:rPr/>
        <w:t>（一）金融工具分类 1.资产负债表日的各类金融资产的账面价值如下：</w:t>
      </w:r>
    </w:p>
    <w:p>
      <w:pPr>
        <w:spacing w:line="240" w:lineRule="auto" w:before="3"/>
        <w:rPr>
          <w:rFonts w:ascii="宋体" w:hAnsi="宋体" w:cs="宋体" w:eastAsia="宋体"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3841"/>
        <w:gridCol w:w="2903"/>
        <w:gridCol w:w="2904"/>
      </w:tblGrid>
      <w:tr>
        <w:trPr>
          <w:trHeight w:val="347" w:hRule="exact"/>
        </w:trPr>
        <w:tc>
          <w:tcPr>
            <w:tcW w:w="3841"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21"/>
              <w:ind w:left="8" w:right="0"/>
              <w:jc w:val="left"/>
              <w:rPr>
                <w:rFonts w:ascii="宋体" w:hAnsi="宋体" w:cs="宋体" w:eastAsia="宋体" w:hint="default"/>
                <w:sz w:val="18"/>
                <w:szCs w:val="18"/>
              </w:rPr>
            </w:pPr>
            <w:r>
              <w:rPr>
                <w:rFonts w:ascii="宋体" w:hAnsi="宋体" w:cs="宋体" w:eastAsia="宋体" w:hint="default"/>
                <w:b/>
                <w:bCs/>
                <w:sz w:val="18"/>
                <w:szCs w:val="18"/>
              </w:rPr>
              <w:t>金融资产项目</w:t>
            </w:r>
            <w:r>
              <w:rPr>
                <w:rFonts w:ascii="宋体" w:hAnsi="宋体" w:cs="宋体" w:eastAsia="宋体" w:hint="default"/>
                <w:sz w:val="18"/>
                <w:szCs w:val="18"/>
              </w:rPr>
            </w:r>
          </w:p>
        </w:tc>
        <w:tc>
          <w:tcPr>
            <w:tcW w:w="2903"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hAnsi="宋体" w:cs="宋体" w:eastAsia="宋体" w:hint="default"/>
                <w:b/>
                <w:bCs/>
                <w:w w:val="95"/>
                <w:sz w:val="18"/>
                <w:szCs w:val="18"/>
              </w:rPr>
              <w:t>期末数</w:t>
            </w:r>
            <w:r>
              <w:rPr>
                <w:rFonts w:ascii="宋体" w:hAnsi="宋体" w:cs="宋体" w:eastAsia="宋体" w:hint="default"/>
                <w:sz w:val="18"/>
                <w:szCs w:val="18"/>
              </w:rPr>
            </w:r>
          </w:p>
        </w:tc>
        <w:tc>
          <w:tcPr>
            <w:tcW w:w="2904"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21"/>
              <w:ind w:right="6"/>
              <w:jc w:val="right"/>
              <w:rPr>
                <w:rFonts w:ascii="宋体" w:hAnsi="宋体" w:cs="宋体" w:eastAsia="宋体" w:hint="default"/>
                <w:sz w:val="18"/>
                <w:szCs w:val="18"/>
              </w:rPr>
            </w:pPr>
            <w:r>
              <w:rPr>
                <w:rFonts w:ascii="宋体" w:hAnsi="宋体" w:cs="宋体" w:eastAsia="宋体" w:hint="default"/>
                <w:b/>
                <w:bCs/>
                <w:w w:val="95"/>
                <w:sz w:val="18"/>
                <w:szCs w:val="18"/>
              </w:rPr>
              <w:t>期初数</w:t>
            </w:r>
            <w:r>
              <w:rPr>
                <w:rFonts w:ascii="宋体" w:hAnsi="宋体" w:cs="宋体" w:eastAsia="宋体" w:hint="default"/>
                <w:sz w:val="18"/>
                <w:szCs w:val="18"/>
              </w:rPr>
            </w:r>
          </w:p>
        </w:tc>
      </w:tr>
      <w:tr>
        <w:trPr>
          <w:trHeight w:val="347" w:hRule="exact"/>
        </w:trPr>
        <w:tc>
          <w:tcPr>
            <w:tcW w:w="3841"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22"/>
              <w:ind w:left="8"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903"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spacing w:val="-1"/>
                <w:sz w:val="18"/>
              </w:rPr>
              <w:t>492,111,995.84</w:t>
            </w:r>
          </w:p>
        </w:tc>
        <w:tc>
          <w:tcPr>
            <w:tcW w:w="2904"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22"/>
              <w:ind w:right="7"/>
              <w:jc w:val="right"/>
              <w:rPr>
                <w:rFonts w:ascii="宋体" w:hAnsi="宋体" w:cs="宋体" w:eastAsia="宋体" w:hint="default"/>
                <w:sz w:val="18"/>
                <w:szCs w:val="18"/>
              </w:rPr>
            </w:pPr>
            <w:r>
              <w:rPr>
                <w:rFonts w:ascii="宋体"/>
                <w:spacing w:val="-1"/>
                <w:sz w:val="18"/>
              </w:rPr>
              <w:t>372,220,940.35</w:t>
            </w:r>
          </w:p>
        </w:tc>
      </w:tr>
      <w:tr>
        <w:trPr>
          <w:trHeight w:val="347" w:hRule="exact"/>
        </w:trPr>
        <w:tc>
          <w:tcPr>
            <w:tcW w:w="3841"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20"/>
              <w:ind w:left="8"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903"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148,557,329.88</w:t>
            </w:r>
          </w:p>
        </w:tc>
        <w:tc>
          <w:tcPr>
            <w:tcW w:w="2904"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20"/>
              <w:ind w:right="7"/>
              <w:jc w:val="right"/>
              <w:rPr>
                <w:rFonts w:ascii="宋体" w:hAnsi="宋体" w:cs="宋体" w:eastAsia="宋体" w:hint="default"/>
                <w:sz w:val="18"/>
                <w:szCs w:val="18"/>
              </w:rPr>
            </w:pPr>
            <w:r>
              <w:rPr>
                <w:rFonts w:ascii="宋体"/>
                <w:spacing w:val="-1"/>
                <w:sz w:val="18"/>
              </w:rPr>
              <w:t>347,321,635.20</w:t>
            </w:r>
          </w:p>
        </w:tc>
      </w:tr>
      <w:tr>
        <w:trPr>
          <w:trHeight w:val="347" w:hRule="exact"/>
        </w:trPr>
        <w:tc>
          <w:tcPr>
            <w:tcW w:w="3841"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21"/>
              <w:ind w:left="8"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03"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pacing w:val="-1"/>
                <w:sz w:val="18"/>
              </w:rPr>
              <w:t>731,177,305.49</w:t>
            </w:r>
          </w:p>
        </w:tc>
        <w:tc>
          <w:tcPr>
            <w:tcW w:w="2904"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21"/>
              <w:ind w:right="7"/>
              <w:jc w:val="right"/>
              <w:rPr>
                <w:rFonts w:ascii="宋体" w:hAnsi="宋体" w:cs="宋体" w:eastAsia="宋体" w:hint="default"/>
                <w:sz w:val="18"/>
                <w:szCs w:val="18"/>
              </w:rPr>
            </w:pPr>
            <w:r>
              <w:rPr>
                <w:rFonts w:ascii="宋体"/>
                <w:spacing w:val="-1"/>
                <w:sz w:val="18"/>
              </w:rPr>
              <w:t>538,306,992.52</w:t>
            </w:r>
          </w:p>
        </w:tc>
      </w:tr>
      <w:tr>
        <w:trPr>
          <w:trHeight w:val="347" w:hRule="exact"/>
        </w:trPr>
        <w:tc>
          <w:tcPr>
            <w:tcW w:w="3841"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20"/>
              <w:ind w:left="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903"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113,003,755.46</w:t>
            </w:r>
          </w:p>
        </w:tc>
        <w:tc>
          <w:tcPr>
            <w:tcW w:w="2904"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20"/>
              <w:ind w:right="7"/>
              <w:jc w:val="right"/>
              <w:rPr>
                <w:rFonts w:ascii="宋体" w:hAnsi="宋体" w:cs="宋体" w:eastAsia="宋体" w:hint="default"/>
                <w:sz w:val="18"/>
                <w:szCs w:val="18"/>
              </w:rPr>
            </w:pPr>
            <w:r>
              <w:rPr>
                <w:rFonts w:ascii="宋体"/>
                <w:spacing w:val="-1"/>
                <w:sz w:val="18"/>
              </w:rPr>
              <w:t>366,451,052.71</w:t>
            </w:r>
          </w:p>
        </w:tc>
      </w:tr>
      <w:tr>
        <w:trPr>
          <w:trHeight w:val="347" w:hRule="exact"/>
        </w:trPr>
        <w:tc>
          <w:tcPr>
            <w:tcW w:w="3841"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21"/>
              <w:ind w:left="8"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903"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pacing w:val="-1"/>
                <w:sz w:val="18"/>
              </w:rPr>
              <w:t>20,000,000.00</w:t>
            </w:r>
          </w:p>
        </w:tc>
        <w:tc>
          <w:tcPr>
            <w:tcW w:w="2904"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21"/>
              <w:ind w:right="7"/>
              <w:jc w:val="right"/>
              <w:rPr>
                <w:rFonts w:ascii="宋体" w:hAnsi="宋体" w:cs="宋体" w:eastAsia="宋体" w:hint="default"/>
                <w:sz w:val="18"/>
                <w:szCs w:val="18"/>
              </w:rPr>
            </w:pPr>
            <w:r>
              <w:rPr>
                <w:rFonts w:ascii="宋体"/>
                <w:spacing w:val="-1"/>
                <w:sz w:val="18"/>
              </w:rPr>
              <w:t>20,000,000.00</w:t>
            </w:r>
          </w:p>
        </w:tc>
      </w:tr>
      <w:tr>
        <w:trPr>
          <w:trHeight w:val="347" w:hRule="exact"/>
        </w:trPr>
        <w:tc>
          <w:tcPr>
            <w:tcW w:w="3841"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22"/>
              <w:ind w:left="8"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903"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spacing w:val="-1"/>
                <w:sz w:val="18"/>
              </w:rPr>
              <w:t>186,746,280.00</w:t>
            </w:r>
          </w:p>
        </w:tc>
        <w:tc>
          <w:tcPr>
            <w:tcW w:w="2904"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22"/>
              <w:ind w:right="7"/>
              <w:jc w:val="right"/>
              <w:rPr>
                <w:rFonts w:ascii="宋体" w:hAnsi="宋体" w:cs="宋体" w:eastAsia="宋体" w:hint="default"/>
                <w:sz w:val="18"/>
                <w:szCs w:val="18"/>
              </w:rPr>
            </w:pPr>
            <w:r>
              <w:rPr>
                <w:rFonts w:ascii="宋体"/>
                <w:spacing w:val="-1"/>
                <w:sz w:val="18"/>
              </w:rPr>
              <w:t>18,854,250.00</w:t>
            </w:r>
          </w:p>
        </w:tc>
      </w:tr>
      <w:tr>
        <w:trPr>
          <w:trHeight w:val="340" w:hRule="exact"/>
        </w:trPr>
        <w:tc>
          <w:tcPr>
            <w:tcW w:w="3841" w:type="dxa"/>
            <w:tcBorders>
              <w:top w:val="single" w:sz="6" w:space="0" w:color="000000"/>
              <w:left w:val="nil" w:sz="6" w:space="0" w:color="auto"/>
              <w:bottom w:val="nil" w:sz="6" w:space="0" w:color="auto"/>
              <w:right w:val="single" w:sz="4" w:space="0" w:color="000000"/>
            </w:tcBorders>
          </w:tcPr>
          <w:p>
            <w:pPr>
              <w:pStyle w:val="TableParagraph"/>
              <w:spacing w:line="240" w:lineRule="auto" w:before="21"/>
              <w:ind w:left="8"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合计</w:t>
            </w:r>
            <w:r>
              <w:rPr>
                <w:rFonts w:ascii="宋体" w:hAnsi="宋体" w:cs="宋体" w:eastAsia="宋体" w:hint="default"/>
                <w:sz w:val="18"/>
                <w:szCs w:val="18"/>
              </w:rPr>
            </w:r>
          </w:p>
        </w:tc>
        <w:tc>
          <w:tcPr>
            <w:tcW w:w="2903" w:type="dxa"/>
            <w:tcBorders>
              <w:top w:val="single" w:sz="6" w:space="0" w:color="000000"/>
              <w:left w:val="single" w:sz="4" w:space="0" w:color="000000"/>
              <w:bottom w:val="nil" w:sz="6" w:space="0" w:color="auto"/>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r>
            <w:r>
              <w:rPr>
                <w:rFonts w:ascii="宋体"/>
                <w:spacing w:val="-1"/>
                <w:sz w:val="18"/>
                <w:u w:val="single" w:color="000000"/>
              </w:rPr>
              <w:t>1,691,596,666.67</w:t>
            </w:r>
            <w:r>
              <w:rPr>
                <w:rFonts w:ascii="宋体"/>
                <w:spacing w:val="-1"/>
                <w:sz w:val="18"/>
              </w:rPr>
            </w:r>
          </w:p>
        </w:tc>
        <w:tc>
          <w:tcPr>
            <w:tcW w:w="2904" w:type="dxa"/>
            <w:tcBorders>
              <w:top w:val="single" w:sz="6" w:space="0" w:color="000000"/>
              <w:left w:val="single" w:sz="4" w:space="0" w:color="000000"/>
              <w:bottom w:val="nil" w:sz="6" w:space="0" w:color="auto"/>
              <w:right w:val="nil" w:sz="6" w:space="0" w:color="auto"/>
            </w:tcBorders>
          </w:tcPr>
          <w:p>
            <w:pPr>
              <w:pStyle w:val="TableParagraph"/>
              <w:spacing w:line="240" w:lineRule="auto" w:before="21"/>
              <w:ind w:right="7"/>
              <w:jc w:val="right"/>
              <w:rPr>
                <w:rFonts w:ascii="宋体" w:hAnsi="宋体" w:cs="宋体" w:eastAsia="宋体" w:hint="default"/>
                <w:sz w:val="18"/>
                <w:szCs w:val="18"/>
              </w:rPr>
            </w:pPr>
            <w:r>
              <w:rPr>
                <w:rFonts w:ascii="宋体"/>
                <w:sz w:val="18"/>
              </w:rPr>
            </w:r>
            <w:r>
              <w:rPr>
                <w:rFonts w:ascii="宋体"/>
                <w:spacing w:val="-1"/>
                <w:sz w:val="18"/>
                <w:u w:val="single" w:color="000000"/>
              </w:rPr>
              <w:t>1,663,154,870.78</w:t>
            </w:r>
            <w:r>
              <w:rPr>
                <w:rFonts w:ascii="宋体"/>
                <w:spacing w:val="-1"/>
                <w:sz w:val="18"/>
              </w:rPr>
            </w:r>
          </w:p>
        </w:tc>
      </w:tr>
    </w:tbl>
    <w:p>
      <w:pPr>
        <w:spacing w:line="240" w:lineRule="auto" w:before="10"/>
        <w:rPr>
          <w:rFonts w:ascii="宋体" w:hAnsi="宋体" w:cs="宋体" w:eastAsia="宋体" w:hint="default"/>
          <w:sz w:val="8"/>
          <w:szCs w:val="8"/>
        </w:rPr>
      </w:pPr>
    </w:p>
    <w:p>
      <w:pPr>
        <w:pStyle w:val="BodyText"/>
        <w:spacing w:line="240" w:lineRule="auto" w:before="44"/>
        <w:ind w:left="552" w:right="1124"/>
        <w:jc w:val="left"/>
      </w:pPr>
      <w:r>
        <w:rPr/>
        <w:t>注：交易性金融资产、其他权益工具、其他非流动金融资产的情况说明参见注释。</w:t>
      </w:r>
    </w:p>
    <w:p>
      <w:pPr>
        <w:spacing w:line="240" w:lineRule="auto" w:before="10"/>
        <w:rPr>
          <w:rFonts w:ascii="宋体" w:hAnsi="宋体" w:cs="宋体" w:eastAsia="宋体" w:hint="default"/>
          <w:sz w:val="17"/>
          <w:szCs w:val="17"/>
        </w:rPr>
      </w:pPr>
    </w:p>
    <w:p>
      <w:pPr>
        <w:pStyle w:val="BodyText"/>
        <w:spacing w:line="240" w:lineRule="auto"/>
        <w:ind w:left="552" w:right="1124"/>
        <w:jc w:val="left"/>
      </w:pPr>
      <w:r>
        <w:rPr/>
        <w:t>（二）金融负债</w:t>
      </w:r>
    </w:p>
    <w:p>
      <w:pPr>
        <w:spacing w:line="240" w:lineRule="auto" w:before="0"/>
        <w:rPr>
          <w:rFonts w:ascii="宋体" w:hAnsi="宋体" w:cs="宋体" w:eastAsia="宋体" w:hint="default"/>
          <w:sz w:val="17"/>
          <w:szCs w:val="17"/>
        </w:rPr>
      </w:pPr>
    </w:p>
    <w:tbl>
      <w:tblPr>
        <w:tblW w:w="0" w:type="auto"/>
        <w:jc w:val="left"/>
        <w:tblInd w:w="116" w:type="dxa"/>
        <w:tblLayout w:type="fixed"/>
        <w:tblCellMar>
          <w:top w:w="0" w:type="dxa"/>
          <w:left w:w="0" w:type="dxa"/>
          <w:bottom w:w="0" w:type="dxa"/>
          <w:right w:w="0" w:type="dxa"/>
        </w:tblCellMar>
        <w:tblLook w:val="01E0"/>
      </w:tblPr>
      <w:tblGrid>
        <w:gridCol w:w="3869"/>
        <w:gridCol w:w="2910"/>
        <w:gridCol w:w="2867"/>
      </w:tblGrid>
      <w:tr>
        <w:trPr>
          <w:trHeight w:val="347" w:hRule="exact"/>
        </w:trPr>
        <w:tc>
          <w:tcPr>
            <w:tcW w:w="3869"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22"/>
              <w:ind w:left="8" w:right="0"/>
              <w:jc w:val="left"/>
              <w:rPr>
                <w:rFonts w:ascii="宋体" w:hAnsi="宋体" w:cs="宋体" w:eastAsia="宋体" w:hint="default"/>
                <w:sz w:val="18"/>
                <w:szCs w:val="18"/>
              </w:rPr>
            </w:pPr>
            <w:r>
              <w:rPr>
                <w:rFonts w:ascii="宋体" w:hAnsi="宋体" w:cs="宋体" w:eastAsia="宋体" w:hint="default"/>
                <w:b/>
                <w:bCs/>
                <w:sz w:val="18"/>
                <w:szCs w:val="18"/>
              </w:rPr>
              <w:t>金融负债项目</w:t>
            </w:r>
            <w:r>
              <w:rPr>
                <w:rFonts w:ascii="宋体" w:hAnsi="宋体" w:cs="宋体" w:eastAsia="宋体" w:hint="default"/>
                <w:sz w:val="18"/>
                <w:szCs w:val="18"/>
              </w:rPr>
            </w:r>
          </w:p>
        </w:tc>
        <w:tc>
          <w:tcPr>
            <w:tcW w:w="291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hAnsi="宋体" w:cs="宋体" w:eastAsia="宋体" w:hint="default"/>
                <w:b/>
                <w:bCs/>
                <w:w w:val="95"/>
                <w:sz w:val="18"/>
                <w:szCs w:val="18"/>
              </w:rPr>
              <w:t>期末数</w:t>
            </w:r>
            <w:r>
              <w:rPr>
                <w:rFonts w:ascii="宋体" w:hAnsi="宋体" w:cs="宋体" w:eastAsia="宋体" w:hint="default"/>
                <w:sz w:val="18"/>
                <w:szCs w:val="18"/>
              </w:rPr>
            </w:r>
          </w:p>
        </w:tc>
        <w:tc>
          <w:tcPr>
            <w:tcW w:w="2867"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22"/>
              <w:ind w:right="6"/>
              <w:jc w:val="right"/>
              <w:rPr>
                <w:rFonts w:ascii="宋体" w:hAnsi="宋体" w:cs="宋体" w:eastAsia="宋体" w:hint="default"/>
                <w:sz w:val="18"/>
                <w:szCs w:val="18"/>
              </w:rPr>
            </w:pPr>
            <w:r>
              <w:rPr>
                <w:rFonts w:ascii="宋体" w:hAnsi="宋体" w:cs="宋体" w:eastAsia="宋体" w:hint="default"/>
                <w:b/>
                <w:bCs/>
                <w:w w:val="95"/>
                <w:sz w:val="18"/>
                <w:szCs w:val="18"/>
              </w:rPr>
              <w:t>期初数</w:t>
            </w:r>
            <w:r>
              <w:rPr>
                <w:rFonts w:ascii="宋体" w:hAnsi="宋体" w:cs="宋体" w:eastAsia="宋体" w:hint="default"/>
                <w:sz w:val="18"/>
                <w:szCs w:val="18"/>
              </w:rPr>
            </w:r>
          </w:p>
        </w:tc>
      </w:tr>
      <w:tr>
        <w:trPr>
          <w:trHeight w:val="347" w:hRule="exact"/>
        </w:trPr>
        <w:tc>
          <w:tcPr>
            <w:tcW w:w="3869"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20"/>
              <w:ind w:left="8"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91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150,207,833.26</w:t>
            </w:r>
          </w:p>
        </w:tc>
        <w:tc>
          <w:tcPr>
            <w:tcW w:w="2867"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20"/>
              <w:ind w:right="7"/>
              <w:jc w:val="right"/>
              <w:rPr>
                <w:rFonts w:ascii="宋体" w:hAnsi="宋体" w:cs="宋体" w:eastAsia="宋体" w:hint="default"/>
                <w:sz w:val="18"/>
                <w:szCs w:val="18"/>
              </w:rPr>
            </w:pPr>
            <w:r>
              <w:rPr>
                <w:rFonts w:ascii="宋体"/>
                <w:spacing w:val="-1"/>
                <w:sz w:val="18"/>
              </w:rPr>
              <w:t>235,000,000.00</w:t>
            </w:r>
          </w:p>
        </w:tc>
      </w:tr>
      <w:tr>
        <w:trPr>
          <w:trHeight w:val="347" w:hRule="exact"/>
        </w:trPr>
        <w:tc>
          <w:tcPr>
            <w:tcW w:w="3869"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21"/>
              <w:ind w:left="8"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91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pacing w:val="-1"/>
                <w:sz w:val="18"/>
              </w:rPr>
              <w:t>936,410.51</w:t>
            </w:r>
          </w:p>
        </w:tc>
        <w:tc>
          <w:tcPr>
            <w:tcW w:w="2867"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21"/>
              <w:ind w:right="7"/>
              <w:jc w:val="right"/>
              <w:rPr>
                <w:rFonts w:ascii="宋体" w:hAnsi="宋体" w:cs="宋体" w:eastAsia="宋体" w:hint="default"/>
                <w:sz w:val="18"/>
                <w:szCs w:val="18"/>
              </w:rPr>
            </w:pPr>
            <w:r>
              <w:rPr>
                <w:rFonts w:ascii="宋体"/>
                <w:spacing w:val="-1"/>
                <w:sz w:val="18"/>
              </w:rPr>
              <w:t>2,031,543.16</w:t>
            </w:r>
          </w:p>
        </w:tc>
      </w:tr>
      <w:tr>
        <w:trPr>
          <w:trHeight w:val="347" w:hRule="exact"/>
        </w:trPr>
        <w:tc>
          <w:tcPr>
            <w:tcW w:w="3869"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20"/>
              <w:ind w:left="8"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91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pacing w:val="-1"/>
                <w:sz w:val="18"/>
              </w:rPr>
              <w:t>26,465,946.74</w:t>
            </w:r>
          </w:p>
        </w:tc>
        <w:tc>
          <w:tcPr>
            <w:tcW w:w="2867"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20"/>
              <w:ind w:right="7"/>
              <w:jc w:val="right"/>
              <w:rPr>
                <w:rFonts w:ascii="宋体" w:hAnsi="宋体" w:cs="宋体" w:eastAsia="宋体" w:hint="default"/>
                <w:sz w:val="18"/>
                <w:szCs w:val="18"/>
              </w:rPr>
            </w:pPr>
            <w:r>
              <w:rPr>
                <w:rFonts w:ascii="宋体"/>
                <w:spacing w:val="-1"/>
                <w:sz w:val="18"/>
              </w:rPr>
              <w:t>39,668,160.21</w:t>
            </w:r>
          </w:p>
        </w:tc>
      </w:tr>
      <w:tr>
        <w:trPr>
          <w:trHeight w:val="347" w:hRule="exact"/>
        </w:trPr>
        <w:tc>
          <w:tcPr>
            <w:tcW w:w="3869"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21"/>
              <w:ind w:left="8"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91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w:t>
            </w:r>
          </w:p>
        </w:tc>
        <w:tc>
          <w:tcPr>
            <w:tcW w:w="2867"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21"/>
              <w:ind w:right="7"/>
              <w:jc w:val="right"/>
              <w:rPr>
                <w:rFonts w:ascii="宋体" w:hAnsi="宋体" w:cs="宋体" w:eastAsia="宋体" w:hint="default"/>
                <w:sz w:val="18"/>
                <w:szCs w:val="18"/>
              </w:rPr>
            </w:pPr>
            <w:r>
              <w:rPr>
                <w:rFonts w:ascii="宋体"/>
                <w:spacing w:val="-1"/>
                <w:sz w:val="18"/>
              </w:rPr>
              <w:t>717,965.33</w:t>
            </w:r>
          </w:p>
        </w:tc>
      </w:tr>
      <w:tr>
        <w:trPr>
          <w:trHeight w:val="347" w:hRule="exact"/>
        </w:trPr>
        <w:tc>
          <w:tcPr>
            <w:tcW w:w="3869"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22"/>
              <w:ind w:left="8"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91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spacing w:val="-1"/>
                <w:sz w:val="18"/>
              </w:rPr>
              <w:t>4,248,919.98</w:t>
            </w:r>
          </w:p>
        </w:tc>
        <w:tc>
          <w:tcPr>
            <w:tcW w:w="2867"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22"/>
              <w:ind w:right="7"/>
              <w:jc w:val="right"/>
              <w:rPr>
                <w:rFonts w:ascii="宋体" w:hAnsi="宋体" w:cs="宋体" w:eastAsia="宋体" w:hint="default"/>
                <w:sz w:val="18"/>
                <w:szCs w:val="18"/>
              </w:rPr>
            </w:pPr>
            <w:r>
              <w:rPr>
                <w:rFonts w:ascii="宋体"/>
                <w:spacing w:val="-1"/>
                <w:sz w:val="18"/>
              </w:rPr>
              <w:t>4,243,144.59</w:t>
            </w:r>
          </w:p>
        </w:tc>
      </w:tr>
      <w:tr>
        <w:trPr>
          <w:trHeight w:val="340" w:hRule="exact"/>
        </w:trPr>
        <w:tc>
          <w:tcPr>
            <w:tcW w:w="3869" w:type="dxa"/>
            <w:tcBorders>
              <w:top w:val="single" w:sz="6" w:space="0" w:color="000000"/>
              <w:left w:val="nil" w:sz="6" w:space="0" w:color="auto"/>
              <w:bottom w:val="nil" w:sz="6" w:space="0" w:color="auto"/>
              <w:right w:val="single" w:sz="4" w:space="0" w:color="000000"/>
            </w:tcBorders>
          </w:tcPr>
          <w:p>
            <w:pPr>
              <w:pStyle w:val="TableParagraph"/>
              <w:spacing w:line="240" w:lineRule="auto" w:before="20"/>
              <w:ind w:left="8"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合计</w:t>
            </w:r>
            <w:r>
              <w:rPr>
                <w:rFonts w:ascii="宋体" w:hAnsi="宋体" w:cs="宋体" w:eastAsia="宋体" w:hint="default"/>
                <w:sz w:val="18"/>
                <w:szCs w:val="18"/>
              </w:rPr>
            </w:r>
          </w:p>
        </w:tc>
        <w:tc>
          <w:tcPr>
            <w:tcW w:w="2910" w:type="dxa"/>
            <w:tcBorders>
              <w:top w:val="single" w:sz="6" w:space="0" w:color="000000"/>
              <w:left w:val="single" w:sz="4" w:space="0" w:color="000000"/>
              <w:bottom w:val="nil" w:sz="6" w:space="0" w:color="auto"/>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r>
            <w:r>
              <w:rPr>
                <w:rFonts w:ascii="宋体"/>
                <w:spacing w:val="-1"/>
                <w:sz w:val="18"/>
                <w:u w:val="single" w:color="000000"/>
              </w:rPr>
              <w:t>181,859,110.49</w:t>
            </w:r>
            <w:r>
              <w:rPr>
                <w:rFonts w:ascii="宋体"/>
                <w:spacing w:val="-1"/>
                <w:sz w:val="18"/>
              </w:rPr>
            </w:r>
          </w:p>
        </w:tc>
        <w:tc>
          <w:tcPr>
            <w:tcW w:w="2867" w:type="dxa"/>
            <w:tcBorders>
              <w:top w:val="single" w:sz="6" w:space="0" w:color="000000"/>
              <w:left w:val="single" w:sz="4" w:space="0" w:color="000000"/>
              <w:bottom w:val="nil" w:sz="6" w:space="0" w:color="auto"/>
              <w:right w:val="nil" w:sz="6" w:space="0" w:color="auto"/>
            </w:tcBorders>
          </w:tcPr>
          <w:p>
            <w:pPr>
              <w:pStyle w:val="TableParagraph"/>
              <w:spacing w:line="240" w:lineRule="auto" w:before="20"/>
              <w:ind w:right="7"/>
              <w:jc w:val="right"/>
              <w:rPr>
                <w:rFonts w:ascii="宋体" w:hAnsi="宋体" w:cs="宋体" w:eastAsia="宋体" w:hint="default"/>
                <w:sz w:val="18"/>
                <w:szCs w:val="18"/>
              </w:rPr>
            </w:pPr>
            <w:r>
              <w:rPr>
                <w:rFonts w:ascii="宋体"/>
                <w:sz w:val="18"/>
              </w:rPr>
            </w:r>
            <w:r>
              <w:rPr>
                <w:rFonts w:ascii="宋体"/>
                <w:spacing w:val="-1"/>
                <w:sz w:val="18"/>
                <w:u w:val="single" w:color="000000"/>
              </w:rPr>
              <w:t>281,660,813.29</w:t>
            </w:r>
            <w:r>
              <w:rPr>
                <w:rFonts w:ascii="宋体"/>
                <w:spacing w:val="-1"/>
                <w:sz w:val="18"/>
              </w:rPr>
            </w:r>
          </w:p>
        </w:tc>
      </w:tr>
    </w:tbl>
    <w:p>
      <w:pPr>
        <w:spacing w:line="240" w:lineRule="auto" w:before="9"/>
        <w:rPr>
          <w:rFonts w:ascii="宋体" w:hAnsi="宋体" w:cs="宋体" w:eastAsia="宋体" w:hint="default"/>
          <w:sz w:val="8"/>
          <w:szCs w:val="8"/>
        </w:rPr>
      </w:pPr>
    </w:p>
    <w:p>
      <w:pPr>
        <w:pStyle w:val="BodyText"/>
        <w:spacing w:line="240" w:lineRule="auto" w:before="44"/>
        <w:ind w:left="552" w:right="1124"/>
        <w:jc w:val="left"/>
      </w:pPr>
      <w:r>
        <w:rPr/>
        <w:t>本公司金融资产归类为贷款及应收款项；金融负债归类为其他金融负债。</w:t>
      </w:r>
    </w:p>
    <w:p>
      <w:pPr>
        <w:pStyle w:val="BodyText"/>
        <w:spacing w:line="460" w:lineRule="atLeast" w:before="8"/>
        <w:ind w:left="552" w:right="1124"/>
        <w:jc w:val="left"/>
      </w:pPr>
      <w:r>
        <w:rPr/>
        <w:t>（三）信用风险 信用风险，是指金融工具的一方不能履行义务，造成另一方发生财务损失的风险。本公司其他金融资产包括货币资金</w:t>
      </w:r>
    </w:p>
    <w:p>
      <w:pPr>
        <w:pStyle w:val="BodyText"/>
        <w:spacing w:line="240" w:lineRule="auto" w:before="76"/>
        <w:ind w:left="132" w:right="1124"/>
        <w:jc w:val="left"/>
      </w:pPr>
      <w:r>
        <w:rPr/>
        <w:t>及其他应收款等，这些金融资产的信用风险源自交易对手违约，最大风险敞口等于这些工具的账面金额。</w:t>
      </w:r>
    </w:p>
    <w:p>
      <w:pPr>
        <w:spacing w:line="240" w:lineRule="auto" w:before="10"/>
        <w:rPr>
          <w:rFonts w:ascii="宋体" w:hAnsi="宋体" w:cs="宋体" w:eastAsia="宋体" w:hint="default"/>
          <w:sz w:val="17"/>
          <w:szCs w:val="17"/>
        </w:rPr>
      </w:pPr>
    </w:p>
    <w:p>
      <w:pPr>
        <w:pStyle w:val="BodyText"/>
        <w:spacing w:line="316" w:lineRule="auto"/>
        <w:ind w:left="132" w:right="1130" w:firstLine="420"/>
        <w:jc w:val="both"/>
      </w:pPr>
      <w:r>
        <w:rPr/>
        <w:t>本公司仅与经认可的、信誉良好的第三方进行交易，对应收账款余额进行持续监控，以确保本公司不致面临重大坏账 </w:t>
      </w:r>
      <w:r>
        <w:rPr>
          <w:spacing w:val="-2"/>
        </w:rPr>
        <w:t>风险。本公司的客户主要系银行、证券公司及资产管理公司，该类客户通常资本金充足、信用良好，故本公司应收账款的信</w:t>
      </w:r>
      <w:r>
        <w:rPr>
          <w:spacing w:val="-63"/>
        </w:rPr>
        <w:t> </w:t>
      </w:r>
      <w:r>
        <w:rPr>
          <w:spacing w:val="-63"/>
        </w:rPr>
      </w:r>
      <w:r>
        <w:rPr/>
        <w:t>用风险较低。</w:t>
      </w:r>
    </w:p>
    <w:p>
      <w:pPr>
        <w:spacing w:line="240" w:lineRule="auto" w:before="5"/>
        <w:rPr>
          <w:rFonts w:ascii="宋体" w:hAnsi="宋体" w:cs="宋体" w:eastAsia="宋体" w:hint="default"/>
          <w:sz w:val="13"/>
          <w:szCs w:val="13"/>
        </w:rPr>
      </w:pPr>
    </w:p>
    <w:p>
      <w:pPr>
        <w:pStyle w:val="BodyText"/>
        <w:spacing w:line="316" w:lineRule="auto"/>
        <w:ind w:left="132" w:right="1130" w:firstLine="420"/>
        <w:jc w:val="both"/>
      </w:pPr>
      <w:r>
        <w:rPr/>
        <w:t>对于供应链业务和保理业务，本公司主要面临赊销、支付保理本金、垫付货款导致的客户或供应商信用风险。在签订 新合同之前，本公司会对新客户和供应商的信用风险进行评估，公司的客户群体主要为A股上市公司及其核心供应商、新三</w:t>
      </w:r>
      <w:r>
        <w:rPr>
          <w:spacing w:val="-85"/>
        </w:rPr>
        <w:t> </w:t>
      </w:r>
      <w:r>
        <w:rPr>
          <w:spacing w:val="-85"/>
        </w:rPr>
      </w:r>
      <w:r>
        <w:rPr>
          <w:spacing w:val="-2"/>
        </w:rPr>
        <w:t>板上市企业及国家级农业龙头企业，其信用风险可控，公司利用金融科技手段，创新服务产品，优化交易结构、增加风控措</w:t>
      </w:r>
      <w:r>
        <w:rPr>
          <w:spacing w:val="-64"/>
        </w:rPr>
        <w:t> </w:t>
      </w:r>
      <w:r>
        <w:rPr>
          <w:spacing w:val="-64"/>
        </w:rPr>
      </w:r>
      <w:r>
        <w:rPr/>
        <w:t>施，密切跟踪客户的信用风险，持续进行评估，努力规避风险。</w:t>
      </w:r>
    </w:p>
    <w:p>
      <w:pPr>
        <w:spacing w:line="240" w:lineRule="auto" w:before="5"/>
        <w:rPr>
          <w:rFonts w:ascii="宋体" w:hAnsi="宋体" w:cs="宋体" w:eastAsia="宋体" w:hint="default"/>
          <w:sz w:val="13"/>
          <w:szCs w:val="13"/>
        </w:rPr>
      </w:pPr>
    </w:p>
    <w:p>
      <w:pPr>
        <w:pStyle w:val="BodyText"/>
        <w:spacing w:line="477" w:lineRule="auto"/>
        <w:ind w:left="552" w:right="2954"/>
        <w:jc w:val="left"/>
      </w:pPr>
      <w:r>
        <w:rPr/>
        <w:t>本公司的流动资金存放于信用评级较高的银行，故流动资金的信用风险较低。 信用风险集中按照客户、地理区域和行业进行管理。在本公司内部不存在重大信用风险集中。 本公司因应收账款和其他应收款产生的信用风险敞口的量化数据，参见附注。</w:t>
      </w:r>
    </w:p>
    <w:p>
      <w:pPr>
        <w:pStyle w:val="BodyText"/>
        <w:spacing w:line="240" w:lineRule="auto" w:before="54"/>
        <w:ind w:left="552" w:right="1124"/>
        <w:jc w:val="left"/>
      </w:pPr>
      <w:r>
        <w:rPr/>
        <w:t>（四）流动风险</w:t>
      </w:r>
    </w:p>
    <w:p>
      <w:pPr>
        <w:spacing w:after="0" w:line="240" w:lineRule="auto"/>
        <w:jc w:val="left"/>
        <w:sectPr>
          <w:pgSz w:w="11910" w:h="16840"/>
          <w:pgMar w:header="919" w:footer="1016" w:top="1120" w:bottom="1200" w:left="1000" w:right="0"/>
        </w:sectPr>
      </w:pPr>
    </w:p>
    <w:p>
      <w:pPr>
        <w:spacing w:line="240" w:lineRule="auto" w:before="12"/>
        <w:rPr>
          <w:rFonts w:ascii="宋体" w:hAnsi="宋体" w:cs="宋体" w:eastAsia="宋体" w:hint="default"/>
          <w:sz w:val="20"/>
          <w:szCs w:val="20"/>
        </w:rPr>
      </w:pPr>
    </w:p>
    <w:p>
      <w:pPr>
        <w:pStyle w:val="BodyText"/>
        <w:spacing w:line="477" w:lineRule="auto" w:before="44"/>
        <w:ind w:left="552" w:right="4214"/>
        <w:jc w:val="left"/>
      </w:pPr>
      <w:r>
        <w:rPr/>
        <w:t>流动风险，是指企业在履行与金融负债有关的义务时遇到资金短缺的风险。 本公司定期检查当前和预期的资金流动性需求，以确保维持充裕的现金储备。 下表概括了金融资产和金融负债按未折现的现金流量所作的到期期限分析： 1.金融资产</w:t>
      </w:r>
    </w:p>
    <w:p>
      <w:pPr>
        <w:pStyle w:val="BodyText"/>
        <w:spacing w:line="240" w:lineRule="auto" w:before="54"/>
        <w:ind w:left="552" w:right="1124"/>
        <w:jc w:val="left"/>
      </w:pPr>
      <w:r>
        <w:rPr/>
        <w:t>截至2019年12月31日止</w:t>
      </w:r>
    </w:p>
    <w:p>
      <w:pPr>
        <w:spacing w:line="240" w:lineRule="auto" w:before="12"/>
        <w:rPr>
          <w:rFonts w:ascii="宋体" w:hAnsi="宋体" w:cs="宋体" w:eastAsia="宋体" w:hint="default"/>
          <w:sz w:val="16"/>
          <w:szCs w:val="16"/>
        </w:rPr>
      </w:pPr>
    </w:p>
    <w:tbl>
      <w:tblPr>
        <w:tblW w:w="0" w:type="auto"/>
        <w:jc w:val="left"/>
        <w:tblInd w:w="116" w:type="dxa"/>
        <w:tblLayout w:type="fixed"/>
        <w:tblCellMar>
          <w:top w:w="0" w:type="dxa"/>
          <w:left w:w="0" w:type="dxa"/>
          <w:bottom w:w="0" w:type="dxa"/>
          <w:right w:w="0" w:type="dxa"/>
        </w:tblCellMar>
        <w:tblLook w:val="01E0"/>
      </w:tblPr>
      <w:tblGrid>
        <w:gridCol w:w="2608"/>
        <w:gridCol w:w="1772"/>
        <w:gridCol w:w="936"/>
        <w:gridCol w:w="890"/>
        <w:gridCol w:w="1619"/>
        <w:gridCol w:w="1818"/>
      </w:tblGrid>
      <w:tr>
        <w:trPr>
          <w:trHeight w:val="347" w:hRule="exact"/>
        </w:trPr>
        <w:tc>
          <w:tcPr>
            <w:tcW w:w="2608"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21"/>
              <w:ind w:left="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72"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1"/>
              <w:ind w:left="566" w:right="0"/>
              <w:jc w:val="left"/>
              <w:rPr>
                <w:rFonts w:ascii="宋体" w:hAnsi="宋体" w:cs="宋体" w:eastAsia="宋体" w:hint="default"/>
                <w:sz w:val="18"/>
                <w:szCs w:val="18"/>
              </w:rPr>
            </w:pPr>
            <w:r>
              <w:rPr>
                <w:rFonts w:ascii="宋体" w:hAnsi="宋体" w:cs="宋体" w:eastAsia="宋体" w:hint="default"/>
                <w:b/>
                <w:bCs/>
                <w:sz w:val="18"/>
                <w:szCs w:val="18"/>
              </w:rPr>
              <w:t>1年以内</w:t>
            </w:r>
            <w:r>
              <w:rPr>
                <w:rFonts w:ascii="宋体" w:hAnsi="宋体" w:cs="宋体" w:eastAsia="宋体" w:hint="default"/>
                <w:sz w:val="18"/>
                <w:szCs w:val="18"/>
              </w:rPr>
            </w:r>
          </w:p>
        </w:tc>
        <w:tc>
          <w:tcPr>
            <w:tcW w:w="936"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1"/>
              <w:ind w:left="239" w:right="0"/>
              <w:jc w:val="left"/>
              <w:rPr>
                <w:rFonts w:ascii="宋体" w:hAnsi="宋体" w:cs="宋体" w:eastAsia="宋体" w:hint="default"/>
                <w:sz w:val="18"/>
                <w:szCs w:val="18"/>
              </w:rPr>
            </w:pPr>
            <w:r>
              <w:rPr>
                <w:rFonts w:ascii="宋体" w:hAnsi="宋体" w:cs="宋体" w:eastAsia="宋体" w:hint="default"/>
                <w:b/>
                <w:bCs/>
                <w:sz w:val="18"/>
                <w:szCs w:val="18"/>
              </w:rPr>
              <w:t>1-2年</w:t>
            </w:r>
            <w:r>
              <w:rPr>
                <w:rFonts w:ascii="宋体" w:hAnsi="宋体" w:cs="宋体" w:eastAsia="宋体" w:hint="default"/>
                <w:sz w:val="18"/>
                <w:szCs w:val="18"/>
              </w:rPr>
            </w:r>
          </w:p>
        </w:tc>
        <w:tc>
          <w:tcPr>
            <w:tcW w:w="89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1"/>
              <w:ind w:left="215" w:right="0"/>
              <w:jc w:val="left"/>
              <w:rPr>
                <w:rFonts w:ascii="宋体" w:hAnsi="宋体" w:cs="宋体" w:eastAsia="宋体" w:hint="default"/>
                <w:sz w:val="18"/>
                <w:szCs w:val="18"/>
              </w:rPr>
            </w:pPr>
            <w:r>
              <w:rPr>
                <w:rFonts w:ascii="宋体" w:hAnsi="宋体" w:cs="宋体" w:eastAsia="宋体" w:hint="default"/>
                <w:b/>
                <w:bCs/>
                <w:sz w:val="18"/>
                <w:szCs w:val="18"/>
              </w:rPr>
              <w:t>2-3年</w:t>
            </w:r>
            <w:r>
              <w:rPr>
                <w:rFonts w:ascii="宋体" w:hAnsi="宋体" w:cs="宋体" w:eastAsia="宋体" w:hint="default"/>
                <w:sz w:val="18"/>
                <w:szCs w:val="18"/>
              </w:rPr>
            </w:r>
          </w:p>
        </w:tc>
        <w:tc>
          <w:tcPr>
            <w:tcW w:w="1619"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1"/>
              <w:ind w:left="489" w:right="0"/>
              <w:jc w:val="left"/>
              <w:rPr>
                <w:rFonts w:ascii="宋体" w:hAnsi="宋体" w:cs="宋体" w:eastAsia="宋体" w:hint="default"/>
                <w:sz w:val="18"/>
                <w:szCs w:val="18"/>
              </w:rPr>
            </w:pPr>
            <w:r>
              <w:rPr>
                <w:rFonts w:ascii="宋体" w:hAnsi="宋体" w:cs="宋体" w:eastAsia="宋体" w:hint="default"/>
                <w:b/>
                <w:bCs/>
                <w:sz w:val="18"/>
                <w:szCs w:val="18"/>
              </w:rPr>
              <w:t>3年以上</w:t>
            </w:r>
            <w:r>
              <w:rPr>
                <w:rFonts w:ascii="宋体" w:hAnsi="宋体" w:cs="宋体" w:eastAsia="宋体" w:hint="default"/>
                <w:sz w:val="18"/>
                <w:szCs w:val="18"/>
              </w:rPr>
            </w:r>
          </w:p>
        </w:tc>
        <w:tc>
          <w:tcPr>
            <w:tcW w:w="1818"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347" w:hRule="exact"/>
        </w:trPr>
        <w:tc>
          <w:tcPr>
            <w:tcW w:w="2608"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22"/>
              <w:ind w:left="8"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72"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spacing w:val="-1"/>
                <w:sz w:val="18"/>
              </w:rPr>
              <w:t>731,177,305.49</w:t>
            </w:r>
          </w:p>
        </w:tc>
        <w:tc>
          <w:tcPr>
            <w:tcW w:w="936" w:type="dxa"/>
            <w:tcBorders>
              <w:top w:val="single" w:sz="6" w:space="0" w:color="000000"/>
              <w:left w:val="single" w:sz="4" w:space="0" w:color="000000"/>
              <w:bottom w:val="single" w:sz="6" w:space="0" w:color="000000"/>
              <w:right w:val="single" w:sz="4" w:space="0" w:color="000000"/>
            </w:tcBorders>
          </w:tcPr>
          <w:p>
            <w:pPr/>
          </w:p>
        </w:tc>
        <w:tc>
          <w:tcPr>
            <w:tcW w:w="890" w:type="dxa"/>
            <w:tcBorders>
              <w:top w:val="single" w:sz="6" w:space="0" w:color="000000"/>
              <w:left w:val="single" w:sz="4" w:space="0" w:color="000000"/>
              <w:bottom w:val="single" w:sz="6" w:space="0" w:color="000000"/>
              <w:right w:val="single" w:sz="4" w:space="0" w:color="000000"/>
            </w:tcBorders>
          </w:tcPr>
          <w:p>
            <w:pPr/>
          </w:p>
        </w:tc>
        <w:tc>
          <w:tcPr>
            <w:tcW w:w="1619" w:type="dxa"/>
            <w:tcBorders>
              <w:top w:val="single" w:sz="6" w:space="0" w:color="000000"/>
              <w:left w:val="single" w:sz="4" w:space="0" w:color="000000"/>
              <w:bottom w:val="single" w:sz="6" w:space="0" w:color="000000"/>
              <w:right w:val="single" w:sz="4" w:space="0" w:color="000000"/>
            </w:tcBorders>
          </w:tcPr>
          <w:p>
            <w:pPr/>
          </w:p>
        </w:tc>
        <w:tc>
          <w:tcPr>
            <w:tcW w:w="1818"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22"/>
              <w:ind w:right="7"/>
              <w:jc w:val="right"/>
              <w:rPr>
                <w:rFonts w:ascii="宋体" w:hAnsi="宋体" w:cs="宋体" w:eastAsia="宋体" w:hint="default"/>
                <w:sz w:val="18"/>
                <w:szCs w:val="18"/>
              </w:rPr>
            </w:pPr>
            <w:r>
              <w:rPr>
                <w:rFonts w:ascii="宋体"/>
                <w:spacing w:val="-1"/>
                <w:sz w:val="18"/>
              </w:rPr>
              <w:t>731,177,305.49</w:t>
            </w:r>
          </w:p>
        </w:tc>
      </w:tr>
      <w:tr>
        <w:trPr>
          <w:trHeight w:val="347" w:hRule="exact"/>
        </w:trPr>
        <w:tc>
          <w:tcPr>
            <w:tcW w:w="2608"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20"/>
              <w:ind w:left="8"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772"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148,557,329.88</w:t>
            </w:r>
          </w:p>
        </w:tc>
        <w:tc>
          <w:tcPr>
            <w:tcW w:w="936" w:type="dxa"/>
            <w:tcBorders>
              <w:top w:val="single" w:sz="6" w:space="0" w:color="000000"/>
              <w:left w:val="single" w:sz="4" w:space="0" w:color="000000"/>
              <w:bottom w:val="single" w:sz="6" w:space="0" w:color="000000"/>
              <w:right w:val="single" w:sz="4" w:space="0" w:color="000000"/>
            </w:tcBorders>
          </w:tcPr>
          <w:p>
            <w:pPr/>
          </w:p>
        </w:tc>
        <w:tc>
          <w:tcPr>
            <w:tcW w:w="890" w:type="dxa"/>
            <w:tcBorders>
              <w:top w:val="single" w:sz="6" w:space="0" w:color="000000"/>
              <w:left w:val="single" w:sz="4" w:space="0" w:color="000000"/>
              <w:bottom w:val="single" w:sz="6" w:space="0" w:color="000000"/>
              <w:right w:val="single" w:sz="4" w:space="0" w:color="000000"/>
            </w:tcBorders>
          </w:tcPr>
          <w:p>
            <w:pPr/>
          </w:p>
        </w:tc>
        <w:tc>
          <w:tcPr>
            <w:tcW w:w="1619" w:type="dxa"/>
            <w:tcBorders>
              <w:top w:val="single" w:sz="6" w:space="0" w:color="000000"/>
              <w:left w:val="single" w:sz="4" w:space="0" w:color="000000"/>
              <w:bottom w:val="single" w:sz="6" w:space="0" w:color="000000"/>
              <w:right w:val="single" w:sz="4" w:space="0" w:color="000000"/>
            </w:tcBorders>
          </w:tcPr>
          <w:p>
            <w:pPr/>
          </w:p>
        </w:tc>
        <w:tc>
          <w:tcPr>
            <w:tcW w:w="1818"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20"/>
              <w:ind w:right="7"/>
              <w:jc w:val="right"/>
              <w:rPr>
                <w:rFonts w:ascii="宋体" w:hAnsi="宋体" w:cs="宋体" w:eastAsia="宋体" w:hint="default"/>
                <w:sz w:val="18"/>
                <w:szCs w:val="18"/>
              </w:rPr>
            </w:pPr>
            <w:r>
              <w:rPr>
                <w:rFonts w:ascii="宋体"/>
                <w:spacing w:val="-1"/>
                <w:sz w:val="18"/>
              </w:rPr>
              <w:t>148,557,329.88</w:t>
            </w:r>
          </w:p>
        </w:tc>
      </w:tr>
      <w:tr>
        <w:trPr>
          <w:trHeight w:val="347" w:hRule="exact"/>
        </w:trPr>
        <w:tc>
          <w:tcPr>
            <w:tcW w:w="2608"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21"/>
              <w:ind w:left="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772"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pacing w:val="-1"/>
                <w:sz w:val="18"/>
              </w:rPr>
              <w:t>113,003,755.46</w:t>
            </w:r>
          </w:p>
        </w:tc>
        <w:tc>
          <w:tcPr>
            <w:tcW w:w="936" w:type="dxa"/>
            <w:tcBorders>
              <w:top w:val="single" w:sz="6" w:space="0" w:color="000000"/>
              <w:left w:val="single" w:sz="4" w:space="0" w:color="000000"/>
              <w:bottom w:val="single" w:sz="6" w:space="0" w:color="000000"/>
              <w:right w:val="single" w:sz="4" w:space="0" w:color="000000"/>
            </w:tcBorders>
          </w:tcPr>
          <w:p>
            <w:pPr/>
          </w:p>
        </w:tc>
        <w:tc>
          <w:tcPr>
            <w:tcW w:w="890" w:type="dxa"/>
            <w:tcBorders>
              <w:top w:val="single" w:sz="6" w:space="0" w:color="000000"/>
              <w:left w:val="single" w:sz="4" w:space="0" w:color="000000"/>
              <w:bottom w:val="single" w:sz="6" w:space="0" w:color="000000"/>
              <w:right w:val="single" w:sz="4" w:space="0" w:color="000000"/>
            </w:tcBorders>
          </w:tcPr>
          <w:p>
            <w:pPr/>
          </w:p>
        </w:tc>
        <w:tc>
          <w:tcPr>
            <w:tcW w:w="1619" w:type="dxa"/>
            <w:tcBorders>
              <w:top w:val="single" w:sz="6" w:space="0" w:color="000000"/>
              <w:left w:val="single" w:sz="4" w:space="0" w:color="000000"/>
              <w:bottom w:val="single" w:sz="6" w:space="0" w:color="000000"/>
              <w:right w:val="single" w:sz="4" w:space="0" w:color="000000"/>
            </w:tcBorders>
          </w:tcPr>
          <w:p>
            <w:pPr/>
          </w:p>
        </w:tc>
        <w:tc>
          <w:tcPr>
            <w:tcW w:w="1818"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21"/>
              <w:ind w:right="7"/>
              <w:jc w:val="right"/>
              <w:rPr>
                <w:rFonts w:ascii="宋体" w:hAnsi="宋体" w:cs="宋体" w:eastAsia="宋体" w:hint="default"/>
                <w:sz w:val="18"/>
                <w:szCs w:val="18"/>
              </w:rPr>
            </w:pPr>
            <w:r>
              <w:rPr>
                <w:rFonts w:ascii="宋体"/>
                <w:spacing w:val="-1"/>
                <w:sz w:val="18"/>
              </w:rPr>
              <w:t>113,003,755.46</w:t>
            </w:r>
          </w:p>
        </w:tc>
      </w:tr>
      <w:tr>
        <w:trPr>
          <w:trHeight w:val="347" w:hRule="exact"/>
        </w:trPr>
        <w:tc>
          <w:tcPr>
            <w:tcW w:w="2608"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20"/>
              <w:ind w:left="8"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772" w:type="dxa"/>
            <w:tcBorders>
              <w:top w:val="single" w:sz="6" w:space="0" w:color="000000"/>
              <w:left w:val="single" w:sz="4" w:space="0" w:color="000000"/>
              <w:bottom w:val="single" w:sz="6" w:space="0" w:color="000000"/>
              <w:right w:val="single" w:sz="4" w:space="0" w:color="000000"/>
            </w:tcBorders>
          </w:tcPr>
          <w:p>
            <w:pPr/>
          </w:p>
        </w:tc>
        <w:tc>
          <w:tcPr>
            <w:tcW w:w="936" w:type="dxa"/>
            <w:tcBorders>
              <w:top w:val="single" w:sz="6" w:space="0" w:color="000000"/>
              <w:left w:val="single" w:sz="4" w:space="0" w:color="000000"/>
              <w:bottom w:val="single" w:sz="6" w:space="0" w:color="000000"/>
              <w:right w:val="single" w:sz="4" w:space="0" w:color="000000"/>
            </w:tcBorders>
          </w:tcPr>
          <w:p>
            <w:pPr/>
          </w:p>
        </w:tc>
        <w:tc>
          <w:tcPr>
            <w:tcW w:w="890" w:type="dxa"/>
            <w:tcBorders>
              <w:top w:val="single" w:sz="6" w:space="0" w:color="000000"/>
              <w:left w:val="single" w:sz="4" w:space="0" w:color="000000"/>
              <w:bottom w:val="single" w:sz="6" w:space="0" w:color="000000"/>
              <w:right w:val="single" w:sz="4" w:space="0" w:color="000000"/>
            </w:tcBorders>
          </w:tcPr>
          <w:p>
            <w:pPr/>
          </w:p>
        </w:tc>
        <w:tc>
          <w:tcPr>
            <w:tcW w:w="1619"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pacing w:val="-1"/>
                <w:sz w:val="18"/>
              </w:rPr>
              <w:t>20,000,000.00</w:t>
            </w:r>
          </w:p>
        </w:tc>
        <w:tc>
          <w:tcPr>
            <w:tcW w:w="1818"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20"/>
              <w:ind w:right="7"/>
              <w:jc w:val="right"/>
              <w:rPr>
                <w:rFonts w:ascii="宋体" w:hAnsi="宋体" w:cs="宋体" w:eastAsia="宋体" w:hint="default"/>
                <w:sz w:val="18"/>
                <w:szCs w:val="18"/>
              </w:rPr>
            </w:pPr>
            <w:r>
              <w:rPr>
                <w:rFonts w:ascii="宋体"/>
                <w:spacing w:val="-1"/>
                <w:sz w:val="18"/>
              </w:rPr>
              <w:t>20,000,000.00</w:t>
            </w:r>
          </w:p>
        </w:tc>
      </w:tr>
      <w:tr>
        <w:trPr>
          <w:trHeight w:val="347" w:hRule="exact"/>
        </w:trPr>
        <w:tc>
          <w:tcPr>
            <w:tcW w:w="2608"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21"/>
              <w:ind w:left="8"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1772" w:type="dxa"/>
            <w:tcBorders>
              <w:top w:val="single" w:sz="6" w:space="0" w:color="000000"/>
              <w:left w:val="single" w:sz="4" w:space="0" w:color="000000"/>
              <w:bottom w:val="single" w:sz="6" w:space="0" w:color="000000"/>
              <w:right w:val="single" w:sz="4" w:space="0" w:color="000000"/>
            </w:tcBorders>
          </w:tcPr>
          <w:p>
            <w:pPr/>
          </w:p>
        </w:tc>
        <w:tc>
          <w:tcPr>
            <w:tcW w:w="936" w:type="dxa"/>
            <w:tcBorders>
              <w:top w:val="single" w:sz="6" w:space="0" w:color="000000"/>
              <w:left w:val="single" w:sz="4" w:space="0" w:color="000000"/>
              <w:bottom w:val="single" w:sz="6" w:space="0" w:color="000000"/>
              <w:right w:val="single" w:sz="4" w:space="0" w:color="000000"/>
            </w:tcBorders>
          </w:tcPr>
          <w:p>
            <w:pPr/>
          </w:p>
        </w:tc>
        <w:tc>
          <w:tcPr>
            <w:tcW w:w="890" w:type="dxa"/>
            <w:tcBorders>
              <w:top w:val="single" w:sz="6" w:space="0" w:color="000000"/>
              <w:left w:val="single" w:sz="4" w:space="0" w:color="000000"/>
              <w:bottom w:val="single" w:sz="6" w:space="0" w:color="000000"/>
              <w:right w:val="single" w:sz="4" w:space="0" w:color="000000"/>
            </w:tcBorders>
          </w:tcPr>
          <w:p>
            <w:pPr/>
          </w:p>
        </w:tc>
        <w:tc>
          <w:tcPr>
            <w:tcW w:w="1619"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pacing w:val="-1"/>
                <w:sz w:val="18"/>
              </w:rPr>
              <w:t>186,746,280.00</w:t>
            </w:r>
          </w:p>
        </w:tc>
        <w:tc>
          <w:tcPr>
            <w:tcW w:w="1818"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21"/>
              <w:ind w:right="7"/>
              <w:jc w:val="right"/>
              <w:rPr>
                <w:rFonts w:ascii="宋体" w:hAnsi="宋体" w:cs="宋体" w:eastAsia="宋体" w:hint="default"/>
                <w:sz w:val="18"/>
                <w:szCs w:val="18"/>
              </w:rPr>
            </w:pPr>
            <w:r>
              <w:rPr>
                <w:rFonts w:ascii="宋体"/>
                <w:spacing w:val="-1"/>
                <w:sz w:val="18"/>
              </w:rPr>
              <w:t>186,746,280.00</w:t>
            </w:r>
          </w:p>
        </w:tc>
      </w:tr>
      <w:tr>
        <w:trPr>
          <w:trHeight w:val="347" w:hRule="exact"/>
        </w:trPr>
        <w:tc>
          <w:tcPr>
            <w:tcW w:w="2608"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22"/>
              <w:ind w:left="8" w:right="0"/>
              <w:jc w:val="left"/>
              <w:rPr>
                <w:rFonts w:ascii="宋体" w:hAnsi="宋体" w:cs="宋体" w:eastAsia="宋体" w:hint="default"/>
                <w:sz w:val="18"/>
                <w:szCs w:val="18"/>
              </w:rPr>
            </w:pPr>
            <w:r>
              <w:rPr>
                <w:rFonts w:ascii="宋体" w:hAnsi="宋体" w:cs="宋体" w:eastAsia="宋体" w:hint="default"/>
                <w:sz w:val="18"/>
                <w:szCs w:val="18"/>
              </w:rPr>
              <w:t>其他流动资产（理财产品）</w:t>
            </w:r>
          </w:p>
        </w:tc>
        <w:tc>
          <w:tcPr>
            <w:tcW w:w="1772" w:type="dxa"/>
            <w:tcBorders>
              <w:top w:val="single" w:sz="6" w:space="0" w:color="000000"/>
              <w:left w:val="single" w:sz="4" w:space="0" w:color="000000"/>
              <w:bottom w:val="single" w:sz="6" w:space="0" w:color="000000"/>
              <w:right w:val="single" w:sz="4" w:space="0" w:color="000000"/>
            </w:tcBorders>
          </w:tcPr>
          <w:p>
            <w:pPr/>
          </w:p>
        </w:tc>
        <w:tc>
          <w:tcPr>
            <w:tcW w:w="936" w:type="dxa"/>
            <w:tcBorders>
              <w:top w:val="single" w:sz="6" w:space="0" w:color="000000"/>
              <w:left w:val="single" w:sz="4" w:space="0" w:color="000000"/>
              <w:bottom w:val="single" w:sz="6" w:space="0" w:color="000000"/>
              <w:right w:val="single" w:sz="4" w:space="0" w:color="000000"/>
            </w:tcBorders>
          </w:tcPr>
          <w:p>
            <w:pPr/>
          </w:p>
        </w:tc>
        <w:tc>
          <w:tcPr>
            <w:tcW w:w="890" w:type="dxa"/>
            <w:tcBorders>
              <w:top w:val="single" w:sz="6" w:space="0" w:color="000000"/>
              <w:left w:val="single" w:sz="4" w:space="0" w:color="000000"/>
              <w:bottom w:val="single" w:sz="6" w:space="0" w:color="000000"/>
              <w:right w:val="single" w:sz="4" w:space="0" w:color="000000"/>
            </w:tcBorders>
          </w:tcPr>
          <w:p>
            <w:pPr/>
          </w:p>
        </w:tc>
        <w:tc>
          <w:tcPr>
            <w:tcW w:w="1619" w:type="dxa"/>
            <w:tcBorders>
              <w:top w:val="single" w:sz="6" w:space="0" w:color="000000"/>
              <w:left w:val="single" w:sz="4" w:space="0" w:color="000000"/>
              <w:bottom w:val="single" w:sz="6" w:space="0" w:color="000000"/>
              <w:right w:val="single" w:sz="4" w:space="0" w:color="000000"/>
            </w:tcBorders>
          </w:tcPr>
          <w:p>
            <w:pPr/>
          </w:p>
        </w:tc>
        <w:tc>
          <w:tcPr>
            <w:tcW w:w="1818" w:type="dxa"/>
            <w:tcBorders>
              <w:top w:val="single" w:sz="6" w:space="0" w:color="000000"/>
              <w:left w:val="single" w:sz="4" w:space="0" w:color="000000"/>
              <w:bottom w:val="single" w:sz="6" w:space="0" w:color="000000"/>
              <w:right w:val="nil" w:sz="6" w:space="0" w:color="auto"/>
            </w:tcBorders>
          </w:tcPr>
          <w:p>
            <w:pPr/>
          </w:p>
        </w:tc>
      </w:tr>
      <w:tr>
        <w:trPr>
          <w:trHeight w:val="340" w:hRule="exact"/>
        </w:trPr>
        <w:tc>
          <w:tcPr>
            <w:tcW w:w="2608" w:type="dxa"/>
            <w:tcBorders>
              <w:top w:val="single" w:sz="6" w:space="0" w:color="000000"/>
              <w:left w:val="nil" w:sz="6" w:space="0" w:color="auto"/>
              <w:bottom w:val="nil" w:sz="6" w:space="0" w:color="auto"/>
              <w:right w:val="single" w:sz="4" w:space="0" w:color="000000"/>
            </w:tcBorders>
          </w:tcPr>
          <w:p>
            <w:pPr>
              <w:pStyle w:val="TableParagraph"/>
              <w:spacing w:line="240" w:lineRule="auto" w:before="21"/>
              <w:ind w:left="8"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合计</w:t>
            </w:r>
            <w:r>
              <w:rPr>
                <w:rFonts w:ascii="宋体" w:hAnsi="宋体" w:cs="宋体" w:eastAsia="宋体" w:hint="default"/>
                <w:sz w:val="18"/>
                <w:szCs w:val="18"/>
              </w:rPr>
            </w:r>
          </w:p>
        </w:tc>
        <w:tc>
          <w:tcPr>
            <w:tcW w:w="1772" w:type="dxa"/>
            <w:tcBorders>
              <w:top w:val="single" w:sz="6" w:space="0" w:color="000000"/>
              <w:left w:val="single" w:sz="4" w:space="0" w:color="000000"/>
              <w:bottom w:val="nil" w:sz="6" w:space="0" w:color="auto"/>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r>
            <w:r>
              <w:rPr>
                <w:rFonts w:ascii="宋体"/>
                <w:spacing w:val="-1"/>
                <w:sz w:val="18"/>
                <w:u w:val="single" w:color="000000"/>
              </w:rPr>
              <w:t>992,738,390.83</w:t>
            </w:r>
            <w:r>
              <w:rPr>
                <w:rFonts w:ascii="宋体"/>
                <w:spacing w:val="-1"/>
                <w:sz w:val="18"/>
              </w:rPr>
            </w:r>
          </w:p>
        </w:tc>
        <w:tc>
          <w:tcPr>
            <w:tcW w:w="936" w:type="dxa"/>
            <w:tcBorders>
              <w:top w:val="single" w:sz="6" w:space="0" w:color="000000"/>
              <w:left w:val="single" w:sz="4" w:space="0" w:color="000000"/>
              <w:bottom w:val="nil" w:sz="6" w:space="0" w:color="auto"/>
              <w:right w:val="single" w:sz="4" w:space="0" w:color="000000"/>
            </w:tcBorders>
          </w:tcPr>
          <w:p>
            <w:pPr/>
          </w:p>
        </w:tc>
        <w:tc>
          <w:tcPr>
            <w:tcW w:w="890" w:type="dxa"/>
            <w:tcBorders>
              <w:top w:val="single" w:sz="6" w:space="0" w:color="000000"/>
              <w:left w:val="single" w:sz="4" w:space="0" w:color="000000"/>
              <w:bottom w:val="nil" w:sz="6" w:space="0" w:color="auto"/>
              <w:right w:val="single" w:sz="4" w:space="0" w:color="000000"/>
            </w:tcBorders>
          </w:tcPr>
          <w:p>
            <w:pPr/>
          </w:p>
        </w:tc>
        <w:tc>
          <w:tcPr>
            <w:tcW w:w="1619" w:type="dxa"/>
            <w:tcBorders>
              <w:top w:val="single" w:sz="6" w:space="0" w:color="000000"/>
              <w:left w:val="single" w:sz="4" w:space="0" w:color="000000"/>
              <w:bottom w:val="nil" w:sz="6" w:space="0" w:color="auto"/>
              <w:right w:val="single" w:sz="4"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r>
            <w:r>
              <w:rPr>
                <w:rFonts w:ascii="宋体"/>
                <w:spacing w:val="-1"/>
                <w:sz w:val="18"/>
                <w:u w:val="single" w:color="000000"/>
              </w:rPr>
              <w:t>206,746,280.00</w:t>
            </w:r>
            <w:r>
              <w:rPr>
                <w:rFonts w:ascii="宋体"/>
                <w:spacing w:val="-1"/>
                <w:sz w:val="18"/>
              </w:rPr>
            </w:r>
          </w:p>
        </w:tc>
        <w:tc>
          <w:tcPr>
            <w:tcW w:w="1818" w:type="dxa"/>
            <w:tcBorders>
              <w:top w:val="single" w:sz="6" w:space="0" w:color="000000"/>
              <w:left w:val="single" w:sz="4" w:space="0" w:color="000000"/>
              <w:bottom w:val="nil" w:sz="6" w:space="0" w:color="auto"/>
              <w:right w:val="nil" w:sz="6" w:space="0" w:color="auto"/>
            </w:tcBorders>
          </w:tcPr>
          <w:p>
            <w:pPr>
              <w:pStyle w:val="TableParagraph"/>
              <w:spacing w:line="240" w:lineRule="auto" w:before="21"/>
              <w:ind w:right="7"/>
              <w:jc w:val="right"/>
              <w:rPr>
                <w:rFonts w:ascii="宋体" w:hAnsi="宋体" w:cs="宋体" w:eastAsia="宋体" w:hint="default"/>
                <w:sz w:val="18"/>
                <w:szCs w:val="18"/>
              </w:rPr>
            </w:pPr>
            <w:r>
              <w:rPr>
                <w:rFonts w:ascii="宋体"/>
                <w:sz w:val="18"/>
              </w:rPr>
            </w:r>
            <w:r>
              <w:rPr>
                <w:rFonts w:ascii="宋体"/>
                <w:spacing w:val="-1"/>
                <w:sz w:val="18"/>
                <w:u w:val="single" w:color="000000"/>
              </w:rPr>
              <w:t>1,199,484,670.83</w:t>
            </w:r>
            <w:r>
              <w:rPr>
                <w:rFonts w:ascii="宋体"/>
                <w:spacing w:val="-1"/>
                <w:sz w:val="18"/>
              </w:rPr>
            </w:r>
          </w:p>
        </w:tc>
      </w:tr>
    </w:tbl>
    <w:p>
      <w:pPr>
        <w:spacing w:line="240" w:lineRule="auto" w:before="10"/>
        <w:rPr>
          <w:rFonts w:ascii="宋体" w:hAnsi="宋体" w:cs="宋体" w:eastAsia="宋体" w:hint="default"/>
          <w:sz w:val="8"/>
          <w:szCs w:val="8"/>
        </w:rPr>
      </w:pPr>
    </w:p>
    <w:p>
      <w:pPr>
        <w:pStyle w:val="BodyText"/>
        <w:spacing w:line="240" w:lineRule="auto" w:before="44"/>
        <w:ind w:left="552" w:right="1124"/>
        <w:jc w:val="left"/>
      </w:pPr>
      <w:r>
        <w:rPr/>
        <w:t>截至2019年1月1日止</w:t>
      </w:r>
    </w:p>
    <w:p>
      <w:pPr>
        <w:spacing w:line="240" w:lineRule="auto" w:before="0"/>
        <w:rPr>
          <w:rFonts w:ascii="宋体" w:hAnsi="宋体" w:cs="宋体" w:eastAsia="宋体" w:hint="default"/>
          <w:sz w:val="17"/>
          <w:szCs w:val="17"/>
        </w:rPr>
      </w:pPr>
    </w:p>
    <w:tbl>
      <w:tblPr>
        <w:tblW w:w="0" w:type="auto"/>
        <w:jc w:val="left"/>
        <w:tblInd w:w="116" w:type="dxa"/>
        <w:tblLayout w:type="fixed"/>
        <w:tblCellMar>
          <w:top w:w="0" w:type="dxa"/>
          <w:left w:w="0" w:type="dxa"/>
          <w:bottom w:w="0" w:type="dxa"/>
          <w:right w:w="0" w:type="dxa"/>
        </w:tblCellMar>
        <w:tblLook w:val="01E0"/>
      </w:tblPr>
      <w:tblGrid>
        <w:gridCol w:w="2578"/>
        <w:gridCol w:w="1843"/>
        <w:gridCol w:w="920"/>
        <w:gridCol w:w="1009"/>
        <w:gridCol w:w="1389"/>
        <w:gridCol w:w="1904"/>
      </w:tblGrid>
      <w:tr>
        <w:trPr>
          <w:trHeight w:val="347" w:hRule="exact"/>
        </w:trPr>
        <w:tc>
          <w:tcPr>
            <w:tcW w:w="2578"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22"/>
              <w:ind w:left="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43"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2"/>
              <w:ind w:left="601" w:right="0"/>
              <w:jc w:val="left"/>
              <w:rPr>
                <w:rFonts w:ascii="宋体" w:hAnsi="宋体" w:cs="宋体" w:eastAsia="宋体" w:hint="default"/>
                <w:sz w:val="18"/>
                <w:szCs w:val="18"/>
              </w:rPr>
            </w:pPr>
            <w:r>
              <w:rPr>
                <w:rFonts w:ascii="宋体" w:hAnsi="宋体" w:cs="宋体" w:eastAsia="宋体" w:hint="default"/>
                <w:b/>
                <w:bCs/>
                <w:sz w:val="18"/>
                <w:szCs w:val="18"/>
              </w:rPr>
              <w:t>1年以内</w:t>
            </w:r>
            <w:r>
              <w:rPr>
                <w:rFonts w:ascii="宋体" w:hAnsi="宋体" w:cs="宋体" w:eastAsia="宋体" w:hint="default"/>
                <w:sz w:val="18"/>
                <w:szCs w:val="18"/>
              </w:rPr>
            </w:r>
          </w:p>
        </w:tc>
        <w:tc>
          <w:tcPr>
            <w:tcW w:w="92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2"/>
              <w:ind w:left="229" w:right="0"/>
              <w:jc w:val="left"/>
              <w:rPr>
                <w:rFonts w:ascii="宋体" w:hAnsi="宋体" w:cs="宋体" w:eastAsia="宋体" w:hint="default"/>
                <w:sz w:val="18"/>
                <w:szCs w:val="18"/>
              </w:rPr>
            </w:pPr>
            <w:r>
              <w:rPr>
                <w:rFonts w:ascii="宋体" w:hAnsi="宋体" w:cs="宋体" w:eastAsia="宋体" w:hint="default"/>
                <w:b/>
                <w:bCs/>
                <w:sz w:val="18"/>
                <w:szCs w:val="18"/>
              </w:rPr>
              <w:t>1-2年</w:t>
            </w:r>
            <w:r>
              <w:rPr>
                <w:rFonts w:ascii="宋体" w:hAnsi="宋体" w:cs="宋体" w:eastAsia="宋体" w:hint="default"/>
                <w:sz w:val="18"/>
                <w:szCs w:val="18"/>
              </w:rPr>
            </w:r>
          </w:p>
        </w:tc>
        <w:tc>
          <w:tcPr>
            <w:tcW w:w="1009"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2"/>
              <w:ind w:left="274" w:right="0"/>
              <w:jc w:val="left"/>
              <w:rPr>
                <w:rFonts w:ascii="宋体" w:hAnsi="宋体" w:cs="宋体" w:eastAsia="宋体" w:hint="default"/>
                <w:sz w:val="18"/>
                <w:szCs w:val="18"/>
              </w:rPr>
            </w:pPr>
            <w:r>
              <w:rPr>
                <w:rFonts w:ascii="宋体" w:hAnsi="宋体" w:cs="宋体" w:eastAsia="宋体" w:hint="default"/>
                <w:b/>
                <w:bCs/>
                <w:sz w:val="18"/>
                <w:szCs w:val="18"/>
              </w:rPr>
              <w:t>2-3年</w:t>
            </w:r>
            <w:r>
              <w:rPr>
                <w:rFonts w:ascii="宋体" w:hAnsi="宋体" w:cs="宋体" w:eastAsia="宋体" w:hint="default"/>
                <w:sz w:val="18"/>
                <w:szCs w:val="18"/>
              </w:rPr>
            </w:r>
          </w:p>
        </w:tc>
        <w:tc>
          <w:tcPr>
            <w:tcW w:w="1389"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2"/>
              <w:ind w:left="373" w:right="0"/>
              <w:jc w:val="left"/>
              <w:rPr>
                <w:rFonts w:ascii="宋体" w:hAnsi="宋体" w:cs="宋体" w:eastAsia="宋体" w:hint="default"/>
                <w:sz w:val="18"/>
                <w:szCs w:val="18"/>
              </w:rPr>
            </w:pPr>
            <w:r>
              <w:rPr>
                <w:rFonts w:ascii="宋体" w:hAnsi="宋体" w:cs="宋体" w:eastAsia="宋体" w:hint="default"/>
                <w:b/>
                <w:bCs/>
                <w:sz w:val="18"/>
                <w:szCs w:val="18"/>
              </w:rPr>
              <w:t>3年以上</w:t>
            </w:r>
            <w:r>
              <w:rPr>
                <w:rFonts w:ascii="宋体" w:hAnsi="宋体" w:cs="宋体" w:eastAsia="宋体" w:hint="default"/>
                <w:sz w:val="18"/>
                <w:szCs w:val="18"/>
              </w:rPr>
            </w:r>
          </w:p>
        </w:tc>
        <w:tc>
          <w:tcPr>
            <w:tcW w:w="1904"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347" w:hRule="exact"/>
        </w:trPr>
        <w:tc>
          <w:tcPr>
            <w:tcW w:w="2578"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20"/>
              <w:ind w:left="8"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43"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538,306,992.52</w:t>
            </w:r>
          </w:p>
        </w:tc>
        <w:tc>
          <w:tcPr>
            <w:tcW w:w="920" w:type="dxa"/>
            <w:tcBorders>
              <w:top w:val="single" w:sz="6" w:space="0" w:color="000000"/>
              <w:left w:val="single" w:sz="4" w:space="0" w:color="000000"/>
              <w:bottom w:val="single" w:sz="6" w:space="0" w:color="000000"/>
              <w:right w:val="single" w:sz="4" w:space="0" w:color="000000"/>
            </w:tcBorders>
          </w:tcPr>
          <w:p>
            <w:pPr/>
          </w:p>
        </w:tc>
        <w:tc>
          <w:tcPr>
            <w:tcW w:w="1009" w:type="dxa"/>
            <w:tcBorders>
              <w:top w:val="single" w:sz="6" w:space="0" w:color="000000"/>
              <w:left w:val="single" w:sz="4" w:space="0" w:color="000000"/>
              <w:bottom w:val="single" w:sz="6" w:space="0" w:color="000000"/>
              <w:right w:val="single" w:sz="4" w:space="0" w:color="000000"/>
            </w:tcBorders>
          </w:tcPr>
          <w:p>
            <w:pPr/>
          </w:p>
        </w:tc>
        <w:tc>
          <w:tcPr>
            <w:tcW w:w="1389" w:type="dxa"/>
            <w:tcBorders>
              <w:top w:val="single" w:sz="6" w:space="0" w:color="000000"/>
              <w:left w:val="single" w:sz="4" w:space="0" w:color="000000"/>
              <w:bottom w:val="single" w:sz="6" w:space="0" w:color="000000"/>
              <w:right w:val="single" w:sz="4" w:space="0" w:color="000000"/>
            </w:tcBorders>
          </w:tcPr>
          <w:p>
            <w:pPr/>
          </w:p>
        </w:tc>
        <w:tc>
          <w:tcPr>
            <w:tcW w:w="1904"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20"/>
              <w:ind w:right="7"/>
              <w:jc w:val="right"/>
              <w:rPr>
                <w:rFonts w:ascii="宋体" w:hAnsi="宋体" w:cs="宋体" w:eastAsia="宋体" w:hint="default"/>
                <w:sz w:val="18"/>
                <w:szCs w:val="18"/>
              </w:rPr>
            </w:pPr>
            <w:r>
              <w:rPr>
                <w:rFonts w:ascii="宋体"/>
                <w:spacing w:val="-1"/>
                <w:sz w:val="18"/>
              </w:rPr>
              <w:t>538,306,992.52</w:t>
            </w:r>
          </w:p>
        </w:tc>
      </w:tr>
      <w:tr>
        <w:trPr>
          <w:trHeight w:val="347" w:hRule="exact"/>
        </w:trPr>
        <w:tc>
          <w:tcPr>
            <w:tcW w:w="2578"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21"/>
              <w:ind w:left="8"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843"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pacing w:val="-1"/>
                <w:sz w:val="18"/>
              </w:rPr>
              <w:t>347,321,635.20</w:t>
            </w:r>
          </w:p>
        </w:tc>
        <w:tc>
          <w:tcPr>
            <w:tcW w:w="920" w:type="dxa"/>
            <w:tcBorders>
              <w:top w:val="single" w:sz="6" w:space="0" w:color="000000"/>
              <w:left w:val="single" w:sz="4" w:space="0" w:color="000000"/>
              <w:bottom w:val="single" w:sz="6" w:space="0" w:color="000000"/>
              <w:right w:val="single" w:sz="4" w:space="0" w:color="000000"/>
            </w:tcBorders>
          </w:tcPr>
          <w:p>
            <w:pPr/>
          </w:p>
        </w:tc>
        <w:tc>
          <w:tcPr>
            <w:tcW w:w="1009" w:type="dxa"/>
            <w:tcBorders>
              <w:top w:val="single" w:sz="6" w:space="0" w:color="000000"/>
              <w:left w:val="single" w:sz="4" w:space="0" w:color="000000"/>
              <w:bottom w:val="single" w:sz="6" w:space="0" w:color="000000"/>
              <w:right w:val="single" w:sz="4" w:space="0" w:color="000000"/>
            </w:tcBorders>
          </w:tcPr>
          <w:p>
            <w:pPr/>
          </w:p>
        </w:tc>
        <w:tc>
          <w:tcPr>
            <w:tcW w:w="1389" w:type="dxa"/>
            <w:tcBorders>
              <w:top w:val="single" w:sz="6" w:space="0" w:color="000000"/>
              <w:left w:val="single" w:sz="4" w:space="0" w:color="000000"/>
              <w:bottom w:val="single" w:sz="6" w:space="0" w:color="000000"/>
              <w:right w:val="single" w:sz="4" w:space="0" w:color="000000"/>
            </w:tcBorders>
          </w:tcPr>
          <w:p>
            <w:pPr/>
          </w:p>
        </w:tc>
        <w:tc>
          <w:tcPr>
            <w:tcW w:w="1904"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21"/>
              <w:ind w:right="7"/>
              <w:jc w:val="right"/>
              <w:rPr>
                <w:rFonts w:ascii="宋体" w:hAnsi="宋体" w:cs="宋体" w:eastAsia="宋体" w:hint="default"/>
                <w:sz w:val="18"/>
                <w:szCs w:val="18"/>
              </w:rPr>
            </w:pPr>
            <w:r>
              <w:rPr>
                <w:rFonts w:ascii="宋体"/>
                <w:spacing w:val="-1"/>
                <w:sz w:val="18"/>
              </w:rPr>
              <w:t>347,321,635.20</w:t>
            </w:r>
          </w:p>
        </w:tc>
      </w:tr>
      <w:tr>
        <w:trPr>
          <w:trHeight w:val="347" w:hRule="exact"/>
        </w:trPr>
        <w:tc>
          <w:tcPr>
            <w:tcW w:w="2578"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20"/>
              <w:ind w:left="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43"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366,451,052.71</w:t>
            </w:r>
          </w:p>
        </w:tc>
        <w:tc>
          <w:tcPr>
            <w:tcW w:w="920" w:type="dxa"/>
            <w:tcBorders>
              <w:top w:val="single" w:sz="6" w:space="0" w:color="000000"/>
              <w:left w:val="single" w:sz="4" w:space="0" w:color="000000"/>
              <w:bottom w:val="single" w:sz="6" w:space="0" w:color="000000"/>
              <w:right w:val="single" w:sz="4" w:space="0" w:color="000000"/>
            </w:tcBorders>
          </w:tcPr>
          <w:p>
            <w:pPr/>
          </w:p>
        </w:tc>
        <w:tc>
          <w:tcPr>
            <w:tcW w:w="1009" w:type="dxa"/>
            <w:tcBorders>
              <w:top w:val="single" w:sz="6" w:space="0" w:color="000000"/>
              <w:left w:val="single" w:sz="4" w:space="0" w:color="000000"/>
              <w:bottom w:val="single" w:sz="6" w:space="0" w:color="000000"/>
              <w:right w:val="single" w:sz="4" w:space="0" w:color="000000"/>
            </w:tcBorders>
          </w:tcPr>
          <w:p>
            <w:pPr/>
          </w:p>
        </w:tc>
        <w:tc>
          <w:tcPr>
            <w:tcW w:w="1389" w:type="dxa"/>
            <w:tcBorders>
              <w:top w:val="single" w:sz="6" w:space="0" w:color="000000"/>
              <w:left w:val="single" w:sz="4" w:space="0" w:color="000000"/>
              <w:bottom w:val="single" w:sz="6" w:space="0" w:color="000000"/>
              <w:right w:val="single" w:sz="4" w:space="0" w:color="000000"/>
            </w:tcBorders>
          </w:tcPr>
          <w:p>
            <w:pPr/>
          </w:p>
        </w:tc>
        <w:tc>
          <w:tcPr>
            <w:tcW w:w="1904"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20"/>
              <w:ind w:right="7"/>
              <w:jc w:val="right"/>
              <w:rPr>
                <w:rFonts w:ascii="宋体" w:hAnsi="宋体" w:cs="宋体" w:eastAsia="宋体" w:hint="default"/>
                <w:sz w:val="18"/>
                <w:szCs w:val="18"/>
              </w:rPr>
            </w:pPr>
            <w:r>
              <w:rPr>
                <w:rFonts w:ascii="宋体"/>
                <w:spacing w:val="-1"/>
                <w:sz w:val="18"/>
              </w:rPr>
              <w:t>366,451,052.71</w:t>
            </w:r>
          </w:p>
        </w:tc>
      </w:tr>
      <w:tr>
        <w:trPr>
          <w:trHeight w:val="347" w:hRule="exact"/>
        </w:trPr>
        <w:tc>
          <w:tcPr>
            <w:tcW w:w="2578"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21"/>
              <w:ind w:left="8"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843" w:type="dxa"/>
            <w:tcBorders>
              <w:top w:val="single" w:sz="6" w:space="0" w:color="000000"/>
              <w:left w:val="single" w:sz="4" w:space="0" w:color="000000"/>
              <w:bottom w:val="single" w:sz="6" w:space="0" w:color="000000"/>
              <w:right w:val="single" w:sz="4" w:space="0" w:color="000000"/>
            </w:tcBorders>
          </w:tcPr>
          <w:p>
            <w:pPr/>
          </w:p>
        </w:tc>
        <w:tc>
          <w:tcPr>
            <w:tcW w:w="920" w:type="dxa"/>
            <w:tcBorders>
              <w:top w:val="single" w:sz="6" w:space="0" w:color="000000"/>
              <w:left w:val="single" w:sz="4" w:space="0" w:color="000000"/>
              <w:bottom w:val="single" w:sz="6" w:space="0" w:color="000000"/>
              <w:right w:val="single" w:sz="4" w:space="0" w:color="000000"/>
            </w:tcBorders>
          </w:tcPr>
          <w:p>
            <w:pPr/>
          </w:p>
        </w:tc>
        <w:tc>
          <w:tcPr>
            <w:tcW w:w="1009" w:type="dxa"/>
            <w:tcBorders>
              <w:top w:val="single" w:sz="6" w:space="0" w:color="000000"/>
              <w:left w:val="single" w:sz="4" w:space="0" w:color="000000"/>
              <w:bottom w:val="single" w:sz="6" w:space="0" w:color="000000"/>
              <w:right w:val="single" w:sz="4" w:space="0" w:color="000000"/>
            </w:tcBorders>
          </w:tcPr>
          <w:p>
            <w:pPr/>
          </w:p>
        </w:tc>
        <w:tc>
          <w:tcPr>
            <w:tcW w:w="1389"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pacing w:val="-1"/>
                <w:sz w:val="18"/>
              </w:rPr>
              <w:t>20,000,000.00</w:t>
            </w:r>
          </w:p>
        </w:tc>
        <w:tc>
          <w:tcPr>
            <w:tcW w:w="1904"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21"/>
              <w:ind w:right="7"/>
              <w:jc w:val="right"/>
              <w:rPr>
                <w:rFonts w:ascii="宋体" w:hAnsi="宋体" w:cs="宋体" w:eastAsia="宋体" w:hint="default"/>
                <w:sz w:val="18"/>
                <w:szCs w:val="18"/>
              </w:rPr>
            </w:pPr>
            <w:r>
              <w:rPr>
                <w:rFonts w:ascii="宋体"/>
                <w:spacing w:val="-1"/>
                <w:sz w:val="18"/>
              </w:rPr>
              <w:t>20,000,000.00</w:t>
            </w:r>
          </w:p>
        </w:tc>
      </w:tr>
      <w:tr>
        <w:trPr>
          <w:trHeight w:val="347" w:hRule="exact"/>
        </w:trPr>
        <w:tc>
          <w:tcPr>
            <w:tcW w:w="2578"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22"/>
              <w:ind w:left="8"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1843" w:type="dxa"/>
            <w:tcBorders>
              <w:top w:val="single" w:sz="6" w:space="0" w:color="000000"/>
              <w:left w:val="single" w:sz="4" w:space="0" w:color="000000"/>
              <w:bottom w:val="single" w:sz="6" w:space="0" w:color="000000"/>
              <w:right w:val="single" w:sz="4" w:space="0" w:color="000000"/>
            </w:tcBorders>
          </w:tcPr>
          <w:p>
            <w:pPr/>
          </w:p>
        </w:tc>
        <w:tc>
          <w:tcPr>
            <w:tcW w:w="920" w:type="dxa"/>
            <w:tcBorders>
              <w:top w:val="single" w:sz="6" w:space="0" w:color="000000"/>
              <w:left w:val="single" w:sz="4" w:space="0" w:color="000000"/>
              <w:bottom w:val="single" w:sz="6" w:space="0" w:color="000000"/>
              <w:right w:val="single" w:sz="4" w:space="0" w:color="000000"/>
            </w:tcBorders>
          </w:tcPr>
          <w:p>
            <w:pPr/>
          </w:p>
        </w:tc>
        <w:tc>
          <w:tcPr>
            <w:tcW w:w="1009" w:type="dxa"/>
            <w:tcBorders>
              <w:top w:val="single" w:sz="6" w:space="0" w:color="000000"/>
              <w:left w:val="single" w:sz="4" w:space="0" w:color="000000"/>
              <w:bottom w:val="single" w:sz="6" w:space="0" w:color="000000"/>
              <w:right w:val="single" w:sz="4" w:space="0" w:color="000000"/>
            </w:tcBorders>
          </w:tcPr>
          <w:p>
            <w:pPr/>
          </w:p>
        </w:tc>
        <w:tc>
          <w:tcPr>
            <w:tcW w:w="1389"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2"/>
              <w:ind w:right="3"/>
              <w:jc w:val="right"/>
              <w:rPr>
                <w:rFonts w:ascii="宋体" w:hAnsi="宋体" w:cs="宋体" w:eastAsia="宋体" w:hint="default"/>
                <w:sz w:val="18"/>
                <w:szCs w:val="18"/>
              </w:rPr>
            </w:pPr>
            <w:r>
              <w:rPr>
                <w:rFonts w:ascii="宋体"/>
                <w:spacing w:val="-1"/>
                <w:sz w:val="18"/>
              </w:rPr>
              <w:t>18,854,250.00</w:t>
            </w:r>
          </w:p>
        </w:tc>
        <w:tc>
          <w:tcPr>
            <w:tcW w:w="1904"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22"/>
              <w:ind w:right="7"/>
              <w:jc w:val="right"/>
              <w:rPr>
                <w:rFonts w:ascii="宋体" w:hAnsi="宋体" w:cs="宋体" w:eastAsia="宋体" w:hint="default"/>
                <w:sz w:val="18"/>
                <w:szCs w:val="18"/>
              </w:rPr>
            </w:pPr>
            <w:r>
              <w:rPr>
                <w:rFonts w:ascii="宋体"/>
                <w:spacing w:val="-1"/>
                <w:sz w:val="18"/>
              </w:rPr>
              <w:t>18,854,250.00</w:t>
            </w:r>
          </w:p>
        </w:tc>
      </w:tr>
      <w:tr>
        <w:trPr>
          <w:trHeight w:val="340" w:hRule="exact"/>
        </w:trPr>
        <w:tc>
          <w:tcPr>
            <w:tcW w:w="2578" w:type="dxa"/>
            <w:tcBorders>
              <w:top w:val="single" w:sz="6" w:space="0" w:color="000000"/>
              <w:left w:val="nil" w:sz="6" w:space="0" w:color="auto"/>
              <w:bottom w:val="nil" w:sz="6" w:space="0" w:color="auto"/>
              <w:right w:val="single" w:sz="4" w:space="0" w:color="000000"/>
            </w:tcBorders>
          </w:tcPr>
          <w:p>
            <w:pPr>
              <w:pStyle w:val="TableParagraph"/>
              <w:spacing w:line="240" w:lineRule="auto" w:before="20"/>
              <w:ind w:left="8"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合计</w:t>
            </w:r>
            <w:r>
              <w:rPr>
                <w:rFonts w:ascii="宋体" w:hAnsi="宋体" w:cs="宋体" w:eastAsia="宋体" w:hint="default"/>
                <w:sz w:val="18"/>
                <w:szCs w:val="18"/>
              </w:rPr>
            </w:r>
          </w:p>
        </w:tc>
        <w:tc>
          <w:tcPr>
            <w:tcW w:w="1843" w:type="dxa"/>
            <w:tcBorders>
              <w:top w:val="single" w:sz="6" w:space="0" w:color="000000"/>
              <w:left w:val="single" w:sz="4" w:space="0" w:color="000000"/>
              <w:bottom w:val="nil" w:sz="6" w:space="0" w:color="auto"/>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r>
            <w:r>
              <w:rPr>
                <w:rFonts w:ascii="宋体"/>
                <w:spacing w:val="-1"/>
                <w:sz w:val="18"/>
                <w:u w:val="single" w:color="000000"/>
              </w:rPr>
              <w:t>1,252,079,680.43</w:t>
            </w:r>
            <w:r>
              <w:rPr>
                <w:rFonts w:ascii="宋体"/>
                <w:spacing w:val="-1"/>
                <w:sz w:val="18"/>
              </w:rPr>
            </w:r>
          </w:p>
        </w:tc>
        <w:tc>
          <w:tcPr>
            <w:tcW w:w="920" w:type="dxa"/>
            <w:tcBorders>
              <w:top w:val="single" w:sz="6" w:space="0" w:color="000000"/>
              <w:left w:val="single" w:sz="4" w:space="0" w:color="000000"/>
              <w:bottom w:val="nil" w:sz="6" w:space="0" w:color="auto"/>
              <w:right w:val="single" w:sz="4" w:space="0" w:color="000000"/>
            </w:tcBorders>
          </w:tcPr>
          <w:p>
            <w:pPr/>
          </w:p>
        </w:tc>
        <w:tc>
          <w:tcPr>
            <w:tcW w:w="1009" w:type="dxa"/>
            <w:tcBorders>
              <w:top w:val="single" w:sz="6" w:space="0" w:color="000000"/>
              <w:left w:val="single" w:sz="4" w:space="0" w:color="000000"/>
              <w:bottom w:val="nil" w:sz="6" w:space="0" w:color="auto"/>
              <w:right w:val="single" w:sz="4" w:space="0" w:color="000000"/>
            </w:tcBorders>
          </w:tcPr>
          <w:p>
            <w:pPr/>
          </w:p>
        </w:tc>
        <w:tc>
          <w:tcPr>
            <w:tcW w:w="1389" w:type="dxa"/>
            <w:tcBorders>
              <w:top w:val="single" w:sz="6" w:space="0" w:color="000000"/>
              <w:left w:val="single" w:sz="4" w:space="0" w:color="000000"/>
              <w:bottom w:val="nil" w:sz="6" w:space="0" w:color="auto"/>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z w:val="18"/>
              </w:rPr>
            </w:r>
            <w:r>
              <w:rPr>
                <w:rFonts w:ascii="宋体"/>
                <w:spacing w:val="-1"/>
                <w:sz w:val="18"/>
                <w:u w:val="single" w:color="000000"/>
              </w:rPr>
              <w:t>38,854,250.00</w:t>
            </w:r>
            <w:r>
              <w:rPr>
                <w:rFonts w:ascii="宋体"/>
                <w:spacing w:val="-1"/>
                <w:sz w:val="18"/>
              </w:rPr>
            </w:r>
          </w:p>
        </w:tc>
        <w:tc>
          <w:tcPr>
            <w:tcW w:w="1904" w:type="dxa"/>
            <w:tcBorders>
              <w:top w:val="single" w:sz="6" w:space="0" w:color="000000"/>
              <w:left w:val="single" w:sz="4" w:space="0" w:color="000000"/>
              <w:bottom w:val="nil" w:sz="6" w:space="0" w:color="auto"/>
              <w:right w:val="nil" w:sz="6" w:space="0" w:color="auto"/>
            </w:tcBorders>
          </w:tcPr>
          <w:p>
            <w:pPr>
              <w:pStyle w:val="TableParagraph"/>
              <w:spacing w:line="240" w:lineRule="auto" w:before="20"/>
              <w:ind w:right="7"/>
              <w:jc w:val="right"/>
              <w:rPr>
                <w:rFonts w:ascii="宋体" w:hAnsi="宋体" w:cs="宋体" w:eastAsia="宋体" w:hint="default"/>
                <w:sz w:val="18"/>
                <w:szCs w:val="18"/>
              </w:rPr>
            </w:pPr>
            <w:r>
              <w:rPr>
                <w:rFonts w:ascii="宋体"/>
                <w:sz w:val="18"/>
              </w:rPr>
            </w:r>
            <w:r>
              <w:rPr>
                <w:rFonts w:ascii="宋体"/>
                <w:spacing w:val="-1"/>
                <w:sz w:val="18"/>
                <w:u w:val="single" w:color="000000"/>
              </w:rPr>
              <w:t>1,290,933,930.43</w:t>
            </w:r>
            <w:r>
              <w:rPr>
                <w:rFonts w:ascii="宋体"/>
                <w:spacing w:val="-1"/>
                <w:sz w:val="18"/>
              </w:rPr>
            </w:r>
          </w:p>
        </w:tc>
      </w:tr>
    </w:tbl>
    <w:p>
      <w:pPr>
        <w:pStyle w:val="BodyText"/>
        <w:spacing w:line="240" w:lineRule="auto" w:before="2"/>
        <w:ind w:left="552" w:right="1124"/>
        <w:jc w:val="left"/>
      </w:pPr>
      <w:r>
        <w:rPr/>
        <w:t>2.金融负债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1"/>
          <w:szCs w:val="11"/>
        </w:rPr>
      </w:pPr>
    </w:p>
    <w:tbl>
      <w:tblPr>
        <w:tblW w:w="0" w:type="auto"/>
        <w:jc w:val="left"/>
        <w:tblInd w:w="126" w:type="dxa"/>
        <w:tblLayout w:type="fixed"/>
        <w:tblCellMar>
          <w:top w:w="0" w:type="dxa"/>
          <w:left w:w="0" w:type="dxa"/>
          <w:bottom w:w="0" w:type="dxa"/>
          <w:right w:w="0" w:type="dxa"/>
        </w:tblCellMar>
        <w:tblLook w:val="01E0"/>
      </w:tblPr>
      <w:tblGrid>
        <w:gridCol w:w="2413"/>
        <w:gridCol w:w="1928"/>
        <w:gridCol w:w="959"/>
        <w:gridCol w:w="1345"/>
        <w:gridCol w:w="1114"/>
        <w:gridCol w:w="1884"/>
      </w:tblGrid>
      <w:tr>
        <w:trPr>
          <w:trHeight w:val="347" w:hRule="exact"/>
        </w:trPr>
        <w:tc>
          <w:tcPr>
            <w:tcW w:w="2413"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20"/>
              <w:ind w:left="10"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2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b/>
                <w:bCs/>
                <w:sz w:val="18"/>
                <w:szCs w:val="18"/>
              </w:rPr>
              <w:t>1年以内</w:t>
            </w:r>
            <w:r>
              <w:rPr>
                <w:rFonts w:ascii="宋体" w:hAnsi="宋体" w:cs="宋体" w:eastAsia="宋体" w:hint="default"/>
                <w:sz w:val="18"/>
                <w:szCs w:val="18"/>
              </w:rPr>
            </w:r>
          </w:p>
        </w:tc>
        <w:tc>
          <w:tcPr>
            <w:tcW w:w="959"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0"/>
              <w:ind w:left="248" w:right="0"/>
              <w:jc w:val="left"/>
              <w:rPr>
                <w:rFonts w:ascii="宋体" w:hAnsi="宋体" w:cs="宋体" w:eastAsia="宋体" w:hint="default"/>
                <w:sz w:val="18"/>
                <w:szCs w:val="18"/>
              </w:rPr>
            </w:pPr>
            <w:r>
              <w:rPr>
                <w:rFonts w:ascii="宋体" w:hAnsi="宋体" w:cs="宋体" w:eastAsia="宋体" w:hint="default"/>
                <w:b/>
                <w:bCs/>
                <w:sz w:val="18"/>
                <w:szCs w:val="18"/>
              </w:rPr>
              <w:t>1-2年</w:t>
            </w:r>
            <w:r>
              <w:rPr>
                <w:rFonts w:ascii="宋体" w:hAnsi="宋体" w:cs="宋体" w:eastAsia="宋体" w:hint="default"/>
                <w:sz w:val="18"/>
                <w:szCs w:val="18"/>
              </w:rPr>
            </w:r>
          </w:p>
        </w:tc>
        <w:tc>
          <w:tcPr>
            <w:tcW w:w="1345"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0"/>
              <w:ind w:left="442" w:right="0"/>
              <w:jc w:val="left"/>
              <w:rPr>
                <w:rFonts w:ascii="宋体" w:hAnsi="宋体" w:cs="宋体" w:eastAsia="宋体" w:hint="default"/>
                <w:sz w:val="18"/>
                <w:szCs w:val="18"/>
              </w:rPr>
            </w:pPr>
            <w:r>
              <w:rPr>
                <w:rFonts w:ascii="宋体" w:hAnsi="宋体" w:cs="宋体" w:eastAsia="宋体" w:hint="default"/>
                <w:b/>
                <w:bCs/>
                <w:sz w:val="18"/>
                <w:szCs w:val="18"/>
              </w:rPr>
              <w:t>2-3年</w:t>
            </w:r>
            <w:r>
              <w:rPr>
                <w:rFonts w:ascii="宋体" w:hAnsi="宋体" w:cs="宋体" w:eastAsia="宋体" w:hint="default"/>
                <w:sz w:val="18"/>
                <w:szCs w:val="18"/>
              </w:rPr>
            </w:r>
          </w:p>
        </w:tc>
        <w:tc>
          <w:tcPr>
            <w:tcW w:w="1114"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0"/>
              <w:ind w:left="237" w:right="0"/>
              <w:jc w:val="left"/>
              <w:rPr>
                <w:rFonts w:ascii="宋体" w:hAnsi="宋体" w:cs="宋体" w:eastAsia="宋体" w:hint="default"/>
                <w:sz w:val="18"/>
                <w:szCs w:val="18"/>
              </w:rPr>
            </w:pPr>
            <w:r>
              <w:rPr>
                <w:rFonts w:ascii="宋体" w:hAnsi="宋体" w:cs="宋体" w:eastAsia="宋体" w:hint="default"/>
                <w:b/>
                <w:bCs/>
                <w:sz w:val="18"/>
                <w:szCs w:val="18"/>
              </w:rPr>
              <w:t>3年以上</w:t>
            </w:r>
            <w:r>
              <w:rPr>
                <w:rFonts w:ascii="宋体" w:hAnsi="宋体" w:cs="宋体" w:eastAsia="宋体" w:hint="default"/>
                <w:sz w:val="18"/>
                <w:szCs w:val="18"/>
              </w:rPr>
            </w:r>
          </w:p>
        </w:tc>
        <w:tc>
          <w:tcPr>
            <w:tcW w:w="1884"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347" w:hRule="exact"/>
        </w:trPr>
        <w:tc>
          <w:tcPr>
            <w:tcW w:w="2413"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21"/>
              <w:ind w:left="10"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92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pacing w:val="-1"/>
                <w:sz w:val="18"/>
              </w:rPr>
              <w:t>150,207,833.26</w:t>
            </w:r>
          </w:p>
        </w:tc>
        <w:tc>
          <w:tcPr>
            <w:tcW w:w="959" w:type="dxa"/>
            <w:tcBorders>
              <w:top w:val="single" w:sz="6" w:space="0" w:color="000000"/>
              <w:left w:val="single" w:sz="4" w:space="0" w:color="000000"/>
              <w:bottom w:val="single" w:sz="6" w:space="0" w:color="000000"/>
              <w:right w:val="single" w:sz="4" w:space="0" w:color="000000"/>
            </w:tcBorders>
          </w:tcPr>
          <w:p>
            <w:pPr/>
          </w:p>
        </w:tc>
        <w:tc>
          <w:tcPr>
            <w:tcW w:w="1345" w:type="dxa"/>
            <w:tcBorders>
              <w:top w:val="single" w:sz="6" w:space="0" w:color="000000"/>
              <w:left w:val="single" w:sz="4" w:space="0" w:color="000000"/>
              <w:bottom w:val="single" w:sz="6" w:space="0" w:color="000000"/>
              <w:right w:val="single" w:sz="4" w:space="0" w:color="000000"/>
            </w:tcBorders>
          </w:tcPr>
          <w:p>
            <w:pPr/>
          </w:p>
        </w:tc>
        <w:tc>
          <w:tcPr>
            <w:tcW w:w="1114" w:type="dxa"/>
            <w:tcBorders>
              <w:top w:val="single" w:sz="6" w:space="0" w:color="000000"/>
              <w:left w:val="single" w:sz="4" w:space="0" w:color="000000"/>
              <w:bottom w:val="single" w:sz="6" w:space="0" w:color="000000"/>
              <w:right w:val="single" w:sz="4" w:space="0" w:color="000000"/>
            </w:tcBorders>
          </w:tcPr>
          <w:p>
            <w:pPr/>
          </w:p>
        </w:tc>
        <w:tc>
          <w:tcPr>
            <w:tcW w:w="1884"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21"/>
              <w:ind w:right="7"/>
              <w:jc w:val="right"/>
              <w:rPr>
                <w:rFonts w:ascii="宋体" w:hAnsi="宋体" w:cs="宋体" w:eastAsia="宋体" w:hint="default"/>
                <w:sz w:val="18"/>
                <w:szCs w:val="18"/>
              </w:rPr>
            </w:pPr>
            <w:r>
              <w:rPr>
                <w:rFonts w:ascii="宋体"/>
                <w:spacing w:val="-1"/>
                <w:sz w:val="18"/>
              </w:rPr>
              <w:t>150,207,833.26</w:t>
            </w:r>
          </w:p>
        </w:tc>
      </w:tr>
      <w:tr>
        <w:trPr>
          <w:trHeight w:val="347" w:hRule="exact"/>
        </w:trPr>
        <w:tc>
          <w:tcPr>
            <w:tcW w:w="2413"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22"/>
              <w:ind w:left="10"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92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spacing w:val="-1"/>
                <w:sz w:val="18"/>
              </w:rPr>
              <w:t>936,410.51</w:t>
            </w:r>
          </w:p>
        </w:tc>
        <w:tc>
          <w:tcPr>
            <w:tcW w:w="959" w:type="dxa"/>
            <w:tcBorders>
              <w:top w:val="single" w:sz="6" w:space="0" w:color="000000"/>
              <w:left w:val="single" w:sz="4" w:space="0" w:color="000000"/>
              <w:bottom w:val="single" w:sz="6" w:space="0" w:color="000000"/>
              <w:right w:val="single" w:sz="4" w:space="0" w:color="000000"/>
            </w:tcBorders>
          </w:tcPr>
          <w:p>
            <w:pPr/>
          </w:p>
        </w:tc>
        <w:tc>
          <w:tcPr>
            <w:tcW w:w="1345" w:type="dxa"/>
            <w:tcBorders>
              <w:top w:val="single" w:sz="6" w:space="0" w:color="000000"/>
              <w:left w:val="single" w:sz="4" w:space="0" w:color="000000"/>
              <w:bottom w:val="single" w:sz="6" w:space="0" w:color="000000"/>
              <w:right w:val="single" w:sz="4" w:space="0" w:color="000000"/>
            </w:tcBorders>
          </w:tcPr>
          <w:p>
            <w:pPr/>
          </w:p>
        </w:tc>
        <w:tc>
          <w:tcPr>
            <w:tcW w:w="1114" w:type="dxa"/>
            <w:tcBorders>
              <w:top w:val="single" w:sz="6" w:space="0" w:color="000000"/>
              <w:left w:val="single" w:sz="4" w:space="0" w:color="000000"/>
              <w:bottom w:val="single" w:sz="6" w:space="0" w:color="000000"/>
              <w:right w:val="single" w:sz="4" w:space="0" w:color="000000"/>
            </w:tcBorders>
          </w:tcPr>
          <w:p>
            <w:pPr/>
          </w:p>
        </w:tc>
        <w:tc>
          <w:tcPr>
            <w:tcW w:w="1884"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22"/>
              <w:ind w:right="7"/>
              <w:jc w:val="right"/>
              <w:rPr>
                <w:rFonts w:ascii="宋体" w:hAnsi="宋体" w:cs="宋体" w:eastAsia="宋体" w:hint="default"/>
                <w:sz w:val="18"/>
                <w:szCs w:val="18"/>
              </w:rPr>
            </w:pPr>
            <w:r>
              <w:rPr>
                <w:rFonts w:ascii="宋体"/>
                <w:spacing w:val="-1"/>
                <w:sz w:val="18"/>
              </w:rPr>
              <w:t>936,410.51</w:t>
            </w:r>
          </w:p>
        </w:tc>
      </w:tr>
      <w:tr>
        <w:trPr>
          <w:trHeight w:val="347" w:hRule="exact"/>
        </w:trPr>
        <w:tc>
          <w:tcPr>
            <w:tcW w:w="2413"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21"/>
              <w:ind w:left="10"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92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pacing w:val="-1"/>
                <w:sz w:val="18"/>
              </w:rPr>
              <w:t>26,465,946.74</w:t>
            </w:r>
          </w:p>
        </w:tc>
        <w:tc>
          <w:tcPr>
            <w:tcW w:w="959" w:type="dxa"/>
            <w:tcBorders>
              <w:top w:val="single" w:sz="6" w:space="0" w:color="000000"/>
              <w:left w:val="single" w:sz="4" w:space="0" w:color="000000"/>
              <w:bottom w:val="single" w:sz="6" w:space="0" w:color="000000"/>
              <w:right w:val="single" w:sz="4" w:space="0" w:color="000000"/>
            </w:tcBorders>
          </w:tcPr>
          <w:p>
            <w:pPr/>
          </w:p>
        </w:tc>
        <w:tc>
          <w:tcPr>
            <w:tcW w:w="1345" w:type="dxa"/>
            <w:tcBorders>
              <w:top w:val="single" w:sz="6" w:space="0" w:color="000000"/>
              <w:left w:val="single" w:sz="4" w:space="0" w:color="000000"/>
              <w:bottom w:val="single" w:sz="6" w:space="0" w:color="000000"/>
              <w:right w:val="single" w:sz="4" w:space="0" w:color="000000"/>
            </w:tcBorders>
          </w:tcPr>
          <w:p>
            <w:pPr/>
          </w:p>
        </w:tc>
        <w:tc>
          <w:tcPr>
            <w:tcW w:w="1114" w:type="dxa"/>
            <w:tcBorders>
              <w:top w:val="single" w:sz="6" w:space="0" w:color="000000"/>
              <w:left w:val="single" w:sz="4" w:space="0" w:color="000000"/>
              <w:bottom w:val="single" w:sz="6" w:space="0" w:color="000000"/>
              <w:right w:val="single" w:sz="4" w:space="0" w:color="000000"/>
            </w:tcBorders>
          </w:tcPr>
          <w:p>
            <w:pPr/>
          </w:p>
        </w:tc>
        <w:tc>
          <w:tcPr>
            <w:tcW w:w="1884"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21"/>
              <w:ind w:right="7"/>
              <w:jc w:val="right"/>
              <w:rPr>
                <w:rFonts w:ascii="宋体" w:hAnsi="宋体" w:cs="宋体" w:eastAsia="宋体" w:hint="default"/>
                <w:sz w:val="18"/>
                <w:szCs w:val="18"/>
              </w:rPr>
            </w:pPr>
            <w:r>
              <w:rPr>
                <w:rFonts w:ascii="宋体"/>
                <w:spacing w:val="-1"/>
                <w:sz w:val="18"/>
              </w:rPr>
              <w:t>26,465,946.74</w:t>
            </w:r>
          </w:p>
        </w:tc>
      </w:tr>
      <w:tr>
        <w:trPr>
          <w:trHeight w:val="347" w:hRule="exact"/>
        </w:trPr>
        <w:tc>
          <w:tcPr>
            <w:tcW w:w="2413"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22"/>
              <w:ind w:left="10"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928" w:type="dxa"/>
            <w:tcBorders>
              <w:top w:val="single" w:sz="6" w:space="0" w:color="000000"/>
              <w:left w:val="single" w:sz="4" w:space="0" w:color="000000"/>
              <w:bottom w:val="single" w:sz="6" w:space="0" w:color="000000"/>
              <w:right w:val="single" w:sz="4" w:space="0" w:color="000000"/>
            </w:tcBorders>
          </w:tcPr>
          <w:p>
            <w:pPr/>
          </w:p>
        </w:tc>
        <w:tc>
          <w:tcPr>
            <w:tcW w:w="959" w:type="dxa"/>
            <w:tcBorders>
              <w:top w:val="single" w:sz="6" w:space="0" w:color="000000"/>
              <w:left w:val="single" w:sz="4" w:space="0" w:color="000000"/>
              <w:bottom w:val="single" w:sz="6" w:space="0" w:color="000000"/>
              <w:right w:val="single" w:sz="4" w:space="0" w:color="000000"/>
            </w:tcBorders>
          </w:tcPr>
          <w:p>
            <w:pPr/>
          </w:p>
        </w:tc>
        <w:tc>
          <w:tcPr>
            <w:tcW w:w="1345" w:type="dxa"/>
            <w:tcBorders>
              <w:top w:val="single" w:sz="6" w:space="0" w:color="000000"/>
              <w:left w:val="single" w:sz="4" w:space="0" w:color="000000"/>
              <w:bottom w:val="single" w:sz="6" w:space="0" w:color="000000"/>
              <w:right w:val="single" w:sz="4" w:space="0" w:color="000000"/>
            </w:tcBorders>
          </w:tcPr>
          <w:p>
            <w:pPr/>
          </w:p>
        </w:tc>
        <w:tc>
          <w:tcPr>
            <w:tcW w:w="1114" w:type="dxa"/>
            <w:tcBorders>
              <w:top w:val="single" w:sz="6" w:space="0" w:color="000000"/>
              <w:left w:val="single" w:sz="4" w:space="0" w:color="000000"/>
              <w:bottom w:val="single" w:sz="6" w:space="0" w:color="000000"/>
              <w:right w:val="single" w:sz="4" w:space="0" w:color="000000"/>
            </w:tcBorders>
          </w:tcPr>
          <w:p>
            <w:pPr/>
          </w:p>
        </w:tc>
        <w:tc>
          <w:tcPr>
            <w:tcW w:w="1884" w:type="dxa"/>
            <w:tcBorders>
              <w:top w:val="single" w:sz="6" w:space="0" w:color="000000"/>
              <w:left w:val="single" w:sz="4" w:space="0" w:color="000000"/>
              <w:bottom w:val="single" w:sz="6" w:space="0" w:color="000000"/>
              <w:right w:val="nil" w:sz="6" w:space="0" w:color="auto"/>
            </w:tcBorders>
          </w:tcPr>
          <w:p>
            <w:pPr/>
          </w:p>
        </w:tc>
      </w:tr>
      <w:tr>
        <w:trPr>
          <w:trHeight w:val="347" w:hRule="exact"/>
        </w:trPr>
        <w:tc>
          <w:tcPr>
            <w:tcW w:w="2413"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20"/>
              <w:ind w:left="10"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928" w:type="dxa"/>
            <w:tcBorders>
              <w:top w:val="single" w:sz="6" w:space="0" w:color="000000"/>
              <w:left w:val="single" w:sz="4" w:space="0" w:color="000000"/>
              <w:bottom w:val="single" w:sz="6" w:space="0" w:color="000000"/>
              <w:right w:val="single" w:sz="4" w:space="0" w:color="000000"/>
            </w:tcBorders>
          </w:tcPr>
          <w:p>
            <w:pPr/>
          </w:p>
        </w:tc>
        <w:tc>
          <w:tcPr>
            <w:tcW w:w="959" w:type="dxa"/>
            <w:tcBorders>
              <w:top w:val="single" w:sz="6" w:space="0" w:color="000000"/>
              <w:left w:val="single" w:sz="4" w:space="0" w:color="000000"/>
              <w:bottom w:val="single" w:sz="6" w:space="0" w:color="000000"/>
              <w:right w:val="single" w:sz="4" w:space="0" w:color="000000"/>
            </w:tcBorders>
          </w:tcPr>
          <w:p>
            <w:pPr/>
          </w:p>
        </w:tc>
        <w:tc>
          <w:tcPr>
            <w:tcW w:w="1345"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4,248,919.98</w:t>
            </w:r>
          </w:p>
        </w:tc>
        <w:tc>
          <w:tcPr>
            <w:tcW w:w="1114" w:type="dxa"/>
            <w:tcBorders>
              <w:top w:val="single" w:sz="6" w:space="0" w:color="000000"/>
              <w:left w:val="single" w:sz="4" w:space="0" w:color="000000"/>
              <w:bottom w:val="single" w:sz="6" w:space="0" w:color="000000"/>
              <w:right w:val="single" w:sz="4" w:space="0" w:color="000000"/>
            </w:tcBorders>
          </w:tcPr>
          <w:p>
            <w:pPr/>
          </w:p>
        </w:tc>
        <w:tc>
          <w:tcPr>
            <w:tcW w:w="1884"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20"/>
              <w:ind w:right="7"/>
              <w:jc w:val="right"/>
              <w:rPr>
                <w:rFonts w:ascii="宋体" w:hAnsi="宋体" w:cs="宋体" w:eastAsia="宋体" w:hint="default"/>
                <w:sz w:val="18"/>
                <w:szCs w:val="18"/>
              </w:rPr>
            </w:pPr>
            <w:r>
              <w:rPr>
                <w:rFonts w:ascii="宋体"/>
                <w:spacing w:val="-1"/>
                <w:sz w:val="18"/>
              </w:rPr>
              <w:t>4,248,919.98</w:t>
            </w:r>
          </w:p>
        </w:tc>
      </w:tr>
      <w:tr>
        <w:trPr>
          <w:trHeight w:val="340" w:hRule="exact"/>
        </w:trPr>
        <w:tc>
          <w:tcPr>
            <w:tcW w:w="2413" w:type="dxa"/>
            <w:tcBorders>
              <w:top w:val="single" w:sz="6" w:space="0" w:color="000000"/>
              <w:left w:val="nil" w:sz="6" w:space="0" w:color="auto"/>
              <w:bottom w:val="nil" w:sz="6" w:space="0" w:color="auto"/>
              <w:right w:val="single" w:sz="4" w:space="0" w:color="000000"/>
            </w:tcBorders>
          </w:tcPr>
          <w:p>
            <w:pPr>
              <w:pStyle w:val="TableParagraph"/>
              <w:spacing w:line="240" w:lineRule="auto" w:before="21"/>
              <w:ind w:left="1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合计</w:t>
            </w:r>
            <w:r>
              <w:rPr>
                <w:rFonts w:ascii="宋体" w:hAnsi="宋体" w:cs="宋体" w:eastAsia="宋体" w:hint="default"/>
                <w:sz w:val="18"/>
                <w:szCs w:val="18"/>
              </w:rPr>
            </w:r>
          </w:p>
        </w:tc>
        <w:tc>
          <w:tcPr>
            <w:tcW w:w="1928" w:type="dxa"/>
            <w:tcBorders>
              <w:top w:val="single" w:sz="6" w:space="0" w:color="000000"/>
              <w:left w:val="single" w:sz="4" w:space="0" w:color="000000"/>
              <w:bottom w:val="nil" w:sz="6" w:space="0" w:color="auto"/>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r>
            <w:r>
              <w:rPr>
                <w:rFonts w:ascii="宋体"/>
                <w:spacing w:val="-1"/>
                <w:sz w:val="18"/>
                <w:u w:val="single" w:color="000000"/>
              </w:rPr>
              <w:t>177,610,190.51</w:t>
            </w:r>
            <w:r>
              <w:rPr>
                <w:rFonts w:ascii="宋体"/>
                <w:spacing w:val="-1"/>
                <w:sz w:val="18"/>
              </w:rPr>
            </w:r>
          </w:p>
        </w:tc>
        <w:tc>
          <w:tcPr>
            <w:tcW w:w="959" w:type="dxa"/>
            <w:tcBorders>
              <w:top w:val="single" w:sz="6" w:space="0" w:color="000000"/>
              <w:left w:val="single" w:sz="4" w:space="0" w:color="000000"/>
              <w:bottom w:val="nil" w:sz="6" w:space="0" w:color="auto"/>
              <w:right w:val="single" w:sz="4" w:space="0" w:color="000000"/>
            </w:tcBorders>
          </w:tcPr>
          <w:p>
            <w:pPr/>
          </w:p>
        </w:tc>
        <w:tc>
          <w:tcPr>
            <w:tcW w:w="1345" w:type="dxa"/>
            <w:tcBorders>
              <w:top w:val="single" w:sz="6" w:space="0" w:color="000000"/>
              <w:left w:val="single" w:sz="4" w:space="0" w:color="000000"/>
              <w:bottom w:val="nil" w:sz="6" w:space="0" w:color="auto"/>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r>
            <w:r>
              <w:rPr>
                <w:rFonts w:ascii="宋体"/>
                <w:spacing w:val="-1"/>
                <w:sz w:val="18"/>
                <w:u w:val="single" w:color="000000"/>
              </w:rPr>
              <w:t>4,248,919.98</w:t>
            </w:r>
            <w:r>
              <w:rPr>
                <w:rFonts w:ascii="宋体"/>
                <w:spacing w:val="-1"/>
                <w:sz w:val="18"/>
              </w:rPr>
            </w:r>
          </w:p>
        </w:tc>
        <w:tc>
          <w:tcPr>
            <w:tcW w:w="1114" w:type="dxa"/>
            <w:tcBorders>
              <w:top w:val="single" w:sz="6" w:space="0" w:color="000000"/>
              <w:left w:val="single" w:sz="4" w:space="0" w:color="000000"/>
              <w:bottom w:val="nil" w:sz="6" w:space="0" w:color="auto"/>
              <w:right w:val="single" w:sz="4" w:space="0" w:color="000000"/>
            </w:tcBorders>
          </w:tcPr>
          <w:p>
            <w:pPr/>
          </w:p>
        </w:tc>
        <w:tc>
          <w:tcPr>
            <w:tcW w:w="1884" w:type="dxa"/>
            <w:tcBorders>
              <w:top w:val="single" w:sz="6" w:space="0" w:color="000000"/>
              <w:left w:val="single" w:sz="4" w:space="0" w:color="000000"/>
              <w:bottom w:val="nil" w:sz="6" w:space="0" w:color="auto"/>
              <w:right w:val="nil" w:sz="6" w:space="0" w:color="auto"/>
            </w:tcBorders>
          </w:tcPr>
          <w:p>
            <w:pPr>
              <w:pStyle w:val="TableParagraph"/>
              <w:spacing w:line="240" w:lineRule="auto" w:before="21"/>
              <w:ind w:right="7"/>
              <w:jc w:val="right"/>
              <w:rPr>
                <w:rFonts w:ascii="宋体" w:hAnsi="宋体" w:cs="宋体" w:eastAsia="宋体" w:hint="default"/>
                <w:sz w:val="18"/>
                <w:szCs w:val="18"/>
              </w:rPr>
            </w:pPr>
            <w:r>
              <w:rPr>
                <w:rFonts w:ascii="宋体"/>
                <w:sz w:val="18"/>
              </w:rPr>
            </w:r>
            <w:r>
              <w:rPr>
                <w:rFonts w:ascii="宋体"/>
                <w:spacing w:val="-1"/>
                <w:sz w:val="18"/>
                <w:u w:val="single" w:color="000000"/>
              </w:rPr>
              <w:t>181,859,110.49</w:t>
            </w:r>
            <w:r>
              <w:rPr>
                <w:rFonts w:ascii="宋体"/>
                <w:spacing w:val="-1"/>
                <w:sz w:val="18"/>
              </w:rPr>
            </w:r>
          </w:p>
        </w:tc>
      </w:tr>
    </w:tbl>
    <w:p>
      <w:pPr>
        <w:pStyle w:val="BodyText"/>
        <w:spacing w:line="240" w:lineRule="auto" w:before="3"/>
        <w:ind w:left="552" w:right="1124"/>
        <w:jc w:val="left"/>
      </w:pPr>
      <w:r>
        <w:rPr/>
        <w:t>截至2019年12月31日止</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1"/>
          <w:szCs w:val="11"/>
        </w:rPr>
      </w:pPr>
    </w:p>
    <w:tbl>
      <w:tblPr>
        <w:tblW w:w="0" w:type="auto"/>
        <w:jc w:val="left"/>
        <w:tblInd w:w="126" w:type="dxa"/>
        <w:tblLayout w:type="fixed"/>
        <w:tblCellMar>
          <w:top w:w="0" w:type="dxa"/>
          <w:left w:w="0" w:type="dxa"/>
          <w:bottom w:w="0" w:type="dxa"/>
          <w:right w:w="0" w:type="dxa"/>
        </w:tblCellMar>
        <w:tblLook w:val="01E0"/>
      </w:tblPr>
      <w:tblGrid>
        <w:gridCol w:w="2413"/>
        <w:gridCol w:w="1878"/>
        <w:gridCol w:w="1009"/>
        <w:gridCol w:w="1345"/>
        <w:gridCol w:w="1114"/>
        <w:gridCol w:w="1884"/>
      </w:tblGrid>
      <w:tr>
        <w:trPr>
          <w:trHeight w:val="347" w:hRule="exact"/>
        </w:trPr>
        <w:tc>
          <w:tcPr>
            <w:tcW w:w="2413"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20"/>
              <w:ind w:left="10"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7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0"/>
              <w:ind w:left="619" w:right="0"/>
              <w:jc w:val="left"/>
              <w:rPr>
                <w:rFonts w:ascii="宋体" w:hAnsi="宋体" w:cs="宋体" w:eastAsia="宋体" w:hint="default"/>
                <w:sz w:val="18"/>
                <w:szCs w:val="18"/>
              </w:rPr>
            </w:pPr>
            <w:r>
              <w:rPr>
                <w:rFonts w:ascii="宋体" w:hAnsi="宋体" w:cs="宋体" w:eastAsia="宋体" w:hint="default"/>
                <w:b/>
                <w:bCs/>
                <w:sz w:val="18"/>
                <w:szCs w:val="18"/>
              </w:rPr>
              <w:t>1年以内</w:t>
            </w:r>
            <w:r>
              <w:rPr>
                <w:rFonts w:ascii="宋体" w:hAnsi="宋体" w:cs="宋体" w:eastAsia="宋体" w:hint="default"/>
                <w:sz w:val="18"/>
                <w:szCs w:val="18"/>
              </w:rPr>
            </w:r>
          </w:p>
        </w:tc>
        <w:tc>
          <w:tcPr>
            <w:tcW w:w="1009"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0"/>
              <w:ind w:left="275" w:right="0"/>
              <w:jc w:val="left"/>
              <w:rPr>
                <w:rFonts w:ascii="宋体" w:hAnsi="宋体" w:cs="宋体" w:eastAsia="宋体" w:hint="default"/>
                <w:sz w:val="18"/>
                <w:szCs w:val="18"/>
              </w:rPr>
            </w:pPr>
            <w:r>
              <w:rPr>
                <w:rFonts w:ascii="宋体" w:hAnsi="宋体" w:cs="宋体" w:eastAsia="宋体" w:hint="default"/>
                <w:b/>
                <w:bCs/>
                <w:sz w:val="18"/>
                <w:szCs w:val="18"/>
              </w:rPr>
              <w:t>1-2年</w:t>
            </w:r>
            <w:r>
              <w:rPr>
                <w:rFonts w:ascii="宋体" w:hAnsi="宋体" w:cs="宋体" w:eastAsia="宋体" w:hint="default"/>
                <w:sz w:val="18"/>
                <w:szCs w:val="18"/>
              </w:rPr>
            </w:r>
          </w:p>
        </w:tc>
        <w:tc>
          <w:tcPr>
            <w:tcW w:w="1345"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0"/>
              <w:ind w:left="442" w:right="0"/>
              <w:jc w:val="left"/>
              <w:rPr>
                <w:rFonts w:ascii="宋体" w:hAnsi="宋体" w:cs="宋体" w:eastAsia="宋体" w:hint="default"/>
                <w:sz w:val="18"/>
                <w:szCs w:val="18"/>
              </w:rPr>
            </w:pPr>
            <w:r>
              <w:rPr>
                <w:rFonts w:ascii="宋体" w:hAnsi="宋体" w:cs="宋体" w:eastAsia="宋体" w:hint="default"/>
                <w:b/>
                <w:bCs/>
                <w:sz w:val="18"/>
                <w:szCs w:val="18"/>
              </w:rPr>
              <w:t>2-3年</w:t>
            </w:r>
            <w:r>
              <w:rPr>
                <w:rFonts w:ascii="宋体" w:hAnsi="宋体" w:cs="宋体" w:eastAsia="宋体" w:hint="default"/>
                <w:sz w:val="18"/>
                <w:szCs w:val="18"/>
              </w:rPr>
            </w:r>
          </w:p>
        </w:tc>
        <w:tc>
          <w:tcPr>
            <w:tcW w:w="1114"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0"/>
              <w:ind w:left="237" w:right="0"/>
              <w:jc w:val="left"/>
              <w:rPr>
                <w:rFonts w:ascii="宋体" w:hAnsi="宋体" w:cs="宋体" w:eastAsia="宋体" w:hint="default"/>
                <w:sz w:val="18"/>
                <w:szCs w:val="18"/>
              </w:rPr>
            </w:pPr>
            <w:r>
              <w:rPr>
                <w:rFonts w:ascii="宋体" w:hAnsi="宋体" w:cs="宋体" w:eastAsia="宋体" w:hint="default"/>
                <w:b/>
                <w:bCs/>
                <w:sz w:val="18"/>
                <w:szCs w:val="18"/>
              </w:rPr>
              <w:t>3年以上</w:t>
            </w:r>
            <w:r>
              <w:rPr>
                <w:rFonts w:ascii="宋体" w:hAnsi="宋体" w:cs="宋体" w:eastAsia="宋体" w:hint="default"/>
                <w:sz w:val="18"/>
                <w:szCs w:val="18"/>
              </w:rPr>
            </w:r>
          </w:p>
        </w:tc>
        <w:tc>
          <w:tcPr>
            <w:tcW w:w="1884"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347" w:hRule="exact"/>
        </w:trPr>
        <w:tc>
          <w:tcPr>
            <w:tcW w:w="2413"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21"/>
              <w:ind w:left="10"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87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pacing w:val="-1"/>
                <w:sz w:val="18"/>
              </w:rPr>
              <w:t>235,000,000.00</w:t>
            </w:r>
          </w:p>
        </w:tc>
        <w:tc>
          <w:tcPr>
            <w:tcW w:w="1009" w:type="dxa"/>
            <w:tcBorders>
              <w:top w:val="single" w:sz="6" w:space="0" w:color="000000"/>
              <w:left w:val="single" w:sz="4" w:space="0" w:color="000000"/>
              <w:bottom w:val="single" w:sz="6" w:space="0" w:color="000000"/>
              <w:right w:val="single" w:sz="4" w:space="0" w:color="000000"/>
            </w:tcBorders>
          </w:tcPr>
          <w:p>
            <w:pPr/>
          </w:p>
        </w:tc>
        <w:tc>
          <w:tcPr>
            <w:tcW w:w="1345" w:type="dxa"/>
            <w:tcBorders>
              <w:top w:val="single" w:sz="6" w:space="0" w:color="000000"/>
              <w:left w:val="single" w:sz="4" w:space="0" w:color="000000"/>
              <w:bottom w:val="single" w:sz="6" w:space="0" w:color="000000"/>
              <w:right w:val="single" w:sz="4" w:space="0" w:color="000000"/>
            </w:tcBorders>
          </w:tcPr>
          <w:p>
            <w:pPr/>
          </w:p>
        </w:tc>
        <w:tc>
          <w:tcPr>
            <w:tcW w:w="1114" w:type="dxa"/>
            <w:tcBorders>
              <w:top w:val="single" w:sz="6" w:space="0" w:color="000000"/>
              <w:left w:val="single" w:sz="4" w:space="0" w:color="000000"/>
              <w:bottom w:val="single" w:sz="6" w:space="0" w:color="000000"/>
              <w:right w:val="single" w:sz="4" w:space="0" w:color="000000"/>
            </w:tcBorders>
          </w:tcPr>
          <w:p>
            <w:pPr/>
          </w:p>
        </w:tc>
        <w:tc>
          <w:tcPr>
            <w:tcW w:w="1884"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21"/>
              <w:ind w:right="7"/>
              <w:jc w:val="right"/>
              <w:rPr>
                <w:rFonts w:ascii="宋体" w:hAnsi="宋体" w:cs="宋体" w:eastAsia="宋体" w:hint="default"/>
                <w:sz w:val="18"/>
                <w:szCs w:val="18"/>
              </w:rPr>
            </w:pPr>
            <w:r>
              <w:rPr>
                <w:rFonts w:ascii="宋体"/>
                <w:spacing w:val="-1"/>
                <w:sz w:val="18"/>
              </w:rPr>
              <w:t>235,000,000.00</w:t>
            </w:r>
          </w:p>
        </w:tc>
      </w:tr>
      <w:tr>
        <w:trPr>
          <w:trHeight w:val="347" w:hRule="exact"/>
        </w:trPr>
        <w:tc>
          <w:tcPr>
            <w:tcW w:w="2413"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20"/>
              <w:ind w:left="10"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87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2,031,543.16</w:t>
            </w:r>
          </w:p>
        </w:tc>
        <w:tc>
          <w:tcPr>
            <w:tcW w:w="1009" w:type="dxa"/>
            <w:tcBorders>
              <w:top w:val="single" w:sz="6" w:space="0" w:color="000000"/>
              <w:left w:val="single" w:sz="4" w:space="0" w:color="000000"/>
              <w:bottom w:val="single" w:sz="6" w:space="0" w:color="000000"/>
              <w:right w:val="single" w:sz="4" w:space="0" w:color="000000"/>
            </w:tcBorders>
          </w:tcPr>
          <w:p>
            <w:pPr/>
          </w:p>
        </w:tc>
        <w:tc>
          <w:tcPr>
            <w:tcW w:w="1345" w:type="dxa"/>
            <w:tcBorders>
              <w:top w:val="single" w:sz="6" w:space="0" w:color="000000"/>
              <w:left w:val="single" w:sz="4" w:space="0" w:color="000000"/>
              <w:bottom w:val="single" w:sz="6" w:space="0" w:color="000000"/>
              <w:right w:val="single" w:sz="4" w:space="0" w:color="000000"/>
            </w:tcBorders>
          </w:tcPr>
          <w:p>
            <w:pPr/>
          </w:p>
        </w:tc>
        <w:tc>
          <w:tcPr>
            <w:tcW w:w="1114" w:type="dxa"/>
            <w:tcBorders>
              <w:top w:val="single" w:sz="6" w:space="0" w:color="000000"/>
              <w:left w:val="single" w:sz="4" w:space="0" w:color="000000"/>
              <w:bottom w:val="single" w:sz="6" w:space="0" w:color="000000"/>
              <w:right w:val="single" w:sz="4" w:space="0" w:color="000000"/>
            </w:tcBorders>
          </w:tcPr>
          <w:p>
            <w:pPr/>
          </w:p>
        </w:tc>
        <w:tc>
          <w:tcPr>
            <w:tcW w:w="1884"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20"/>
              <w:ind w:right="7"/>
              <w:jc w:val="right"/>
              <w:rPr>
                <w:rFonts w:ascii="宋体" w:hAnsi="宋体" w:cs="宋体" w:eastAsia="宋体" w:hint="default"/>
                <w:sz w:val="18"/>
                <w:szCs w:val="18"/>
              </w:rPr>
            </w:pPr>
            <w:r>
              <w:rPr>
                <w:rFonts w:ascii="宋体"/>
                <w:spacing w:val="-1"/>
                <w:sz w:val="18"/>
              </w:rPr>
              <w:t>2,031,543.16</w:t>
            </w:r>
          </w:p>
        </w:tc>
      </w:tr>
      <w:tr>
        <w:trPr>
          <w:trHeight w:val="338" w:hRule="exact"/>
        </w:trPr>
        <w:tc>
          <w:tcPr>
            <w:tcW w:w="2413" w:type="dxa"/>
            <w:tcBorders>
              <w:top w:val="single" w:sz="6" w:space="0" w:color="000000"/>
              <w:left w:val="nil" w:sz="6" w:space="0" w:color="auto"/>
              <w:bottom w:val="nil" w:sz="6" w:space="0" w:color="auto"/>
              <w:right w:val="single" w:sz="4" w:space="0" w:color="000000"/>
            </w:tcBorders>
          </w:tcPr>
          <w:p>
            <w:pPr>
              <w:pStyle w:val="TableParagraph"/>
              <w:spacing w:line="240" w:lineRule="auto" w:before="21"/>
              <w:ind w:left="10"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878" w:type="dxa"/>
            <w:tcBorders>
              <w:top w:val="single" w:sz="6" w:space="0" w:color="000000"/>
              <w:left w:val="single" w:sz="4" w:space="0" w:color="000000"/>
              <w:bottom w:val="nil" w:sz="6" w:space="0" w:color="auto"/>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pacing w:val="-1"/>
                <w:sz w:val="18"/>
              </w:rPr>
              <w:t>39,668,160.21</w:t>
            </w:r>
          </w:p>
        </w:tc>
        <w:tc>
          <w:tcPr>
            <w:tcW w:w="1009" w:type="dxa"/>
            <w:tcBorders>
              <w:top w:val="single" w:sz="6" w:space="0" w:color="000000"/>
              <w:left w:val="single" w:sz="4" w:space="0" w:color="000000"/>
              <w:bottom w:val="nil" w:sz="6" w:space="0" w:color="auto"/>
              <w:right w:val="single" w:sz="4" w:space="0" w:color="000000"/>
            </w:tcBorders>
          </w:tcPr>
          <w:p>
            <w:pPr/>
          </w:p>
        </w:tc>
        <w:tc>
          <w:tcPr>
            <w:tcW w:w="1345" w:type="dxa"/>
            <w:tcBorders>
              <w:top w:val="single" w:sz="6" w:space="0" w:color="000000"/>
              <w:left w:val="single" w:sz="4" w:space="0" w:color="000000"/>
              <w:bottom w:val="nil" w:sz="6" w:space="0" w:color="auto"/>
              <w:right w:val="single" w:sz="4" w:space="0" w:color="000000"/>
            </w:tcBorders>
          </w:tcPr>
          <w:p>
            <w:pPr/>
          </w:p>
        </w:tc>
        <w:tc>
          <w:tcPr>
            <w:tcW w:w="1114" w:type="dxa"/>
            <w:tcBorders>
              <w:top w:val="single" w:sz="6" w:space="0" w:color="000000"/>
              <w:left w:val="single" w:sz="4" w:space="0" w:color="000000"/>
              <w:bottom w:val="nil" w:sz="6" w:space="0" w:color="auto"/>
              <w:right w:val="single" w:sz="4" w:space="0" w:color="000000"/>
            </w:tcBorders>
          </w:tcPr>
          <w:p>
            <w:pPr/>
          </w:p>
        </w:tc>
        <w:tc>
          <w:tcPr>
            <w:tcW w:w="1884" w:type="dxa"/>
            <w:tcBorders>
              <w:top w:val="single" w:sz="6" w:space="0" w:color="000000"/>
              <w:left w:val="single" w:sz="4" w:space="0" w:color="000000"/>
              <w:bottom w:val="nil" w:sz="6" w:space="0" w:color="auto"/>
              <w:right w:val="nil" w:sz="6" w:space="0" w:color="auto"/>
            </w:tcBorders>
          </w:tcPr>
          <w:p>
            <w:pPr>
              <w:pStyle w:val="TableParagraph"/>
              <w:spacing w:line="240" w:lineRule="auto" w:before="21"/>
              <w:ind w:right="7"/>
              <w:jc w:val="right"/>
              <w:rPr>
                <w:rFonts w:ascii="宋体" w:hAnsi="宋体" w:cs="宋体" w:eastAsia="宋体" w:hint="default"/>
                <w:sz w:val="18"/>
                <w:szCs w:val="18"/>
              </w:rPr>
            </w:pPr>
            <w:r>
              <w:rPr>
                <w:rFonts w:ascii="宋体"/>
                <w:spacing w:val="-1"/>
                <w:sz w:val="18"/>
              </w:rPr>
              <w:t>39,668,160.21</w:t>
            </w:r>
          </w:p>
        </w:tc>
      </w:tr>
    </w:tbl>
    <w:p>
      <w:pPr>
        <w:spacing w:after="0" w:line="240" w:lineRule="auto"/>
        <w:jc w:val="right"/>
        <w:rPr>
          <w:rFonts w:ascii="宋体" w:hAnsi="宋体" w:cs="宋体" w:eastAsia="宋体" w:hint="default"/>
          <w:sz w:val="18"/>
          <w:szCs w:val="18"/>
        </w:rPr>
        <w:sectPr>
          <w:pgSz w:w="11910" w:h="16840"/>
          <w:pgMar w:header="919" w:footer="1016" w:top="1120" w:bottom="1200" w:left="1000" w:right="0"/>
        </w:sectPr>
      </w:pPr>
    </w:p>
    <w:p>
      <w:pPr>
        <w:spacing w:line="240" w:lineRule="auto" w:before="5"/>
        <w:rPr>
          <w:rFonts w:ascii="宋体" w:hAnsi="宋体" w:cs="宋体" w:eastAsia="宋体" w:hint="default"/>
          <w:sz w:val="23"/>
          <w:szCs w:val="23"/>
        </w:rPr>
      </w:pPr>
    </w:p>
    <w:tbl>
      <w:tblPr>
        <w:tblW w:w="0" w:type="auto"/>
        <w:jc w:val="left"/>
        <w:tblInd w:w="106" w:type="dxa"/>
        <w:tblLayout w:type="fixed"/>
        <w:tblCellMar>
          <w:top w:w="0" w:type="dxa"/>
          <w:left w:w="0" w:type="dxa"/>
          <w:bottom w:w="0" w:type="dxa"/>
          <w:right w:w="0" w:type="dxa"/>
        </w:tblCellMar>
        <w:tblLook w:val="01E0"/>
      </w:tblPr>
      <w:tblGrid>
        <w:gridCol w:w="2413"/>
        <w:gridCol w:w="1878"/>
        <w:gridCol w:w="1009"/>
        <w:gridCol w:w="1345"/>
        <w:gridCol w:w="1114"/>
        <w:gridCol w:w="1884"/>
      </w:tblGrid>
      <w:tr>
        <w:trPr>
          <w:trHeight w:val="347" w:hRule="exact"/>
        </w:trPr>
        <w:tc>
          <w:tcPr>
            <w:tcW w:w="2413"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21"/>
              <w:ind w:left="10"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87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pacing w:val="-1"/>
                <w:sz w:val="18"/>
              </w:rPr>
              <w:t>717,965.33</w:t>
            </w:r>
          </w:p>
        </w:tc>
        <w:tc>
          <w:tcPr>
            <w:tcW w:w="1009" w:type="dxa"/>
            <w:tcBorders>
              <w:top w:val="single" w:sz="6" w:space="0" w:color="000000"/>
              <w:left w:val="single" w:sz="4" w:space="0" w:color="000000"/>
              <w:bottom w:val="single" w:sz="6" w:space="0" w:color="000000"/>
              <w:right w:val="single" w:sz="4" w:space="0" w:color="000000"/>
            </w:tcBorders>
          </w:tcPr>
          <w:p>
            <w:pPr/>
          </w:p>
        </w:tc>
        <w:tc>
          <w:tcPr>
            <w:tcW w:w="1345" w:type="dxa"/>
            <w:tcBorders>
              <w:top w:val="single" w:sz="6" w:space="0" w:color="000000"/>
              <w:left w:val="single" w:sz="4" w:space="0" w:color="000000"/>
              <w:bottom w:val="single" w:sz="6" w:space="0" w:color="000000"/>
              <w:right w:val="single" w:sz="4" w:space="0" w:color="000000"/>
            </w:tcBorders>
          </w:tcPr>
          <w:p>
            <w:pPr/>
          </w:p>
        </w:tc>
        <w:tc>
          <w:tcPr>
            <w:tcW w:w="1114" w:type="dxa"/>
            <w:tcBorders>
              <w:top w:val="single" w:sz="6" w:space="0" w:color="000000"/>
              <w:left w:val="single" w:sz="4" w:space="0" w:color="000000"/>
              <w:bottom w:val="single" w:sz="6" w:space="0" w:color="000000"/>
              <w:right w:val="single" w:sz="4" w:space="0" w:color="000000"/>
            </w:tcBorders>
          </w:tcPr>
          <w:p>
            <w:pPr/>
          </w:p>
        </w:tc>
        <w:tc>
          <w:tcPr>
            <w:tcW w:w="1884"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21"/>
              <w:ind w:right="7"/>
              <w:jc w:val="right"/>
              <w:rPr>
                <w:rFonts w:ascii="宋体" w:hAnsi="宋体" w:cs="宋体" w:eastAsia="宋体" w:hint="default"/>
                <w:sz w:val="18"/>
                <w:szCs w:val="18"/>
              </w:rPr>
            </w:pPr>
            <w:r>
              <w:rPr>
                <w:rFonts w:ascii="宋体"/>
                <w:spacing w:val="-1"/>
                <w:sz w:val="18"/>
              </w:rPr>
              <w:t>717,965.33</w:t>
            </w:r>
          </w:p>
        </w:tc>
      </w:tr>
      <w:tr>
        <w:trPr>
          <w:trHeight w:val="347" w:hRule="exact"/>
        </w:trPr>
        <w:tc>
          <w:tcPr>
            <w:tcW w:w="2413"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22"/>
              <w:ind w:left="10"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878" w:type="dxa"/>
            <w:tcBorders>
              <w:top w:val="single" w:sz="6" w:space="0" w:color="000000"/>
              <w:left w:val="single" w:sz="4" w:space="0" w:color="000000"/>
              <w:bottom w:val="single" w:sz="6" w:space="0" w:color="000000"/>
              <w:right w:val="single" w:sz="4" w:space="0" w:color="000000"/>
            </w:tcBorders>
          </w:tcPr>
          <w:p>
            <w:pPr/>
          </w:p>
        </w:tc>
        <w:tc>
          <w:tcPr>
            <w:tcW w:w="1009" w:type="dxa"/>
            <w:tcBorders>
              <w:top w:val="single" w:sz="6" w:space="0" w:color="000000"/>
              <w:left w:val="single" w:sz="4" w:space="0" w:color="000000"/>
              <w:bottom w:val="single" w:sz="6" w:space="0" w:color="000000"/>
              <w:right w:val="single" w:sz="4" w:space="0" w:color="000000"/>
            </w:tcBorders>
          </w:tcPr>
          <w:p>
            <w:pPr/>
          </w:p>
        </w:tc>
        <w:tc>
          <w:tcPr>
            <w:tcW w:w="1345"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spacing w:val="-1"/>
                <w:sz w:val="18"/>
              </w:rPr>
              <w:t>4,243,144.59</w:t>
            </w:r>
          </w:p>
        </w:tc>
        <w:tc>
          <w:tcPr>
            <w:tcW w:w="1114" w:type="dxa"/>
            <w:tcBorders>
              <w:top w:val="single" w:sz="6" w:space="0" w:color="000000"/>
              <w:left w:val="single" w:sz="4" w:space="0" w:color="000000"/>
              <w:bottom w:val="single" w:sz="6" w:space="0" w:color="000000"/>
              <w:right w:val="single" w:sz="4" w:space="0" w:color="000000"/>
            </w:tcBorders>
          </w:tcPr>
          <w:p>
            <w:pPr/>
          </w:p>
        </w:tc>
        <w:tc>
          <w:tcPr>
            <w:tcW w:w="1884"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22"/>
              <w:ind w:right="7"/>
              <w:jc w:val="right"/>
              <w:rPr>
                <w:rFonts w:ascii="宋体" w:hAnsi="宋体" w:cs="宋体" w:eastAsia="宋体" w:hint="default"/>
                <w:sz w:val="18"/>
                <w:szCs w:val="18"/>
              </w:rPr>
            </w:pPr>
            <w:r>
              <w:rPr>
                <w:rFonts w:ascii="宋体"/>
                <w:spacing w:val="-1"/>
                <w:sz w:val="18"/>
              </w:rPr>
              <w:t>4,243,144.59</w:t>
            </w:r>
          </w:p>
        </w:tc>
      </w:tr>
      <w:tr>
        <w:trPr>
          <w:trHeight w:val="340" w:hRule="exact"/>
        </w:trPr>
        <w:tc>
          <w:tcPr>
            <w:tcW w:w="2413" w:type="dxa"/>
            <w:tcBorders>
              <w:top w:val="single" w:sz="6" w:space="0" w:color="000000"/>
              <w:left w:val="nil" w:sz="6" w:space="0" w:color="auto"/>
              <w:bottom w:val="nil" w:sz="6" w:space="0" w:color="auto"/>
              <w:right w:val="single" w:sz="4" w:space="0" w:color="000000"/>
            </w:tcBorders>
          </w:tcPr>
          <w:p>
            <w:pPr>
              <w:pStyle w:val="TableParagraph"/>
              <w:spacing w:line="240" w:lineRule="auto" w:before="20"/>
              <w:ind w:left="1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合计</w:t>
            </w:r>
            <w:r>
              <w:rPr>
                <w:rFonts w:ascii="宋体" w:hAnsi="宋体" w:cs="宋体" w:eastAsia="宋体" w:hint="default"/>
                <w:sz w:val="18"/>
                <w:szCs w:val="18"/>
              </w:rPr>
            </w:r>
          </w:p>
        </w:tc>
        <w:tc>
          <w:tcPr>
            <w:tcW w:w="1878" w:type="dxa"/>
            <w:tcBorders>
              <w:top w:val="single" w:sz="6" w:space="0" w:color="000000"/>
              <w:left w:val="single" w:sz="4" w:space="0" w:color="000000"/>
              <w:bottom w:val="nil" w:sz="6" w:space="0" w:color="auto"/>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r>
            <w:r>
              <w:rPr>
                <w:rFonts w:ascii="宋体"/>
                <w:spacing w:val="-1"/>
                <w:sz w:val="18"/>
                <w:u w:val="single" w:color="000000"/>
              </w:rPr>
              <w:t>277,417,668.70</w:t>
            </w:r>
            <w:r>
              <w:rPr>
                <w:rFonts w:ascii="宋体"/>
                <w:spacing w:val="-1"/>
                <w:sz w:val="18"/>
              </w:rPr>
            </w:r>
          </w:p>
        </w:tc>
        <w:tc>
          <w:tcPr>
            <w:tcW w:w="1009" w:type="dxa"/>
            <w:tcBorders>
              <w:top w:val="single" w:sz="6" w:space="0" w:color="000000"/>
              <w:left w:val="single" w:sz="4" w:space="0" w:color="000000"/>
              <w:bottom w:val="nil" w:sz="6" w:space="0" w:color="auto"/>
              <w:right w:val="single" w:sz="4" w:space="0" w:color="000000"/>
            </w:tcBorders>
          </w:tcPr>
          <w:p>
            <w:pPr/>
          </w:p>
        </w:tc>
        <w:tc>
          <w:tcPr>
            <w:tcW w:w="1345" w:type="dxa"/>
            <w:tcBorders>
              <w:top w:val="single" w:sz="6" w:space="0" w:color="000000"/>
              <w:left w:val="single" w:sz="4" w:space="0" w:color="000000"/>
              <w:bottom w:val="nil" w:sz="6" w:space="0" w:color="auto"/>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r>
            <w:r>
              <w:rPr>
                <w:rFonts w:ascii="宋体"/>
                <w:spacing w:val="-1"/>
                <w:sz w:val="18"/>
                <w:u w:val="single" w:color="000000"/>
              </w:rPr>
              <w:t>4,243,144.59</w:t>
            </w:r>
            <w:r>
              <w:rPr>
                <w:rFonts w:ascii="宋体"/>
                <w:spacing w:val="-1"/>
                <w:sz w:val="18"/>
              </w:rPr>
            </w:r>
          </w:p>
        </w:tc>
        <w:tc>
          <w:tcPr>
            <w:tcW w:w="1114" w:type="dxa"/>
            <w:tcBorders>
              <w:top w:val="single" w:sz="6" w:space="0" w:color="000000"/>
              <w:left w:val="single" w:sz="4" w:space="0" w:color="000000"/>
              <w:bottom w:val="nil" w:sz="6" w:space="0" w:color="auto"/>
              <w:right w:val="single" w:sz="4" w:space="0" w:color="000000"/>
            </w:tcBorders>
          </w:tcPr>
          <w:p>
            <w:pPr/>
          </w:p>
        </w:tc>
        <w:tc>
          <w:tcPr>
            <w:tcW w:w="1884" w:type="dxa"/>
            <w:tcBorders>
              <w:top w:val="single" w:sz="6" w:space="0" w:color="000000"/>
              <w:left w:val="single" w:sz="4" w:space="0" w:color="000000"/>
              <w:bottom w:val="nil" w:sz="6" w:space="0" w:color="auto"/>
              <w:right w:val="nil" w:sz="6" w:space="0" w:color="auto"/>
            </w:tcBorders>
          </w:tcPr>
          <w:p>
            <w:pPr>
              <w:pStyle w:val="TableParagraph"/>
              <w:spacing w:line="240" w:lineRule="auto" w:before="20"/>
              <w:ind w:right="7"/>
              <w:jc w:val="right"/>
              <w:rPr>
                <w:rFonts w:ascii="宋体" w:hAnsi="宋体" w:cs="宋体" w:eastAsia="宋体" w:hint="default"/>
                <w:sz w:val="18"/>
                <w:szCs w:val="18"/>
              </w:rPr>
            </w:pPr>
            <w:r>
              <w:rPr>
                <w:rFonts w:ascii="宋体"/>
                <w:sz w:val="18"/>
              </w:rPr>
            </w:r>
            <w:r>
              <w:rPr>
                <w:rFonts w:ascii="宋体"/>
                <w:spacing w:val="-1"/>
                <w:sz w:val="18"/>
                <w:u w:val="single" w:color="000000"/>
              </w:rPr>
              <w:t>281,660,813.29</w:t>
            </w:r>
            <w:r>
              <w:rPr>
                <w:rFonts w:ascii="宋体"/>
                <w:spacing w:val="-1"/>
                <w:sz w:val="18"/>
              </w:rPr>
            </w:r>
          </w:p>
        </w:tc>
      </w:tr>
    </w:tbl>
    <w:p>
      <w:pPr>
        <w:spacing w:line="240" w:lineRule="auto" w:before="12"/>
        <w:rPr>
          <w:rFonts w:ascii="宋体" w:hAnsi="宋体" w:cs="宋体" w:eastAsia="宋体" w:hint="default"/>
          <w:sz w:val="8"/>
          <w:szCs w:val="8"/>
        </w:rPr>
      </w:pPr>
    </w:p>
    <w:p>
      <w:pPr>
        <w:pStyle w:val="BodyText"/>
        <w:spacing w:line="240" w:lineRule="auto" w:before="44"/>
        <w:ind w:left="532" w:right="915"/>
        <w:jc w:val="left"/>
      </w:pPr>
      <w:r>
        <w:rPr/>
        <w:t>截至2019年1月1日止</w:t>
      </w:r>
    </w:p>
    <w:p>
      <w:pPr>
        <w:spacing w:line="240" w:lineRule="auto" w:before="10"/>
        <w:rPr>
          <w:rFonts w:ascii="宋体" w:hAnsi="宋体" w:cs="宋体" w:eastAsia="宋体" w:hint="default"/>
          <w:sz w:val="17"/>
          <w:szCs w:val="17"/>
        </w:rPr>
      </w:pPr>
    </w:p>
    <w:p>
      <w:pPr>
        <w:pStyle w:val="BodyText"/>
        <w:spacing w:line="477" w:lineRule="auto"/>
        <w:ind w:left="532" w:right="5294"/>
        <w:jc w:val="left"/>
      </w:pPr>
      <w:r>
        <w:rPr/>
        <w:t>（五）汇率风险 公司期末未持有较大金额的外币，预计未来不会面临汇率风险。</w:t>
      </w:r>
    </w:p>
    <w:p>
      <w:pPr>
        <w:pStyle w:val="BodyText"/>
        <w:spacing w:line="240" w:lineRule="auto" w:before="54"/>
        <w:ind w:left="532" w:right="915"/>
        <w:jc w:val="left"/>
      </w:pPr>
      <w:r>
        <w:rPr/>
        <w:t>（六）公允价值</w:t>
      </w:r>
    </w:p>
    <w:p>
      <w:pPr>
        <w:spacing w:line="240" w:lineRule="auto" w:before="10"/>
        <w:rPr>
          <w:rFonts w:ascii="宋体" w:hAnsi="宋体" w:cs="宋体" w:eastAsia="宋体" w:hint="default"/>
          <w:sz w:val="17"/>
          <w:szCs w:val="17"/>
        </w:rPr>
      </w:pPr>
    </w:p>
    <w:p>
      <w:pPr>
        <w:pStyle w:val="BodyText"/>
        <w:spacing w:line="316" w:lineRule="auto"/>
        <w:ind w:right="915" w:firstLine="420"/>
        <w:jc w:val="left"/>
      </w:pPr>
      <w:r>
        <w:rPr/>
        <w:t>本公司各种金融工具，其中包括应收账款、其他应收款、应付账款、其他应付款、借款的公允价值，与相应的账面价 值并无重大差异。</w:t>
      </w:r>
    </w:p>
    <w:p>
      <w:pPr>
        <w:spacing w:line="240" w:lineRule="auto" w:before="9"/>
        <w:rPr>
          <w:rFonts w:ascii="宋体" w:hAnsi="宋体" w:cs="宋体" w:eastAsia="宋体" w:hint="default"/>
          <w:sz w:val="20"/>
          <w:szCs w:val="20"/>
        </w:rPr>
      </w:pPr>
    </w:p>
    <w:p>
      <w:pPr>
        <w:pStyle w:val="Heading2"/>
        <w:spacing w:line="240" w:lineRule="auto"/>
        <w:ind w:right="915"/>
        <w:jc w:val="left"/>
        <w:rPr>
          <w:b w:val="0"/>
          <w:bCs w:val="0"/>
        </w:rPr>
      </w:pPr>
      <w:bookmarkStart w:name="十一、公允价值的披露" w:id="425"/>
      <w:bookmarkEnd w:id="425"/>
      <w:r>
        <w:rPr>
          <w:b w:val="0"/>
          <w:bCs w:val="0"/>
        </w:rPr>
      </w:r>
      <w:r>
        <w:rPr/>
        <w:t>十一、公允价值的披露</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15"/>
        <w:jc w:val="left"/>
        <w:rPr>
          <w:b w:val="0"/>
          <w:bCs w:val="0"/>
        </w:rPr>
      </w:pPr>
      <w:bookmarkStart w:name="1、以公允价值计量的资产和负债的期末公允价值" w:id="426"/>
      <w:bookmarkEnd w:id="426"/>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2" w:right="103"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62" w:right="139" w:hanging="720"/>
              <w:jc w:val="left"/>
              <w:rPr>
                <w:rFonts w:ascii="宋体" w:hAnsi="宋体" w:cs="宋体" w:eastAsia="宋体" w:hint="default"/>
                <w:sz w:val="18"/>
                <w:szCs w:val="18"/>
              </w:rPr>
            </w:pPr>
            <w:r>
              <w:rPr>
                <w:rFonts w:ascii="宋体" w:hAnsi="宋体" w:cs="宋体" w:eastAsia="宋体" w:hint="default"/>
                <w:sz w:val="18"/>
                <w:szCs w:val="18"/>
              </w:rPr>
              <w:t>第二层次公允价值计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62" w:right="139" w:hanging="720"/>
              <w:jc w:val="left"/>
              <w:rPr>
                <w:rFonts w:ascii="宋体" w:hAnsi="宋体" w:cs="宋体" w:eastAsia="宋体" w:hint="default"/>
                <w:sz w:val="18"/>
                <w:szCs w:val="18"/>
              </w:rPr>
            </w:pPr>
            <w:r>
              <w:rPr>
                <w:rFonts w:ascii="宋体" w:hAnsi="宋体" w:cs="宋体" w:eastAsia="宋体" w:hint="default"/>
                <w:sz w:val="18"/>
                <w:szCs w:val="18"/>
              </w:rPr>
              <w:t>第三层次公允价值计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4"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 w:right="102"/>
              <w:jc w:val="left"/>
              <w:rPr>
                <w:rFonts w:ascii="宋体" w:hAnsi="宋体" w:cs="宋体" w:eastAsia="宋体" w:hint="default"/>
                <w:sz w:val="18"/>
                <w:szCs w:val="18"/>
              </w:rPr>
            </w:pPr>
            <w:r>
              <w:rPr>
                <w:rFonts w:ascii="宋体" w:hAnsi="宋体" w:cs="宋体" w:eastAsia="宋体" w:hint="default"/>
                <w:spacing w:val="-3"/>
                <w:sz w:val="18"/>
                <w:szCs w:val="18"/>
              </w:rPr>
              <w:t>一、持续的公允价值计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02"/>
              <w:jc w:val="left"/>
              <w:rPr>
                <w:rFonts w:ascii="宋体" w:hAnsi="宋体" w:cs="宋体" w:eastAsia="宋体" w:hint="default"/>
                <w:sz w:val="18"/>
                <w:szCs w:val="18"/>
              </w:rPr>
            </w:pPr>
            <w:r>
              <w:rPr>
                <w:rFonts w:ascii="宋体" w:hAnsi="宋体" w:cs="宋体" w:eastAsia="宋体" w:hint="default"/>
                <w:spacing w:val="-3"/>
                <w:sz w:val="18"/>
                <w:szCs w:val="18"/>
              </w:rPr>
              <w:t>二、非持续的公允价值</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计量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4"/>
        <w:ind w:right="915"/>
        <w:jc w:val="left"/>
        <w:rPr>
          <w:b w:val="0"/>
          <w:bCs w:val="0"/>
        </w:rPr>
      </w:pPr>
      <w:bookmarkStart w:name="2、持续和非持续第一层次公允价值计量项目市价的确定依据" w:id="427"/>
      <w:bookmarkEnd w:id="427"/>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15"/>
        <w:jc w:val="left"/>
      </w:pPr>
      <w:r>
        <w:rPr/>
        <w:t>无</w:t>
      </w:r>
    </w:p>
    <w:p>
      <w:pPr>
        <w:spacing w:line="240" w:lineRule="auto" w:before="11"/>
        <w:rPr>
          <w:rFonts w:ascii="宋体" w:hAnsi="宋体" w:cs="宋体" w:eastAsia="宋体" w:hint="default"/>
          <w:sz w:val="26"/>
          <w:szCs w:val="26"/>
        </w:rPr>
      </w:pPr>
    </w:p>
    <w:p>
      <w:pPr>
        <w:pStyle w:val="Heading3"/>
        <w:spacing w:line="240" w:lineRule="auto"/>
        <w:ind w:right="915"/>
        <w:jc w:val="left"/>
        <w:rPr>
          <w:b w:val="0"/>
          <w:bCs w:val="0"/>
        </w:rPr>
      </w:pPr>
      <w:bookmarkStart w:name="3、持续和非持续第二层次公允价值计量项目，采用的估值技术和重要参数的定性及定量信" w:id="428"/>
      <w:bookmarkEnd w:id="428"/>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15"/>
        <w:jc w:val="left"/>
      </w:pPr>
      <w:r>
        <w:rPr/>
        <w:t>无</w:t>
      </w:r>
    </w:p>
    <w:p>
      <w:pPr>
        <w:spacing w:line="240" w:lineRule="auto" w:before="11"/>
        <w:rPr>
          <w:rFonts w:ascii="宋体" w:hAnsi="宋体" w:cs="宋体" w:eastAsia="宋体" w:hint="default"/>
          <w:sz w:val="26"/>
          <w:szCs w:val="26"/>
        </w:rPr>
      </w:pPr>
    </w:p>
    <w:p>
      <w:pPr>
        <w:pStyle w:val="Heading3"/>
        <w:spacing w:line="240" w:lineRule="auto"/>
        <w:ind w:right="915"/>
        <w:jc w:val="left"/>
        <w:rPr>
          <w:b w:val="0"/>
          <w:bCs w:val="0"/>
        </w:rPr>
      </w:pPr>
      <w:bookmarkStart w:name="4、持续和非持续第三层次公允价值计量项目，采用的估值技术和重要参数的定性及定量信" w:id="429"/>
      <w:bookmarkEnd w:id="429"/>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15"/>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15"/>
        <w:jc w:val="left"/>
        <w:rPr>
          <w:b w:val="0"/>
          <w:bCs w:val="0"/>
        </w:rPr>
      </w:pPr>
      <w:bookmarkStart w:name="5、持续的第三层次公允价值计量项目，期初与期末账面价值间的调节信息及不可观察参数" w:id="430"/>
      <w:bookmarkEnd w:id="430"/>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15"/>
        <w:jc w:val="left"/>
      </w:pPr>
      <w:r>
        <w:rPr/>
        <w:t>无</w:t>
      </w:r>
    </w:p>
    <w:p>
      <w:pPr>
        <w:spacing w:after="0" w:line="240" w:lineRule="auto"/>
        <w:jc w:val="left"/>
        <w:sectPr>
          <w:pgSz w:w="11910" w:h="16840"/>
          <w:pgMar w:header="919" w:footer="1016" w:top="1120" w:bottom="1200" w:left="1020" w:right="0"/>
        </w:sectPr>
      </w:pPr>
    </w:p>
    <w:p>
      <w:pPr>
        <w:spacing w:line="240" w:lineRule="auto" w:before="10"/>
        <w:rPr>
          <w:rFonts w:ascii="宋体" w:hAnsi="宋体" w:cs="宋体" w:eastAsia="宋体" w:hint="default"/>
          <w:sz w:val="19"/>
          <w:szCs w:val="19"/>
        </w:rPr>
      </w:pPr>
    </w:p>
    <w:p>
      <w:pPr>
        <w:pStyle w:val="Heading3"/>
        <w:spacing w:line="240" w:lineRule="auto" w:before="34"/>
        <w:ind w:right="915"/>
        <w:jc w:val="left"/>
        <w:rPr>
          <w:b w:val="0"/>
          <w:bCs w:val="0"/>
        </w:rPr>
      </w:pPr>
      <w:bookmarkStart w:name="6、持续的公允价值计量项目，本期内发生各层级之间转换的，转换的原因及确定转换时点" w:id="431"/>
      <w:bookmarkEnd w:id="431"/>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15"/>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15"/>
        <w:jc w:val="left"/>
        <w:rPr>
          <w:b w:val="0"/>
          <w:bCs w:val="0"/>
        </w:rPr>
      </w:pPr>
      <w:bookmarkStart w:name="7、本期内发生的估值技术变更及变更原因" w:id="432"/>
      <w:bookmarkEnd w:id="432"/>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15"/>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15"/>
        <w:jc w:val="left"/>
        <w:rPr>
          <w:b w:val="0"/>
          <w:bCs w:val="0"/>
        </w:rPr>
      </w:pPr>
      <w:bookmarkStart w:name="8、不以公允价值计量的金融资产和金融负债的公允价值情况" w:id="433"/>
      <w:bookmarkEnd w:id="433"/>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15"/>
        <w:jc w:val="left"/>
      </w:pPr>
      <w:r>
        <w:rPr/>
        <w:t>无</w:t>
      </w:r>
    </w:p>
    <w:p>
      <w:pPr>
        <w:spacing w:line="240" w:lineRule="auto" w:before="11"/>
        <w:rPr>
          <w:rFonts w:ascii="宋体" w:hAnsi="宋体" w:cs="宋体" w:eastAsia="宋体" w:hint="default"/>
          <w:sz w:val="26"/>
          <w:szCs w:val="26"/>
        </w:rPr>
      </w:pPr>
    </w:p>
    <w:p>
      <w:pPr>
        <w:pStyle w:val="Heading3"/>
        <w:spacing w:line="240" w:lineRule="auto"/>
        <w:ind w:right="915"/>
        <w:jc w:val="left"/>
        <w:rPr>
          <w:b w:val="0"/>
          <w:bCs w:val="0"/>
        </w:rPr>
      </w:pPr>
      <w:bookmarkStart w:name="9、其他" w:id="434"/>
      <w:bookmarkEnd w:id="434"/>
      <w:r>
        <w:rPr>
          <w:b w:val="0"/>
          <w:bCs w:val="0"/>
        </w:rPr>
      </w:r>
      <w:r>
        <w:rPr>
          <w:rFonts w:ascii="Times New Roman" w:hAnsi="Times New Roman" w:cs="Times New Roman" w:eastAsia="Times New Roman" w:hint="default"/>
        </w:rPr>
        <w:t>9</w:t>
      </w:r>
      <w:r>
        <w:rPr/>
        <w:t>、其他</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15"/>
        <w:jc w:val="left"/>
      </w:pPr>
      <w:r>
        <w:rPr/>
        <w:t>无</w:t>
      </w:r>
    </w:p>
    <w:p>
      <w:pPr>
        <w:spacing w:line="240" w:lineRule="auto" w:before="1"/>
        <w:rPr>
          <w:rFonts w:ascii="宋体" w:hAnsi="宋体" w:cs="宋体" w:eastAsia="宋体" w:hint="default"/>
          <w:sz w:val="25"/>
          <w:szCs w:val="25"/>
        </w:rPr>
      </w:pPr>
    </w:p>
    <w:p>
      <w:pPr>
        <w:pStyle w:val="Heading2"/>
        <w:spacing w:line="240" w:lineRule="auto"/>
        <w:ind w:right="915"/>
        <w:jc w:val="left"/>
        <w:rPr>
          <w:b w:val="0"/>
          <w:bCs w:val="0"/>
        </w:rPr>
      </w:pPr>
      <w:bookmarkStart w:name="十二、关联方及关联交易" w:id="435"/>
      <w:bookmarkEnd w:id="435"/>
      <w:r>
        <w:rPr>
          <w:b w:val="0"/>
          <w:bCs w:val="0"/>
        </w:rPr>
      </w:r>
      <w:r>
        <w:rPr/>
        <w:t>十二、关联方及关联交易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15"/>
        <w:jc w:val="left"/>
        <w:rPr>
          <w:b w:val="0"/>
          <w:bCs w:val="0"/>
        </w:rPr>
      </w:pPr>
      <w:bookmarkStart w:name="1、本企业的母公司情况" w:id="436"/>
      <w:bookmarkEnd w:id="436"/>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595"/>
        <w:gridCol w:w="1594"/>
        <w:gridCol w:w="1594"/>
        <w:gridCol w:w="1594"/>
        <w:gridCol w:w="1594"/>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1" w:right="160" w:hanging="180"/>
              <w:jc w:val="left"/>
              <w:rPr>
                <w:rFonts w:ascii="宋体" w:hAnsi="宋体" w:cs="宋体" w:eastAsia="宋体" w:hint="default"/>
                <w:sz w:val="18"/>
                <w:szCs w:val="18"/>
              </w:rPr>
            </w:pPr>
            <w:r>
              <w:rPr>
                <w:rFonts w:ascii="宋体" w:hAnsi="宋体" w:cs="宋体" w:eastAsia="宋体" w:hint="default"/>
                <w:sz w:val="18"/>
                <w:szCs w:val="18"/>
              </w:rPr>
              <w:t>母公司对本企业 的持股比例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2" w:right="162" w:hanging="92"/>
              <w:jc w:val="left"/>
              <w:rPr>
                <w:rFonts w:ascii="宋体" w:hAnsi="宋体" w:cs="宋体" w:eastAsia="宋体" w:hint="default"/>
                <w:sz w:val="18"/>
                <w:szCs w:val="18"/>
              </w:rPr>
            </w:pPr>
            <w:r>
              <w:rPr>
                <w:rFonts w:ascii="宋体" w:hAnsi="宋体" w:cs="宋体" w:eastAsia="宋体" w:hint="default"/>
                <w:sz w:val="18"/>
                <w:szCs w:val="18"/>
              </w:rPr>
              <w:t>母公司对本企业 的表决权比例</w:t>
            </w:r>
          </w:p>
        </w:tc>
      </w:tr>
    </w:tbl>
    <w:p>
      <w:pPr>
        <w:pStyle w:val="BodyText"/>
        <w:spacing w:line="360" w:lineRule="auto" w:before="50"/>
        <w:ind w:right="8594"/>
        <w:jc w:val="left"/>
      </w:pPr>
      <w:r>
        <w:rPr/>
        <w:t>本企业的母公司情况的说明 无</w:t>
      </w:r>
    </w:p>
    <w:p>
      <w:pPr>
        <w:pStyle w:val="BodyText"/>
        <w:spacing w:line="360" w:lineRule="auto" w:before="25"/>
        <w:ind w:right="7334"/>
        <w:jc w:val="left"/>
      </w:pPr>
      <w:r>
        <w:rPr/>
        <w:t>本企业最终控制方是自然人唐球、鄢建红。 其他说明：</w:t>
      </w:r>
    </w:p>
    <w:p>
      <w:pPr>
        <w:pStyle w:val="BodyText"/>
        <w:spacing w:line="240" w:lineRule="auto" w:before="27"/>
        <w:ind w:right="915"/>
        <w:jc w:val="left"/>
      </w:pPr>
      <w:r>
        <w:rPr/>
        <w:t>无</w:t>
      </w:r>
    </w:p>
    <w:p>
      <w:pPr>
        <w:spacing w:line="240" w:lineRule="auto" w:before="11"/>
        <w:rPr>
          <w:rFonts w:ascii="宋体" w:hAnsi="宋体" w:cs="宋体" w:eastAsia="宋体" w:hint="default"/>
          <w:sz w:val="26"/>
          <w:szCs w:val="26"/>
        </w:rPr>
      </w:pPr>
    </w:p>
    <w:p>
      <w:pPr>
        <w:pStyle w:val="Heading3"/>
        <w:spacing w:line="240" w:lineRule="auto"/>
        <w:ind w:right="915"/>
        <w:jc w:val="left"/>
        <w:rPr>
          <w:b w:val="0"/>
          <w:bCs w:val="0"/>
        </w:rPr>
      </w:pPr>
      <w:bookmarkStart w:name="2、本企业的子公司情况" w:id="437"/>
      <w:bookmarkEnd w:id="437"/>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15"/>
        <w:jc w:val="left"/>
      </w:pPr>
      <w:r>
        <w:rPr/>
        <w:t>本企业子公司的情况详见附注附注九（一）在子公司中的权益。</w:t>
      </w:r>
    </w:p>
    <w:p>
      <w:pPr>
        <w:spacing w:line="240" w:lineRule="auto" w:before="0"/>
        <w:rPr>
          <w:rFonts w:ascii="宋体" w:hAnsi="宋体" w:cs="宋体" w:eastAsia="宋体" w:hint="default"/>
          <w:sz w:val="18"/>
          <w:szCs w:val="18"/>
        </w:rPr>
      </w:pPr>
    </w:p>
    <w:p>
      <w:pPr>
        <w:pStyle w:val="Heading3"/>
        <w:spacing w:line="240" w:lineRule="auto" w:before="118"/>
        <w:ind w:right="915"/>
        <w:jc w:val="left"/>
        <w:rPr>
          <w:b w:val="0"/>
          <w:bCs w:val="0"/>
        </w:rPr>
      </w:pPr>
      <w:bookmarkStart w:name="3、本企业合营和联营企业情况" w:id="438"/>
      <w:bookmarkEnd w:id="438"/>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right="2294"/>
        <w:jc w:val="left"/>
      </w:pPr>
      <w:r>
        <w:rPr>
          <w:spacing w:val="-5"/>
        </w:rPr>
        <w:t>本企业重要的合营或联营企业详见附注九（三）。</w:t>
      </w:r>
      <w:r>
        <w:rPr>
          <w:spacing w:val="-69"/>
        </w:rPr>
        <w:t> </w:t>
      </w:r>
      <w:r>
        <w:rPr>
          <w:spacing w:val="-69"/>
        </w:rPr>
      </w:r>
      <w:r>
        <w:rPr/>
        <w:t>本期与本公司发生关联方交易，或前期与本公司发生关联方交易形成余额的其他合营或联营企业情况如下：</w:t>
      </w: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3;width:4777;height:397" coordorigin="13,13" coordsize="4777,397">
              <v:shape style="position:absolute;left:13;top:13;width:4777;height:397" coordorigin="13,13" coordsize="4777,397" path="m13,13l4790,13,4790,410,13,410,13,13xe" filled="true" fillcolor="#d2d2d2" stroked="false">
                <v:path arrowok="t"/>
                <v:fill type="solid"/>
              </v:shape>
            </v:group>
            <v:group style="position:absolute;left:4795;top:13;width:4781;height:397" coordorigin="4795,13" coordsize="4781,397">
              <v:shape style="position:absolute;left:4795;top:13;width:4781;height:397" coordorigin="4795,13" coordsize="4781,397" path="m4795,13l9576,13,9576,410,4795,410,4795,13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2;top:5;width:2;height:402" coordorigin="4792,5" coordsize="2,402">
              <v:shape style="position:absolute;left:4792;top:5;width:2;height:402" coordorigin="4792,5" coordsize="0,402" path="m4792,5l4792,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10;top:10;width:4782;height:402" type="#_x0000_t202" filled="false" stroked="false">
                <v:textbox inset="0,0,0,0">
                  <w:txbxContent>
                    <w:p>
                      <w:pPr>
                        <w:spacing w:before="56"/>
                        <w:ind w:left="1580" w:right="0" w:firstLine="0"/>
                        <w:jc w:val="left"/>
                        <w:rPr>
                          <w:rFonts w:ascii="宋体" w:hAnsi="宋体" w:cs="宋体" w:eastAsia="宋体" w:hint="default"/>
                          <w:sz w:val="18"/>
                          <w:szCs w:val="18"/>
                        </w:rPr>
                      </w:pPr>
                      <w:r>
                        <w:rPr>
                          <w:rFonts w:ascii="宋体" w:hAnsi="宋体" w:cs="宋体" w:eastAsia="宋体" w:hint="default"/>
                          <w:sz w:val="18"/>
                          <w:szCs w:val="18"/>
                        </w:rPr>
                        <w:t>合营或联营企业名称</w:t>
                      </w:r>
                    </w:p>
                  </w:txbxContent>
                </v:textbox>
                <w10:wrap type="none"/>
              </v:shape>
              <v:shape style="position:absolute;left:4792;top:10;width:4786;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与本企业关系</w:t>
                      </w:r>
                    </w:p>
                  </w:txbxContent>
                </v:textbox>
                <w10:wrap type="none"/>
              </v:shape>
            </v:group>
          </v:group>
        </w:pict>
      </w:r>
      <w:r>
        <w:rPr>
          <w:rFonts w:ascii="宋体" w:hAnsi="宋体" w:cs="宋体" w:eastAsia="宋体" w:hint="default"/>
          <w:position w:val="-7"/>
          <w:sz w:val="20"/>
          <w:szCs w:val="20"/>
        </w:rPr>
      </w:r>
    </w:p>
    <w:p>
      <w:pPr>
        <w:pStyle w:val="BodyText"/>
        <w:spacing w:line="360" w:lineRule="auto" w:before="64"/>
        <w:ind w:right="10034"/>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915"/>
        <w:jc w:val="left"/>
        <w:rPr>
          <w:b w:val="0"/>
          <w:bCs w:val="0"/>
        </w:rPr>
      </w:pPr>
      <w:bookmarkStart w:name="4、其他关联方情况" w:id="439"/>
      <w:bookmarkEnd w:id="439"/>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4"/>
        <w:rPr>
          <w:rFonts w:ascii="宋体" w:hAnsi="宋体" w:cs="宋体" w:eastAsia="宋体" w:hint="default"/>
          <w:b/>
          <w:bCs/>
          <w:sz w:val="25"/>
          <w:szCs w:val="25"/>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777;height:397" coordorigin="13,12" coordsize="4777,397">
              <v:shape style="position:absolute;left:13;top:12;width:4777;height:397" coordorigin="13,12" coordsize="4777,397" path="m13,12l4790,12,4790,409,13,409,13,12xe" filled="true" fillcolor="#d2d2d2" stroked="false">
                <v:path arrowok="t"/>
                <v:fill type="solid"/>
              </v:shape>
            </v:group>
            <v:group style="position:absolute;left:4795;top:12;width:4781;height:397" coordorigin="4795,12" coordsize="4781,397">
              <v:shape style="position:absolute;left:4795;top:12;width:4781;height:397" coordorigin="4795,12" coordsize="4781,397" path="m4795,12l9576,12,9576,409,4795,409,4795,12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2;top:5;width:2;height:402" coordorigin="4792,5" coordsize="2,402">
              <v:shape style="position:absolute;left:4792;top:5;width:2;height:402" coordorigin="4792,5" coordsize="0,402" path="m4792,5l4792,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10;top:10;width:4782;height:402" type="#_x0000_t202" filled="false" stroked="false">
                <v:textbox inset="0,0,0,0">
                  <w:txbxContent>
                    <w:p>
                      <w:pPr>
                        <w:spacing w:before="54"/>
                        <w:ind w:left="0" w:right="1" w:firstLine="0"/>
                        <w:jc w:val="center"/>
                        <w:rPr>
                          <w:rFonts w:ascii="宋体" w:hAnsi="宋体" w:cs="宋体" w:eastAsia="宋体" w:hint="default"/>
                          <w:sz w:val="18"/>
                          <w:szCs w:val="18"/>
                        </w:rPr>
                      </w:pPr>
                      <w:r>
                        <w:rPr>
                          <w:rFonts w:ascii="宋体" w:hAnsi="宋体" w:cs="宋体" w:eastAsia="宋体" w:hint="default"/>
                          <w:sz w:val="18"/>
                          <w:szCs w:val="18"/>
                        </w:rPr>
                        <w:t>其他关联方名称</w:t>
                      </w:r>
                    </w:p>
                  </w:txbxContent>
                </v:textbox>
                <w10:wrap type="none"/>
              </v:shape>
              <v:shape style="position:absolute;left:4792;top:10;width:4786;height:402" type="#_x0000_t202" filled="false" stroked="false">
                <v:textbox inset="0,0,0,0">
                  <w:txbxContent>
                    <w:p>
                      <w:pPr>
                        <w:spacing w:before="54"/>
                        <w:ind w:left="1403" w:right="0" w:firstLine="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xbxContent>
                </v:textbox>
                <w10:wrap type="none"/>
              </v:shape>
            </v:group>
          </v:group>
        </w:pict>
      </w:r>
      <w:r>
        <w:rPr>
          <w:rFonts w:ascii="宋体" w:hAnsi="宋体" w:cs="宋体" w:eastAsia="宋体" w:hint="default"/>
          <w:position w:val="-7"/>
          <w:sz w:val="20"/>
          <w:szCs w:val="20"/>
        </w:rPr>
      </w:r>
    </w:p>
    <w:p>
      <w:pPr>
        <w:spacing w:after="0" w:line="416" w:lineRule="exact"/>
        <w:rPr>
          <w:rFonts w:ascii="宋体" w:hAnsi="宋体" w:cs="宋体" w:eastAsia="宋体" w:hint="default"/>
          <w:sz w:val="20"/>
          <w:szCs w:val="20"/>
        </w:rPr>
        <w:sectPr>
          <w:pgSz w:w="11910" w:h="16840"/>
          <w:pgMar w:header="919" w:footer="1016" w:top="1120" w:bottom="1200" w:left="1020" w:right="0"/>
        </w:sectPr>
      </w:pPr>
    </w:p>
    <w:p>
      <w:pPr>
        <w:spacing w:line="240" w:lineRule="auto" w:before="12"/>
        <w:rPr>
          <w:rFonts w:ascii="宋体" w:hAnsi="宋体" w:cs="宋体" w:eastAsia="宋体" w:hint="default"/>
          <w:b/>
          <w:bCs/>
          <w:sz w:val="20"/>
          <w:szCs w:val="20"/>
        </w:rPr>
      </w:pPr>
    </w:p>
    <w:p>
      <w:pPr>
        <w:pStyle w:val="BodyText"/>
        <w:spacing w:line="357" w:lineRule="auto" w:before="44"/>
        <w:ind w:right="10034"/>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915"/>
        <w:jc w:val="left"/>
        <w:rPr>
          <w:b w:val="0"/>
          <w:bCs w:val="0"/>
        </w:rPr>
      </w:pPr>
      <w:bookmarkStart w:name="5、关联交易情况" w:id="440"/>
      <w:bookmarkEnd w:id="440"/>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15"/>
        <w:jc w:val="left"/>
        <w:rPr>
          <w:b w:val="0"/>
          <w:bCs w:val="0"/>
        </w:rPr>
      </w:pPr>
      <w:bookmarkStart w:name="（1）购销商品、提供和接受劳务的关联交易" w:id="441"/>
      <w:bookmarkEnd w:id="441"/>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915"/>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40"/>
        <w:gridCol w:w="1454"/>
        <w:gridCol w:w="1454"/>
        <w:gridCol w:w="1707"/>
        <w:gridCol w:w="1707"/>
        <w:gridCol w:w="1707"/>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5"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7"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7"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66"/>
              <w:jc w:val="left"/>
              <w:rPr>
                <w:rFonts w:ascii="宋体" w:hAnsi="宋体" w:cs="宋体" w:eastAsia="宋体" w:hint="default"/>
                <w:sz w:val="18"/>
                <w:szCs w:val="18"/>
              </w:rPr>
            </w:pPr>
            <w:r>
              <w:rPr>
                <w:rFonts w:ascii="宋体" w:hAnsi="宋体" w:cs="宋体" w:eastAsia="宋体" w:hint="default"/>
                <w:sz w:val="18"/>
                <w:szCs w:val="18"/>
              </w:rPr>
              <w:t>北京营安金融信 息服务有限公司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259"/>
              <w:jc w:val="left"/>
              <w:rPr>
                <w:rFonts w:ascii="宋体" w:hAnsi="宋体" w:cs="宋体" w:eastAsia="宋体" w:hint="default"/>
                <w:sz w:val="18"/>
                <w:szCs w:val="18"/>
              </w:rPr>
            </w:pPr>
            <w:r>
              <w:rPr>
                <w:rFonts w:ascii="宋体" w:hAnsi="宋体" w:cs="宋体" w:eastAsia="宋体" w:hint="default"/>
                <w:sz w:val="18"/>
                <w:szCs w:val="18"/>
              </w:rPr>
              <w:t>北京营安外包 人员培训费用</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3,273,584.82</w:t>
            </w:r>
          </w:p>
        </w:tc>
        <w:tc>
          <w:tcPr>
            <w:tcW w:w="1707"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1" w:right="166"/>
              <w:jc w:val="left"/>
              <w:rPr>
                <w:rFonts w:ascii="宋体" w:hAnsi="宋体" w:cs="宋体" w:eastAsia="宋体" w:hint="default"/>
                <w:sz w:val="18"/>
                <w:szCs w:val="18"/>
              </w:rPr>
            </w:pPr>
            <w:r>
              <w:rPr>
                <w:rFonts w:ascii="宋体" w:hAnsi="宋体" w:cs="宋体" w:eastAsia="宋体" w:hint="default"/>
                <w:sz w:val="18"/>
                <w:szCs w:val="18"/>
              </w:rPr>
              <w:t>北京东方金信科 技有限公司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2" w:right="259"/>
              <w:jc w:val="left"/>
              <w:rPr>
                <w:rFonts w:ascii="宋体" w:hAnsi="宋体" w:cs="宋体" w:eastAsia="宋体" w:hint="default"/>
                <w:sz w:val="18"/>
                <w:szCs w:val="18"/>
              </w:rPr>
            </w:pPr>
            <w:r>
              <w:rPr>
                <w:rFonts w:ascii="宋体" w:hAnsi="宋体" w:cs="宋体" w:eastAsia="宋体" w:hint="default"/>
                <w:sz w:val="18"/>
                <w:szCs w:val="18"/>
              </w:rPr>
              <w:t>大数据平台开 发</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1,189,962.23</w:t>
            </w:r>
          </w:p>
        </w:tc>
        <w:tc>
          <w:tcPr>
            <w:tcW w:w="1707"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15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pacing w:val="-3"/>
                <w:sz w:val="18"/>
                <w:szCs w:val="18"/>
              </w:rPr>
              <w:t>东吴在线（苏州）</w:t>
            </w:r>
          </w:p>
        </w:tc>
        <w:tc>
          <w:tcPr>
            <w:tcW w:w="1454" w:type="dxa"/>
            <w:tcBorders>
              <w:top w:val="single" w:sz="4" w:space="0" w:color="000000"/>
              <w:left w:val="single" w:sz="4" w:space="0" w:color="000000"/>
              <w:bottom w:val="nil" w:sz="6" w:space="0" w:color="auto"/>
              <w:right w:val="single" w:sz="4" w:space="0" w:color="000000"/>
            </w:tcBorders>
          </w:tcPr>
          <w:p>
            <w:pPr/>
          </w:p>
        </w:tc>
        <w:tc>
          <w:tcPr>
            <w:tcW w:w="1454" w:type="dxa"/>
            <w:tcBorders>
              <w:top w:val="single" w:sz="4" w:space="0" w:color="000000"/>
              <w:left w:val="single" w:sz="4" w:space="0" w:color="000000"/>
              <w:bottom w:val="nil" w:sz="6" w:space="0" w:color="auto"/>
              <w:right w:val="single" w:sz="4" w:space="0" w:color="000000"/>
            </w:tcBorders>
          </w:tcPr>
          <w:p>
            <w:pPr/>
          </w:p>
        </w:tc>
        <w:tc>
          <w:tcPr>
            <w:tcW w:w="1707" w:type="dxa"/>
            <w:vMerge w:val="restart"/>
            <w:tcBorders>
              <w:top w:val="single" w:sz="4" w:space="0" w:color="000000"/>
              <w:left w:val="single" w:sz="4" w:space="0" w:color="000000"/>
              <w:right w:val="single" w:sz="4" w:space="0" w:color="000000"/>
            </w:tcBorders>
          </w:tcPr>
          <w:p>
            <w:pPr/>
          </w:p>
        </w:tc>
        <w:tc>
          <w:tcPr>
            <w:tcW w:w="1707" w:type="dxa"/>
            <w:vMerge w:val="restart"/>
            <w:tcBorders>
              <w:top w:val="single" w:sz="4" w:space="0" w:color="000000"/>
              <w:left w:val="single" w:sz="4" w:space="0" w:color="000000"/>
              <w:right w:val="single" w:sz="4" w:space="0" w:color="000000"/>
            </w:tcBorders>
          </w:tcPr>
          <w:p>
            <w:pPr/>
          </w:p>
        </w:tc>
        <w:tc>
          <w:tcPr>
            <w:tcW w:w="1707" w:type="dxa"/>
            <w:vMerge w:val="restart"/>
            <w:tcBorders>
              <w:top w:val="single" w:sz="4" w:space="0" w:color="000000"/>
              <w:left w:val="single" w:sz="4" w:space="0" w:color="000000"/>
              <w:right w:val="single" w:sz="4" w:space="0" w:color="000000"/>
            </w:tcBorders>
          </w:tcPr>
          <w:p>
            <w:pPr/>
          </w:p>
        </w:tc>
      </w:tr>
      <w:tr>
        <w:trPr>
          <w:trHeight w:val="316" w:hRule="exact"/>
        </w:trPr>
        <w:tc>
          <w:tcPr>
            <w:tcW w:w="15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金融科技有限公</w:t>
            </w:r>
          </w:p>
        </w:tc>
        <w:tc>
          <w:tcPr>
            <w:tcW w:w="14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145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849,056.58</w:t>
            </w:r>
          </w:p>
        </w:tc>
        <w:tc>
          <w:tcPr>
            <w:tcW w:w="1707" w:type="dxa"/>
            <w:vMerge/>
            <w:tcBorders>
              <w:left w:val="single" w:sz="4" w:space="0" w:color="000000"/>
              <w:right w:val="single" w:sz="4" w:space="0" w:color="000000"/>
            </w:tcBorders>
          </w:tcPr>
          <w:p>
            <w:pPr/>
          </w:p>
        </w:tc>
        <w:tc>
          <w:tcPr>
            <w:tcW w:w="1707" w:type="dxa"/>
            <w:vMerge/>
            <w:tcBorders>
              <w:left w:val="single" w:sz="4" w:space="0" w:color="000000"/>
              <w:right w:val="single" w:sz="4" w:space="0" w:color="000000"/>
            </w:tcBorders>
          </w:tcPr>
          <w:p>
            <w:pPr/>
          </w:p>
        </w:tc>
        <w:tc>
          <w:tcPr>
            <w:tcW w:w="1707" w:type="dxa"/>
            <w:vMerge/>
            <w:tcBorders>
              <w:left w:val="single" w:sz="4" w:space="0" w:color="000000"/>
              <w:right w:val="single" w:sz="4" w:space="0" w:color="000000"/>
            </w:tcBorders>
          </w:tcPr>
          <w:p>
            <w:pPr/>
          </w:p>
        </w:tc>
      </w:tr>
      <w:tr>
        <w:trPr>
          <w:trHeight w:val="353" w:hRule="exact"/>
        </w:trPr>
        <w:tc>
          <w:tcPr>
            <w:tcW w:w="15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454" w:type="dxa"/>
            <w:tcBorders>
              <w:top w:val="nil" w:sz="6" w:space="0" w:color="auto"/>
              <w:left w:val="single" w:sz="4" w:space="0" w:color="000000"/>
              <w:bottom w:val="single" w:sz="4" w:space="0" w:color="000000"/>
              <w:right w:val="single" w:sz="4" w:space="0" w:color="000000"/>
            </w:tcBorders>
          </w:tcPr>
          <w:p>
            <w:pPr/>
          </w:p>
        </w:tc>
        <w:tc>
          <w:tcPr>
            <w:tcW w:w="1454" w:type="dxa"/>
            <w:tcBorders>
              <w:top w:val="nil" w:sz="6" w:space="0" w:color="auto"/>
              <w:left w:val="single" w:sz="4" w:space="0" w:color="000000"/>
              <w:bottom w:val="single" w:sz="4" w:space="0" w:color="000000"/>
              <w:right w:val="single" w:sz="4" w:space="0" w:color="000000"/>
            </w:tcBorders>
          </w:tcPr>
          <w:p>
            <w:pPr/>
          </w:p>
        </w:tc>
        <w:tc>
          <w:tcPr>
            <w:tcW w:w="1707" w:type="dxa"/>
            <w:vMerge/>
            <w:tcBorders>
              <w:left w:val="single" w:sz="4" w:space="0" w:color="000000"/>
              <w:bottom w:val="single" w:sz="4" w:space="0" w:color="000000"/>
              <w:right w:val="single" w:sz="4" w:space="0" w:color="000000"/>
            </w:tcBorders>
          </w:tcPr>
          <w:p>
            <w:pPr/>
          </w:p>
        </w:tc>
        <w:tc>
          <w:tcPr>
            <w:tcW w:w="1707" w:type="dxa"/>
            <w:vMerge/>
            <w:tcBorders>
              <w:left w:val="single" w:sz="4" w:space="0" w:color="000000"/>
              <w:bottom w:val="single" w:sz="4" w:space="0" w:color="000000"/>
              <w:right w:val="single" w:sz="4" w:space="0" w:color="000000"/>
            </w:tcBorders>
          </w:tcPr>
          <w:p>
            <w:pPr/>
          </w:p>
        </w:tc>
        <w:tc>
          <w:tcPr>
            <w:tcW w:w="1707"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915"/>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7"/>
        <w:gridCol w:w="2259"/>
        <w:gridCol w:w="2259"/>
        <w:gridCol w:w="2653"/>
      </w:tblGrid>
      <w:tr>
        <w:trPr>
          <w:trHeight w:val="402" w:hRule="exact"/>
        </w:trPr>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23"/>
              <w:jc w:val="left"/>
              <w:rPr>
                <w:rFonts w:ascii="宋体" w:hAnsi="宋体" w:cs="宋体" w:eastAsia="宋体" w:hint="default"/>
                <w:sz w:val="18"/>
                <w:szCs w:val="18"/>
              </w:rPr>
            </w:pPr>
            <w:r>
              <w:rPr>
                <w:rFonts w:ascii="宋体" w:hAnsi="宋体" w:cs="宋体" w:eastAsia="宋体" w:hint="default"/>
                <w:sz w:val="18"/>
                <w:szCs w:val="18"/>
              </w:rPr>
              <w:t>东吴在线（苏州）金融科技 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资产收益权转让收益款</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26" w:right="0"/>
              <w:jc w:val="left"/>
              <w:rPr>
                <w:rFonts w:ascii="Times New Roman" w:hAnsi="Times New Roman" w:cs="Times New Roman" w:eastAsia="Times New Roman" w:hint="default"/>
                <w:sz w:val="18"/>
                <w:szCs w:val="18"/>
              </w:rPr>
            </w:pPr>
            <w:r>
              <w:rPr>
                <w:rFonts w:ascii="Times New Roman"/>
                <w:sz w:val="18"/>
              </w:rPr>
              <w:t>22,402.43</w:t>
            </w:r>
          </w:p>
        </w:tc>
        <w:tc>
          <w:tcPr>
            <w:tcW w:w="265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49"/>
        <w:ind w:right="7334"/>
        <w:jc w:val="left"/>
      </w:pPr>
      <w:r>
        <w:rPr/>
        <w:t>购销商品、提供和接受劳务的关联交易说明 无</w:t>
      </w:r>
    </w:p>
    <w:p>
      <w:pPr>
        <w:spacing w:line="240" w:lineRule="auto" w:before="2"/>
        <w:rPr>
          <w:rFonts w:ascii="宋体" w:hAnsi="宋体" w:cs="宋体" w:eastAsia="宋体" w:hint="default"/>
          <w:sz w:val="20"/>
          <w:szCs w:val="20"/>
        </w:rPr>
      </w:pPr>
    </w:p>
    <w:p>
      <w:pPr>
        <w:pStyle w:val="Heading3"/>
        <w:spacing w:line="240" w:lineRule="auto"/>
        <w:ind w:right="915"/>
        <w:jc w:val="left"/>
        <w:rPr>
          <w:b w:val="0"/>
          <w:bCs w:val="0"/>
        </w:rPr>
      </w:pPr>
      <w:bookmarkStart w:name="（2）关联受托管理/承包及委托管理/出包情况" w:id="442"/>
      <w:bookmarkEnd w:id="442"/>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915"/>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1"/>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7"/>
        <w:gridCol w:w="1368"/>
        <w:gridCol w:w="1367"/>
        <w:gridCol w:w="1367"/>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00" w:lineRule="auto"/>
              <w:ind w:left="498" w:right="112" w:hanging="384"/>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 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00" w:lineRule="auto"/>
              <w:ind w:left="498" w:right="113" w:hanging="38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 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00" w:lineRule="auto"/>
              <w:ind w:left="498" w:right="113" w:hanging="384"/>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 类型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00" w:lineRule="auto"/>
              <w:ind w:left="587" w:right="112" w:hanging="47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 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00" w:lineRule="auto"/>
              <w:ind w:left="588" w:right="111" w:hanging="47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 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00" w:lineRule="auto"/>
              <w:ind w:left="138" w:right="112" w:hanging="27"/>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 收益定价依据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113" w:right="111" w:hanging="3"/>
              <w:jc w:val="center"/>
              <w:rPr>
                <w:rFonts w:ascii="宋体" w:hAnsi="宋体" w:cs="宋体" w:eastAsia="宋体" w:hint="default"/>
                <w:sz w:val="18"/>
                <w:szCs w:val="18"/>
              </w:rPr>
            </w:pPr>
            <w:r>
              <w:rPr>
                <w:rFonts w:ascii="宋体" w:hAnsi="宋体" w:cs="宋体" w:eastAsia="宋体" w:hint="default"/>
                <w:sz w:val="18"/>
                <w:szCs w:val="18"/>
              </w:rPr>
              <w:t>本期确认的托 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w:t>
            </w:r>
          </w:p>
        </w:tc>
      </w:tr>
    </w:tbl>
    <w:p>
      <w:pPr>
        <w:spacing w:after="0" w:line="309" w:lineRule="auto"/>
        <w:jc w:val="center"/>
        <w:rPr>
          <w:rFonts w:ascii="宋体" w:hAnsi="宋体" w:cs="宋体" w:eastAsia="宋体" w:hint="default"/>
          <w:sz w:val="18"/>
          <w:szCs w:val="18"/>
        </w:rPr>
        <w:sectPr>
          <w:footerReference w:type="default" r:id="rId37"/>
          <w:pgSz w:w="11910" w:h="16840"/>
          <w:pgMar w:footer="1016" w:header="919" w:top="1120" w:bottom="1200" w:left="1020" w:right="0"/>
          <w:pgNumType w:start="200"/>
        </w:sectPr>
      </w:pPr>
    </w:p>
    <w:p>
      <w:pPr>
        <w:pStyle w:val="BodyText"/>
        <w:spacing w:line="340" w:lineRule="auto" w:before="49"/>
        <w:ind w:right="521"/>
        <w:jc w:val="left"/>
      </w:pPr>
      <w:r>
        <w:rPr/>
        <w:t>关联托管</w:t>
      </w:r>
      <w:r>
        <w:rPr>
          <w:rFonts w:ascii="Times New Roman" w:hAnsi="Times New Roman" w:cs="Times New Roman" w:eastAsia="Times New Roman" w:hint="default"/>
        </w:rPr>
        <w:t>/</w:t>
      </w:r>
      <w:r>
        <w:rPr/>
        <w:t>承包情况说明 无</w:t>
      </w:r>
    </w:p>
    <w:p>
      <w:pPr>
        <w:pStyle w:val="BodyText"/>
        <w:spacing w:line="240" w:lineRule="auto" w:before="41"/>
        <w:ind w:right="-19"/>
        <w:jc w:val="left"/>
      </w:pPr>
      <w:r>
        <w:rPr/>
        <w:t>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100" w:bottom="1200" w:left="1020" w:right="0"/>
          <w:cols w:num="2" w:equalWidth="0">
            <w:col w:w="2504" w:space="6326"/>
            <w:col w:w="2060"/>
          </w:cols>
        </w:sectPr>
      </w:pP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7"/>
        <w:gridCol w:w="1368"/>
        <w:gridCol w:w="1367"/>
        <w:gridCol w:w="1367"/>
        <w:gridCol w:w="1367"/>
        <w:gridCol w:w="1367"/>
      </w:tblGrid>
      <w:tr>
        <w:trPr>
          <w:trHeight w:val="361"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w:t>
            </w: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w:t>
            </w: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w:t>
            </w: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w:t>
            </w: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本期确认的托</w:t>
            </w:r>
          </w:p>
        </w:tc>
      </w:tr>
      <w:tr>
        <w:trPr>
          <w:trHeight w:val="353"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定价依据</w:t>
            </w: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340" w:lineRule="auto" w:before="49"/>
        <w:ind w:right="8904"/>
        <w:jc w:val="left"/>
      </w:pPr>
      <w:r>
        <w:rPr/>
        <w:t>关联管理</w:t>
      </w:r>
      <w:r>
        <w:rPr>
          <w:rFonts w:ascii="Times New Roman" w:hAnsi="Times New Roman" w:cs="Times New Roman" w:eastAsia="Times New Roman" w:hint="default"/>
        </w:rPr>
        <w:t>/</w:t>
      </w:r>
      <w:r>
        <w:rPr/>
        <w:t>出包情况说明 无</w:t>
      </w:r>
    </w:p>
    <w:p>
      <w:pPr>
        <w:spacing w:after="0" w:line="340" w:lineRule="auto"/>
        <w:jc w:val="left"/>
        <w:sectPr>
          <w:type w:val="continuous"/>
          <w:pgSz w:w="11910" w:h="16840"/>
          <w:pgMar w:top="1100" w:bottom="1200" w:left="1020" w:right="0"/>
        </w:sectPr>
      </w:pPr>
    </w:p>
    <w:p>
      <w:pPr>
        <w:spacing w:line="240" w:lineRule="auto" w:before="10"/>
        <w:rPr>
          <w:rFonts w:ascii="宋体" w:hAnsi="宋体" w:cs="宋体" w:eastAsia="宋体" w:hint="default"/>
          <w:sz w:val="19"/>
          <w:szCs w:val="19"/>
        </w:rPr>
      </w:pPr>
    </w:p>
    <w:p>
      <w:pPr>
        <w:pStyle w:val="Heading3"/>
        <w:spacing w:line="240" w:lineRule="auto" w:before="34"/>
        <w:ind w:right="915"/>
        <w:jc w:val="left"/>
        <w:rPr>
          <w:b w:val="0"/>
          <w:bCs w:val="0"/>
        </w:rPr>
      </w:pPr>
      <w:bookmarkStart w:name="（3）关联租赁情况" w:id="443"/>
      <w:bookmarkEnd w:id="443"/>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915"/>
        <w:jc w:val="left"/>
      </w:pPr>
      <w:r>
        <w:rPr/>
        <w:t>本公司作为出租方：</w:t>
      </w:r>
    </w:p>
    <w:p>
      <w:pPr>
        <w:pStyle w:val="BodyText"/>
        <w:spacing w:line="240" w:lineRule="auto" w:before="117"/>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pStyle w:val="BodyText"/>
        <w:spacing w:line="240" w:lineRule="auto" w:before="51"/>
        <w:ind w:right="915"/>
        <w:jc w:val="left"/>
      </w:pPr>
      <w:r>
        <w:rPr/>
        <w:t>本公司作为承租方：</w:t>
      </w:r>
    </w:p>
    <w:p>
      <w:pPr>
        <w:pStyle w:val="BodyText"/>
        <w:spacing w:line="240" w:lineRule="auto" w:before="115"/>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360" w:lineRule="auto" w:before="50"/>
        <w:ind w:right="9314"/>
        <w:jc w:val="left"/>
      </w:pPr>
      <w:r>
        <w:rPr/>
        <w:t>关联租赁情况说明 无</w:t>
      </w:r>
    </w:p>
    <w:p>
      <w:pPr>
        <w:spacing w:line="240" w:lineRule="auto" w:before="2"/>
        <w:rPr>
          <w:rFonts w:ascii="宋体" w:hAnsi="宋体" w:cs="宋体" w:eastAsia="宋体" w:hint="default"/>
          <w:sz w:val="20"/>
          <w:szCs w:val="20"/>
        </w:rPr>
      </w:pPr>
    </w:p>
    <w:p>
      <w:pPr>
        <w:pStyle w:val="Heading3"/>
        <w:spacing w:line="240" w:lineRule="auto"/>
        <w:ind w:right="915"/>
        <w:jc w:val="left"/>
        <w:rPr>
          <w:b w:val="0"/>
          <w:bCs w:val="0"/>
        </w:rPr>
      </w:pPr>
      <w:bookmarkStart w:name="（4）关联担保情况" w:id="444"/>
      <w:bookmarkEnd w:id="444"/>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915"/>
        <w:jc w:val="left"/>
      </w:pPr>
      <w:r>
        <w:rPr/>
        <w:t>本公司作为担保方</w:t>
      </w:r>
    </w:p>
    <w:p>
      <w:pPr>
        <w:pStyle w:val="BodyText"/>
        <w:spacing w:line="240" w:lineRule="auto" w:before="117"/>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2"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62" w:right="139" w:hanging="720"/>
              <w:jc w:val="left"/>
              <w:rPr>
                <w:rFonts w:ascii="宋体" w:hAnsi="宋体" w:cs="宋体" w:eastAsia="宋体" w:hint="default"/>
                <w:sz w:val="18"/>
                <w:szCs w:val="18"/>
              </w:rPr>
            </w:pPr>
            <w:r>
              <w:rPr>
                <w:rFonts w:ascii="宋体" w:hAnsi="宋体" w:cs="宋体" w:eastAsia="宋体" w:hint="default"/>
                <w:sz w:val="18"/>
                <w:szCs w:val="18"/>
              </w:rPr>
              <w:t>担保是否已经履行完 毕</w:t>
            </w:r>
          </w:p>
        </w:tc>
      </w:tr>
    </w:tbl>
    <w:p>
      <w:pPr>
        <w:pStyle w:val="BodyText"/>
        <w:spacing w:line="240" w:lineRule="auto" w:before="49"/>
        <w:ind w:right="915"/>
        <w:jc w:val="left"/>
      </w:pPr>
      <w:r>
        <w:rPr/>
        <w:t>本公司作为被担保方</w:t>
      </w:r>
    </w:p>
    <w:p>
      <w:pPr>
        <w:pStyle w:val="BodyText"/>
        <w:spacing w:line="240" w:lineRule="auto" w:before="117"/>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02"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2" w:right="139" w:hanging="720"/>
              <w:jc w:val="left"/>
              <w:rPr>
                <w:rFonts w:ascii="宋体" w:hAnsi="宋体" w:cs="宋体" w:eastAsia="宋体" w:hint="default"/>
                <w:sz w:val="18"/>
                <w:szCs w:val="18"/>
              </w:rPr>
            </w:pPr>
            <w:r>
              <w:rPr>
                <w:rFonts w:ascii="宋体" w:hAnsi="宋体" w:cs="宋体" w:eastAsia="宋体" w:hint="default"/>
                <w:sz w:val="18"/>
                <w:szCs w:val="18"/>
              </w:rPr>
              <w:t>担保是否已经履行完 毕</w:t>
            </w:r>
          </w:p>
        </w:tc>
      </w:tr>
    </w:tbl>
    <w:p>
      <w:pPr>
        <w:pStyle w:val="BodyText"/>
        <w:spacing w:line="357" w:lineRule="auto" w:before="50"/>
        <w:ind w:right="9314"/>
        <w:jc w:val="left"/>
      </w:pPr>
      <w:r>
        <w:rPr/>
        <w:t>关联担保情况说明 无</w:t>
      </w:r>
    </w:p>
    <w:p>
      <w:pPr>
        <w:spacing w:line="240" w:lineRule="auto" w:before="3"/>
        <w:rPr>
          <w:rFonts w:ascii="宋体" w:hAnsi="宋体" w:cs="宋体" w:eastAsia="宋体" w:hint="default"/>
          <w:sz w:val="20"/>
          <w:szCs w:val="20"/>
        </w:rPr>
      </w:pPr>
    </w:p>
    <w:p>
      <w:pPr>
        <w:pStyle w:val="Heading3"/>
        <w:spacing w:line="240" w:lineRule="auto"/>
        <w:ind w:right="915"/>
        <w:jc w:val="left"/>
        <w:rPr>
          <w:b w:val="0"/>
          <w:bCs w:val="0"/>
        </w:rPr>
      </w:pPr>
      <w:bookmarkStart w:name="（5）关联方资金拆借" w:id="445"/>
      <w:bookmarkEnd w:id="445"/>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4"/>
        <w:gridCol w:w="1915"/>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4"/>
        <w:rPr>
          <w:rFonts w:ascii="宋体" w:hAnsi="宋体" w:cs="宋体" w:eastAsia="宋体" w:hint="default"/>
          <w:sz w:val="19"/>
          <w:szCs w:val="19"/>
        </w:rPr>
      </w:pPr>
    </w:p>
    <w:p>
      <w:pPr>
        <w:pStyle w:val="Heading3"/>
        <w:spacing w:line="240" w:lineRule="auto" w:before="34"/>
        <w:ind w:right="915"/>
        <w:jc w:val="left"/>
        <w:rPr>
          <w:b w:val="0"/>
          <w:bCs w:val="0"/>
        </w:rPr>
      </w:pPr>
      <w:bookmarkStart w:name="（6）关联方资产转让、债务重组情况" w:id="446"/>
      <w:bookmarkEnd w:id="446"/>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4"/>
        <w:rPr>
          <w:rFonts w:ascii="宋体" w:hAnsi="宋体" w:cs="宋体" w:eastAsia="宋体" w:hint="default"/>
          <w:sz w:val="19"/>
          <w:szCs w:val="19"/>
        </w:rPr>
      </w:pPr>
    </w:p>
    <w:p>
      <w:pPr>
        <w:pStyle w:val="Heading3"/>
        <w:spacing w:line="240" w:lineRule="auto" w:before="34"/>
        <w:ind w:right="915"/>
        <w:jc w:val="left"/>
        <w:rPr>
          <w:b w:val="0"/>
          <w:bCs w:val="0"/>
        </w:rPr>
      </w:pPr>
      <w:bookmarkStart w:name="（7）关键管理人员报酬" w:id="447"/>
      <w:bookmarkEnd w:id="447"/>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919" w:footer="1016" w:top="1120" w:bottom="1200" w:left="1020" w:right="0"/>
        </w:sectPr>
      </w:pPr>
    </w:p>
    <w:p>
      <w:pPr>
        <w:spacing w:line="240" w:lineRule="auto" w:before="10"/>
        <w:rPr>
          <w:rFonts w:ascii="宋体" w:hAnsi="宋体" w:cs="宋体" w:eastAsia="宋体" w:hint="default"/>
          <w:sz w:val="19"/>
          <w:szCs w:val="19"/>
        </w:rPr>
      </w:pPr>
    </w:p>
    <w:p>
      <w:pPr>
        <w:pStyle w:val="Heading3"/>
        <w:spacing w:line="240" w:lineRule="auto" w:before="34"/>
        <w:ind w:right="915"/>
        <w:jc w:val="left"/>
        <w:rPr>
          <w:b w:val="0"/>
          <w:bCs w:val="0"/>
        </w:rPr>
      </w:pPr>
      <w:bookmarkStart w:name="（8）其他关联交易" w:id="448"/>
      <w:bookmarkEnd w:id="448"/>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15"/>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15"/>
        <w:jc w:val="left"/>
        <w:rPr>
          <w:b w:val="0"/>
          <w:bCs w:val="0"/>
        </w:rPr>
      </w:pPr>
      <w:bookmarkStart w:name="6、关联方应收应付款项" w:id="449"/>
      <w:bookmarkEnd w:id="449"/>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15"/>
        <w:jc w:val="left"/>
        <w:rPr>
          <w:b w:val="0"/>
          <w:bCs w:val="0"/>
        </w:rPr>
      </w:pPr>
      <w:bookmarkStart w:name="（1）应收项目" w:id="450"/>
      <w:bookmarkEnd w:id="450"/>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5"/>
        <w:gridCol w:w="1595"/>
        <w:gridCol w:w="1594"/>
        <w:gridCol w:w="1594"/>
        <w:gridCol w:w="1594"/>
        <w:gridCol w:w="1594"/>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20"/>
              <w:jc w:val="left"/>
              <w:rPr>
                <w:rFonts w:ascii="宋体" w:hAnsi="宋体" w:cs="宋体" w:eastAsia="宋体" w:hint="default"/>
                <w:sz w:val="18"/>
                <w:szCs w:val="18"/>
              </w:rPr>
            </w:pPr>
            <w:r>
              <w:rPr>
                <w:rFonts w:ascii="宋体" w:hAnsi="宋体" w:cs="宋体" w:eastAsia="宋体" w:hint="default"/>
                <w:sz w:val="18"/>
                <w:szCs w:val="18"/>
              </w:rPr>
              <w:t>北京营安金融信 息服务有限公司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5" w:right="0"/>
              <w:jc w:val="left"/>
              <w:rPr>
                <w:rFonts w:ascii="Times New Roman" w:hAnsi="Times New Roman" w:cs="Times New Roman" w:eastAsia="Times New Roman" w:hint="default"/>
                <w:sz w:val="18"/>
                <w:szCs w:val="18"/>
              </w:rPr>
            </w:pPr>
            <w:r>
              <w:rPr>
                <w:rFonts w:ascii="Times New Roman"/>
                <w:sz w:val="18"/>
              </w:rPr>
              <w:t>1,104,056.54</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220"/>
              <w:jc w:val="left"/>
              <w:rPr>
                <w:rFonts w:ascii="宋体" w:hAnsi="宋体" w:cs="宋体" w:eastAsia="宋体" w:hint="default"/>
                <w:sz w:val="18"/>
                <w:szCs w:val="18"/>
              </w:rPr>
            </w:pPr>
            <w:r>
              <w:rPr>
                <w:rFonts w:ascii="宋体" w:hAnsi="宋体" w:cs="宋体" w:eastAsia="宋体" w:hint="default"/>
                <w:sz w:val="18"/>
                <w:szCs w:val="18"/>
              </w:rPr>
              <w:t>深圳市图灵机器 人有限公司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920,754.40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40"/>
              <w:jc w:val="left"/>
              <w:rPr>
                <w:rFonts w:ascii="宋体" w:hAnsi="宋体" w:cs="宋体" w:eastAsia="宋体" w:hint="default"/>
                <w:sz w:val="18"/>
                <w:szCs w:val="18"/>
              </w:rPr>
            </w:pPr>
            <w:r>
              <w:rPr>
                <w:rFonts w:ascii="宋体" w:hAnsi="宋体" w:cs="宋体" w:eastAsia="宋体" w:hint="default"/>
                <w:sz w:val="18"/>
                <w:szCs w:val="18"/>
              </w:rPr>
              <w:t>东吴在线（上海） 金融信息服务有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477,876.13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220"/>
              <w:jc w:val="left"/>
              <w:rPr>
                <w:rFonts w:ascii="宋体" w:hAnsi="宋体" w:cs="宋体" w:eastAsia="宋体" w:hint="default"/>
                <w:sz w:val="18"/>
                <w:szCs w:val="18"/>
              </w:rPr>
            </w:pPr>
            <w:r>
              <w:rPr>
                <w:rFonts w:ascii="宋体" w:hAnsi="宋体" w:cs="宋体" w:eastAsia="宋体" w:hint="default"/>
                <w:sz w:val="18"/>
                <w:szCs w:val="18"/>
              </w:rPr>
              <w:t>上海怀若智能科 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185,997.51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4"/>
        <w:ind w:right="915"/>
        <w:jc w:val="left"/>
        <w:rPr>
          <w:b w:val="0"/>
          <w:bCs w:val="0"/>
        </w:rPr>
      </w:pPr>
      <w:bookmarkStart w:name="（2）应付项目" w:id="451"/>
      <w:bookmarkEnd w:id="451"/>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line="240" w:lineRule="auto" w:before="3"/>
        <w:rPr>
          <w:rFonts w:ascii="宋体" w:hAnsi="宋体" w:cs="宋体" w:eastAsia="宋体" w:hint="default"/>
          <w:sz w:val="19"/>
          <w:szCs w:val="19"/>
        </w:rPr>
      </w:pPr>
    </w:p>
    <w:p>
      <w:pPr>
        <w:pStyle w:val="Heading3"/>
        <w:spacing w:line="240" w:lineRule="auto" w:before="34"/>
        <w:ind w:right="915"/>
        <w:jc w:val="left"/>
        <w:rPr>
          <w:b w:val="0"/>
          <w:bCs w:val="0"/>
        </w:rPr>
      </w:pPr>
      <w:bookmarkStart w:name="7、关联方承诺" w:id="452"/>
      <w:bookmarkEnd w:id="452"/>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15"/>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15"/>
        <w:jc w:val="left"/>
        <w:rPr>
          <w:b w:val="0"/>
          <w:bCs w:val="0"/>
        </w:rPr>
      </w:pPr>
      <w:bookmarkStart w:name="8、其他" w:id="453"/>
      <w:bookmarkEnd w:id="453"/>
      <w:r>
        <w:rPr>
          <w:b w:val="0"/>
          <w:bCs w:val="0"/>
        </w:rPr>
      </w:r>
      <w:r>
        <w:rPr>
          <w:rFonts w:ascii="Times New Roman" w:hAnsi="Times New Roman" w:cs="Times New Roman" w:eastAsia="Times New Roman" w:hint="default"/>
        </w:rPr>
        <w:t>8</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15"/>
        <w:jc w:val="left"/>
      </w:pPr>
      <w:r>
        <w:rPr/>
        <w:t>无</w:t>
      </w:r>
    </w:p>
    <w:p>
      <w:pPr>
        <w:spacing w:line="240" w:lineRule="auto" w:before="1"/>
        <w:rPr>
          <w:rFonts w:ascii="宋体" w:hAnsi="宋体" w:cs="宋体" w:eastAsia="宋体" w:hint="default"/>
          <w:sz w:val="25"/>
          <w:szCs w:val="25"/>
        </w:rPr>
      </w:pPr>
    </w:p>
    <w:p>
      <w:pPr>
        <w:pStyle w:val="Heading2"/>
        <w:spacing w:line="240" w:lineRule="auto"/>
        <w:ind w:right="915"/>
        <w:jc w:val="left"/>
        <w:rPr>
          <w:b w:val="0"/>
          <w:bCs w:val="0"/>
        </w:rPr>
      </w:pPr>
      <w:bookmarkStart w:name="十三、股份支付" w:id="454"/>
      <w:bookmarkEnd w:id="454"/>
      <w:r>
        <w:rPr>
          <w:b w:val="0"/>
          <w:bCs w:val="0"/>
        </w:rPr>
      </w:r>
      <w:r>
        <w:rPr/>
        <w:t>十三、股份支付</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15"/>
        <w:jc w:val="left"/>
        <w:rPr>
          <w:b w:val="0"/>
          <w:bCs w:val="0"/>
        </w:rPr>
      </w:pPr>
      <w:bookmarkStart w:name="1、股份支付总体情况" w:id="455"/>
      <w:bookmarkEnd w:id="455"/>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915"/>
        <w:jc w:val="left"/>
      </w:pPr>
      <w:r>
        <w:rPr/>
        <w:t>√ 适用 □ 不适用</w:t>
      </w:r>
    </w:p>
    <w:p>
      <w:pPr>
        <w:pStyle w:val="BodyText"/>
        <w:spacing w:line="240" w:lineRule="auto" w:before="117"/>
        <w:ind w:left="0" w:right="1132"/>
        <w:jc w:val="right"/>
      </w:pPr>
      <w:r>
        <w:rPr/>
        <w:t>单位：</w:t>
      </w:r>
      <w:r>
        <w:rPr>
          <w:spacing w:val="-2"/>
        </w:rPr>
        <w:t> </w:t>
      </w:r>
      <w:r>
        <w:rPr/>
        <w:t>元</w:t>
      </w:r>
    </w:p>
    <w:p>
      <w:pPr>
        <w:spacing w:line="240" w:lineRule="auto" w:before="8"/>
        <w:rPr>
          <w:rFonts w:ascii="宋体" w:hAnsi="宋体" w:cs="宋体" w:eastAsia="宋体" w:hint="default"/>
          <w:sz w:val="7"/>
          <w:szCs w:val="7"/>
        </w:rPr>
      </w:pPr>
    </w:p>
    <w:p>
      <w:pPr>
        <w:spacing w:line="414"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75pt;mso-position-horizontal-relative:char;mso-position-vertical-relative:line" coordorigin="0,0" coordsize="9588,415">
            <v:group style="position:absolute;left:13;top:13;width:5449;height:397" coordorigin="13,13" coordsize="5449,397">
              <v:shape style="position:absolute;left:13;top:13;width:5449;height:397" coordorigin="13,13" coordsize="5449,397" path="m13,13l5462,13,5462,410,13,410,13,13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0;width:9578;height:2" coordorigin="5,410" coordsize="9578,2">
              <v:shape style="position:absolute;left:5;top:410;width:9578;height:2" coordorigin="5,410" coordsize="9578,0" path="m5,410l9582,410e" filled="false" stroked="true" strokeweight=".48pt" strokecolor="#000000">
                <v:path arrowok="t"/>
              </v:shape>
            </v:group>
            <v:group style="position:absolute;left:10;top:5;width:2;height:400" coordorigin="10,5" coordsize="2,400">
              <v:shape style="position:absolute;left:10;top:5;width:2;height:400" coordorigin="10,5" coordsize="0,400" path="m10,5l10,405e" filled="false" stroked="true" strokeweight=".48pt" strokecolor="#000000">
                <v:path arrowok="t"/>
              </v:shape>
            </v:group>
            <v:group style="position:absolute;left:5464;top:5;width:2;height:400" coordorigin="5464,5" coordsize="2,400">
              <v:shape style="position:absolute;left:5464;top:5;width:2;height:400" coordorigin="5464,5" coordsize="0,400" path="m5464,5l5464,405e" filled="false" stroked="true" strokeweight=".48pt" strokecolor="#000000">
                <v:path arrowok="t"/>
              </v:shape>
            </v:group>
            <v:group style="position:absolute;left:9578;top:5;width:2;height:400" coordorigin="9578,5" coordsize="2,400">
              <v:shape style="position:absolute;left:9578;top:5;width:2;height:400" coordorigin="9578,5" coordsize="0,400" path="m9578,5l9578,405e" filled="false" stroked="true" strokeweight=".48pt" strokecolor="#000000">
                <v:path arrowok="t"/>
              </v:shape>
              <v:shape style="position:absolute;left:10;top:10;width:5454;height:400" type="#_x0000_t202" filled="false" stroked="false">
                <v:textbox inset="0,0,0,0">
                  <w:txbxContent>
                    <w:p>
                      <w:pPr>
                        <w:spacing w:before="55"/>
                        <w:ind w:left="106" w:right="0" w:firstLine="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xbxContent>
                </v:textbox>
                <w10:wrap type="none"/>
              </v:shape>
              <v:shape style="position:absolute;left:9155;top:131;width:31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0.00</w:t>
                      </w:r>
                    </w:p>
                  </w:txbxContent>
                </v:textbox>
                <w10:wrap type="none"/>
              </v:shape>
            </v:group>
          </v:group>
        </w:pict>
      </w:r>
      <w:r>
        <w:rPr>
          <w:rFonts w:ascii="宋体" w:hAnsi="宋体" w:cs="宋体" w:eastAsia="宋体" w:hint="default"/>
          <w:position w:val="-7"/>
          <w:sz w:val="20"/>
          <w:szCs w:val="20"/>
        </w:rPr>
      </w:r>
    </w:p>
    <w:p>
      <w:pPr>
        <w:spacing w:after="0" w:line="414" w:lineRule="exact"/>
        <w:rPr>
          <w:rFonts w:ascii="宋体" w:hAnsi="宋体" w:cs="宋体" w:eastAsia="宋体" w:hint="default"/>
          <w:sz w:val="20"/>
          <w:szCs w:val="20"/>
        </w:rPr>
        <w:sectPr>
          <w:pgSz w:w="11910" w:h="16840"/>
          <w:pgMar w:header="919" w:footer="1016"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5454"/>
        <w:gridCol w:w="4114"/>
      </w:tblGrid>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1,556,250.00</w:t>
            </w:r>
          </w:p>
        </w:tc>
      </w:tr>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122,500.00</w:t>
            </w:r>
          </w:p>
        </w:tc>
      </w:tr>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行权价格为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股，合同剩余期限为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r>
    </w:tbl>
    <w:p>
      <w:pPr>
        <w:pStyle w:val="BodyText"/>
        <w:spacing w:line="240" w:lineRule="auto" w:before="51"/>
        <w:ind w:right="915"/>
        <w:jc w:val="left"/>
      </w:pPr>
      <w:r>
        <w:rPr/>
        <w:t>其他说明</w:t>
      </w:r>
    </w:p>
    <w:p>
      <w:pPr>
        <w:pStyle w:val="BodyText"/>
        <w:spacing w:line="316" w:lineRule="auto" w:before="117"/>
        <w:ind w:right="1132" w:firstLine="360"/>
        <w:jc w:val="both"/>
      </w:pPr>
      <w:r>
        <w:rPr/>
        <w:t>注：根据2016年公司实施的限制性股票激励计划，经2019年8月13日第四届董事会第二次会议审议通过，公司2016年限 制性股票激励计划第三个解锁期可解锁股票1,556,250股。公司2016年限制性股票原授予的激励对象张珺、张培、李华超共 </w:t>
      </w:r>
      <w:r>
        <w:rPr>
          <w:spacing w:val="-2"/>
        </w:rPr>
        <w:t>计3人因个人原因申请离职，已不具备股权激励对象的条件，对其持有的已获授权但尚未解锁的122,500股限制性股票进行回</w:t>
      </w:r>
      <w:r>
        <w:rPr>
          <w:spacing w:val="-60"/>
        </w:rPr>
        <w:t> </w:t>
      </w:r>
      <w:r>
        <w:rPr>
          <w:spacing w:val="-60"/>
        </w:rPr>
      </w:r>
      <w:r>
        <w:rPr/>
        <w:t>购注销。</w:t>
      </w:r>
    </w:p>
    <w:p>
      <w:pPr>
        <w:spacing w:line="240" w:lineRule="auto" w:before="6"/>
        <w:rPr>
          <w:rFonts w:ascii="宋体" w:hAnsi="宋体" w:cs="宋体" w:eastAsia="宋体" w:hint="default"/>
          <w:sz w:val="22"/>
          <w:szCs w:val="22"/>
        </w:rPr>
      </w:pPr>
    </w:p>
    <w:p>
      <w:pPr>
        <w:pStyle w:val="Heading3"/>
        <w:spacing w:line="240" w:lineRule="auto"/>
        <w:ind w:right="915"/>
        <w:jc w:val="left"/>
        <w:rPr>
          <w:b w:val="0"/>
          <w:bCs w:val="0"/>
        </w:rPr>
      </w:pPr>
      <w:bookmarkStart w:name="2、以权益结算的股份支付情况" w:id="456"/>
      <w:bookmarkEnd w:id="456"/>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915"/>
        <w:jc w:val="left"/>
      </w:pPr>
      <w:r>
        <w:rPr/>
        <w:t>√ 适用 □ 不适用</w:t>
      </w:r>
    </w:p>
    <w:p>
      <w:pPr>
        <w:pStyle w:val="BodyText"/>
        <w:spacing w:line="240" w:lineRule="auto" w:before="117"/>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3"/>
        <w:gridCol w:w="4585"/>
      </w:tblGrid>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布莱克</w:t>
            </w:r>
            <w:r>
              <w:rPr>
                <w:rFonts w:ascii="Times New Roman" w:hAnsi="Times New Roman" w:cs="Times New Roman" w:eastAsia="Times New Roman" w:hint="default"/>
                <w:sz w:val="18"/>
                <w:szCs w:val="18"/>
              </w:rPr>
              <w:t>-</w:t>
            </w:r>
            <w:r>
              <w:rPr>
                <w:rFonts w:ascii="宋体" w:hAnsi="宋体" w:cs="宋体" w:eastAsia="宋体" w:hint="default"/>
                <w:sz w:val="18"/>
                <w:szCs w:val="18"/>
              </w:rPr>
              <w:t>斯科尔期权定价模型</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根据最新取得的可行权职工数等后续信息估计</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11,829,888.87</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849,574.31</w:t>
            </w:r>
          </w:p>
        </w:tc>
      </w:tr>
    </w:tbl>
    <w:p>
      <w:pPr>
        <w:pStyle w:val="BodyText"/>
        <w:spacing w:line="357" w:lineRule="auto" w:before="51"/>
        <w:ind w:right="10034"/>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915"/>
        <w:jc w:val="left"/>
        <w:rPr>
          <w:b w:val="0"/>
          <w:bCs w:val="0"/>
        </w:rPr>
      </w:pPr>
      <w:bookmarkStart w:name="3、以现金结算的股份支付情况" w:id="457"/>
      <w:bookmarkEnd w:id="457"/>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15"/>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915"/>
        <w:jc w:val="left"/>
        <w:rPr>
          <w:b w:val="0"/>
          <w:bCs w:val="0"/>
        </w:rPr>
      </w:pPr>
      <w:bookmarkStart w:name="4、股份支付的修改、终止情况" w:id="458"/>
      <w:bookmarkEnd w:id="458"/>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15"/>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15"/>
        <w:jc w:val="left"/>
        <w:rPr>
          <w:b w:val="0"/>
          <w:bCs w:val="0"/>
        </w:rPr>
      </w:pPr>
      <w:bookmarkStart w:name="5、其他" w:id="459"/>
      <w:bookmarkEnd w:id="459"/>
      <w:r>
        <w:rPr>
          <w:b w:val="0"/>
          <w:bCs w:val="0"/>
        </w:rPr>
      </w:r>
      <w:r>
        <w:rPr>
          <w:rFonts w:ascii="Times New Roman" w:hAnsi="Times New Roman" w:cs="Times New Roman" w:eastAsia="Times New Roman" w:hint="default"/>
        </w:rPr>
        <w:t>5</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15"/>
        <w:jc w:val="left"/>
      </w:pPr>
      <w:r>
        <w:rPr/>
        <w:t>无</w:t>
      </w:r>
    </w:p>
    <w:p>
      <w:pPr>
        <w:spacing w:line="240" w:lineRule="auto" w:before="1"/>
        <w:rPr>
          <w:rFonts w:ascii="宋体" w:hAnsi="宋体" w:cs="宋体" w:eastAsia="宋体" w:hint="default"/>
          <w:sz w:val="25"/>
          <w:szCs w:val="25"/>
        </w:rPr>
      </w:pPr>
    </w:p>
    <w:p>
      <w:pPr>
        <w:spacing w:line="506" w:lineRule="auto" w:before="0"/>
        <w:ind w:left="112" w:right="8344" w:firstLine="0"/>
        <w:jc w:val="left"/>
        <w:rPr>
          <w:rFonts w:ascii="宋体" w:hAnsi="宋体" w:cs="宋体" w:eastAsia="宋体" w:hint="default"/>
          <w:sz w:val="18"/>
          <w:szCs w:val="18"/>
        </w:rPr>
      </w:pPr>
      <w:bookmarkStart w:name="十四、承诺及或有事项" w:id="460"/>
      <w:bookmarkEnd w:id="460"/>
      <w:r>
        <w:rPr/>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bookmarkStart w:name="1、重要承诺事项" w:id="461"/>
      <w:bookmarkEnd w:id="461"/>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w w:val="99"/>
          <w:sz w:val="21"/>
          <w:szCs w:val="21"/>
        </w:rPr>
        <w:t> </w:t>
      </w:r>
      <w:r>
        <w:rPr>
          <w:rFonts w:ascii="宋体" w:hAnsi="宋体" w:cs="宋体" w:eastAsia="宋体" w:hint="default"/>
          <w:sz w:val="18"/>
          <w:szCs w:val="18"/>
        </w:rPr>
        <w:t>资产负债表日存在的重要承诺</w:t>
      </w:r>
    </w:p>
    <w:p>
      <w:pPr>
        <w:pStyle w:val="BodyText"/>
        <w:spacing w:line="240" w:lineRule="auto" w:before="32"/>
        <w:ind w:right="915"/>
        <w:jc w:val="left"/>
      </w:pPr>
      <w:r>
        <w:rPr/>
        <w:t>截至2019年12月31日止，本公司无需要说明的承诺事项。</w:t>
      </w:r>
    </w:p>
    <w:p>
      <w:pPr>
        <w:spacing w:after="0" w:line="240" w:lineRule="auto"/>
        <w:jc w:val="left"/>
        <w:sectPr>
          <w:pgSz w:w="11910" w:h="16840"/>
          <w:pgMar w:header="919" w:footer="1016" w:top="112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Heading3"/>
        <w:spacing w:line="240" w:lineRule="auto" w:before="34"/>
        <w:ind w:right="915"/>
        <w:jc w:val="left"/>
        <w:rPr>
          <w:b w:val="0"/>
          <w:bCs w:val="0"/>
        </w:rPr>
      </w:pPr>
      <w:bookmarkStart w:name="2、或有事项" w:id="462"/>
      <w:bookmarkEnd w:id="462"/>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15"/>
        <w:jc w:val="left"/>
        <w:rPr>
          <w:b w:val="0"/>
          <w:bCs w:val="0"/>
        </w:rPr>
      </w:pPr>
      <w:bookmarkStart w:name="（1）资产负债表日存在的重要或有事项" w:id="463"/>
      <w:bookmarkEnd w:id="463"/>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pStyle w:val="BodyText"/>
        <w:spacing w:line="470" w:lineRule="atLeast" w:before="110"/>
        <w:ind w:left="532" w:right="915" w:firstLine="105"/>
        <w:jc w:val="left"/>
      </w:pPr>
      <w:r>
        <w:rPr/>
        <w:t>未决诉讼仲裁形成的或有负债及其财务影响 </w:t>
      </w:r>
      <w:r>
        <w:rPr>
          <w:spacing w:val="-2"/>
        </w:rPr>
        <w:t>1）本公司之子公司上海赢量信息科技有限公司之子公司上海蒲园供应链管理有限公司（以下简称“上海蒲园”）与滑</w:t>
      </w:r>
    </w:p>
    <w:p>
      <w:pPr>
        <w:pStyle w:val="BodyText"/>
        <w:spacing w:line="316" w:lineRule="auto" w:before="76"/>
        <w:ind w:right="915"/>
        <w:jc w:val="left"/>
      </w:pPr>
      <w:r>
        <w:rPr>
          <w:spacing w:val="-5"/>
        </w:rPr>
        <w:t>县永达饲料有限公司（以下简称“滑县永达饲料”），于2016年12月28日开展委托代采购业务，滑县永达饲料后续违反双方协</w:t>
      </w:r>
      <w:r>
        <w:rPr>
          <w:spacing w:val="-63"/>
        </w:rPr>
        <w:t> </w:t>
      </w:r>
      <w:r>
        <w:rPr>
          <w:spacing w:val="-63"/>
        </w:rPr>
      </w:r>
      <w:r>
        <w:rPr/>
        <w:t>议约定，一直没有偿还货款，截至2019年12月31日，上海蒲园供应链应收代采垫资款12,526.77万元仍未收回。</w:t>
      </w:r>
    </w:p>
    <w:p>
      <w:pPr>
        <w:spacing w:line="240" w:lineRule="auto" w:before="5"/>
        <w:rPr>
          <w:rFonts w:ascii="宋体" w:hAnsi="宋体" w:cs="宋体" w:eastAsia="宋体" w:hint="default"/>
          <w:sz w:val="13"/>
          <w:szCs w:val="13"/>
        </w:rPr>
      </w:pPr>
    </w:p>
    <w:p>
      <w:pPr>
        <w:pStyle w:val="BodyText"/>
        <w:spacing w:line="316" w:lineRule="auto"/>
        <w:ind w:right="915" w:firstLine="420"/>
        <w:jc w:val="left"/>
      </w:pPr>
      <w:r>
        <w:rPr/>
        <w:t>公司于2019年10月15</w:t>
      </w:r>
      <w:r>
        <w:rPr>
          <w:spacing w:val="-26"/>
        </w:rPr>
        <w:t> </w:t>
      </w:r>
      <w:r>
        <w:rPr/>
        <w:t>日对滑县永达饲料有限公司（被告）及担保人（被告冯永山、郭玉凤、河南永达美基食品有限公</w:t>
      </w:r>
      <w:r>
        <w:rPr/>
        <w:t> </w:t>
      </w:r>
      <w:r>
        <w:rPr>
          <w:spacing w:val="-4"/>
        </w:rPr>
        <w:t>司、鹤壁市永达食品有限公司、河南省淇县永达食业有限公司、河南省永达投资控股有限公司、河南永达道口食品有限公司、</w:t>
      </w:r>
      <w:r>
        <w:rPr>
          <w:spacing w:val="-43"/>
        </w:rPr>
        <w:t> </w:t>
      </w:r>
      <w:r>
        <w:rPr>
          <w:spacing w:val="-43"/>
        </w:rPr>
      </w:r>
      <w:r>
        <w:rPr/>
        <w:t>河南永达清真食品有限公司）提起诉讼，并经上海市第一中级人民法院立案受理，案号为(2019)沪01民初318号，立案同时</w:t>
      </w:r>
      <w:r>
        <w:rPr/>
        <w:t> </w:t>
      </w:r>
      <w:r>
        <w:rPr>
          <w:spacing w:val="-5"/>
        </w:rPr>
        <w:t>向法院提交财产保全申请，已对被告股权及房产保全。诉讼过程中被告提出管辖权异议申请书，一审法院已驳回，被告于2019</w:t>
      </w:r>
      <w:r>
        <w:rPr>
          <w:spacing w:val="-65"/>
        </w:rPr>
        <w:t> </w:t>
      </w:r>
      <w:r>
        <w:rPr>
          <w:spacing w:val="-65"/>
        </w:rPr>
      </w:r>
      <w:r>
        <w:rPr/>
        <w:t>年12月7日再次向上海高院上诉，2020年1月14日，上海市高级人民法院作出终审裁定，维持原裁定。</w:t>
      </w:r>
    </w:p>
    <w:p>
      <w:pPr>
        <w:spacing w:line="240" w:lineRule="auto" w:before="5"/>
        <w:rPr>
          <w:rFonts w:ascii="宋体" w:hAnsi="宋体" w:cs="宋体" w:eastAsia="宋体" w:hint="default"/>
          <w:sz w:val="13"/>
          <w:szCs w:val="13"/>
        </w:rPr>
      </w:pPr>
    </w:p>
    <w:p>
      <w:pPr>
        <w:pStyle w:val="BodyText"/>
        <w:spacing w:line="316" w:lineRule="auto"/>
        <w:ind w:right="1130" w:firstLine="420"/>
        <w:jc w:val="both"/>
      </w:pPr>
      <w:r>
        <w:rPr>
          <w:spacing w:val="-2"/>
        </w:rPr>
        <w:t>2）本公司之子公司上海赢量信息科技有限公司之子公司上海蒲园供应链管理有限公司（以下简称“上海蒲园”）鹤壁</w:t>
      </w:r>
      <w:r>
        <w:rPr/>
        <w:t> </w:t>
      </w:r>
      <w:r>
        <w:rPr>
          <w:spacing w:val="-5"/>
        </w:rPr>
        <w:t>市永达养殖有限公司（以下简称“鹤壁永达养殖”），于2017年5月8日开展委托代采购业务，鹤壁永达养殖后续违反双方协议</w:t>
      </w:r>
      <w:r>
        <w:rPr>
          <w:spacing w:val="-67"/>
        </w:rPr>
        <w:t> </w:t>
      </w:r>
      <w:r>
        <w:rPr>
          <w:spacing w:val="-67"/>
        </w:rPr>
      </w:r>
      <w:r>
        <w:rPr/>
        <w:t>约定，一直没有偿还货款，截至2019年12月31日，上海蒲园供应链应收代采垫资款1,875.55万元仍未收回。</w:t>
      </w:r>
    </w:p>
    <w:p>
      <w:pPr>
        <w:spacing w:line="240" w:lineRule="auto" w:before="5"/>
        <w:rPr>
          <w:rFonts w:ascii="宋体" w:hAnsi="宋体" w:cs="宋体" w:eastAsia="宋体" w:hint="default"/>
          <w:sz w:val="13"/>
          <w:szCs w:val="13"/>
        </w:rPr>
      </w:pPr>
    </w:p>
    <w:p>
      <w:pPr>
        <w:pStyle w:val="BodyText"/>
        <w:spacing w:line="316" w:lineRule="auto"/>
        <w:ind w:right="1129" w:firstLine="420"/>
        <w:jc w:val="both"/>
      </w:pPr>
      <w:r>
        <w:rPr/>
        <w:t>公司于2019年11月16日对鹤壁市永达养殖有限公司及其担保人（被告冯永山、郭玉凤、河南永达美基食品有限公司、 </w:t>
      </w:r>
      <w:r>
        <w:rPr>
          <w:spacing w:val="-2"/>
        </w:rPr>
        <w:t>鹤壁市永达食品有限公司、河南省淇县永达食业有限公司、河南省永达投资控股有限公司、河南永达道口食品有限公司、河</w:t>
      </w:r>
      <w:r>
        <w:rPr>
          <w:spacing w:val="-64"/>
        </w:rPr>
        <w:t> </w:t>
      </w:r>
      <w:r>
        <w:rPr>
          <w:spacing w:val="-64"/>
        </w:rPr>
      </w:r>
      <w:r>
        <w:rPr/>
        <w:t>南永达清真食品有限公司）提起诉讼，案号为（2019）沪0115民初91415号，立案同时向法院提交财产保全申请，已对被告</w:t>
      </w:r>
      <w:r>
        <w:rPr/>
        <w:t> </w:t>
      </w:r>
      <w:r>
        <w:rPr>
          <w:spacing w:val="-2"/>
        </w:rPr>
        <w:t>股权及房产保全。被告人2019年11月17日提出管辖权异议申请书，2020年1月2日，浦东法院出具裁定，驳回被告异议。2020</w:t>
      </w:r>
      <w:r>
        <w:rPr>
          <w:spacing w:val="-53"/>
        </w:rPr>
        <w:t> </w:t>
      </w:r>
      <w:r>
        <w:rPr>
          <w:spacing w:val="-53"/>
        </w:rPr>
      </w:r>
      <w:r>
        <w:rPr/>
        <w:t>年2月18日，一中院出具终裁裁定，驳回被告异议，维持原裁定。</w:t>
      </w:r>
    </w:p>
    <w:p>
      <w:pPr>
        <w:spacing w:line="240" w:lineRule="auto" w:before="8"/>
        <w:rPr>
          <w:rFonts w:ascii="宋体" w:hAnsi="宋体" w:cs="宋体" w:eastAsia="宋体" w:hint="default"/>
          <w:sz w:val="22"/>
          <w:szCs w:val="22"/>
        </w:rPr>
      </w:pPr>
    </w:p>
    <w:p>
      <w:pPr>
        <w:pStyle w:val="Heading3"/>
        <w:spacing w:line="240" w:lineRule="auto"/>
        <w:ind w:right="915"/>
        <w:jc w:val="left"/>
        <w:rPr>
          <w:b w:val="0"/>
          <w:bCs w:val="0"/>
        </w:rPr>
      </w:pPr>
      <w:bookmarkStart w:name="（2）公司没有需要披露的重要或有事项，也应予以说明" w:id="464"/>
      <w:bookmarkEnd w:id="464"/>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15"/>
        <w:jc w:val="left"/>
      </w:pPr>
      <w:r>
        <w:rPr/>
        <w:t>公司不存在需要披露的重要或有事项。</w:t>
      </w:r>
    </w:p>
    <w:p>
      <w:pPr>
        <w:spacing w:line="240" w:lineRule="auto" w:before="11"/>
        <w:rPr>
          <w:rFonts w:ascii="宋体" w:hAnsi="宋体" w:cs="宋体" w:eastAsia="宋体" w:hint="default"/>
          <w:sz w:val="26"/>
          <w:szCs w:val="26"/>
        </w:rPr>
      </w:pPr>
    </w:p>
    <w:p>
      <w:pPr>
        <w:pStyle w:val="Heading3"/>
        <w:spacing w:line="240" w:lineRule="auto"/>
        <w:ind w:right="915"/>
        <w:jc w:val="left"/>
        <w:rPr>
          <w:b w:val="0"/>
          <w:bCs w:val="0"/>
        </w:rPr>
      </w:pPr>
      <w:bookmarkStart w:name="3、其他" w:id="465"/>
      <w:bookmarkEnd w:id="465"/>
      <w:r>
        <w:rPr>
          <w:b w:val="0"/>
          <w:bCs w:val="0"/>
        </w:rPr>
      </w:r>
      <w:r>
        <w:rPr>
          <w:rFonts w:ascii="Times New Roman" w:hAnsi="Times New Roman" w:cs="Times New Roman" w:eastAsia="Times New Roman" w:hint="default"/>
        </w:rPr>
        <w:t>3</w:t>
      </w:r>
      <w:r>
        <w:rPr/>
        <w:t>、其他</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15"/>
        <w:jc w:val="left"/>
      </w:pPr>
      <w:r>
        <w:rPr/>
        <w:t>无。</w:t>
      </w:r>
    </w:p>
    <w:p>
      <w:pPr>
        <w:spacing w:line="240" w:lineRule="auto" w:before="1"/>
        <w:rPr>
          <w:rFonts w:ascii="宋体" w:hAnsi="宋体" w:cs="宋体" w:eastAsia="宋体" w:hint="default"/>
          <w:sz w:val="25"/>
          <w:szCs w:val="25"/>
        </w:rPr>
      </w:pPr>
    </w:p>
    <w:p>
      <w:pPr>
        <w:pStyle w:val="Heading2"/>
        <w:spacing w:line="240" w:lineRule="auto"/>
        <w:ind w:right="915"/>
        <w:jc w:val="left"/>
        <w:rPr>
          <w:b w:val="0"/>
          <w:bCs w:val="0"/>
        </w:rPr>
      </w:pPr>
      <w:bookmarkStart w:name="十五、资产负债表日后事项" w:id="466"/>
      <w:bookmarkEnd w:id="466"/>
      <w:r>
        <w:rPr>
          <w:b w:val="0"/>
          <w:bCs w:val="0"/>
        </w:rPr>
      </w:r>
      <w:r>
        <w:rPr/>
        <w:t>十五、资产负债表日后事项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15"/>
        <w:jc w:val="left"/>
        <w:rPr>
          <w:b w:val="0"/>
          <w:bCs w:val="0"/>
        </w:rPr>
      </w:pPr>
      <w:bookmarkStart w:name="1、重要的非调整事项" w:id="467"/>
      <w:bookmarkEnd w:id="467"/>
      <w:r>
        <w:rPr>
          <w:b w:val="0"/>
          <w:bCs w:val="0"/>
        </w:rPr>
      </w:r>
      <w:r>
        <w:rPr>
          <w:rFonts w:ascii="Times New Roman" w:hAnsi="Times New Roman" w:cs="Times New Roman" w:eastAsia="Times New Roman" w:hint="default"/>
        </w:rPr>
        <w:t>1</w:t>
      </w:r>
      <w:r>
        <w:rPr/>
        <w:t>、重要的非调整事项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0"/>
        <w:gridCol w:w="2390"/>
      </w:tblGrid>
      <w:tr>
        <w:trPr>
          <w:trHeight w:val="714"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内容</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09" w:right="109"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after="0" w:line="240" w:lineRule="auto"/>
        <w:jc w:val="left"/>
        <w:rPr>
          <w:rFonts w:ascii="宋体" w:hAnsi="宋体" w:cs="宋体" w:eastAsia="宋体" w:hint="default"/>
          <w:sz w:val="18"/>
          <w:szCs w:val="18"/>
        </w:rPr>
        <w:sectPr>
          <w:pgSz w:w="11910" w:h="16840"/>
          <w:pgMar w:header="919" w:footer="1016" w:top="1120" w:bottom="1200" w:left="1020" w:right="0"/>
        </w:sectPr>
      </w:pPr>
    </w:p>
    <w:p>
      <w:pPr>
        <w:spacing w:line="240" w:lineRule="auto" w:before="10"/>
        <w:rPr>
          <w:rFonts w:ascii="宋体" w:hAnsi="宋体" w:cs="宋体" w:eastAsia="宋体" w:hint="default"/>
          <w:sz w:val="19"/>
          <w:szCs w:val="19"/>
        </w:rPr>
      </w:pPr>
    </w:p>
    <w:p>
      <w:pPr>
        <w:pStyle w:val="Heading3"/>
        <w:spacing w:line="240" w:lineRule="auto" w:before="34"/>
        <w:ind w:right="915"/>
        <w:jc w:val="left"/>
        <w:rPr>
          <w:b w:val="0"/>
          <w:bCs w:val="0"/>
        </w:rPr>
      </w:pPr>
      <w:bookmarkStart w:name="2、利润分配情况" w:id="468"/>
      <w:bookmarkEnd w:id="468"/>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3"/>
        <w:gridCol w:w="4585"/>
      </w:tblGrid>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74,209,208.00</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74,209,208.00</w:t>
            </w:r>
          </w:p>
        </w:tc>
      </w:tr>
    </w:tbl>
    <w:p>
      <w:pPr>
        <w:spacing w:line="240" w:lineRule="auto" w:before="3"/>
        <w:rPr>
          <w:rFonts w:ascii="宋体" w:hAnsi="宋体" w:cs="宋体" w:eastAsia="宋体" w:hint="default"/>
          <w:sz w:val="19"/>
          <w:szCs w:val="19"/>
        </w:rPr>
      </w:pPr>
    </w:p>
    <w:p>
      <w:pPr>
        <w:pStyle w:val="Heading3"/>
        <w:spacing w:line="240" w:lineRule="auto" w:before="34"/>
        <w:ind w:right="915"/>
        <w:jc w:val="left"/>
        <w:rPr>
          <w:b w:val="0"/>
          <w:bCs w:val="0"/>
        </w:rPr>
      </w:pPr>
      <w:bookmarkStart w:name="3、销售退回" w:id="469"/>
      <w:bookmarkEnd w:id="469"/>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15"/>
        <w:jc w:val="left"/>
        <w:rPr>
          <w:b w:val="0"/>
          <w:bCs w:val="0"/>
        </w:rPr>
      </w:pPr>
      <w:bookmarkStart w:name="4、其他资产负债表日后事项说明" w:id="470"/>
      <w:bookmarkEnd w:id="470"/>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0" w:firstLine="360"/>
        <w:jc w:val="both"/>
      </w:pPr>
      <w:r>
        <w:rPr>
          <w:spacing w:val="-2"/>
        </w:rPr>
        <w:t>1、本公司之公司控股股东、实际控制人唐球先生于2018年3月28日将31,000,000股股份用于质押，质押权人为国联证券</w:t>
      </w:r>
      <w:r>
        <w:rPr/>
        <w:t> 股份有限公司，原定于2019年3月28日到期解除质押，因唐球申请延期购回，双方签订展期合同，到期日变为2020年3月26</w:t>
      </w:r>
      <w:r>
        <w:rPr>
          <w:spacing w:val="-10"/>
        </w:rPr>
        <w:t> </w:t>
      </w:r>
      <w:r>
        <w:rPr>
          <w:spacing w:val="-10"/>
        </w:rPr>
      </w:r>
      <w:r>
        <w:rPr/>
        <w:t>日。其中，质押股份5,000,000股已于2019年12月27日解除质押，26,000,000股已于2020年3月18日解除质押。</w:t>
      </w:r>
    </w:p>
    <w:p>
      <w:pPr>
        <w:spacing w:line="240" w:lineRule="auto" w:before="5"/>
        <w:rPr>
          <w:rFonts w:ascii="宋体" w:hAnsi="宋体" w:cs="宋体" w:eastAsia="宋体" w:hint="default"/>
          <w:sz w:val="13"/>
          <w:szCs w:val="13"/>
        </w:rPr>
      </w:pPr>
    </w:p>
    <w:p>
      <w:pPr>
        <w:pStyle w:val="BodyText"/>
        <w:spacing w:line="316" w:lineRule="auto"/>
        <w:ind w:right="1132" w:firstLine="360"/>
        <w:jc w:val="both"/>
      </w:pPr>
      <w:r>
        <w:rPr/>
        <w:t>截至本财务报告报出之日止，控股股东、实际控制人唐球先生共计持有本公司股份159,152,479股，占本公司总股本的 21.45%，累计被质押股份63,560,000股，占其持有本公司股份总数的42.11%，占公司总股本的8.56%。</w:t>
      </w:r>
    </w:p>
    <w:p>
      <w:pPr>
        <w:spacing w:line="240" w:lineRule="auto" w:before="5"/>
        <w:rPr>
          <w:rFonts w:ascii="宋体" w:hAnsi="宋体" w:cs="宋体" w:eastAsia="宋体" w:hint="default"/>
          <w:sz w:val="13"/>
          <w:szCs w:val="13"/>
        </w:rPr>
      </w:pPr>
    </w:p>
    <w:p>
      <w:pPr>
        <w:pStyle w:val="BodyText"/>
        <w:spacing w:line="316" w:lineRule="auto"/>
        <w:ind w:right="1130" w:firstLine="360"/>
        <w:jc w:val="both"/>
      </w:pPr>
      <w:r>
        <w:rPr>
          <w:spacing w:val="-2"/>
        </w:rPr>
        <w:t>2、2020年1月23日，唐球先生因工作分工安排申请辞去公司总经理职务，唐球先生辞去总经理职务后，仍担任公司董事</w:t>
      </w:r>
      <w:r>
        <w:rPr/>
        <w:t> </w:t>
      </w:r>
      <w:r>
        <w:rPr>
          <w:spacing w:val="-2"/>
        </w:rPr>
        <w:t>长。经公司董事长提名，公司董事会提名委员会审核，同意聘任李跃峰先生担任公司总经理，任期自该日起至第四届董事会</w:t>
      </w:r>
      <w:r>
        <w:rPr>
          <w:spacing w:val="-64"/>
        </w:rPr>
        <w:t> </w:t>
      </w:r>
      <w:r>
        <w:rPr>
          <w:spacing w:val="-64"/>
        </w:rPr>
      </w:r>
      <w:r>
        <w:rPr/>
        <w:t>任期届满之日止；同意聘任李松林先生担任公司副总经理，任期自该日起至第四届董事会届满之日止。</w:t>
      </w:r>
    </w:p>
    <w:p>
      <w:pPr>
        <w:spacing w:line="240" w:lineRule="auto" w:before="5"/>
        <w:rPr>
          <w:rFonts w:ascii="宋体" w:hAnsi="宋体" w:cs="宋体" w:eastAsia="宋体" w:hint="default"/>
          <w:sz w:val="13"/>
          <w:szCs w:val="13"/>
        </w:rPr>
      </w:pPr>
    </w:p>
    <w:p>
      <w:pPr>
        <w:pStyle w:val="BodyText"/>
        <w:spacing w:line="316" w:lineRule="auto"/>
        <w:ind w:right="1132" w:firstLine="360"/>
        <w:jc w:val="both"/>
      </w:pPr>
      <w:r>
        <w:rPr/>
        <w:t>3、2020年4月9日，本公司发布2020年第一季度业绩预告，本公司一季度的主营业务收入较上年同期下降。同时，由于 公司研发投入的增加，公司人力成本等成本费用较上年同期上升。报告期内，归属于上市公司股东的净利润为亏损。</w:t>
      </w:r>
    </w:p>
    <w:p>
      <w:pPr>
        <w:spacing w:line="240" w:lineRule="auto" w:before="5"/>
        <w:rPr>
          <w:rFonts w:ascii="宋体" w:hAnsi="宋体" w:cs="宋体" w:eastAsia="宋体" w:hint="default"/>
          <w:sz w:val="13"/>
          <w:szCs w:val="13"/>
        </w:rPr>
      </w:pPr>
    </w:p>
    <w:p>
      <w:pPr>
        <w:pStyle w:val="BodyText"/>
        <w:spacing w:line="316" w:lineRule="auto"/>
        <w:ind w:right="1034" w:firstLine="360"/>
        <w:jc w:val="left"/>
      </w:pPr>
      <w:r>
        <w:rPr>
          <w:spacing w:val="-2"/>
        </w:rPr>
        <w:t>4、2020年4月26日，本公司第四届董事会第六次会议审议通过《关于向银行等金融机构申请综合授信额度的议案》，根</w:t>
      </w:r>
      <w:r>
        <w:rPr/>
        <w:t> 据公司实际情况及资金需求安排，为满足公司快速发展和生产经营需要，同意公司向银行等金融机构申请不超过人民币5亿</w:t>
      </w:r>
      <w:r>
        <w:rPr>
          <w:spacing w:val="-84"/>
        </w:rPr>
        <w:t> </w:t>
      </w:r>
      <w:r>
        <w:rPr>
          <w:spacing w:val="-84"/>
        </w:rPr>
      </w:r>
      <w:r>
        <w:rPr/>
        <w:t>元的综合授信额度，授信业务范围包括但不限于流动资金贷款、并购贷款、委托贷款、票据贴现、信用证、银行承兑汇票、 </w:t>
      </w:r>
      <w:r>
        <w:rPr>
          <w:spacing w:val="-2"/>
        </w:rPr>
        <w:t>保函、保理等业务。上述授信总额最终以各家金融机构实际审批的授信额度为准，在此额度内由公司依据实际资金需求进行</w:t>
      </w:r>
      <w:r>
        <w:rPr>
          <w:spacing w:val="-63"/>
        </w:rPr>
        <w:t> </w:t>
      </w:r>
      <w:r>
        <w:rPr>
          <w:spacing w:val="-63"/>
        </w:rPr>
      </w:r>
      <w:r>
        <w:rPr/>
        <w:t>银行借贷。该综合授信额度的申请期限为自董事会审议通过之日起1年内有效。</w:t>
      </w:r>
    </w:p>
    <w:p>
      <w:pPr>
        <w:spacing w:line="240" w:lineRule="auto" w:before="5"/>
        <w:rPr>
          <w:rFonts w:ascii="宋体" w:hAnsi="宋体" w:cs="宋体" w:eastAsia="宋体" w:hint="default"/>
          <w:sz w:val="13"/>
          <w:szCs w:val="13"/>
        </w:rPr>
      </w:pPr>
    </w:p>
    <w:p>
      <w:pPr>
        <w:pStyle w:val="BodyText"/>
        <w:spacing w:line="240" w:lineRule="auto"/>
        <w:ind w:left="472" w:right="915"/>
        <w:jc w:val="left"/>
      </w:pPr>
      <w:r>
        <w:rPr>
          <w:spacing w:val="1"/>
        </w:rPr>
        <w:t>5</w:t>
      </w:r>
      <w:r>
        <w:rPr>
          <w:spacing w:val="-17"/>
        </w:rPr>
        <w:t>、</w:t>
      </w:r>
      <w:r>
        <w:rPr>
          <w:spacing w:val="1"/>
        </w:rPr>
        <w:t>2</w:t>
      </w:r>
      <w:r>
        <w:rPr>
          <w:spacing w:val="-2"/>
        </w:rPr>
        <w:t>0</w:t>
      </w:r>
      <w:r>
        <w:rPr>
          <w:spacing w:val="1"/>
        </w:rPr>
        <w:t>2</w:t>
      </w:r>
      <w:r>
        <w:rPr>
          <w:spacing w:val="-2"/>
        </w:rPr>
        <w:t>0</w:t>
      </w:r>
      <w:r>
        <w:rPr/>
        <w:t>年</w:t>
      </w:r>
      <w:r>
        <w:rPr>
          <w:spacing w:val="-2"/>
        </w:rPr>
        <w:t>4</w:t>
      </w:r>
      <w:r>
        <w:rPr/>
        <w:t>月</w:t>
      </w:r>
      <w:r>
        <w:rPr>
          <w:spacing w:val="1"/>
        </w:rPr>
        <w:t>2</w:t>
      </w:r>
      <w:r>
        <w:rPr>
          <w:spacing w:val="-2"/>
        </w:rPr>
        <w:t>6</w:t>
      </w:r>
      <w:r>
        <w:rPr/>
        <w:t>日</w:t>
      </w:r>
      <w:r>
        <w:rPr>
          <w:spacing w:val="-15"/>
        </w:rPr>
        <w:t>，</w:t>
      </w:r>
      <w:r>
        <w:rPr/>
        <w:t>本公司第四届董事会第六次会议审议通</w:t>
      </w:r>
      <w:r>
        <w:rPr>
          <w:spacing w:val="-17"/>
        </w:rPr>
        <w:t>过</w:t>
      </w:r>
      <w:r>
        <w:rPr/>
        <w:t>《关于公司非公开发行股票预</w:t>
      </w:r>
      <w:r>
        <w:rPr>
          <w:spacing w:val="-17"/>
        </w:rPr>
        <w:t>案</w:t>
      </w:r>
      <w:r>
        <w:rPr/>
        <w:t>（修订稿</w:t>
      </w:r>
      <w:r>
        <w:rPr>
          <w:spacing w:val="-92"/>
        </w:rPr>
        <w:t>）</w:t>
      </w:r>
      <w:r>
        <w:rPr>
          <w:spacing w:val="-15"/>
        </w:rPr>
        <w:t>》</w:t>
      </w:r>
      <w:r>
        <w:rPr/>
        <w:t>等相关议案。</w:t>
      </w:r>
    </w:p>
    <w:p>
      <w:pPr>
        <w:spacing w:line="240" w:lineRule="auto" w:before="10"/>
        <w:rPr>
          <w:rFonts w:ascii="宋体" w:hAnsi="宋体" w:cs="宋体" w:eastAsia="宋体" w:hint="default"/>
          <w:sz w:val="17"/>
          <w:szCs w:val="17"/>
        </w:rPr>
      </w:pPr>
    </w:p>
    <w:p>
      <w:pPr>
        <w:pStyle w:val="BodyText"/>
        <w:spacing w:line="316" w:lineRule="auto"/>
        <w:ind w:right="1130" w:firstLine="360"/>
        <w:jc w:val="both"/>
      </w:pPr>
      <w:r>
        <w:rPr>
          <w:spacing w:val="-2"/>
        </w:rPr>
        <w:t>6、由于受疫情影响，全国各地实施了严格的疫情防控措施，公司及客户现场办公受限，</w:t>
      </w:r>
      <w:r>
        <w:rPr>
          <w:spacing w:val="17"/>
        </w:rPr>
        <w:t> </w:t>
      </w:r>
      <w:r>
        <w:rPr>
          <w:spacing w:val="-2"/>
        </w:rPr>
        <w:t>截至本财务报表报出日，本公</w:t>
      </w:r>
      <w:r>
        <w:rPr/>
        <w:t> </w:t>
      </w:r>
      <w:r>
        <w:rPr>
          <w:spacing w:val="-2"/>
        </w:rPr>
        <w:t>司尚未能确定由于新冠疫情的爆发对本公司财务状况、经营成果等方面影响的金额。然而，本公司将继续密切关注新冠疫情</w:t>
      </w:r>
      <w:r>
        <w:rPr>
          <w:spacing w:val="-63"/>
        </w:rPr>
        <w:t> </w:t>
      </w:r>
      <w:r>
        <w:rPr>
          <w:spacing w:val="-63"/>
        </w:rPr>
      </w:r>
      <w:r>
        <w:rPr/>
        <w:t>的发展情况，评估相关影响并积极应对。</w:t>
      </w:r>
    </w:p>
    <w:p>
      <w:pPr>
        <w:pStyle w:val="BodyText"/>
        <w:spacing w:line="468" w:lineRule="exact" w:before="10"/>
        <w:ind w:left="472" w:right="915"/>
        <w:jc w:val="left"/>
      </w:pPr>
      <w:r>
        <w:rPr/>
        <w:t>7、利润分配预案 经本公司第四届董事会第六次会议审议通过，本公司2019年度利润分配预案为：公司拟以截止2019年12月31日总股本</w:t>
      </w:r>
    </w:p>
    <w:p>
      <w:pPr>
        <w:pStyle w:val="BodyText"/>
        <w:spacing w:line="316" w:lineRule="auto" w:before="8"/>
        <w:ind w:right="915"/>
        <w:jc w:val="left"/>
      </w:pPr>
      <w:r>
        <w:rPr>
          <w:spacing w:val="-4"/>
        </w:rPr>
        <w:t>742,092,080股为基数，向全体股东每10股派发现金红利1.00元（含税），合计派发现金股利74,209,208.00元（含税）。除上</w:t>
      </w:r>
      <w:r>
        <w:rPr>
          <w:spacing w:val="-87"/>
        </w:rPr>
        <w:t> </w:t>
      </w:r>
      <w:r>
        <w:rPr>
          <w:spacing w:val="-87"/>
        </w:rPr>
      </w:r>
      <w:r>
        <w:rPr/>
        <w:t>述现金分红外，本次利润分配公司不送红股，不实施资本公积金转增股本。</w:t>
      </w:r>
    </w:p>
    <w:p>
      <w:pPr>
        <w:spacing w:after="0" w:line="316" w:lineRule="auto"/>
        <w:jc w:val="left"/>
        <w:sectPr>
          <w:pgSz w:w="11910" w:h="16840"/>
          <w:pgMar w:header="919" w:footer="1016" w:top="1120" w:bottom="1200" w:left="1020" w:right="0"/>
        </w:sectPr>
      </w:pPr>
    </w:p>
    <w:p>
      <w:pPr>
        <w:spacing w:line="240" w:lineRule="auto" w:before="8"/>
        <w:rPr>
          <w:rFonts w:ascii="宋体" w:hAnsi="宋体" w:cs="宋体" w:eastAsia="宋体" w:hint="default"/>
          <w:sz w:val="18"/>
          <w:szCs w:val="18"/>
        </w:rPr>
      </w:pPr>
    </w:p>
    <w:p>
      <w:pPr>
        <w:pStyle w:val="Heading2"/>
        <w:spacing w:line="240" w:lineRule="auto" w:before="26"/>
        <w:ind w:right="915"/>
        <w:jc w:val="left"/>
        <w:rPr>
          <w:b w:val="0"/>
          <w:bCs w:val="0"/>
        </w:rPr>
      </w:pPr>
      <w:bookmarkStart w:name="十六、其他重要事项" w:id="471"/>
      <w:bookmarkEnd w:id="471"/>
      <w:r>
        <w:rPr>
          <w:b w:val="0"/>
          <w:bCs w:val="0"/>
        </w:rPr>
      </w:r>
      <w:r>
        <w:rPr/>
        <w:t>十六、其他重要事项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15"/>
        <w:jc w:val="left"/>
        <w:rPr>
          <w:b w:val="0"/>
          <w:bCs w:val="0"/>
        </w:rPr>
      </w:pPr>
      <w:bookmarkStart w:name="1、前期会计差错更正" w:id="472"/>
      <w:bookmarkEnd w:id="472"/>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15"/>
        <w:jc w:val="left"/>
        <w:rPr>
          <w:b w:val="0"/>
          <w:bCs w:val="0"/>
        </w:rPr>
      </w:pPr>
      <w:bookmarkStart w:name="（1）追溯重述法" w:id="473"/>
      <w:bookmarkEnd w:id="473"/>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0"/>
        <w:gridCol w:w="2390"/>
      </w:tblGrid>
      <w:tr>
        <w:trPr>
          <w:trHeight w:val="714"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29" w:right="109"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4"/>
        <w:rPr>
          <w:rFonts w:ascii="宋体" w:hAnsi="宋体" w:cs="宋体" w:eastAsia="宋体" w:hint="default"/>
          <w:sz w:val="19"/>
          <w:szCs w:val="19"/>
        </w:rPr>
      </w:pPr>
    </w:p>
    <w:p>
      <w:pPr>
        <w:pStyle w:val="Heading3"/>
        <w:spacing w:line="240" w:lineRule="auto" w:before="34"/>
        <w:ind w:right="915"/>
        <w:jc w:val="left"/>
        <w:rPr>
          <w:b w:val="0"/>
          <w:bCs w:val="0"/>
        </w:rPr>
      </w:pPr>
      <w:bookmarkStart w:name="（2）未来适用法" w:id="474"/>
      <w:bookmarkEnd w:id="474"/>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5"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8"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3"/>
        <w:rPr>
          <w:rFonts w:ascii="宋体" w:hAnsi="宋体" w:cs="宋体" w:eastAsia="宋体" w:hint="default"/>
          <w:b/>
          <w:bCs/>
          <w:sz w:val="19"/>
          <w:szCs w:val="19"/>
        </w:rPr>
      </w:pPr>
    </w:p>
    <w:p>
      <w:pPr>
        <w:pStyle w:val="Heading3"/>
        <w:spacing w:line="240" w:lineRule="auto" w:before="34"/>
        <w:ind w:right="915"/>
        <w:jc w:val="left"/>
        <w:rPr>
          <w:b w:val="0"/>
          <w:bCs w:val="0"/>
        </w:rPr>
      </w:pPr>
      <w:bookmarkStart w:name="2、债务重组" w:id="475"/>
      <w:bookmarkEnd w:id="475"/>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15"/>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15"/>
        <w:jc w:val="left"/>
        <w:rPr>
          <w:b w:val="0"/>
          <w:bCs w:val="0"/>
        </w:rPr>
      </w:pPr>
      <w:bookmarkStart w:name="3、资产置换" w:id="476"/>
      <w:bookmarkEnd w:id="476"/>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15"/>
        <w:jc w:val="left"/>
        <w:rPr>
          <w:b w:val="0"/>
          <w:bCs w:val="0"/>
        </w:rPr>
      </w:pPr>
      <w:bookmarkStart w:name="（1）非货币性资产交换" w:id="477"/>
      <w:bookmarkEnd w:id="477"/>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15"/>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15"/>
        <w:jc w:val="left"/>
        <w:rPr>
          <w:b w:val="0"/>
          <w:bCs w:val="0"/>
        </w:rPr>
      </w:pPr>
      <w:bookmarkStart w:name="（2）其他资产置换" w:id="478"/>
      <w:bookmarkEnd w:id="478"/>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15"/>
        <w:jc w:val="left"/>
      </w:pPr>
      <w:r>
        <w:rPr/>
        <w:t>无</w:t>
      </w:r>
    </w:p>
    <w:p>
      <w:pPr>
        <w:spacing w:line="240" w:lineRule="auto" w:before="11"/>
        <w:rPr>
          <w:rFonts w:ascii="宋体" w:hAnsi="宋体" w:cs="宋体" w:eastAsia="宋体" w:hint="default"/>
          <w:sz w:val="26"/>
          <w:szCs w:val="26"/>
        </w:rPr>
      </w:pPr>
    </w:p>
    <w:p>
      <w:pPr>
        <w:pStyle w:val="Heading3"/>
        <w:spacing w:line="240" w:lineRule="auto"/>
        <w:ind w:right="915"/>
        <w:jc w:val="left"/>
        <w:rPr>
          <w:b w:val="0"/>
          <w:bCs w:val="0"/>
        </w:rPr>
      </w:pPr>
      <w:bookmarkStart w:name="4、年金计划" w:id="479"/>
      <w:bookmarkEnd w:id="479"/>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15"/>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15"/>
        <w:jc w:val="left"/>
        <w:rPr>
          <w:b w:val="0"/>
          <w:bCs w:val="0"/>
        </w:rPr>
      </w:pPr>
      <w:bookmarkStart w:name="5、终止经营" w:id="480"/>
      <w:bookmarkEnd w:id="480"/>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35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归属于母公司</w:t>
            </w:r>
          </w:p>
        </w:tc>
      </w:tr>
      <w:tr>
        <w:trPr>
          <w:trHeight w:val="312"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318"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8"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所有者的终止</w:t>
            </w:r>
          </w:p>
        </w:tc>
      </w:tr>
      <w:tr>
        <w:trPr>
          <w:trHeight w:val="358"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经营利润</w:t>
            </w:r>
          </w:p>
        </w:tc>
      </w:tr>
    </w:tbl>
    <w:p>
      <w:pPr>
        <w:pStyle w:val="BodyText"/>
        <w:spacing w:line="357" w:lineRule="auto" w:before="51"/>
        <w:ind w:right="10034"/>
        <w:jc w:val="left"/>
      </w:pPr>
      <w:r>
        <w:rPr/>
        <w:t>其他说明 无</w:t>
      </w:r>
    </w:p>
    <w:p>
      <w:pPr>
        <w:spacing w:after="0" w:line="357" w:lineRule="auto"/>
        <w:jc w:val="left"/>
        <w:sectPr>
          <w:pgSz w:w="11910" w:h="16840"/>
          <w:pgMar w:header="919" w:footer="1016" w:top="1120" w:bottom="1200" w:left="1020" w:right="0"/>
        </w:sectPr>
      </w:pPr>
    </w:p>
    <w:p>
      <w:pPr>
        <w:spacing w:line="240" w:lineRule="auto" w:before="10"/>
        <w:rPr>
          <w:rFonts w:ascii="宋体" w:hAnsi="宋体" w:cs="宋体" w:eastAsia="宋体" w:hint="default"/>
          <w:sz w:val="19"/>
          <w:szCs w:val="19"/>
        </w:rPr>
      </w:pPr>
    </w:p>
    <w:p>
      <w:pPr>
        <w:pStyle w:val="Heading3"/>
        <w:spacing w:line="240" w:lineRule="auto" w:before="34"/>
        <w:ind w:right="915"/>
        <w:jc w:val="left"/>
        <w:rPr>
          <w:b w:val="0"/>
          <w:bCs w:val="0"/>
        </w:rPr>
      </w:pPr>
      <w:bookmarkStart w:name="6、分部信息" w:id="481"/>
      <w:bookmarkEnd w:id="481"/>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15"/>
        <w:jc w:val="left"/>
        <w:rPr>
          <w:b w:val="0"/>
          <w:bCs w:val="0"/>
        </w:rPr>
      </w:pPr>
      <w:bookmarkStart w:name="（1）报告分部的确定依据与会计政策" w:id="482"/>
      <w:bookmarkEnd w:id="482"/>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15"/>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15"/>
        <w:jc w:val="left"/>
        <w:rPr>
          <w:b w:val="0"/>
          <w:bCs w:val="0"/>
        </w:rPr>
      </w:pPr>
      <w:bookmarkStart w:name="（2）报告分部的财务信息" w:id="483"/>
      <w:bookmarkEnd w:id="483"/>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4"/>
        <w:rPr>
          <w:rFonts w:ascii="宋体" w:hAnsi="宋体" w:cs="宋体" w:eastAsia="宋体" w:hint="default"/>
          <w:sz w:val="19"/>
          <w:szCs w:val="19"/>
        </w:rPr>
      </w:pPr>
    </w:p>
    <w:p>
      <w:pPr>
        <w:pStyle w:val="Heading3"/>
        <w:spacing w:line="240" w:lineRule="auto" w:before="34"/>
        <w:ind w:right="915"/>
        <w:jc w:val="left"/>
        <w:rPr>
          <w:b w:val="0"/>
          <w:bCs w:val="0"/>
        </w:rPr>
      </w:pPr>
      <w:bookmarkStart w:name="（3）公司无报告分部的，或者不能披露各报告分部的资产总额和负债总额的，应说明原因" w:id="484"/>
      <w:bookmarkEnd w:id="484"/>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15"/>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15"/>
        <w:jc w:val="left"/>
        <w:rPr>
          <w:b w:val="0"/>
          <w:bCs w:val="0"/>
        </w:rPr>
      </w:pPr>
      <w:bookmarkStart w:name="（4）其他说明" w:id="485"/>
      <w:bookmarkEnd w:id="485"/>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15"/>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15"/>
        <w:jc w:val="left"/>
        <w:rPr>
          <w:b w:val="0"/>
          <w:bCs w:val="0"/>
        </w:rPr>
      </w:pPr>
      <w:bookmarkStart w:name="7、其他对投资者决策有影响的重要交易和事项" w:id="486"/>
      <w:bookmarkEnd w:id="486"/>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15"/>
        <w:jc w:val="left"/>
      </w:pPr>
      <w:r>
        <w:rPr/>
        <w:t>无</w:t>
      </w:r>
    </w:p>
    <w:p>
      <w:pPr>
        <w:spacing w:line="240" w:lineRule="auto" w:before="11"/>
        <w:rPr>
          <w:rFonts w:ascii="宋体" w:hAnsi="宋体" w:cs="宋体" w:eastAsia="宋体" w:hint="default"/>
          <w:sz w:val="26"/>
          <w:szCs w:val="26"/>
        </w:rPr>
      </w:pPr>
    </w:p>
    <w:p>
      <w:pPr>
        <w:pStyle w:val="Heading3"/>
        <w:spacing w:line="240" w:lineRule="auto"/>
        <w:ind w:right="915"/>
        <w:jc w:val="left"/>
        <w:rPr>
          <w:b w:val="0"/>
          <w:bCs w:val="0"/>
        </w:rPr>
      </w:pPr>
      <w:bookmarkStart w:name="8、其他" w:id="487"/>
      <w:bookmarkEnd w:id="487"/>
      <w:r>
        <w:rPr>
          <w:b w:val="0"/>
          <w:bCs w:val="0"/>
        </w:rPr>
      </w:r>
      <w:r>
        <w:rPr>
          <w:rFonts w:ascii="Times New Roman" w:hAnsi="Times New Roman" w:cs="Times New Roman" w:eastAsia="Times New Roman" w:hint="default"/>
        </w:rPr>
        <w:t>8</w:t>
      </w:r>
      <w:r>
        <w:rPr/>
        <w:t>、其他</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15"/>
        <w:jc w:val="left"/>
      </w:pPr>
      <w:r>
        <w:rPr/>
        <w:t>无</w:t>
      </w:r>
    </w:p>
    <w:p>
      <w:pPr>
        <w:spacing w:line="240" w:lineRule="auto" w:before="1"/>
        <w:rPr>
          <w:rFonts w:ascii="宋体" w:hAnsi="宋体" w:cs="宋体" w:eastAsia="宋体" w:hint="default"/>
          <w:sz w:val="25"/>
          <w:szCs w:val="25"/>
        </w:rPr>
      </w:pPr>
    </w:p>
    <w:p>
      <w:pPr>
        <w:pStyle w:val="Heading2"/>
        <w:spacing w:line="240" w:lineRule="auto"/>
        <w:ind w:right="915"/>
        <w:jc w:val="left"/>
        <w:rPr>
          <w:b w:val="0"/>
          <w:bCs w:val="0"/>
        </w:rPr>
      </w:pPr>
      <w:bookmarkStart w:name="十七、母公司财务报表主要项目注释" w:id="488"/>
      <w:bookmarkEnd w:id="488"/>
      <w:r>
        <w:rPr>
          <w:b w:val="0"/>
          <w:bCs w:val="0"/>
        </w:rPr>
      </w:r>
      <w:r>
        <w:rPr/>
        <w:t>十七、母公司财务报表主要项目注释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15"/>
        <w:jc w:val="left"/>
        <w:rPr>
          <w:b w:val="0"/>
          <w:bCs w:val="0"/>
        </w:rPr>
      </w:pPr>
      <w:bookmarkStart w:name="1、应收账款" w:id="489"/>
      <w:bookmarkEnd w:id="489"/>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15"/>
        <w:jc w:val="left"/>
        <w:rPr>
          <w:b w:val="0"/>
          <w:bCs w:val="0"/>
        </w:rPr>
      </w:pPr>
      <w:bookmarkStart w:name="（1）应收账款分类披露" w:id="490"/>
      <w:bookmarkEnd w:id="490"/>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5"/>
        <w:gridCol w:w="763"/>
        <w:gridCol w:w="762"/>
        <w:gridCol w:w="762"/>
        <w:gridCol w:w="763"/>
        <w:gridCol w:w="789"/>
        <w:gridCol w:w="776"/>
        <w:gridCol w:w="797"/>
        <w:gridCol w:w="798"/>
        <w:gridCol w:w="790"/>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298" w:right="118"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57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2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371" w:right="189"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6"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9" w:type="dxa"/>
            <w:vMerge/>
            <w:tcBorders>
              <w:left w:val="single" w:sz="4" w:space="0" w:color="000000"/>
              <w:bottom w:val="single" w:sz="4" w:space="0" w:color="000000"/>
              <w:right w:val="single" w:sz="4" w:space="0" w:color="000000"/>
            </w:tcBorders>
            <w:shd w:val="clear" w:color="auto" w:fill="D2D2D2"/>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99" w:right="119"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4"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1" w:right="261"/>
              <w:jc w:val="left"/>
              <w:rPr>
                <w:rFonts w:ascii="宋体" w:hAnsi="宋体" w:cs="宋体" w:eastAsia="宋体" w:hint="default"/>
                <w:sz w:val="18"/>
                <w:szCs w:val="18"/>
              </w:rPr>
            </w:pPr>
            <w:r>
              <w:rPr>
                <w:rFonts w:ascii="宋体" w:hAnsi="宋体" w:cs="宋体" w:eastAsia="宋体" w:hint="default"/>
                <w:sz w:val="18"/>
                <w:szCs w:val="18"/>
              </w:rPr>
              <w:t>按组合计提坏账 准备的应收账款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521,04</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7,926.0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36,556,</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722.58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5" w:right="0"/>
              <w:jc w:val="left"/>
              <w:rPr>
                <w:rFonts w:ascii="Times New Roman" w:hAnsi="Times New Roman" w:cs="Times New Roman" w:eastAsia="Times New Roman" w:hint="default"/>
                <w:sz w:val="18"/>
                <w:szCs w:val="18"/>
              </w:rPr>
            </w:pPr>
            <w:r>
              <w:rPr>
                <w:rFonts w:ascii="Times New Roman"/>
                <w:sz w:val="18"/>
              </w:rPr>
              <w:t>7.02%</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484,49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1,203.4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423,76</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2"/>
                <w:sz w:val="18"/>
              </w:rPr>
              <w:t>9,112.2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27,830,</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896.35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2" w:right="0"/>
              <w:jc w:val="left"/>
              <w:rPr>
                <w:rFonts w:ascii="Times New Roman" w:hAnsi="Times New Roman" w:cs="Times New Roman" w:eastAsia="Times New Roman" w:hint="default"/>
                <w:sz w:val="18"/>
                <w:szCs w:val="18"/>
              </w:rPr>
            </w:pPr>
            <w:r>
              <w:rPr>
                <w:rFonts w:ascii="Times New Roman"/>
                <w:sz w:val="18"/>
              </w:rPr>
              <w:t>6.57%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center"/>
              <w:rPr>
                <w:rFonts w:ascii="Times New Roman" w:hAnsi="Times New Roman" w:cs="Times New Roman" w:eastAsia="Times New Roman" w:hint="default"/>
                <w:sz w:val="18"/>
                <w:szCs w:val="18"/>
              </w:rPr>
            </w:pPr>
            <w:r>
              <w:rPr>
                <w:rFonts w:ascii="Times New Roman"/>
                <w:sz w:val="18"/>
              </w:rPr>
              <w:t>395,938,</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215.90</w:t>
            </w:r>
          </w:p>
        </w:tc>
      </w:tr>
    </w:tbl>
    <w:p>
      <w:pPr>
        <w:spacing w:after="0" w:line="240" w:lineRule="auto"/>
        <w:jc w:val="center"/>
        <w:rPr>
          <w:rFonts w:ascii="Times New Roman" w:hAnsi="Times New Roman" w:cs="Times New Roman" w:eastAsia="Times New Roman" w:hint="default"/>
          <w:sz w:val="18"/>
          <w:szCs w:val="18"/>
        </w:rPr>
        <w:sectPr>
          <w:pgSz w:w="11910" w:h="16840"/>
          <w:pgMar w:header="919" w:footer="1016"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1635"/>
        <w:gridCol w:w="763"/>
        <w:gridCol w:w="762"/>
        <w:gridCol w:w="762"/>
        <w:gridCol w:w="763"/>
        <w:gridCol w:w="789"/>
        <w:gridCol w:w="776"/>
        <w:gridCol w:w="797"/>
        <w:gridCol w:w="798"/>
        <w:gridCol w:w="790"/>
        <w:gridCol w:w="932"/>
      </w:tblGrid>
      <w:tr>
        <w:trPr>
          <w:trHeight w:val="40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521,04</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7,926.0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36,556,</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722.58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7.02%</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484,49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1,203.4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423,76</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2"/>
                <w:sz w:val="18"/>
              </w:rPr>
              <w:t>9,112.2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27,830,</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896.35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6.57%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5" w:right="0"/>
              <w:jc w:val="center"/>
              <w:rPr>
                <w:rFonts w:ascii="Times New Roman" w:hAnsi="Times New Roman" w:cs="Times New Roman" w:eastAsia="Times New Roman" w:hint="default"/>
                <w:sz w:val="18"/>
                <w:szCs w:val="18"/>
              </w:rPr>
            </w:pPr>
            <w:r>
              <w:rPr>
                <w:rFonts w:ascii="Times New Roman"/>
                <w:sz w:val="18"/>
              </w:rPr>
              <w:t>395,938,</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215.90</w:t>
            </w:r>
          </w:p>
        </w:tc>
      </w:tr>
      <w:tr>
        <w:trPr>
          <w:trHeight w:val="402"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其他组合</w:t>
            </w:r>
          </w:p>
        </w:tc>
        <w:tc>
          <w:tcPr>
            <w:tcW w:w="763"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9"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521,04</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7,926.0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36,556,</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722.58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7.02%</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484,49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1,203.4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423,76</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2"/>
                <w:sz w:val="18"/>
              </w:rPr>
              <w:t>9,112.2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27,830,</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896.35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6.57%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5" w:right="0"/>
              <w:jc w:val="center"/>
              <w:rPr>
                <w:rFonts w:ascii="Times New Roman" w:hAnsi="Times New Roman" w:cs="Times New Roman" w:eastAsia="Times New Roman" w:hint="default"/>
                <w:sz w:val="18"/>
                <w:szCs w:val="18"/>
              </w:rPr>
            </w:pPr>
            <w:r>
              <w:rPr>
                <w:rFonts w:ascii="Times New Roman"/>
                <w:sz w:val="18"/>
              </w:rPr>
              <w:t>395,938,</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215.90</w:t>
            </w:r>
          </w:p>
        </w:tc>
      </w:tr>
    </w:tbl>
    <w:p>
      <w:pPr>
        <w:pStyle w:val="BodyText"/>
        <w:spacing w:line="240" w:lineRule="auto" w:before="50"/>
        <w:ind w:right="915"/>
        <w:jc w:val="left"/>
      </w:pPr>
      <w:r>
        <w:rPr/>
        <w:t>按单项计提坏账准备：</w:t>
      </w:r>
    </w:p>
    <w:p>
      <w:pPr>
        <w:pStyle w:val="BodyText"/>
        <w:spacing w:line="240" w:lineRule="auto" w:before="117"/>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52"/>
        <w:ind w:right="915"/>
        <w:jc w:val="left"/>
      </w:pPr>
      <w:r>
        <w:rPr/>
        <w:t>按单项计提坏账准备：</w:t>
      </w:r>
    </w:p>
    <w:p>
      <w:pPr>
        <w:pStyle w:val="BodyText"/>
        <w:spacing w:line="240" w:lineRule="auto" w:before="115"/>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51"/>
        <w:ind w:right="915"/>
        <w:jc w:val="left"/>
      </w:pPr>
      <w:r>
        <w:rPr/>
        <w:t>按单项计提坏账准备：</w:t>
      </w:r>
    </w:p>
    <w:p>
      <w:pPr>
        <w:pStyle w:val="BodyText"/>
        <w:spacing w:line="240" w:lineRule="auto" w:before="115"/>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51"/>
        <w:ind w:right="915"/>
        <w:jc w:val="left"/>
      </w:pPr>
      <w:r>
        <w:rPr/>
        <w:t>按组合计提坏账准备：</w:t>
      </w:r>
    </w:p>
    <w:p>
      <w:pPr>
        <w:pStyle w:val="BodyText"/>
        <w:spacing w:line="240" w:lineRule="auto" w:before="117"/>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429,989,412.78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21,499,470.64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77,970,759.17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7,797,075.92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2"/>
                <w:sz w:val="18"/>
              </w:rPr>
              <w:t>8,325,111.51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2,497,533.45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4,762,642.57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4,762,642.57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521,047,926.03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36,556,722.58</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2"/>
        <w:ind w:right="915"/>
        <w:jc w:val="left"/>
      </w:pPr>
      <w:r>
        <w:rPr/>
        <w:t>确定该组合依据的说明：</w:t>
      </w:r>
    </w:p>
    <w:p>
      <w:pPr>
        <w:spacing w:line="240" w:lineRule="auto" w:before="10"/>
        <w:rPr>
          <w:rFonts w:ascii="宋体" w:hAnsi="宋体" w:cs="宋体" w:eastAsia="宋体" w:hint="default"/>
          <w:sz w:val="17"/>
          <w:szCs w:val="17"/>
        </w:rPr>
      </w:pPr>
    </w:p>
    <w:p>
      <w:pPr>
        <w:pStyle w:val="BodyText"/>
        <w:spacing w:line="316" w:lineRule="auto"/>
        <w:ind w:right="1130" w:firstLine="316"/>
        <w:jc w:val="left"/>
      </w:pPr>
      <w:r>
        <w:rPr>
          <w:spacing w:val="-1"/>
        </w:rPr>
        <w:t>整个存续期预期信用损失率基于历史实际信用损失经验计算，并考虑了历史数据收集期间的经济状况、当前的经济状况</w:t>
      </w:r>
      <w:r>
        <w:rPr/>
        <w:t> 与本公司所认为的预计存续期内的经济状况。</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240" w:lineRule="auto" w:before="44"/>
        <w:ind w:right="915"/>
        <w:jc w:val="left"/>
      </w:pPr>
      <w:r>
        <w:rPr/>
        <w:t>按组合计提坏账准备：</w:t>
      </w:r>
    </w:p>
    <w:p>
      <w:pPr>
        <w:pStyle w:val="BodyText"/>
        <w:spacing w:line="240" w:lineRule="auto" w:before="117"/>
        <w:ind w:left="0" w:right="1132"/>
        <w:jc w:val="right"/>
      </w:pPr>
      <w:r>
        <w:rPr/>
        <w:t>单位：</w:t>
      </w:r>
      <w:r>
        <w:rPr>
          <w:spacing w:val="-2"/>
        </w:rPr>
        <w:t> </w:t>
      </w:r>
      <w:r>
        <w:rPr/>
        <w:t>元</w:t>
      </w:r>
    </w:p>
    <w:p>
      <w:pPr>
        <w:spacing w:line="240" w:lineRule="auto" w:before="9"/>
        <w:rPr>
          <w:rFonts w:ascii="宋体" w:hAnsi="宋体" w:cs="宋体" w:eastAsia="宋体" w:hint="default"/>
          <w:sz w:val="7"/>
          <w:szCs w:val="7"/>
        </w:rPr>
      </w:pPr>
    </w:p>
    <w:p>
      <w:pPr>
        <w:spacing w:line="414"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75pt;mso-position-horizontal-relative:char;mso-position-vertical-relative:line" coordorigin="0,0" coordsize="9588,415">
            <v:group style="position:absolute;left:13;top:13;width:2387;height:397" coordorigin="13,13" coordsize="2387,397">
              <v:shape style="position:absolute;left:13;top:13;width:2387;height:397" coordorigin="13,13" coordsize="2387,397" path="m13,13l2400,13,2400,410,13,410,13,13xe" filled="true" fillcolor="#d2d2d2" stroked="false">
                <v:path arrowok="t"/>
                <v:fill type="solid"/>
              </v:shape>
            </v:group>
            <v:group style="position:absolute;left:2405;top:13;width:7171;height:397" coordorigin="2405,13" coordsize="7171,397">
              <v:shape style="position:absolute;left:2405;top:13;width:7171;height:397" coordorigin="2405,13" coordsize="7171,397" path="m2405,13l9576,13,9576,410,2405,410,2405,13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0;width:9578;height:2" coordorigin="5,410" coordsize="9578,2">
              <v:shape style="position:absolute;left:5;top:410;width:9578;height:2" coordorigin="5,410" coordsize="9578,0" path="m5,410l9582,410e" filled="false" stroked="true" strokeweight=".48pt" strokecolor="#000000">
                <v:path arrowok="t"/>
              </v:shape>
            </v:group>
            <v:group style="position:absolute;left:10;top:5;width:2;height:400" coordorigin="10,5" coordsize="2,400">
              <v:shape style="position:absolute;left:10;top:5;width:2;height:400" coordorigin="10,5" coordsize="0,400" path="m10,5l10,405e" filled="false" stroked="true" strokeweight=".48pt" strokecolor="#000000">
                <v:path arrowok="t"/>
              </v:shape>
            </v:group>
            <v:group style="position:absolute;left:2402;top:5;width:2;height:400" coordorigin="2402,5" coordsize="2,400">
              <v:shape style="position:absolute;left:2402;top:5;width:2;height:400" coordorigin="2402,5" coordsize="0,400" path="m2402,5l2402,405e" filled="false" stroked="true" strokeweight=".48pt" strokecolor="#000000">
                <v:path arrowok="t"/>
              </v:shape>
            </v:group>
            <v:group style="position:absolute;left:9578;top:5;width:2;height:400" coordorigin="9578,5" coordsize="2,400">
              <v:shape style="position:absolute;left:9578;top:5;width:2;height:400" coordorigin="9578,5" coordsize="0,400" path="m9578,5l9578,405e" filled="false" stroked="true" strokeweight=".48pt" strokecolor="#000000">
                <v:path arrowok="t"/>
              </v:shape>
              <v:shape style="position:absolute;left:10;top:10;width:2392;height:400" type="#_x0000_t202" filled="false" stroked="false">
                <v:textbox inset="0,0,0,0">
                  <w:txbxContent>
                    <w:p>
                      <w:pPr>
                        <w:spacing w:before="54"/>
                        <w:ind w:left="0" w:right="0" w:firstLine="0"/>
                        <w:jc w:val="center"/>
                        <w:rPr>
                          <w:rFonts w:ascii="宋体" w:hAnsi="宋体" w:cs="宋体" w:eastAsia="宋体" w:hint="default"/>
                          <w:sz w:val="18"/>
                          <w:szCs w:val="18"/>
                        </w:rPr>
                      </w:pPr>
                      <w:r>
                        <w:rPr>
                          <w:rFonts w:ascii="宋体" w:hAnsi="宋体" w:cs="宋体" w:eastAsia="宋体" w:hint="default"/>
                          <w:sz w:val="18"/>
                          <w:szCs w:val="18"/>
                        </w:rPr>
                        <w:t>名称</w:t>
                      </w:r>
                    </w:p>
                  </w:txbxContent>
                </v:textbox>
                <w10:wrap type="none"/>
              </v:shape>
              <v:shape style="position:absolute;left:5629;top:120;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期末余额</w:t>
                      </w:r>
                    </w:p>
                  </w:txbxContent>
                </v:textbox>
                <w10:wrap type="none"/>
              </v:shape>
            </v:group>
          </v:group>
        </w:pict>
      </w:r>
      <w:r>
        <w:rPr>
          <w:rFonts w:ascii="宋体" w:hAnsi="宋体" w:cs="宋体" w:eastAsia="宋体" w:hint="default"/>
          <w:position w:val="-7"/>
          <w:sz w:val="20"/>
          <w:szCs w:val="20"/>
        </w:rPr>
      </w:r>
    </w:p>
    <w:p>
      <w:pPr>
        <w:spacing w:after="0" w:line="414" w:lineRule="exact"/>
        <w:rPr>
          <w:rFonts w:ascii="宋体" w:hAnsi="宋体" w:cs="宋体" w:eastAsia="宋体" w:hint="default"/>
          <w:sz w:val="20"/>
          <w:szCs w:val="20"/>
        </w:rPr>
        <w:sectPr>
          <w:pgSz w:w="11910" w:h="16840"/>
          <w:pgMar w:header="919" w:footer="1016" w:top="1120" w:bottom="1200" w:left="1020" w:right="0"/>
        </w:sectPr>
      </w:pPr>
    </w:p>
    <w:p>
      <w:pPr>
        <w:spacing w:line="240" w:lineRule="auto" w:before="5"/>
        <w:rPr>
          <w:rFonts w:ascii="宋体" w:hAnsi="宋体" w:cs="宋体" w:eastAsia="宋体" w:hint="default"/>
          <w:sz w:val="23"/>
          <w:szCs w:val="23"/>
        </w:rPr>
      </w:pPr>
    </w:p>
    <w:tbl>
      <w:tblPr>
        <w:tblW w:w="0" w:type="auto"/>
        <w:jc w:val="left"/>
        <w:tblInd w:w="12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after="0" w:line="240" w:lineRule="auto"/>
        <w:jc w:val="center"/>
        <w:rPr>
          <w:rFonts w:ascii="宋体" w:hAnsi="宋体" w:cs="宋体" w:eastAsia="宋体" w:hint="default"/>
          <w:sz w:val="18"/>
          <w:szCs w:val="18"/>
        </w:rPr>
        <w:sectPr>
          <w:pgSz w:w="11910" w:h="16840"/>
          <w:pgMar w:header="919" w:footer="1016" w:top="1120" w:bottom="1200" w:left="1000" w:right="0"/>
        </w:sectPr>
      </w:pPr>
    </w:p>
    <w:p>
      <w:pPr>
        <w:pStyle w:val="BodyText"/>
        <w:spacing w:line="360" w:lineRule="auto" w:before="51"/>
        <w:ind w:left="132" w:right="-20"/>
        <w:jc w:val="left"/>
      </w:pPr>
      <w:r>
        <w:rPr/>
        <w:t>确定该组合依据的说明： 无</w:t>
      </w:r>
    </w:p>
    <w:p>
      <w:pPr>
        <w:pStyle w:val="BodyText"/>
        <w:spacing w:line="240" w:lineRule="auto" w:before="25"/>
        <w:ind w:left="132" w:right="-20"/>
        <w:jc w:val="left"/>
      </w:pPr>
      <w:r>
        <w:rPr/>
        <w:t>按组合计提坏账准备：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pStyle w:val="BodyText"/>
        <w:spacing w:line="240" w:lineRule="auto"/>
        <w:ind w:left="132" w:right="0"/>
        <w:jc w:val="left"/>
      </w:pPr>
      <w:r>
        <w:rPr/>
        <w:t>单位：</w:t>
      </w:r>
      <w:r>
        <w:rPr>
          <w:spacing w:val="-2"/>
        </w:rPr>
        <w:t> </w:t>
      </w:r>
      <w:r>
        <w:rPr/>
        <w:t>元</w:t>
      </w:r>
    </w:p>
    <w:p>
      <w:pPr>
        <w:spacing w:after="0" w:line="240" w:lineRule="auto"/>
        <w:jc w:val="left"/>
        <w:sectPr>
          <w:type w:val="continuous"/>
          <w:pgSz w:w="11910" w:h="16840"/>
          <w:pgMar w:top="1100" w:bottom="1200" w:left="1000" w:right="0"/>
          <w:cols w:num="2" w:equalWidth="0">
            <w:col w:w="2113" w:space="6716"/>
            <w:col w:w="2081"/>
          </w:cols>
        </w:sectPr>
      </w:pPr>
    </w:p>
    <w:p>
      <w:pPr>
        <w:spacing w:line="240" w:lineRule="auto" w:before="1"/>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60" w:lineRule="auto" w:before="50"/>
        <w:ind w:left="132" w:right="1754"/>
        <w:jc w:val="left"/>
      </w:pPr>
      <w:r>
        <w:rPr/>
        <w:t>确定该组合依据的说明： 如是按照预期信用损失一般模型计提应收账款坏账准备，请参照其他应收款的披露方式披露坏账准备的相关信息：</w:t>
      </w:r>
    </w:p>
    <w:p>
      <w:pPr>
        <w:pStyle w:val="BodyText"/>
        <w:spacing w:line="357" w:lineRule="auto" w:before="27"/>
        <w:ind w:left="552" w:right="6014" w:hanging="420"/>
        <w:jc w:val="left"/>
      </w:pPr>
      <w:r>
        <w:rPr/>
        <w:t>√ 适用 □ 不适用 组合计提项目：按整个存续期信用损失率计提坏账准备</w:t>
      </w:r>
    </w:p>
    <w:p>
      <w:pPr>
        <w:spacing w:line="240" w:lineRule="auto" w:before="4"/>
        <w:rPr>
          <w:rFonts w:ascii="宋体" w:hAnsi="宋体" w:cs="宋体" w:eastAsia="宋体" w:hint="default"/>
          <w:sz w:val="10"/>
          <w:szCs w:val="10"/>
        </w:rPr>
      </w:pPr>
    </w:p>
    <w:tbl>
      <w:tblPr>
        <w:tblW w:w="0" w:type="auto"/>
        <w:jc w:val="left"/>
        <w:tblInd w:w="116" w:type="dxa"/>
        <w:tblLayout w:type="fixed"/>
        <w:tblCellMar>
          <w:top w:w="0" w:type="dxa"/>
          <w:left w:w="0" w:type="dxa"/>
          <w:bottom w:w="0" w:type="dxa"/>
          <w:right w:w="0" w:type="dxa"/>
        </w:tblCellMar>
        <w:tblLook w:val="01E0"/>
      </w:tblPr>
      <w:tblGrid>
        <w:gridCol w:w="4308"/>
        <w:gridCol w:w="1780"/>
        <w:gridCol w:w="1780"/>
        <w:gridCol w:w="1782"/>
      </w:tblGrid>
      <w:tr>
        <w:trPr>
          <w:trHeight w:val="339" w:hRule="exact"/>
        </w:trPr>
        <w:tc>
          <w:tcPr>
            <w:tcW w:w="4308" w:type="dxa"/>
            <w:vMerge w:val="restart"/>
            <w:tcBorders>
              <w:top w:val="nil" w:sz="6" w:space="0" w:color="auto"/>
              <w:left w:val="nil" w:sz="6" w:space="0" w:color="auto"/>
              <w:right w:val="single" w:sz="4" w:space="0" w:color="000000"/>
            </w:tcBorders>
          </w:tcPr>
          <w:p>
            <w:pPr>
              <w:pStyle w:val="TableParagraph"/>
              <w:spacing w:line="240" w:lineRule="auto" w:before="21"/>
              <w:ind w:left="5" w:right="0"/>
              <w:jc w:val="center"/>
              <w:rPr>
                <w:rFonts w:ascii="宋体" w:hAnsi="宋体" w:cs="宋体" w:eastAsia="宋体" w:hint="default"/>
                <w:sz w:val="18"/>
                <w:szCs w:val="18"/>
              </w:rPr>
            </w:pPr>
            <w:r>
              <w:rPr>
                <w:rFonts w:ascii="宋体" w:hAnsi="宋体" w:cs="宋体" w:eastAsia="宋体" w:hint="default"/>
                <w:b/>
                <w:bCs/>
                <w:sz w:val="18"/>
                <w:szCs w:val="18"/>
              </w:rPr>
              <w:t>名称</w:t>
            </w:r>
            <w:r>
              <w:rPr>
                <w:rFonts w:ascii="宋体" w:hAnsi="宋体" w:cs="宋体" w:eastAsia="宋体" w:hint="default"/>
                <w:sz w:val="18"/>
                <w:szCs w:val="18"/>
              </w:rPr>
            </w:r>
          </w:p>
        </w:tc>
        <w:tc>
          <w:tcPr>
            <w:tcW w:w="5342" w:type="dxa"/>
            <w:gridSpan w:val="3"/>
            <w:tcBorders>
              <w:top w:val="nil" w:sz="6" w:space="0" w:color="auto"/>
              <w:left w:val="single" w:sz="4" w:space="0" w:color="000000"/>
              <w:bottom w:val="single" w:sz="6" w:space="0" w:color="000000"/>
              <w:right w:val="nil" w:sz="6" w:space="0" w:color="auto"/>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47" w:hRule="exact"/>
        </w:trPr>
        <w:tc>
          <w:tcPr>
            <w:tcW w:w="4308" w:type="dxa"/>
            <w:vMerge/>
            <w:tcBorders>
              <w:left w:val="nil" w:sz="6" w:space="0" w:color="auto"/>
              <w:bottom w:val="single" w:sz="6" w:space="0" w:color="000000"/>
              <w:right w:val="single" w:sz="4" w:space="0" w:color="000000"/>
            </w:tcBorders>
          </w:tcPr>
          <w:p>
            <w:pPr/>
          </w:p>
        </w:tc>
        <w:tc>
          <w:tcPr>
            <w:tcW w:w="178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0"/>
              <w:ind w:left="524" w:right="0"/>
              <w:jc w:val="left"/>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sz w:val="18"/>
                <w:szCs w:val="18"/>
              </w:rPr>
            </w:r>
          </w:p>
        </w:tc>
        <w:tc>
          <w:tcPr>
            <w:tcW w:w="178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0"/>
              <w:ind w:left="525"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782"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20"/>
              <w:ind w:left="300"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tc>
      </w:tr>
      <w:tr>
        <w:trPr>
          <w:trHeight w:val="347" w:hRule="exact"/>
        </w:trPr>
        <w:tc>
          <w:tcPr>
            <w:tcW w:w="4308"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21"/>
              <w:ind w:left="820" w:right="0"/>
              <w:jc w:val="left"/>
              <w:rPr>
                <w:rFonts w:ascii="宋体" w:hAnsi="宋体" w:cs="宋体" w:eastAsia="宋体" w:hint="default"/>
                <w:sz w:val="18"/>
                <w:szCs w:val="18"/>
              </w:rPr>
            </w:pPr>
            <w:r>
              <w:rPr>
                <w:rFonts w:ascii="宋体" w:hAnsi="宋体" w:cs="宋体" w:eastAsia="宋体" w:hint="default"/>
                <w:sz w:val="18"/>
                <w:szCs w:val="18"/>
              </w:rPr>
              <w:t>1年以内（含1年）</w:t>
            </w:r>
          </w:p>
        </w:tc>
        <w:tc>
          <w:tcPr>
            <w:tcW w:w="178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pacing w:val="-1"/>
                <w:sz w:val="18"/>
              </w:rPr>
              <w:t>429,989,412.78</w:t>
            </w:r>
          </w:p>
        </w:tc>
        <w:tc>
          <w:tcPr>
            <w:tcW w:w="178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pacing w:val="-1"/>
                <w:sz w:val="18"/>
              </w:rPr>
              <w:t>21,499,470.64</w:t>
            </w:r>
          </w:p>
        </w:tc>
        <w:tc>
          <w:tcPr>
            <w:tcW w:w="1782"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21"/>
              <w:ind w:right="6"/>
              <w:jc w:val="right"/>
              <w:rPr>
                <w:rFonts w:ascii="宋体" w:hAnsi="宋体" w:cs="宋体" w:eastAsia="宋体" w:hint="default"/>
                <w:sz w:val="18"/>
                <w:szCs w:val="18"/>
              </w:rPr>
            </w:pPr>
            <w:r>
              <w:rPr>
                <w:rFonts w:ascii="宋体"/>
                <w:sz w:val="18"/>
              </w:rPr>
              <w:t>5.00</w:t>
            </w:r>
          </w:p>
        </w:tc>
      </w:tr>
      <w:tr>
        <w:trPr>
          <w:trHeight w:val="347" w:hRule="exact"/>
        </w:trPr>
        <w:tc>
          <w:tcPr>
            <w:tcW w:w="4308"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20"/>
              <w:ind w:left="820" w:right="0"/>
              <w:jc w:val="left"/>
              <w:rPr>
                <w:rFonts w:ascii="宋体" w:hAnsi="宋体" w:cs="宋体" w:eastAsia="宋体" w:hint="default"/>
                <w:sz w:val="18"/>
                <w:szCs w:val="18"/>
              </w:rPr>
            </w:pPr>
            <w:r>
              <w:rPr>
                <w:rFonts w:ascii="宋体" w:hAnsi="宋体" w:cs="宋体" w:eastAsia="宋体" w:hint="default"/>
                <w:sz w:val="18"/>
                <w:szCs w:val="18"/>
              </w:rPr>
              <w:t>1-2年（含2年）</w:t>
            </w:r>
          </w:p>
        </w:tc>
        <w:tc>
          <w:tcPr>
            <w:tcW w:w="178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spacing w:val="-1"/>
                <w:sz w:val="18"/>
              </w:rPr>
              <w:t>77,970,759.17</w:t>
            </w:r>
          </w:p>
        </w:tc>
        <w:tc>
          <w:tcPr>
            <w:tcW w:w="178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pacing w:val="-1"/>
                <w:sz w:val="18"/>
              </w:rPr>
              <w:t>7,797,075.92</w:t>
            </w:r>
          </w:p>
        </w:tc>
        <w:tc>
          <w:tcPr>
            <w:tcW w:w="1782"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20"/>
              <w:ind w:right="9"/>
              <w:jc w:val="right"/>
              <w:rPr>
                <w:rFonts w:ascii="宋体" w:hAnsi="宋体" w:cs="宋体" w:eastAsia="宋体" w:hint="default"/>
                <w:sz w:val="18"/>
                <w:szCs w:val="18"/>
              </w:rPr>
            </w:pPr>
            <w:r>
              <w:rPr>
                <w:rFonts w:ascii="宋体"/>
                <w:spacing w:val="-1"/>
                <w:sz w:val="18"/>
              </w:rPr>
              <w:t>10.00</w:t>
            </w:r>
          </w:p>
        </w:tc>
      </w:tr>
      <w:tr>
        <w:trPr>
          <w:trHeight w:val="347" w:hRule="exact"/>
        </w:trPr>
        <w:tc>
          <w:tcPr>
            <w:tcW w:w="4308"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21"/>
              <w:ind w:left="820" w:right="0"/>
              <w:jc w:val="left"/>
              <w:rPr>
                <w:rFonts w:ascii="宋体" w:hAnsi="宋体" w:cs="宋体" w:eastAsia="宋体" w:hint="default"/>
                <w:sz w:val="18"/>
                <w:szCs w:val="18"/>
              </w:rPr>
            </w:pPr>
            <w:r>
              <w:rPr>
                <w:rFonts w:ascii="宋体" w:hAnsi="宋体" w:cs="宋体" w:eastAsia="宋体" w:hint="default"/>
                <w:sz w:val="18"/>
                <w:szCs w:val="18"/>
              </w:rPr>
              <w:t>2-3年（含3年）</w:t>
            </w:r>
          </w:p>
        </w:tc>
        <w:tc>
          <w:tcPr>
            <w:tcW w:w="178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pacing w:val="-1"/>
                <w:sz w:val="18"/>
              </w:rPr>
              <w:t>8,325,111.51</w:t>
            </w:r>
          </w:p>
        </w:tc>
        <w:tc>
          <w:tcPr>
            <w:tcW w:w="178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pacing w:val="-1"/>
                <w:sz w:val="18"/>
              </w:rPr>
              <w:t>2,497,533.45</w:t>
            </w:r>
          </w:p>
        </w:tc>
        <w:tc>
          <w:tcPr>
            <w:tcW w:w="1782"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21"/>
              <w:ind w:right="9"/>
              <w:jc w:val="right"/>
              <w:rPr>
                <w:rFonts w:ascii="宋体" w:hAnsi="宋体" w:cs="宋体" w:eastAsia="宋体" w:hint="default"/>
                <w:sz w:val="18"/>
                <w:szCs w:val="18"/>
              </w:rPr>
            </w:pPr>
            <w:r>
              <w:rPr>
                <w:rFonts w:ascii="宋体"/>
                <w:spacing w:val="-1"/>
                <w:sz w:val="18"/>
              </w:rPr>
              <w:t>30.00</w:t>
            </w:r>
          </w:p>
        </w:tc>
      </w:tr>
      <w:tr>
        <w:trPr>
          <w:trHeight w:val="347" w:hRule="exact"/>
        </w:trPr>
        <w:tc>
          <w:tcPr>
            <w:tcW w:w="4308"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22"/>
              <w:ind w:left="820" w:right="0"/>
              <w:jc w:val="left"/>
              <w:rPr>
                <w:rFonts w:ascii="宋体" w:hAnsi="宋体" w:cs="宋体" w:eastAsia="宋体" w:hint="default"/>
                <w:sz w:val="18"/>
                <w:szCs w:val="18"/>
              </w:rPr>
            </w:pPr>
            <w:r>
              <w:rPr>
                <w:rFonts w:ascii="宋体" w:hAnsi="宋体" w:cs="宋体" w:eastAsia="宋体" w:hint="default"/>
                <w:sz w:val="18"/>
                <w:szCs w:val="18"/>
              </w:rPr>
              <w:t>3年以上</w:t>
            </w:r>
          </w:p>
        </w:tc>
        <w:tc>
          <w:tcPr>
            <w:tcW w:w="178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spacing w:val="-1"/>
                <w:sz w:val="18"/>
              </w:rPr>
              <w:t>4,762,642.57</w:t>
            </w:r>
          </w:p>
        </w:tc>
        <w:tc>
          <w:tcPr>
            <w:tcW w:w="178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2"/>
              <w:ind w:right="3"/>
              <w:jc w:val="right"/>
              <w:rPr>
                <w:rFonts w:ascii="宋体" w:hAnsi="宋体" w:cs="宋体" w:eastAsia="宋体" w:hint="default"/>
                <w:sz w:val="18"/>
                <w:szCs w:val="18"/>
              </w:rPr>
            </w:pPr>
            <w:r>
              <w:rPr>
                <w:rFonts w:ascii="宋体"/>
                <w:spacing w:val="-1"/>
                <w:sz w:val="18"/>
              </w:rPr>
              <w:t>4,762,642.57</w:t>
            </w:r>
          </w:p>
        </w:tc>
        <w:tc>
          <w:tcPr>
            <w:tcW w:w="1782"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22"/>
              <w:ind w:right="6"/>
              <w:jc w:val="right"/>
              <w:rPr>
                <w:rFonts w:ascii="宋体" w:hAnsi="宋体" w:cs="宋体" w:eastAsia="宋体" w:hint="default"/>
                <w:sz w:val="18"/>
                <w:szCs w:val="18"/>
              </w:rPr>
            </w:pPr>
            <w:r>
              <w:rPr>
                <w:rFonts w:ascii="宋体"/>
                <w:spacing w:val="-1"/>
                <w:sz w:val="18"/>
              </w:rPr>
              <w:t>100.00</w:t>
            </w:r>
          </w:p>
        </w:tc>
      </w:tr>
      <w:tr>
        <w:trPr>
          <w:trHeight w:val="347" w:hRule="exact"/>
        </w:trPr>
        <w:tc>
          <w:tcPr>
            <w:tcW w:w="4308"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21"/>
              <w:ind w:left="82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8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r>
            <w:r>
              <w:rPr>
                <w:rFonts w:ascii="宋体"/>
                <w:spacing w:val="-1"/>
                <w:sz w:val="18"/>
                <w:u w:val="single" w:color="000000"/>
              </w:rPr>
              <w:t>521,047,926.03</w:t>
            </w:r>
            <w:r>
              <w:rPr>
                <w:rFonts w:ascii="宋体"/>
                <w:spacing w:val="-1"/>
                <w:sz w:val="18"/>
              </w:rPr>
            </w:r>
          </w:p>
        </w:tc>
        <w:tc>
          <w:tcPr>
            <w:tcW w:w="178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r>
            <w:r>
              <w:rPr>
                <w:rFonts w:ascii="宋体"/>
                <w:spacing w:val="-1"/>
                <w:sz w:val="18"/>
                <w:u w:val="single" w:color="000000"/>
              </w:rPr>
              <w:t>36,556,722.58</w:t>
            </w:r>
            <w:r>
              <w:rPr>
                <w:rFonts w:ascii="宋体"/>
                <w:spacing w:val="-1"/>
                <w:sz w:val="18"/>
              </w:rPr>
            </w:r>
          </w:p>
        </w:tc>
        <w:tc>
          <w:tcPr>
            <w:tcW w:w="1782"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21"/>
              <w:ind w:right="6"/>
              <w:jc w:val="right"/>
              <w:rPr>
                <w:rFonts w:ascii="宋体" w:hAnsi="宋体" w:cs="宋体" w:eastAsia="宋体" w:hint="default"/>
                <w:sz w:val="18"/>
                <w:szCs w:val="18"/>
              </w:rPr>
            </w:pPr>
            <w:r>
              <w:rPr>
                <w:rFonts w:ascii="宋体"/>
                <w:sz w:val="18"/>
              </w:rPr>
            </w:r>
            <w:r>
              <w:rPr>
                <w:rFonts w:ascii="宋体"/>
                <w:sz w:val="18"/>
                <w:u w:val="single" w:color="000000"/>
              </w:rPr>
              <w:t>7.02</w:t>
            </w:r>
            <w:r>
              <w:rPr>
                <w:rFonts w:ascii="宋体"/>
                <w:sz w:val="18"/>
              </w:rPr>
            </w:r>
          </w:p>
        </w:tc>
      </w:tr>
    </w:tbl>
    <w:p>
      <w:pPr>
        <w:pStyle w:val="BodyText"/>
        <w:spacing w:line="240" w:lineRule="auto" w:before="12"/>
        <w:ind w:left="492" w:right="1124"/>
        <w:jc w:val="left"/>
      </w:pPr>
      <w:r>
        <w:rPr/>
        <w:t>按组合计提坏账的确认标准及说明：</w:t>
      </w:r>
    </w:p>
    <w:p>
      <w:pPr>
        <w:spacing w:line="240" w:lineRule="auto" w:before="10"/>
        <w:rPr>
          <w:rFonts w:ascii="宋体" w:hAnsi="宋体" w:cs="宋体" w:eastAsia="宋体" w:hint="default"/>
          <w:sz w:val="17"/>
          <w:szCs w:val="17"/>
        </w:rPr>
      </w:pPr>
    </w:p>
    <w:p>
      <w:pPr>
        <w:pStyle w:val="BodyText"/>
        <w:spacing w:line="316" w:lineRule="auto"/>
        <w:ind w:left="132" w:right="1124" w:firstLine="360"/>
        <w:jc w:val="left"/>
      </w:pPr>
      <w:r>
        <w:rPr>
          <w:spacing w:val="-2"/>
        </w:rPr>
        <w:t>整个存续期预期信用损失率基于历史实际信用损失经验计算，并考虑了历史数据收集期间的经济状况、当前的经济状况</w:t>
      </w:r>
      <w:r>
        <w:rPr/>
        <w:t> 与本公司所认为的预计存续期内的经济状况。</w:t>
      </w:r>
    </w:p>
    <w:p>
      <w:pPr>
        <w:spacing w:line="240" w:lineRule="auto" w:before="13"/>
        <w:rPr>
          <w:rFonts w:ascii="宋体" w:hAnsi="宋体" w:cs="宋体" w:eastAsia="宋体" w:hint="default"/>
          <w:sz w:val="9"/>
          <w:szCs w:val="9"/>
        </w:rPr>
      </w:pPr>
    </w:p>
    <w:p>
      <w:pPr>
        <w:pStyle w:val="BodyText"/>
        <w:spacing w:line="240" w:lineRule="auto" w:before="44"/>
        <w:ind w:left="132" w:right="1124"/>
        <w:jc w:val="left"/>
      </w:pPr>
      <w:r>
        <w:rPr/>
        <w:t>按账龄披露</w:t>
      </w:r>
    </w:p>
    <w:p>
      <w:pPr>
        <w:pStyle w:val="BodyText"/>
        <w:spacing w:line="240" w:lineRule="auto" w:before="115"/>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429,989,412.78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77,970,759.17</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2"/>
                <w:sz w:val="18"/>
              </w:rPr>
              <w:t>8,325,111.51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4,762,642.57</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4,762,642.57</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521,047,926.03</w:t>
            </w:r>
          </w:p>
        </w:tc>
      </w:tr>
    </w:tbl>
    <w:p>
      <w:pPr>
        <w:spacing w:line="240" w:lineRule="auto" w:before="4"/>
        <w:rPr>
          <w:rFonts w:ascii="宋体" w:hAnsi="宋体" w:cs="宋体" w:eastAsia="宋体" w:hint="default"/>
          <w:sz w:val="19"/>
          <w:szCs w:val="19"/>
        </w:rPr>
      </w:pPr>
    </w:p>
    <w:p>
      <w:pPr>
        <w:pStyle w:val="Heading3"/>
        <w:spacing w:line="240" w:lineRule="auto" w:before="34"/>
        <w:ind w:left="132" w:right="1124"/>
        <w:jc w:val="left"/>
        <w:rPr>
          <w:b w:val="0"/>
          <w:bCs w:val="0"/>
        </w:rPr>
      </w:pPr>
      <w:bookmarkStart w:name="（2）本期计提、收回或转回的坏账准备情况" w:id="491"/>
      <w:bookmarkEnd w:id="49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132" w:right="1124"/>
        <w:jc w:val="left"/>
      </w:pPr>
      <w:r>
        <w:rPr/>
        <w:t>本期计提坏账准备情况：</w:t>
      </w:r>
    </w:p>
    <w:p>
      <w:pPr>
        <w:pStyle w:val="BodyText"/>
        <w:spacing w:line="240" w:lineRule="auto" w:before="117"/>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0"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7"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100" w:bottom="1200" w:left="100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35"/>
              <w:jc w:val="right"/>
              <w:rPr>
                <w:rFonts w:ascii="宋体" w:hAnsi="宋体" w:cs="宋体" w:eastAsia="宋体" w:hint="default"/>
                <w:sz w:val="18"/>
                <w:szCs w:val="18"/>
              </w:rPr>
            </w:pPr>
            <w:r>
              <w:rPr>
                <w:rFonts w:ascii="宋体" w:hAnsi="宋体" w:cs="宋体" w:eastAsia="宋体" w:hint="default"/>
                <w:sz w:val="18"/>
                <w:szCs w:val="18"/>
              </w:rPr>
              <w:t>坏账准备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27,830,896.35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8,725,826.23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36,556,722.58</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99"/>
              <w:jc w:val="righ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27,830,896.35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8,725,826.23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36,556,722.58</w:t>
            </w:r>
          </w:p>
        </w:tc>
      </w:tr>
    </w:tbl>
    <w:p>
      <w:pPr>
        <w:pStyle w:val="BodyText"/>
        <w:spacing w:line="240" w:lineRule="auto" w:before="50"/>
        <w:ind w:right="915"/>
        <w:jc w:val="left"/>
      </w:pPr>
      <w:r>
        <w:rPr/>
        <w:t>其中本期坏账准备收回或转回金额重要的：</w:t>
      </w:r>
    </w:p>
    <w:p>
      <w:pPr>
        <w:pStyle w:val="BodyText"/>
        <w:spacing w:line="240" w:lineRule="auto" w:before="117"/>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10"/>
        <w:ind w:right="915"/>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15"/>
        <w:jc w:val="left"/>
        <w:rPr>
          <w:b w:val="0"/>
          <w:bCs w:val="0"/>
        </w:rPr>
      </w:pPr>
      <w:bookmarkStart w:name="（3）本期实际核销的应收账款情况" w:id="492"/>
      <w:bookmarkEnd w:id="492"/>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9"/>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3;width:4978;height:397" coordorigin="13,13" coordsize="4978,397">
              <v:shape style="position:absolute;left:13;top:13;width:4978;height:397" coordorigin="13,13" coordsize="4978,397" path="m13,13l4991,13,4991,410,13,410,13,13xe" filled="true" fillcolor="#d2d2d2" stroked="false">
                <v:path arrowok="t"/>
                <v:fill type="solid"/>
              </v:shape>
            </v:group>
            <v:group style="position:absolute;left:4996;top:13;width:4580;height:397" coordorigin="4996,13" coordsize="4580,397">
              <v:shape style="position:absolute;left:4996;top:13;width:4580;height:397" coordorigin="4996,13" coordsize="4580,397" path="m4996,13l9576,13,9576,410,4996,410,4996,13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993;top:5;width:2;height:402" coordorigin="4993,5" coordsize="2,402">
              <v:shape style="position:absolute;left:4993;top:5;width:2;height:402" coordorigin="4993,5" coordsize="0,402" path="m4993,5l4993,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320;top:12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993;top:10;width:4585;height:402" type="#_x0000_t202" filled="false" stroked="false">
                <v:textbox inset="0,0,0,0">
                  <w:txbxContent>
                    <w:p>
                      <w:pPr>
                        <w:spacing w:before="55"/>
                        <w:ind w:left="0" w:right="0" w:firstLine="0"/>
                        <w:jc w:val="center"/>
                        <w:rPr>
                          <w:rFonts w:ascii="宋体" w:hAnsi="宋体" w:cs="宋体" w:eastAsia="宋体" w:hint="default"/>
                          <w:sz w:val="18"/>
                          <w:szCs w:val="18"/>
                        </w:rPr>
                      </w:pPr>
                      <w:r>
                        <w:rPr>
                          <w:rFonts w:ascii="宋体" w:hAnsi="宋体" w:cs="宋体" w:eastAsia="宋体" w:hint="default"/>
                          <w:sz w:val="18"/>
                          <w:szCs w:val="18"/>
                        </w:rPr>
                        <w:t>核销金额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51"/>
        <w:ind w:right="915"/>
        <w:jc w:val="left"/>
      </w:pPr>
      <w:r>
        <w:rPr/>
        <w:t>其中重要的应收账款核销情况：</w:t>
      </w:r>
    </w:p>
    <w:p>
      <w:pPr>
        <w:pStyle w:val="BodyText"/>
        <w:spacing w:line="240" w:lineRule="auto" w:before="117"/>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84"/>
        <w:gridCol w:w="1551"/>
        <w:gridCol w:w="1552"/>
        <w:gridCol w:w="1552"/>
        <w:gridCol w:w="1615"/>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42" w:right="172" w:hanging="272"/>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bl>
    <w:p>
      <w:pPr>
        <w:pStyle w:val="BodyText"/>
        <w:spacing w:line="357" w:lineRule="auto" w:before="52"/>
        <w:ind w:right="9134"/>
        <w:jc w:val="left"/>
      </w:pPr>
      <w:r>
        <w:rPr/>
        <w:t>应收账款核销说明： 无</w:t>
      </w:r>
    </w:p>
    <w:p>
      <w:pPr>
        <w:spacing w:line="240" w:lineRule="auto" w:before="3"/>
        <w:rPr>
          <w:rFonts w:ascii="宋体" w:hAnsi="宋体" w:cs="宋体" w:eastAsia="宋体" w:hint="default"/>
          <w:sz w:val="20"/>
          <w:szCs w:val="20"/>
        </w:rPr>
      </w:pPr>
    </w:p>
    <w:p>
      <w:pPr>
        <w:pStyle w:val="Heading3"/>
        <w:spacing w:line="240" w:lineRule="auto"/>
        <w:ind w:right="915"/>
        <w:jc w:val="left"/>
        <w:rPr>
          <w:b w:val="0"/>
          <w:bCs w:val="0"/>
        </w:rPr>
      </w:pPr>
      <w:bookmarkStart w:name="（4）按欠款方归集的期末余额前五名的应收账款情况" w:id="493"/>
      <w:bookmarkEnd w:id="493"/>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69"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22" w:right="109" w:hanging="812"/>
              <w:jc w:val="left"/>
              <w:rPr>
                <w:rFonts w:ascii="宋体" w:hAnsi="宋体" w:cs="宋体" w:eastAsia="宋体" w:hint="default"/>
                <w:sz w:val="18"/>
                <w:szCs w:val="18"/>
              </w:rPr>
            </w:pPr>
            <w:r>
              <w:rPr>
                <w:rFonts w:ascii="宋体" w:hAnsi="宋体" w:cs="宋体" w:eastAsia="宋体" w:hint="default"/>
                <w:sz w:val="18"/>
                <w:szCs w:val="18"/>
              </w:rPr>
              <w:t>占应收账款期末余额合计数 的比例</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中国银行股份有限公司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23,083,585.53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8"/>
                <w:szCs w:val="18"/>
              </w:rPr>
            </w:pPr>
            <w:r>
              <w:rPr>
                <w:rFonts w:ascii="Times New Roman"/>
                <w:sz w:val="18"/>
              </w:rPr>
              <w:t>4.43%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1,302,512.09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交通银行股份有限公司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20,804,220.00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3.99%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1,040,211.00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中国民生银行股份有限公司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20,748,172.90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8"/>
                <w:szCs w:val="18"/>
              </w:rPr>
            </w:pPr>
            <w:r>
              <w:rPr>
                <w:rFonts w:ascii="Times New Roman"/>
                <w:sz w:val="18"/>
              </w:rPr>
              <w:t>3.98%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1,037,408.65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中国农业银行股份有限公司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20,738,983.28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3.98%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1,036,949.16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中信银行股份有限公司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17,537,040.00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8"/>
                <w:szCs w:val="18"/>
              </w:rPr>
            </w:pPr>
            <w:r>
              <w:rPr>
                <w:rFonts w:ascii="Times New Roman"/>
                <w:sz w:val="18"/>
              </w:rPr>
              <w:t>3.37%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876,852.00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102,912,001.71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19.75%</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4"/>
        <w:rPr>
          <w:rFonts w:ascii="宋体" w:hAnsi="宋体" w:cs="宋体" w:eastAsia="宋体" w:hint="default"/>
          <w:sz w:val="19"/>
          <w:szCs w:val="19"/>
        </w:rPr>
      </w:pPr>
    </w:p>
    <w:p>
      <w:pPr>
        <w:pStyle w:val="Heading3"/>
        <w:spacing w:line="240" w:lineRule="auto" w:before="34"/>
        <w:ind w:right="915"/>
        <w:jc w:val="left"/>
        <w:rPr>
          <w:b w:val="0"/>
          <w:bCs w:val="0"/>
        </w:rPr>
      </w:pPr>
      <w:bookmarkStart w:name="（5）因金融资产转移而终止确认的应收账款" w:id="494"/>
      <w:bookmarkEnd w:id="494"/>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15"/>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15"/>
        <w:jc w:val="left"/>
        <w:rPr>
          <w:b w:val="0"/>
          <w:bCs w:val="0"/>
        </w:rPr>
      </w:pPr>
      <w:bookmarkStart w:name="（6）转移应收账款且继续涉入形成的资产、负债金额" w:id="495"/>
      <w:bookmarkEnd w:id="495"/>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9854"/>
        <w:jc w:val="left"/>
      </w:pPr>
      <w:r>
        <w:rPr/>
        <w:t>无 其他说明： 无</w:t>
      </w:r>
    </w:p>
    <w:p>
      <w:pPr>
        <w:spacing w:after="0" w:line="360" w:lineRule="auto"/>
        <w:jc w:val="left"/>
        <w:sectPr>
          <w:footerReference w:type="default" r:id="rId38"/>
          <w:pgSz w:w="11910" w:h="16840"/>
          <w:pgMar w:footer="1016" w:header="919" w:top="1120" w:bottom="1200" w:left="1020" w:right="0"/>
          <w:pgNumType w:start="210"/>
        </w:sectPr>
      </w:pPr>
    </w:p>
    <w:p>
      <w:pPr>
        <w:spacing w:line="240" w:lineRule="auto" w:before="10"/>
        <w:rPr>
          <w:rFonts w:ascii="宋体" w:hAnsi="宋体" w:cs="宋体" w:eastAsia="宋体" w:hint="default"/>
          <w:sz w:val="19"/>
          <w:szCs w:val="19"/>
        </w:rPr>
      </w:pPr>
    </w:p>
    <w:p>
      <w:pPr>
        <w:pStyle w:val="Heading3"/>
        <w:spacing w:line="240" w:lineRule="auto" w:before="34"/>
        <w:ind w:right="915"/>
        <w:jc w:val="left"/>
        <w:rPr>
          <w:b w:val="0"/>
          <w:bCs w:val="0"/>
        </w:rPr>
      </w:pPr>
      <w:bookmarkStart w:name="2、其他应收款" w:id="496"/>
      <w:bookmarkEnd w:id="496"/>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20,449,283.64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15,061,725.42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20,449,283.64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15,061,725.42</w:t>
            </w:r>
          </w:p>
        </w:tc>
      </w:tr>
    </w:tbl>
    <w:p>
      <w:pPr>
        <w:spacing w:line="240" w:lineRule="auto" w:before="4"/>
        <w:rPr>
          <w:rFonts w:ascii="宋体" w:hAnsi="宋体" w:cs="宋体" w:eastAsia="宋体" w:hint="default"/>
          <w:sz w:val="19"/>
          <w:szCs w:val="19"/>
        </w:rPr>
      </w:pPr>
    </w:p>
    <w:p>
      <w:pPr>
        <w:pStyle w:val="Heading3"/>
        <w:spacing w:line="240" w:lineRule="auto" w:before="34"/>
        <w:ind w:right="915"/>
        <w:jc w:val="left"/>
        <w:rPr>
          <w:b w:val="0"/>
          <w:bCs w:val="0"/>
        </w:rPr>
      </w:pPr>
      <w:bookmarkStart w:name="（1）应收利息" w:id="497"/>
      <w:bookmarkEnd w:id="497"/>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15"/>
        <w:jc w:val="left"/>
        <w:rPr>
          <w:b w:val="0"/>
          <w:bCs w:val="0"/>
        </w:rPr>
      </w:pPr>
      <w:bookmarkStart w:name="1）应收利息分类" w:id="498"/>
      <w:bookmarkEnd w:id="498"/>
      <w:r>
        <w:rPr>
          <w:b w:val="0"/>
          <w:bCs w:val="0"/>
        </w:rPr>
      </w:r>
      <w:r>
        <w:rPr>
          <w:rFonts w:ascii="Times New Roman" w:hAnsi="Times New Roman" w:cs="Times New Roman" w:eastAsia="Times New Roman" w:hint="default"/>
        </w:rPr>
        <w:t>1</w:t>
      </w:r>
      <w:r>
        <w:rPr/>
        <w:t>）应收利息分类</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4"/>
        <w:ind w:right="915"/>
        <w:jc w:val="left"/>
        <w:rPr>
          <w:b w:val="0"/>
          <w:bCs w:val="0"/>
        </w:rPr>
      </w:pPr>
      <w:bookmarkStart w:name="2）重要逾期利息" w:id="499"/>
      <w:bookmarkEnd w:id="499"/>
      <w:r>
        <w:rPr>
          <w:b w:val="0"/>
          <w:bCs w:val="0"/>
        </w:rPr>
      </w:r>
      <w:r>
        <w:rPr>
          <w:rFonts w:ascii="Times New Roman" w:hAnsi="Times New Roman" w:cs="Times New Roman" w:eastAsia="Times New Roman" w:hint="default"/>
        </w:rPr>
        <w:t>2</w:t>
      </w:r>
      <w:r>
        <w:rPr/>
        <w:t>）重要逾期利息</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82" w:right="139" w:hanging="540"/>
              <w:jc w:val="left"/>
              <w:rPr>
                <w:rFonts w:ascii="宋体" w:hAnsi="宋体" w:cs="宋体" w:eastAsia="宋体" w:hint="default"/>
                <w:sz w:val="18"/>
                <w:szCs w:val="18"/>
              </w:rPr>
            </w:pPr>
            <w:r>
              <w:rPr>
                <w:rFonts w:ascii="宋体" w:hAnsi="宋体" w:cs="宋体" w:eastAsia="宋体" w:hint="default"/>
                <w:sz w:val="18"/>
                <w:szCs w:val="18"/>
              </w:rPr>
              <w:t>是否发生减值及其判 断依据</w:t>
            </w:r>
          </w:p>
        </w:tc>
      </w:tr>
    </w:tbl>
    <w:p>
      <w:pPr>
        <w:pStyle w:val="BodyText"/>
        <w:spacing w:line="357" w:lineRule="auto" w:before="51"/>
        <w:ind w:right="9854"/>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915"/>
        <w:jc w:val="left"/>
        <w:rPr>
          <w:b w:val="0"/>
          <w:bCs w:val="0"/>
        </w:rPr>
      </w:pPr>
      <w:bookmarkStart w:name="3）坏账准备计提情况" w:id="500"/>
      <w:bookmarkEnd w:id="500"/>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15"/>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915"/>
        <w:jc w:val="left"/>
        <w:rPr>
          <w:b w:val="0"/>
          <w:bCs w:val="0"/>
        </w:rPr>
      </w:pPr>
      <w:bookmarkStart w:name="（2）应收股利" w:id="501"/>
      <w:bookmarkEnd w:id="501"/>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15"/>
        <w:jc w:val="left"/>
        <w:rPr>
          <w:b w:val="0"/>
          <w:bCs w:val="0"/>
        </w:rPr>
      </w:pPr>
      <w:bookmarkStart w:name="1）应收股利分类" w:id="502"/>
      <w:bookmarkEnd w:id="502"/>
      <w:r>
        <w:rPr>
          <w:b w:val="0"/>
          <w:bCs w:val="0"/>
        </w:rPr>
      </w:r>
      <w:r>
        <w:rPr>
          <w:rFonts w:ascii="Times New Roman" w:hAnsi="Times New Roman" w:cs="Times New Roman" w:eastAsia="Times New Roman" w:hint="default"/>
        </w:rPr>
        <w:t>1</w:t>
      </w:r>
      <w:r>
        <w:rPr/>
        <w:t>）应收股利分类</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0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4"/>
        <w:rPr>
          <w:rFonts w:ascii="宋体" w:hAnsi="宋体" w:cs="宋体" w:eastAsia="宋体" w:hint="default"/>
          <w:sz w:val="19"/>
          <w:szCs w:val="19"/>
        </w:rPr>
      </w:pPr>
    </w:p>
    <w:p>
      <w:pPr>
        <w:pStyle w:val="Heading3"/>
        <w:spacing w:line="240" w:lineRule="auto" w:before="34"/>
        <w:ind w:right="915"/>
        <w:jc w:val="left"/>
        <w:rPr>
          <w:b w:val="0"/>
          <w:bCs w:val="0"/>
        </w:rPr>
      </w:pPr>
      <w:bookmarkStart w:name="2）重要的账龄超过1年的应收股利" w:id="503"/>
      <w:bookmarkEnd w:id="503"/>
      <w:r>
        <w:rPr>
          <w:b w:val="0"/>
          <w:bCs w:val="0"/>
        </w:rPr>
      </w:r>
      <w:r>
        <w:rPr>
          <w:rFonts w:ascii="Times New Roman" w:hAnsi="Times New Roman" w:cs="Times New Roman" w:eastAsia="Times New Roman" w:hint="default"/>
        </w:rPr>
        <w:t>2</w:t>
      </w:r>
      <w:r>
        <w:rPr/>
        <w:t>）重要的账龄超过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年的应收股利</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82" w:right="139" w:hanging="540"/>
              <w:jc w:val="left"/>
              <w:rPr>
                <w:rFonts w:ascii="宋体" w:hAnsi="宋体" w:cs="宋体" w:eastAsia="宋体" w:hint="default"/>
                <w:sz w:val="18"/>
                <w:szCs w:val="18"/>
              </w:rPr>
            </w:pPr>
            <w:r>
              <w:rPr>
                <w:rFonts w:ascii="宋体" w:hAnsi="宋体" w:cs="宋体" w:eastAsia="宋体" w:hint="default"/>
                <w:sz w:val="18"/>
                <w:szCs w:val="18"/>
              </w:rPr>
              <w:t>是否发生减值及其判 断依据</w:t>
            </w:r>
          </w:p>
        </w:tc>
      </w:tr>
    </w:tbl>
    <w:p>
      <w:pPr>
        <w:spacing w:line="240" w:lineRule="auto" w:before="5"/>
        <w:rPr>
          <w:rFonts w:ascii="宋体" w:hAnsi="宋体" w:cs="宋体" w:eastAsia="宋体" w:hint="default"/>
          <w:sz w:val="19"/>
          <w:szCs w:val="19"/>
        </w:rPr>
      </w:pPr>
    </w:p>
    <w:p>
      <w:pPr>
        <w:pStyle w:val="Heading3"/>
        <w:spacing w:line="240" w:lineRule="auto" w:before="34"/>
        <w:ind w:right="915"/>
        <w:jc w:val="left"/>
        <w:rPr>
          <w:b w:val="0"/>
          <w:bCs w:val="0"/>
        </w:rPr>
      </w:pPr>
      <w:bookmarkStart w:name="3）坏账准备计提情况" w:id="504"/>
      <w:bookmarkEnd w:id="504"/>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9224"/>
        <w:jc w:val="left"/>
      </w:pPr>
      <w:r>
        <w:rPr/>
        <w:t>□ 适用 √ 不适用 其他说明：</w:t>
      </w:r>
    </w:p>
    <w:p>
      <w:pPr>
        <w:spacing w:after="0" w:line="357" w:lineRule="auto"/>
        <w:jc w:val="left"/>
        <w:sectPr>
          <w:pgSz w:w="11910" w:h="16840"/>
          <w:pgMar w:header="919" w:footer="1016" w:top="1120" w:bottom="1200" w:left="1020" w:right="0"/>
        </w:sectPr>
      </w:pPr>
    </w:p>
    <w:p>
      <w:pPr>
        <w:spacing w:line="240" w:lineRule="auto" w:before="12"/>
        <w:rPr>
          <w:rFonts w:ascii="宋体" w:hAnsi="宋体" w:cs="宋体" w:eastAsia="宋体" w:hint="default"/>
          <w:sz w:val="20"/>
          <w:szCs w:val="20"/>
        </w:rPr>
      </w:pPr>
    </w:p>
    <w:p>
      <w:pPr>
        <w:pStyle w:val="BodyText"/>
        <w:spacing w:line="240" w:lineRule="auto" w:before="44"/>
        <w:ind w:right="915"/>
        <w:jc w:val="left"/>
      </w:pPr>
      <w:r>
        <w:rPr/>
        <w:t>无</w:t>
      </w:r>
    </w:p>
    <w:p>
      <w:pPr>
        <w:spacing w:line="240" w:lineRule="auto" w:before="11"/>
        <w:rPr>
          <w:rFonts w:ascii="宋体" w:hAnsi="宋体" w:cs="宋体" w:eastAsia="宋体" w:hint="default"/>
          <w:sz w:val="26"/>
          <w:szCs w:val="26"/>
        </w:rPr>
      </w:pPr>
    </w:p>
    <w:p>
      <w:pPr>
        <w:pStyle w:val="Heading3"/>
        <w:spacing w:line="240" w:lineRule="auto"/>
        <w:ind w:right="915"/>
        <w:jc w:val="left"/>
        <w:rPr>
          <w:b w:val="0"/>
          <w:bCs w:val="0"/>
        </w:rPr>
      </w:pPr>
      <w:bookmarkStart w:name="（3）其他应收款" w:id="505"/>
      <w:bookmarkEnd w:id="505"/>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15"/>
        <w:jc w:val="left"/>
        <w:rPr>
          <w:b w:val="0"/>
          <w:bCs w:val="0"/>
        </w:rPr>
      </w:pPr>
      <w:bookmarkStart w:name="1）其他应收款按款项性质分类情况" w:id="506"/>
      <w:bookmarkEnd w:id="506"/>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应收政府补助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11,650,392.62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9,871,763.72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3,895,185.61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2,549,290.18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代付社保、公积金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2,194,188.01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1,978,301.49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857,838.98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1,662,520.84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2,211,160.25</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914,264.18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26,164.21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21,723,029.65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16,088,040.44</w:t>
            </w:r>
          </w:p>
        </w:tc>
      </w:tr>
    </w:tbl>
    <w:p>
      <w:pPr>
        <w:spacing w:line="240" w:lineRule="auto" w:before="3"/>
        <w:rPr>
          <w:rFonts w:ascii="宋体" w:hAnsi="宋体" w:cs="宋体" w:eastAsia="宋体" w:hint="default"/>
          <w:sz w:val="19"/>
          <w:szCs w:val="19"/>
        </w:rPr>
      </w:pPr>
    </w:p>
    <w:p>
      <w:pPr>
        <w:pStyle w:val="Heading3"/>
        <w:spacing w:line="240" w:lineRule="auto" w:before="34"/>
        <w:ind w:right="915"/>
        <w:jc w:val="left"/>
        <w:rPr>
          <w:b w:val="0"/>
          <w:bCs w:val="0"/>
        </w:rPr>
      </w:pPr>
      <w:bookmarkStart w:name="2）坏账准备计提情况" w:id="507"/>
      <w:bookmarkEnd w:id="507"/>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6"/>
        <w:gridCol w:w="1650"/>
        <w:gridCol w:w="2099"/>
        <w:gridCol w:w="2099"/>
        <w:gridCol w:w="1804"/>
      </w:tblGrid>
      <w:tr>
        <w:trPr>
          <w:trHeight w:val="402"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3"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4"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461" w:right="142" w:hanging="317"/>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 信用损失</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65" w:right="144" w:hanging="123"/>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 失</w:t>
            </w: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64" w:right="143" w:hanging="12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 失</w:t>
            </w: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50"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1,026,315.02</w:t>
            </w:r>
          </w:p>
        </w:tc>
        <w:tc>
          <w:tcPr>
            <w:tcW w:w="2099"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1,026,315.02</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36"/>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 在本期</w:t>
            </w: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50"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247,430.99</w:t>
            </w:r>
          </w:p>
        </w:tc>
        <w:tc>
          <w:tcPr>
            <w:tcW w:w="2099"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247,430.99</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36"/>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 额</w:t>
            </w:r>
          </w:p>
        </w:tc>
        <w:tc>
          <w:tcPr>
            <w:tcW w:w="1650"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1,273,746.01</w:t>
            </w:r>
          </w:p>
        </w:tc>
        <w:tc>
          <w:tcPr>
            <w:tcW w:w="2099"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1,273,746.01</w:t>
            </w:r>
          </w:p>
        </w:tc>
      </w:tr>
    </w:tbl>
    <w:p>
      <w:pPr>
        <w:spacing w:after="0" w:line="240" w:lineRule="auto"/>
        <w:jc w:val="right"/>
        <w:rPr>
          <w:rFonts w:ascii="Times New Roman" w:hAnsi="Times New Roman" w:cs="Times New Roman" w:eastAsia="Times New Roman" w:hint="default"/>
          <w:sz w:val="18"/>
          <w:szCs w:val="18"/>
        </w:rPr>
        <w:sectPr>
          <w:pgSz w:w="11910" w:h="16840"/>
          <w:pgMar w:header="919" w:footer="1016" w:top="1120" w:bottom="1200" w:left="1020" w:right="0"/>
        </w:sectPr>
      </w:pPr>
    </w:p>
    <w:p>
      <w:pPr>
        <w:pStyle w:val="BodyText"/>
        <w:spacing w:line="240" w:lineRule="auto" w:before="49"/>
        <w:ind w:right="-20"/>
        <w:jc w:val="left"/>
      </w:pPr>
      <w:r>
        <w:rPr/>
        <w:t>损失准备本期变动金额重大的账面余额变动情况</w:t>
      </w:r>
    </w:p>
    <w:p>
      <w:pPr>
        <w:pStyle w:val="BodyText"/>
        <w:spacing w:line="360" w:lineRule="auto" w:before="117"/>
        <w:ind w:right="2230"/>
        <w:jc w:val="left"/>
      </w:pPr>
      <w:r>
        <w:rPr/>
        <w:t>□ 适用 √ 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100" w:bottom="1200" w:left="1020" w:right="0"/>
          <w:cols w:num="2" w:equalWidth="0">
            <w:col w:w="3893" w:space="4936"/>
            <w:col w:w="2061"/>
          </w:cols>
        </w:sectPr>
      </w:pP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19,549,924.88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1,945,457.02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81,400.00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146,247.75</w:t>
            </w:r>
          </w:p>
        </w:tc>
      </w:tr>
      <w:tr>
        <w:trPr>
          <w:trHeight w:val="400"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12,100.00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134,147.75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21,723,029.65</w:t>
            </w:r>
          </w:p>
        </w:tc>
      </w:tr>
    </w:tbl>
    <w:p>
      <w:pPr>
        <w:spacing w:line="240" w:lineRule="auto" w:before="3"/>
        <w:rPr>
          <w:rFonts w:ascii="宋体" w:hAnsi="宋体" w:cs="宋体" w:eastAsia="宋体" w:hint="default"/>
          <w:sz w:val="19"/>
          <w:szCs w:val="19"/>
        </w:rPr>
      </w:pPr>
    </w:p>
    <w:p>
      <w:pPr>
        <w:pStyle w:val="Heading3"/>
        <w:spacing w:line="240" w:lineRule="auto" w:before="34"/>
        <w:ind w:right="915"/>
        <w:jc w:val="left"/>
        <w:rPr>
          <w:b w:val="0"/>
          <w:bCs w:val="0"/>
        </w:rPr>
      </w:pPr>
      <w:bookmarkStart w:name="3）本期计提、收回或转回的坏账准备情况" w:id="508"/>
      <w:bookmarkEnd w:id="508"/>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915"/>
        <w:jc w:val="left"/>
      </w:pPr>
      <w:r>
        <w:rPr/>
        <w:t>本期计提坏账准备情况：</w:t>
      </w:r>
    </w:p>
    <w:p>
      <w:pPr>
        <w:pStyle w:val="BodyText"/>
        <w:spacing w:line="240" w:lineRule="auto" w:before="117"/>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80"/>
        <w:gridCol w:w="1087"/>
        <w:gridCol w:w="1332"/>
        <w:gridCol w:w="1452"/>
        <w:gridCol w:w="1198"/>
        <w:gridCol w:w="1345"/>
        <w:gridCol w:w="1575"/>
      </w:tblGrid>
      <w:tr>
        <w:trPr>
          <w:trHeight w:val="402" w:hRule="exact"/>
        </w:trPr>
        <w:tc>
          <w:tcPr>
            <w:tcW w:w="15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7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2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80" w:type="dxa"/>
            <w:vMerge/>
            <w:tcBorders>
              <w:left w:val="single" w:sz="4" w:space="0" w:color="000000"/>
              <w:bottom w:val="single" w:sz="4" w:space="0" w:color="000000"/>
              <w:right w:val="single" w:sz="4" w:space="0" w:color="000000"/>
            </w:tcBorders>
            <w:shd w:val="clear" w:color="auto" w:fill="D2D2D2"/>
          </w:tcPr>
          <w:p>
            <w:pPr/>
          </w:p>
        </w:tc>
        <w:tc>
          <w:tcPr>
            <w:tcW w:w="1087" w:type="dxa"/>
            <w:vMerge/>
            <w:tcBorders>
              <w:left w:val="single" w:sz="4" w:space="0" w:color="000000"/>
              <w:bottom w:val="single" w:sz="4" w:space="0" w:color="000000"/>
              <w:right w:val="single" w:sz="4" w:space="0" w:color="000000"/>
            </w:tcBorders>
            <w:shd w:val="clear" w:color="auto" w:fill="D2D2D2"/>
          </w:tcPr>
          <w:p>
            <w:pP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核销</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5"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1,026,315.0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247,430.99</w:t>
            </w:r>
          </w:p>
        </w:tc>
        <w:tc>
          <w:tcPr>
            <w:tcW w:w="145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1,273,746.01</w:t>
            </w:r>
          </w:p>
        </w:tc>
      </w:tr>
      <w:tr>
        <w:trPr>
          <w:trHeight w:val="714" w:hRule="exact"/>
        </w:trPr>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1,026,315.0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247,430.99</w:t>
            </w:r>
          </w:p>
        </w:tc>
        <w:tc>
          <w:tcPr>
            <w:tcW w:w="145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1,273,746.01</w:t>
            </w:r>
          </w:p>
        </w:tc>
      </w:tr>
    </w:tbl>
    <w:p>
      <w:pPr>
        <w:pStyle w:val="BodyText"/>
        <w:spacing w:line="316" w:lineRule="auto" w:before="11"/>
        <w:ind w:right="915" w:firstLine="360"/>
        <w:jc w:val="left"/>
      </w:pPr>
      <w:r>
        <w:rPr>
          <w:spacing w:val="-2"/>
        </w:rPr>
        <w:t>整个存续期预期信用损失率基于历史实际信用损失经验计算，并考虑了历史数据收集期间的经济状况、当前的经济状况</w:t>
      </w:r>
      <w:r>
        <w:rPr/>
        <w:t> 与本公司所认为的预计存续期内的经济状况。</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40" w:lineRule="auto" w:before="44"/>
        <w:ind w:right="915"/>
        <w:jc w:val="left"/>
      </w:pPr>
      <w:r>
        <w:rPr/>
        <w:t>其中本期坏账准备转回或收回金额重要的：</w:t>
      </w:r>
    </w:p>
    <w:p>
      <w:pPr>
        <w:pStyle w:val="BodyText"/>
        <w:spacing w:line="240" w:lineRule="auto" w:before="115"/>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58"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11"/>
        <w:ind w:right="915"/>
        <w:jc w:val="left"/>
      </w:pPr>
      <w:r>
        <w:rPr/>
        <w:t>无</w:t>
      </w:r>
    </w:p>
    <w:p>
      <w:pPr>
        <w:spacing w:line="240" w:lineRule="auto" w:before="11"/>
        <w:rPr>
          <w:rFonts w:ascii="宋体" w:hAnsi="宋体" w:cs="宋体" w:eastAsia="宋体" w:hint="default"/>
          <w:sz w:val="26"/>
          <w:szCs w:val="26"/>
        </w:rPr>
      </w:pPr>
    </w:p>
    <w:p>
      <w:pPr>
        <w:pStyle w:val="Heading3"/>
        <w:spacing w:line="240" w:lineRule="auto"/>
        <w:ind w:right="915"/>
        <w:jc w:val="left"/>
        <w:rPr>
          <w:b w:val="0"/>
          <w:bCs w:val="0"/>
        </w:rPr>
      </w:pPr>
      <w:bookmarkStart w:name="4）本期实际核销的其他应收款情况" w:id="509"/>
      <w:bookmarkEnd w:id="509"/>
      <w:r>
        <w:rPr>
          <w:b w:val="0"/>
          <w:bCs w:val="0"/>
        </w:rPr>
      </w:r>
      <w:r>
        <w:rPr>
          <w:rFonts w:ascii="Times New Roman" w:hAnsi="Times New Roman" w:cs="Times New Roman" w:eastAsia="Times New Roman" w:hint="default"/>
        </w:rPr>
        <w:t>4</w:t>
      </w:r>
      <w:r>
        <w:rPr/>
        <w:t>）本期实际核销的其他应收款情况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1"/>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775;height:397" coordorigin="13,12" coordsize="4775,397">
              <v:shape style="position:absolute;left:13;top:12;width:4775;height:397" coordorigin="13,12" coordsize="4775,397" path="m13,12l4788,12,4788,409,13,409,13,12xe" filled="true" fillcolor="#d2d2d2" stroked="false">
                <v:path arrowok="t"/>
                <v:fill type="solid"/>
              </v:shape>
            </v:group>
            <v:group style="position:absolute;left:4793;top:12;width:4783;height:397" coordorigin="4793,12" coordsize="4783,397">
              <v:shape style="position:absolute;left:4793;top:12;width:4783;height:397" coordorigin="4793,12" coordsize="4783,397" path="m4793,12l9576,12,9576,409,4793,409,4793,12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0;top:5;width:2;height:402" coordorigin="4790,5" coordsize="2,402">
              <v:shape style="position:absolute;left:4790;top:5;width:2;height:402" coordorigin="4790,5" coordsize="0,402" path="m4790,5l4790,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19;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0;top:10;width:4788;height:402" type="#_x0000_t202" filled="false" stroked="false">
                <v:textbox inset="0,0,0,0">
                  <w:txbxContent>
                    <w:p>
                      <w:pPr>
                        <w:spacing w:before="55"/>
                        <w:ind w:left="1" w:right="0" w:firstLine="0"/>
                        <w:jc w:val="center"/>
                        <w:rPr>
                          <w:rFonts w:ascii="宋体" w:hAnsi="宋体" w:cs="宋体" w:eastAsia="宋体" w:hint="default"/>
                          <w:sz w:val="18"/>
                          <w:szCs w:val="18"/>
                        </w:rPr>
                      </w:pPr>
                      <w:r>
                        <w:rPr>
                          <w:rFonts w:ascii="宋体" w:hAnsi="宋体" w:cs="宋体" w:eastAsia="宋体" w:hint="default"/>
                          <w:sz w:val="18"/>
                          <w:szCs w:val="18"/>
                        </w:rPr>
                        <w:t>核销金额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50"/>
        <w:ind w:right="915"/>
        <w:jc w:val="left"/>
      </w:pPr>
      <w:r>
        <w:rPr/>
        <w:t>其中重要的其他应收款核销情况：</w:t>
      </w:r>
    </w:p>
    <w:p>
      <w:pPr>
        <w:pStyle w:val="BodyText"/>
        <w:spacing w:line="240" w:lineRule="auto" w:before="117"/>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84"/>
        <w:gridCol w:w="1551"/>
        <w:gridCol w:w="1552"/>
        <w:gridCol w:w="1552"/>
        <w:gridCol w:w="1615"/>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42" w:right="172" w:hanging="272"/>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bl>
    <w:p>
      <w:pPr>
        <w:pStyle w:val="BodyText"/>
        <w:spacing w:line="357" w:lineRule="auto" w:before="50"/>
        <w:ind w:right="8954"/>
        <w:jc w:val="left"/>
      </w:pPr>
      <w:r>
        <w:rPr/>
        <w:t>其他应收款核销说明： 无</w:t>
      </w:r>
    </w:p>
    <w:p>
      <w:pPr>
        <w:spacing w:line="240" w:lineRule="auto" w:before="3"/>
        <w:rPr>
          <w:rFonts w:ascii="宋体" w:hAnsi="宋体" w:cs="宋体" w:eastAsia="宋体" w:hint="default"/>
          <w:sz w:val="20"/>
          <w:szCs w:val="20"/>
        </w:rPr>
      </w:pPr>
    </w:p>
    <w:p>
      <w:pPr>
        <w:pStyle w:val="Heading3"/>
        <w:spacing w:line="240" w:lineRule="auto"/>
        <w:ind w:right="915"/>
        <w:jc w:val="left"/>
        <w:rPr>
          <w:b w:val="0"/>
          <w:bCs w:val="0"/>
        </w:rPr>
      </w:pPr>
      <w:bookmarkStart w:name="5）按欠款方归集的期末余额前五名的其他应收款情况" w:id="510"/>
      <w:bookmarkEnd w:id="510"/>
      <w:r>
        <w:rPr>
          <w:b w:val="0"/>
          <w:bCs w:val="0"/>
        </w:rPr>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84"/>
        <w:gridCol w:w="1551"/>
        <w:gridCol w:w="1552"/>
        <w:gridCol w:w="1552"/>
        <w:gridCol w:w="1615"/>
        <w:gridCol w:w="1615"/>
      </w:tblGrid>
      <w:tr>
        <w:trPr>
          <w:trHeight w:val="1026"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1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71" w:right="172"/>
              <w:jc w:val="center"/>
              <w:rPr>
                <w:rFonts w:ascii="宋体" w:hAnsi="宋体" w:cs="宋体" w:eastAsia="宋体" w:hint="default"/>
                <w:sz w:val="18"/>
                <w:szCs w:val="18"/>
              </w:rPr>
            </w:pPr>
            <w:r>
              <w:rPr>
                <w:rFonts w:ascii="宋体" w:hAnsi="宋体" w:cs="宋体" w:eastAsia="宋体" w:hint="default"/>
                <w:sz w:val="18"/>
                <w:szCs w:val="18"/>
              </w:rPr>
              <w:t>占其他应收款期 末余额合计数的 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11" w:right="172" w:hanging="540"/>
              <w:jc w:val="left"/>
              <w:rPr>
                <w:rFonts w:ascii="宋体" w:hAnsi="宋体" w:cs="宋体" w:eastAsia="宋体" w:hint="default"/>
                <w:sz w:val="18"/>
                <w:szCs w:val="18"/>
              </w:rPr>
            </w:pPr>
            <w:r>
              <w:rPr>
                <w:rFonts w:ascii="宋体" w:hAnsi="宋体" w:cs="宋体" w:eastAsia="宋体" w:hint="default"/>
                <w:sz w:val="18"/>
                <w:szCs w:val="18"/>
              </w:rPr>
              <w:t>坏账准备期末余 额</w:t>
            </w:r>
          </w:p>
        </w:tc>
      </w:tr>
      <w:tr>
        <w:trPr>
          <w:trHeight w:val="400"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8"/>
              <w:jc w:val="center"/>
              <w:rPr>
                <w:rFonts w:ascii="宋体" w:hAnsi="宋体" w:cs="宋体" w:eastAsia="宋体" w:hint="default"/>
                <w:sz w:val="18"/>
                <w:szCs w:val="18"/>
              </w:rPr>
            </w:pPr>
            <w:r>
              <w:rPr>
                <w:rFonts w:ascii="宋体" w:hAnsi="宋体" w:cs="宋体" w:eastAsia="宋体" w:hint="default"/>
                <w:sz w:val="18"/>
                <w:szCs w:val="18"/>
              </w:rPr>
              <w:t>国家税务总局深圳</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11" w:right="0"/>
              <w:jc w:val="left"/>
              <w:rPr>
                <w:rFonts w:ascii="Times New Roman" w:hAnsi="Times New Roman" w:cs="Times New Roman" w:eastAsia="Times New Roman" w:hint="default"/>
                <w:sz w:val="18"/>
                <w:szCs w:val="18"/>
              </w:rPr>
            </w:pPr>
            <w:r>
              <w:rPr>
                <w:rFonts w:ascii="Times New Roman"/>
                <w:sz w:val="18"/>
              </w:rPr>
              <w:t>11,650,392.62</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948" w:right="0"/>
              <w:jc w:val="left"/>
              <w:rPr>
                <w:rFonts w:ascii="Times New Roman" w:hAnsi="Times New Roman" w:cs="Times New Roman" w:eastAsia="Times New Roman" w:hint="default"/>
                <w:sz w:val="18"/>
                <w:szCs w:val="18"/>
              </w:rPr>
            </w:pPr>
            <w:r>
              <w:rPr>
                <w:rFonts w:ascii="Times New Roman"/>
                <w:sz w:val="18"/>
              </w:rPr>
              <w:t>53.64%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92" w:right="0"/>
              <w:jc w:val="left"/>
              <w:rPr>
                <w:rFonts w:ascii="Times New Roman" w:hAnsi="Times New Roman" w:cs="Times New Roman" w:eastAsia="Times New Roman" w:hint="default"/>
                <w:sz w:val="18"/>
                <w:szCs w:val="18"/>
              </w:rPr>
            </w:pPr>
            <w:r>
              <w:rPr>
                <w:rFonts w:ascii="Times New Roman"/>
                <w:sz w:val="18"/>
              </w:rPr>
              <w:t>582,519.63</w:t>
            </w:r>
          </w:p>
        </w:tc>
      </w:tr>
    </w:tbl>
    <w:p>
      <w:pPr>
        <w:spacing w:after="0" w:line="240" w:lineRule="auto"/>
        <w:jc w:val="left"/>
        <w:rPr>
          <w:rFonts w:ascii="Times New Roman" w:hAnsi="Times New Roman" w:cs="Times New Roman" w:eastAsia="Times New Roman" w:hint="default"/>
          <w:sz w:val="18"/>
          <w:szCs w:val="18"/>
        </w:rPr>
        <w:sectPr>
          <w:pgSz w:w="11910" w:h="16840"/>
          <w:pgMar w:header="919" w:footer="1016"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1684"/>
        <w:gridCol w:w="1551"/>
        <w:gridCol w:w="1552"/>
        <w:gridCol w:w="1552"/>
        <w:gridCol w:w="1615"/>
        <w:gridCol w:w="1615"/>
      </w:tblGrid>
      <w:tr>
        <w:trPr>
          <w:trHeight w:val="36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市福田区税务局</w:t>
            </w:r>
          </w:p>
        </w:tc>
        <w:tc>
          <w:tcPr>
            <w:tcW w:w="1551"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30"/>
              <w:jc w:val="left"/>
              <w:rPr>
                <w:rFonts w:ascii="宋体" w:hAnsi="宋体" w:cs="宋体" w:eastAsia="宋体" w:hint="default"/>
                <w:sz w:val="18"/>
                <w:szCs w:val="18"/>
              </w:rPr>
            </w:pPr>
            <w:r>
              <w:rPr>
                <w:rFonts w:ascii="宋体" w:hAnsi="宋体" w:cs="宋体" w:eastAsia="宋体" w:hint="default"/>
                <w:sz w:val="18"/>
                <w:szCs w:val="18"/>
              </w:rPr>
              <w:t>北京嘉禾国信投资 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租赁押金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1,633,803.18</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7.52%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163,380.32</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30"/>
              <w:jc w:val="left"/>
              <w:rPr>
                <w:rFonts w:ascii="宋体" w:hAnsi="宋体" w:cs="宋体" w:eastAsia="宋体" w:hint="default"/>
                <w:sz w:val="18"/>
                <w:szCs w:val="18"/>
              </w:rPr>
            </w:pPr>
            <w:r>
              <w:rPr>
                <w:rFonts w:ascii="宋体" w:hAnsi="宋体" w:cs="宋体" w:eastAsia="宋体" w:hint="default"/>
                <w:sz w:val="18"/>
                <w:szCs w:val="18"/>
              </w:rPr>
              <w:t>代扣个人住房公积 金和社保</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1,456,499.01</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6.70%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72,824.95</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30"/>
              <w:jc w:val="left"/>
              <w:rPr>
                <w:rFonts w:ascii="宋体" w:hAnsi="宋体" w:cs="宋体" w:eastAsia="宋体" w:hint="default"/>
                <w:sz w:val="18"/>
                <w:szCs w:val="18"/>
              </w:rPr>
            </w:pPr>
            <w:r>
              <w:rPr>
                <w:rFonts w:ascii="宋体" w:hAnsi="宋体" w:cs="宋体" w:eastAsia="宋体" w:hint="default"/>
                <w:sz w:val="18"/>
                <w:szCs w:val="18"/>
              </w:rPr>
              <w:t>深圳市赢时胜软件 技术服务有限公司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1,378,273.62</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6.34%</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30"/>
              <w:jc w:val="both"/>
              <w:rPr>
                <w:rFonts w:ascii="宋体" w:hAnsi="宋体" w:cs="宋体" w:eastAsia="宋体" w:hint="default"/>
                <w:sz w:val="18"/>
                <w:szCs w:val="18"/>
              </w:rPr>
            </w:pPr>
            <w:r>
              <w:rPr>
                <w:rFonts w:ascii="宋体" w:hAnsi="宋体" w:cs="宋体" w:eastAsia="宋体" w:hint="default"/>
                <w:sz w:val="18"/>
                <w:szCs w:val="18"/>
              </w:rPr>
              <w:t>上海杏石财税咨询 合伙企业（有限合 伙）</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886,792.40</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4.08%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44,339.62</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17,005,760.83</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78.28%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863,064.52</w:t>
            </w:r>
          </w:p>
        </w:tc>
      </w:tr>
    </w:tbl>
    <w:p>
      <w:pPr>
        <w:spacing w:line="240" w:lineRule="auto" w:before="5"/>
        <w:rPr>
          <w:rFonts w:ascii="宋体" w:hAnsi="宋体" w:cs="宋体" w:eastAsia="宋体" w:hint="default"/>
          <w:sz w:val="19"/>
          <w:szCs w:val="19"/>
        </w:rPr>
      </w:pPr>
    </w:p>
    <w:p>
      <w:pPr>
        <w:pStyle w:val="Heading3"/>
        <w:spacing w:line="240" w:lineRule="auto" w:before="34"/>
        <w:ind w:right="915"/>
        <w:jc w:val="left"/>
        <w:rPr>
          <w:b w:val="0"/>
          <w:bCs w:val="0"/>
        </w:rPr>
      </w:pPr>
      <w:bookmarkStart w:name="6）涉及政府补助的应收款项" w:id="511"/>
      <w:bookmarkEnd w:id="511"/>
      <w:r>
        <w:rPr>
          <w:b w:val="0"/>
          <w:bCs w:val="0"/>
        </w:rPr>
      </w:r>
      <w:r>
        <w:rPr>
          <w:rFonts w:ascii="Times New Roman" w:hAnsi="Times New Roman" w:cs="Times New Roman" w:eastAsia="Times New Roman" w:hint="default"/>
        </w:rPr>
        <w:t>6</w:t>
      </w:r>
      <w:r>
        <w:rPr/>
        <w:t>）涉及政府补助的应收款项</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025"/>
        <w:gridCol w:w="1866"/>
        <w:gridCol w:w="1867"/>
        <w:gridCol w:w="1867"/>
        <w:gridCol w:w="1944"/>
      </w:tblGrid>
      <w:tr>
        <w:trPr>
          <w:trHeight w:val="714" w:hRule="exact"/>
        </w:trPr>
        <w:tc>
          <w:tcPr>
            <w:tcW w:w="2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7" w:right="100" w:hanging="593"/>
              <w:jc w:val="left"/>
              <w:rPr>
                <w:rFonts w:ascii="宋体" w:hAnsi="宋体" w:cs="宋体" w:eastAsia="宋体" w:hint="default"/>
                <w:sz w:val="18"/>
                <w:szCs w:val="18"/>
              </w:rPr>
            </w:pPr>
            <w:r>
              <w:rPr>
                <w:rFonts w:ascii="宋体" w:hAnsi="宋体" w:cs="宋体" w:eastAsia="宋体" w:hint="default"/>
                <w:spacing w:val="-8"/>
                <w:sz w:val="18"/>
                <w:szCs w:val="18"/>
              </w:rPr>
              <w:t>预计收取的时间、金额</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及依据</w:t>
            </w:r>
          </w:p>
        </w:tc>
      </w:tr>
      <w:tr>
        <w:trPr>
          <w:trHeight w:val="714" w:hRule="exact"/>
        </w:trPr>
        <w:tc>
          <w:tcPr>
            <w:tcW w:w="20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1" w:right="111"/>
              <w:jc w:val="left"/>
              <w:rPr>
                <w:rFonts w:ascii="宋体" w:hAnsi="宋体" w:cs="宋体" w:eastAsia="宋体" w:hint="default"/>
                <w:sz w:val="18"/>
                <w:szCs w:val="18"/>
              </w:rPr>
            </w:pPr>
            <w:r>
              <w:rPr>
                <w:rFonts w:ascii="宋体" w:hAnsi="宋体" w:cs="宋体" w:eastAsia="宋体" w:hint="default"/>
                <w:sz w:val="18"/>
                <w:szCs w:val="18"/>
              </w:rPr>
              <w:t>国家税务总局深圳市福 田区税务局</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即征即退增值税</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5" w:right="0"/>
              <w:jc w:val="left"/>
              <w:rPr>
                <w:rFonts w:ascii="Times New Roman" w:hAnsi="Times New Roman" w:cs="Times New Roman" w:eastAsia="Times New Roman" w:hint="default"/>
                <w:sz w:val="18"/>
                <w:szCs w:val="18"/>
              </w:rPr>
            </w:pPr>
            <w:r>
              <w:rPr>
                <w:rFonts w:ascii="Times New Roman"/>
                <w:sz w:val="18"/>
              </w:rPr>
              <w:t>11,650,392.62</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税务局通知单</w:t>
            </w:r>
          </w:p>
        </w:tc>
      </w:tr>
    </w:tbl>
    <w:p>
      <w:pPr>
        <w:pStyle w:val="BodyText"/>
        <w:spacing w:line="240" w:lineRule="auto" w:before="10"/>
        <w:ind w:right="915"/>
        <w:jc w:val="left"/>
      </w:pPr>
      <w:r>
        <w:rPr/>
        <w:t>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915"/>
        <w:jc w:val="left"/>
        <w:rPr>
          <w:b w:val="0"/>
          <w:bCs w:val="0"/>
        </w:rPr>
      </w:pPr>
      <w:bookmarkStart w:name="7）因金融资产转移而终止确认的其他应收款" w:id="512"/>
      <w:bookmarkEnd w:id="512"/>
      <w:r>
        <w:rPr>
          <w:b w:val="0"/>
          <w:bCs w:val="0"/>
        </w:rPr>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15"/>
        <w:jc w:val="left"/>
      </w:pPr>
      <w:r>
        <w:rPr/>
        <w:t>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4"/>
          <w:szCs w:val="14"/>
        </w:rPr>
      </w:pPr>
    </w:p>
    <w:p>
      <w:pPr>
        <w:pStyle w:val="Heading3"/>
        <w:spacing w:line="240" w:lineRule="auto"/>
        <w:ind w:right="915"/>
        <w:jc w:val="left"/>
        <w:rPr>
          <w:b w:val="0"/>
          <w:bCs w:val="0"/>
        </w:rPr>
      </w:pPr>
      <w:bookmarkStart w:name="8）转移其他应收款且继续涉入形成的资产、负债金额" w:id="513"/>
      <w:bookmarkEnd w:id="513"/>
      <w:r>
        <w:rPr>
          <w:b w:val="0"/>
          <w:bCs w:val="0"/>
        </w:rPr>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15"/>
        <w:jc w:val="left"/>
      </w:pPr>
      <w:r>
        <w:rPr/>
        <w:t>无</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BodyText"/>
        <w:spacing w:line="360" w:lineRule="auto"/>
        <w:ind w:right="9854"/>
        <w:jc w:val="left"/>
      </w:pPr>
      <w:r>
        <w:rPr/>
        <w:t>其他说明： 无</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5"/>
          <w:szCs w:val="25"/>
        </w:rPr>
      </w:pPr>
    </w:p>
    <w:p>
      <w:pPr>
        <w:pStyle w:val="Heading3"/>
        <w:spacing w:line="240" w:lineRule="auto"/>
        <w:ind w:right="915"/>
        <w:jc w:val="left"/>
        <w:rPr>
          <w:b w:val="0"/>
          <w:bCs w:val="0"/>
        </w:rPr>
      </w:pPr>
      <w:bookmarkStart w:name="3、长期股权投资" w:id="514"/>
      <w:bookmarkEnd w:id="514"/>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0"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center"/>
              <w:rPr>
                <w:rFonts w:ascii="Times New Roman" w:hAnsi="Times New Roman" w:cs="Times New Roman" w:eastAsia="Times New Roman" w:hint="default"/>
                <w:sz w:val="18"/>
                <w:szCs w:val="18"/>
              </w:rPr>
            </w:pPr>
            <w:r>
              <w:rPr>
                <w:rFonts w:ascii="Times New Roman"/>
                <w:sz w:val="18"/>
              </w:rPr>
              <w:t>279,000,000.00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center"/>
              <w:rPr>
                <w:rFonts w:ascii="Times New Roman" w:hAnsi="Times New Roman" w:cs="Times New Roman" w:eastAsia="Times New Roman" w:hint="default"/>
                <w:sz w:val="18"/>
                <w:szCs w:val="18"/>
              </w:rPr>
            </w:pPr>
            <w:r>
              <w:rPr>
                <w:rFonts w:ascii="Times New Roman"/>
                <w:sz w:val="18"/>
              </w:rPr>
              <w:t>279,000,000.00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259,000,000.00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center"/>
              <w:rPr>
                <w:rFonts w:ascii="Times New Roman" w:hAnsi="Times New Roman" w:cs="Times New Roman" w:eastAsia="Times New Roman" w:hint="default"/>
                <w:sz w:val="18"/>
                <w:szCs w:val="18"/>
              </w:rPr>
            </w:pPr>
            <w:r>
              <w:rPr>
                <w:rFonts w:ascii="Times New Roman"/>
                <w:sz w:val="18"/>
              </w:rPr>
              <w:t>259,000,000.00</w:t>
            </w:r>
          </w:p>
        </w:tc>
      </w:tr>
    </w:tbl>
    <w:p>
      <w:pPr>
        <w:spacing w:after="0" w:line="240" w:lineRule="auto"/>
        <w:jc w:val="center"/>
        <w:rPr>
          <w:rFonts w:ascii="Times New Roman" w:hAnsi="Times New Roman" w:cs="Times New Roman" w:eastAsia="Times New Roman" w:hint="default"/>
          <w:sz w:val="18"/>
          <w:szCs w:val="18"/>
        </w:rPr>
        <w:sectPr>
          <w:pgSz w:w="11910" w:h="16840"/>
          <w:pgMar w:header="919" w:footer="1016"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74"/>
              <w:jc w:val="left"/>
              <w:rPr>
                <w:rFonts w:ascii="宋体" w:hAnsi="宋体" w:cs="宋体" w:eastAsia="宋体" w:hint="default"/>
                <w:sz w:val="18"/>
                <w:szCs w:val="18"/>
              </w:rPr>
            </w:pPr>
            <w:r>
              <w:rPr>
                <w:rFonts w:ascii="宋体" w:hAnsi="宋体" w:cs="宋体" w:eastAsia="宋体" w:hint="default"/>
                <w:sz w:val="18"/>
                <w:szCs w:val="18"/>
              </w:rPr>
              <w:t>对联营、合营 企业投资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600,425,100.68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10,755,507.64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z w:val="18"/>
              </w:rPr>
              <w:t>589,669,593.04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618,739,687.62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618,739,687.62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879,425,100.68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10,755,507.64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center"/>
              <w:rPr>
                <w:rFonts w:ascii="Times New Roman" w:hAnsi="Times New Roman" w:cs="Times New Roman" w:eastAsia="Times New Roman" w:hint="default"/>
                <w:sz w:val="18"/>
                <w:szCs w:val="18"/>
              </w:rPr>
            </w:pPr>
            <w:r>
              <w:rPr>
                <w:rFonts w:ascii="Times New Roman"/>
                <w:sz w:val="18"/>
              </w:rPr>
              <w:t>868,669,593.04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7" w:right="0"/>
              <w:jc w:val="left"/>
              <w:rPr>
                <w:rFonts w:ascii="Times New Roman" w:hAnsi="Times New Roman" w:cs="Times New Roman" w:eastAsia="Times New Roman" w:hint="default"/>
                <w:sz w:val="18"/>
                <w:szCs w:val="18"/>
              </w:rPr>
            </w:pPr>
            <w:r>
              <w:rPr>
                <w:rFonts w:ascii="Times New Roman"/>
                <w:sz w:val="18"/>
              </w:rPr>
              <w:t>877,739,687.62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0" w:right="0"/>
              <w:jc w:val="left"/>
              <w:rPr>
                <w:rFonts w:ascii="Times New Roman" w:hAnsi="Times New Roman" w:cs="Times New Roman" w:eastAsia="Times New Roman" w:hint="default"/>
                <w:sz w:val="18"/>
                <w:szCs w:val="18"/>
              </w:rPr>
            </w:pPr>
            <w:r>
              <w:rPr>
                <w:rFonts w:ascii="Times New Roman"/>
                <w:sz w:val="18"/>
              </w:rPr>
              <w:t>877,739,687.62</w:t>
            </w:r>
          </w:p>
        </w:tc>
      </w:tr>
    </w:tbl>
    <w:p>
      <w:pPr>
        <w:spacing w:line="240" w:lineRule="auto" w:before="3"/>
        <w:rPr>
          <w:rFonts w:ascii="宋体" w:hAnsi="宋体" w:cs="宋体" w:eastAsia="宋体" w:hint="default"/>
          <w:sz w:val="19"/>
          <w:szCs w:val="19"/>
        </w:rPr>
      </w:pPr>
    </w:p>
    <w:p>
      <w:pPr>
        <w:pStyle w:val="Heading3"/>
        <w:spacing w:line="240" w:lineRule="auto" w:before="34"/>
        <w:ind w:right="915"/>
        <w:jc w:val="left"/>
        <w:rPr>
          <w:b w:val="0"/>
          <w:bCs w:val="0"/>
        </w:rPr>
      </w:pPr>
      <w:bookmarkStart w:name="（1）对子公司投资" w:id="515"/>
      <w:bookmarkEnd w:id="515"/>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67"/>
        <w:gridCol w:w="1166"/>
        <w:gridCol w:w="1166"/>
        <w:gridCol w:w="1166"/>
        <w:gridCol w:w="1166"/>
        <w:gridCol w:w="1213"/>
        <w:gridCol w:w="1213"/>
        <w:gridCol w:w="1213"/>
      </w:tblGrid>
      <w:tr>
        <w:trPr>
          <w:trHeight w:val="402" w:hRule="exact"/>
        </w:trPr>
        <w:tc>
          <w:tcPr>
            <w:tcW w:w="12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7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17"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76"/>
              <w:ind w:left="15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账面价值</w:t>
            </w:r>
            <w:r>
              <w:rPr>
                <w:rFonts w:ascii="Times New Roman" w:hAnsi="Times New Roman" w:cs="Times New Roman" w:eastAsia="Times New Roman" w:hint="default"/>
                <w:sz w:val="18"/>
                <w:szCs w:val="18"/>
              </w:rPr>
              <w:t>)</w:t>
            </w:r>
          </w:p>
        </w:tc>
        <w:tc>
          <w:tcPr>
            <w:tcW w:w="471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0" w:lineRule="auto"/>
              <w:ind w:left="302" w:right="119"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面价值</w:t>
            </w:r>
            <w:r>
              <w:rPr>
                <w:rFonts w:ascii="Times New Roman" w:hAnsi="Times New Roman" w:cs="Times New Roman" w:eastAsia="Times New Roman" w:hint="default"/>
                <w:sz w:val="18"/>
                <w:szCs w:val="18"/>
              </w:rPr>
              <w:t>)</w:t>
            </w:r>
          </w:p>
        </w:tc>
        <w:tc>
          <w:tcPr>
            <w:tcW w:w="12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332" w:right="149" w:hanging="180"/>
              <w:jc w:val="left"/>
              <w:rPr>
                <w:rFonts w:ascii="宋体" w:hAnsi="宋体" w:cs="宋体" w:eastAsia="宋体" w:hint="default"/>
                <w:sz w:val="18"/>
                <w:szCs w:val="18"/>
              </w:rPr>
            </w:pPr>
            <w:r>
              <w:rPr>
                <w:rFonts w:ascii="宋体" w:hAnsi="宋体" w:cs="宋体" w:eastAsia="宋体" w:hint="default"/>
                <w:sz w:val="18"/>
                <w:szCs w:val="18"/>
              </w:rPr>
              <w:t>减值准备期 末余额</w:t>
            </w:r>
          </w:p>
        </w:tc>
      </w:tr>
      <w:tr>
        <w:trPr>
          <w:trHeight w:val="714" w:hRule="exact"/>
        </w:trPr>
        <w:tc>
          <w:tcPr>
            <w:tcW w:w="1267"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7"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87" w:right="127" w:hanging="360"/>
              <w:jc w:val="left"/>
              <w:rPr>
                <w:rFonts w:ascii="宋体" w:hAnsi="宋体" w:cs="宋体" w:eastAsia="宋体" w:hint="default"/>
                <w:sz w:val="18"/>
                <w:szCs w:val="18"/>
              </w:rPr>
            </w:pPr>
            <w:r>
              <w:rPr>
                <w:rFonts w:ascii="宋体" w:hAnsi="宋体" w:cs="宋体" w:eastAsia="宋体" w:hint="default"/>
                <w:sz w:val="18"/>
                <w:szCs w:val="18"/>
              </w:rPr>
              <w:t>计提减值准 备</w:t>
            </w:r>
          </w:p>
        </w:tc>
        <w:tc>
          <w:tcPr>
            <w:tcW w:w="1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13" w:type="dxa"/>
            <w:vMerge/>
            <w:tcBorders>
              <w:left w:val="single" w:sz="4" w:space="0" w:color="000000"/>
              <w:bottom w:val="single" w:sz="4" w:space="0" w:color="000000"/>
              <w:right w:val="single" w:sz="4" w:space="0" w:color="000000"/>
            </w:tcBorders>
            <w:shd w:val="clear" w:color="auto" w:fill="D2D2D2"/>
          </w:tcPr>
          <w:p>
            <w:pPr/>
          </w:p>
        </w:tc>
        <w:tc>
          <w:tcPr>
            <w:tcW w:w="1213"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253"/>
              <w:jc w:val="both"/>
              <w:rPr>
                <w:rFonts w:ascii="宋体" w:hAnsi="宋体" w:cs="宋体" w:eastAsia="宋体" w:hint="default"/>
                <w:sz w:val="18"/>
                <w:szCs w:val="18"/>
              </w:rPr>
            </w:pPr>
            <w:r>
              <w:rPr>
                <w:rFonts w:ascii="宋体" w:hAnsi="宋体" w:cs="宋体" w:eastAsia="宋体" w:hint="default"/>
                <w:sz w:val="18"/>
                <w:szCs w:val="18"/>
              </w:rPr>
              <w:t>上海赢量信 息科技有限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140,000,000.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140,000,000.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00</w:t>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73"/>
              <w:jc w:val="left"/>
              <w:rPr>
                <w:rFonts w:ascii="宋体" w:hAnsi="宋体" w:cs="宋体" w:eastAsia="宋体" w:hint="default"/>
                <w:sz w:val="18"/>
                <w:szCs w:val="18"/>
              </w:rPr>
            </w:pPr>
            <w:r>
              <w:rPr>
                <w:rFonts w:ascii="宋体" w:hAnsi="宋体" w:cs="宋体" w:eastAsia="宋体" w:hint="default"/>
                <w:sz w:val="18"/>
                <w:szCs w:val="18"/>
              </w:rPr>
              <w:t>链石（苏州） 信息科技有 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21,000,000.0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21,000,000.0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253"/>
              <w:jc w:val="both"/>
              <w:rPr>
                <w:rFonts w:ascii="宋体" w:hAnsi="宋体" w:cs="宋体" w:eastAsia="宋体" w:hint="default"/>
                <w:sz w:val="18"/>
                <w:szCs w:val="18"/>
              </w:rPr>
            </w:pPr>
            <w:r>
              <w:rPr>
                <w:rFonts w:ascii="宋体" w:hAnsi="宋体" w:cs="宋体" w:eastAsia="宋体" w:hint="default"/>
                <w:sz w:val="18"/>
                <w:szCs w:val="18"/>
              </w:rPr>
              <w:t>上海赢保商 业保理有限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98,000,000.0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98,000,000.0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12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深圳市赢时</w:t>
            </w:r>
          </w:p>
        </w:tc>
        <w:tc>
          <w:tcPr>
            <w:tcW w:w="1166" w:type="dxa"/>
            <w:vMerge w:val="restart"/>
            <w:tcBorders>
              <w:top w:val="single" w:sz="4" w:space="0" w:color="000000"/>
              <w:left w:val="single" w:sz="4" w:space="0" w:color="000000"/>
              <w:right w:val="single" w:sz="4" w:space="0" w:color="000000"/>
            </w:tcBorders>
          </w:tcPr>
          <w:p>
            <w:pPr/>
          </w:p>
        </w:tc>
        <w:tc>
          <w:tcPr>
            <w:tcW w:w="1166" w:type="dxa"/>
            <w:tcBorders>
              <w:top w:val="single" w:sz="4" w:space="0" w:color="000000"/>
              <w:left w:val="single" w:sz="4" w:space="0" w:color="000000"/>
              <w:bottom w:val="nil" w:sz="6" w:space="0" w:color="auto"/>
              <w:right w:val="single" w:sz="4" w:space="0" w:color="000000"/>
            </w:tcBorders>
          </w:tcPr>
          <w:p>
            <w:pPr/>
          </w:p>
        </w:tc>
        <w:tc>
          <w:tcPr>
            <w:tcW w:w="1166" w:type="dxa"/>
            <w:vMerge w:val="restart"/>
            <w:tcBorders>
              <w:top w:val="single" w:sz="4" w:space="0" w:color="000000"/>
              <w:left w:val="single" w:sz="4" w:space="0" w:color="000000"/>
              <w:right w:val="single" w:sz="4" w:space="0" w:color="000000"/>
            </w:tcBorders>
          </w:tcPr>
          <w:p>
            <w:pPr/>
          </w:p>
        </w:tc>
        <w:tc>
          <w:tcPr>
            <w:tcW w:w="1166" w:type="dxa"/>
            <w:vMerge w:val="restart"/>
            <w:tcBorders>
              <w:top w:val="single" w:sz="4" w:space="0" w:color="000000"/>
              <w:left w:val="single" w:sz="4" w:space="0" w:color="000000"/>
              <w:right w:val="single" w:sz="4" w:space="0" w:color="000000"/>
            </w:tcBorders>
          </w:tcPr>
          <w:p>
            <w:pPr/>
          </w:p>
        </w:tc>
        <w:tc>
          <w:tcPr>
            <w:tcW w:w="1213" w:type="dxa"/>
            <w:vMerge w:val="restart"/>
            <w:tcBorders>
              <w:top w:val="single" w:sz="4" w:space="0" w:color="000000"/>
              <w:left w:val="single" w:sz="4" w:space="0" w:color="000000"/>
              <w:right w:val="single" w:sz="4" w:space="0" w:color="000000"/>
            </w:tcBorders>
          </w:tcPr>
          <w:p>
            <w:pPr/>
          </w:p>
        </w:tc>
        <w:tc>
          <w:tcPr>
            <w:tcW w:w="1213" w:type="dxa"/>
            <w:tcBorders>
              <w:top w:val="single" w:sz="4" w:space="0" w:color="000000"/>
              <w:left w:val="single" w:sz="4" w:space="0" w:color="000000"/>
              <w:bottom w:val="nil" w:sz="6" w:space="0" w:color="auto"/>
              <w:right w:val="single" w:sz="4" w:space="0" w:color="000000"/>
            </w:tcBorders>
          </w:tcPr>
          <w:p>
            <w:pPr/>
          </w:p>
        </w:tc>
        <w:tc>
          <w:tcPr>
            <w:tcW w:w="1213" w:type="dxa"/>
            <w:vMerge w:val="restart"/>
            <w:tcBorders>
              <w:top w:val="single" w:sz="4" w:space="0" w:color="000000"/>
              <w:left w:val="single" w:sz="4" w:space="0" w:color="000000"/>
              <w:right w:val="single" w:sz="4" w:space="0" w:color="000000"/>
            </w:tcBorders>
          </w:tcPr>
          <w:p>
            <w:pPr/>
          </w:p>
        </w:tc>
      </w:tr>
      <w:tr>
        <w:trPr>
          <w:trHeight w:val="317" w:hRule="exact"/>
        </w:trPr>
        <w:tc>
          <w:tcPr>
            <w:tcW w:w="12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胜软件技术</w:t>
            </w:r>
          </w:p>
        </w:tc>
        <w:tc>
          <w:tcPr>
            <w:tcW w:w="1166" w:type="dxa"/>
            <w:vMerge/>
            <w:tcBorders>
              <w:left w:val="single" w:sz="4" w:space="0" w:color="000000"/>
              <w:right w:val="single" w:sz="4" w:space="0" w:color="000000"/>
            </w:tcBorders>
          </w:tcPr>
          <w:p>
            <w:pPr/>
          </w:p>
        </w:tc>
        <w:tc>
          <w:tcPr>
            <w:tcW w:w="116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20,000,000.0</w:t>
            </w:r>
          </w:p>
        </w:tc>
        <w:tc>
          <w:tcPr>
            <w:tcW w:w="1166" w:type="dxa"/>
            <w:vMerge/>
            <w:tcBorders>
              <w:left w:val="single" w:sz="4" w:space="0" w:color="000000"/>
              <w:right w:val="single" w:sz="4" w:space="0" w:color="000000"/>
            </w:tcBorders>
          </w:tcPr>
          <w:p>
            <w:pPr/>
          </w:p>
        </w:tc>
        <w:tc>
          <w:tcPr>
            <w:tcW w:w="1166" w:type="dxa"/>
            <w:vMerge/>
            <w:tcBorders>
              <w:left w:val="single" w:sz="4" w:space="0" w:color="000000"/>
              <w:right w:val="single" w:sz="4" w:space="0" w:color="000000"/>
            </w:tcBorders>
          </w:tcPr>
          <w:p>
            <w:pPr/>
          </w:p>
        </w:tc>
        <w:tc>
          <w:tcPr>
            <w:tcW w:w="1213" w:type="dxa"/>
            <w:vMerge/>
            <w:tcBorders>
              <w:left w:val="single" w:sz="4" w:space="0" w:color="000000"/>
              <w:right w:val="single" w:sz="4" w:space="0" w:color="000000"/>
            </w:tcBorders>
          </w:tcPr>
          <w:p>
            <w:pPr/>
          </w:p>
        </w:tc>
        <w:tc>
          <w:tcPr>
            <w:tcW w:w="1213"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20,000,000.0</w:t>
            </w:r>
          </w:p>
        </w:tc>
        <w:tc>
          <w:tcPr>
            <w:tcW w:w="1213" w:type="dxa"/>
            <w:vMerge/>
            <w:tcBorders>
              <w:left w:val="single" w:sz="4" w:space="0" w:color="000000"/>
              <w:right w:val="single" w:sz="4" w:space="0" w:color="000000"/>
            </w:tcBorders>
          </w:tcPr>
          <w:p>
            <w:pPr/>
          </w:p>
        </w:tc>
      </w:tr>
      <w:tr>
        <w:trPr>
          <w:trHeight w:val="312" w:hRule="exact"/>
        </w:trPr>
        <w:tc>
          <w:tcPr>
            <w:tcW w:w="12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服务有限公</w:t>
            </w:r>
          </w:p>
        </w:tc>
        <w:tc>
          <w:tcPr>
            <w:tcW w:w="1166" w:type="dxa"/>
            <w:vMerge/>
            <w:tcBorders>
              <w:left w:val="single" w:sz="4" w:space="0" w:color="000000"/>
              <w:right w:val="single" w:sz="4" w:space="0" w:color="000000"/>
            </w:tcBorders>
          </w:tcPr>
          <w:p>
            <w:pPr/>
          </w:p>
        </w:tc>
        <w:tc>
          <w:tcPr>
            <w:tcW w:w="116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0</w:t>
            </w:r>
          </w:p>
        </w:tc>
        <w:tc>
          <w:tcPr>
            <w:tcW w:w="1166" w:type="dxa"/>
            <w:vMerge/>
            <w:tcBorders>
              <w:left w:val="single" w:sz="4" w:space="0" w:color="000000"/>
              <w:right w:val="single" w:sz="4" w:space="0" w:color="000000"/>
            </w:tcBorders>
          </w:tcPr>
          <w:p>
            <w:pPr/>
          </w:p>
        </w:tc>
        <w:tc>
          <w:tcPr>
            <w:tcW w:w="1166" w:type="dxa"/>
            <w:vMerge/>
            <w:tcBorders>
              <w:left w:val="single" w:sz="4" w:space="0" w:color="000000"/>
              <w:right w:val="single" w:sz="4" w:space="0" w:color="000000"/>
            </w:tcBorders>
          </w:tcPr>
          <w:p>
            <w:pPr/>
          </w:p>
        </w:tc>
        <w:tc>
          <w:tcPr>
            <w:tcW w:w="1213" w:type="dxa"/>
            <w:vMerge/>
            <w:tcBorders>
              <w:left w:val="single" w:sz="4" w:space="0" w:color="000000"/>
              <w:right w:val="single" w:sz="4" w:space="0" w:color="000000"/>
            </w:tcBorders>
          </w:tcPr>
          <w:p>
            <w:pPr/>
          </w:p>
        </w:tc>
        <w:tc>
          <w:tcPr>
            <w:tcW w:w="1213"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8"/>
                <w:szCs w:val="18"/>
              </w:rPr>
            </w:pPr>
            <w:r>
              <w:rPr>
                <w:rFonts w:ascii="Times New Roman"/>
                <w:sz w:val="18"/>
              </w:rPr>
              <w:t>0</w:t>
            </w:r>
          </w:p>
        </w:tc>
        <w:tc>
          <w:tcPr>
            <w:tcW w:w="1213" w:type="dxa"/>
            <w:vMerge/>
            <w:tcBorders>
              <w:left w:val="single" w:sz="4" w:space="0" w:color="000000"/>
              <w:right w:val="single" w:sz="4" w:space="0" w:color="000000"/>
            </w:tcBorders>
          </w:tcPr>
          <w:p>
            <w:pPr/>
          </w:p>
        </w:tc>
      </w:tr>
      <w:tr>
        <w:trPr>
          <w:trHeight w:val="352" w:hRule="exact"/>
        </w:trPr>
        <w:tc>
          <w:tcPr>
            <w:tcW w:w="12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166" w:type="dxa"/>
            <w:vMerge/>
            <w:tcBorders>
              <w:left w:val="single" w:sz="4" w:space="0" w:color="000000"/>
              <w:bottom w:val="single" w:sz="4" w:space="0" w:color="000000"/>
              <w:right w:val="single" w:sz="4" w:space="0" w:color="000000"/>
            </w:tcBorders>
          </w:tcPr>
          <w:p>
            <w:pPr/>
          </w:p>
        </w:tc>
        <w:tc>
          <w:tcPr>
            <w:tcW w:w="1166" w:type="dxa"/>
            <w:tcBorders>
              <w:top w:val="nil" w:sz="6" w:space="0" w:color="auto"/>
              <w:left w:val="single" w:sz="4" w:space="0" w:color="000000"/>
              <w:bottom w:val="single" w:sz="4" w:space="0" w:color="000000"/>
              <w:right w:val="single" w:sz="4" w:space="0" w:color="000000"/>
            </w:tcBorders>
          </w:tcPr>
          <w:p>
            <w:pPr/>
          </w:p>
        </w:tc>
        <w:tc>
          <w:tcPr>
            <w:tcW w:w="1166" w:type="dxa"/>
            <w:vMerge/>
            <w:tcBorders>
              <w:left w:val="single" w:sz="4" w:space="0" w:color="000000"/>
              <w:bottom w:val="single" w:sz="4" w:space="0" w:color="000000"/>
              <w:right w:val="single" w:sz="4" w:space="0" w:color="000000"/>
            </w:tcBorders>
          </w:tcPr>
          <w:p>
            <w:pPr/>
          </w:p>
        </w:tc>
        <w:tc>
          <w:tcPr>
            <w:tcW w:w="1166" w:type="dxa"/>
            <w:vMerge/>
            <w:tcBorders>
              <w:left w:val="single" w:sz="4" w:space="0" w:color="000000"/>
              <w:bottom w:val="single" w:sz="4" w:space="0" w:color="000000"/>
              <w:right w:val="single" w:sz="4" w:space="0" w:color="000000"/>
            </w:tcBorders>
          </w:tcPr>
          <w:p>
            <w:pPr/>
          </w:p>
        </w:tc>
        <w:tc>
          <w:tcPr>
            <w:tcW w:w="1213" w:type="dxa"/>
            <w:vMerge/>
            <w:tcBorders>
              <w:left w:val="single" w:sz="4" w:space="0" w:color="000000"/>
              <w:bottom w:val="single" w:sz="4" w:space="0" w:color="000000"/>
              <w:right w:val="single" w:sz="4" w:space="0" w:color="000000"/>
            </w:tcBorders>
          </w:tcPr>
          <w:p>
            <w:pPr/>
          </w:p>
        </w:tc>
        <w:tc>
          <w:tcPr>
            <w:tcW w:w="1213" w:type="dxa"/>
            <w:tcBorders>
              <w:top w:val="nil" w:sz="6" w:space="0" w:color="auto"/>
              <w:left w:val="single" w:sz="4" w:space="0" w:color="000000"/>
              <w:bottom w:val="single" w:sz="4" w:space="0" w:color="000000"/>
              <w:right w:val="single" w:sz="4" w:space="0" w:color="000000"/>
            </w:tcBorders>
          </w:tcPr>
          <w:p>
            <w:pPr/>
          </w:p>
        </w:tc>
        <w:tc>
          <w:tcPr>
            <w:tcW w:w="1213" w:type="dxa"/>
            <w:vMerge/>
            <w:tcBorders>
              <w:left w:val="single" w:sz="4" w:space="0" w:color="000000"/>
              <w:bottom w:val="single" w:sz="4" w:space="0" w:color="000000"/>
              <w:right w:val="single" w:sz="4" w:space="0" w:color="000000"/>
            </w:tcBorders>
          </w:tcPr>
          <w:p>
            <w:pPr/>
          </w:p>
        </w:tc>
      </w:tr>
      <w:tr>
        <w:trPr>
          <w:trHeight w:val="714" w:hRule="exact"/>
        </w:trPr>
        <w:tc>
          <w:tcPr>
            <w:tcW w:w="1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259,000,000.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20,000,000.0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279,000,000.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00</w:t>
            </w:r>
          </w:p>
        </w:tc>
        <w:tc>
          <w:tcPr>
            <w:tcW w:w="121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pStyle w:val="Heading3"/>
        <w:spacing w:line="240" w:lineRule="auto" w:before="34"/>
        <w:ind w:right="915"/>
        <w:jc w:val="left"/>
        <w:rPr>
          <w:b w:val="0"/>
          <w:bCs w:val="0"/>
        </w:rPr>
      </w:pPr>
      <w:bookmarkStart w:name="（2）对联营、合营企业投资" w:id="516"/>
      <w:bookmarkEnd w:id="516"/>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6"/>
        <w:gridCol w:w="797"/>
        <w:gridCol w:w="797"/>
        <w:gridCol w:w="798"/>
        <w:gridCol w:w="798"/>
        <w:gridCol w:w="798"/>
        <w:gridCol w:w="798"/>
        <w:gridCol w:w="798"/>
        <w:gridCol w:w="798"/>
        <w:gridCol w:w="798"/>
        <w:gridCol w:w="798"/>
        <w:gridCol w:w="798"/>
      </w:tblGrid>
      <w:tr>
        <w:trPr>
          <w:trHeight w:val="300" w:hRule="exact"/>
        </w:trPr>
        <w:tc>
          <w:tcPr>
            <w:tcW w:w="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383" w:type="dxa"/>
            <w:gridSpan w:val="8"/>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02" w:hRule="exact"/>
        </w:trPr>
        <w:tc>
          <w:tcPr>
            <w:tcW w:w="7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0"/>
                <w:szCs w:val="20"/>
              </w:rPr>
            </w:pPr>
          </w:p>
          <w:p>
            <w:pPr>
              <w:pStyle w:val="TableParagraph"/>
              <w:spacing w:line="316" w:lineRule="auto"/>
              <w:ind w:left="303" w:right="120" w:hanging="180"/>
              <w:jc w:val="left"/>
              <w:rPr>
                <w:rFonts w:ascii="宋体" w:hAnsi="宋体" w:cs="宋体" w:eastAsia="宋体" w:hint="default"/>
                <w:sz w:val="18"/>
                <w:szCs w:val="18"/>
              </w:rPr>
            </w:pPr>
            <w:r>
              <w:rPr>
                <w:rFonts w:ascii="宋体" w:hAnsi="宋体" w:cs="宋体" w:eastAsia="宋体" w:hint="default"/>
                <w:sz w:val="18"/>
                <w:szCs w:val="18"/>
              </w:rPr>
              <w:t>投资单 位</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191" w:lineRule="exact"/>
              <w:ind w:left="184" w:right="0" w:hanging="63"/>
              <w:jc w:val="both"/>
              <w:rPr>
                <w:rFonts w:ascii="宋体" w:hAnsi="宋体" w:cs="宋体" w:eastAsia="宋体" w:hint="default"/>
                <w:sz w:val="18"/>
                <w:szCs w:val="18"/>
              </w:rPr>
            </w:pPr>
            <w:r>
              <w:rPr>
                <w:rFonts w:ascii="宋体" w:hAnsi="宋体" w:cs="宋体" w:eastAsia="宋体" w:hint="default"/>
                <w:sz w:val="18"/>
                <w:szCs w:val="18"/>
              </w:rPr>
              <w:t>期初余</w:t>
            </w:r>
          </w:p>
          <w:p>
            <w:pPr>
              <w:pStyle w:val="TableParagraph"/>
              <w:spacing w:line="309" w:lineRule="auto" w:before="76"/>
              <w:ind w:left="213" w:right="183" w:hanging="29"/>
              <w:jc w:val="both"/>
              <w:rPr>
                <w:rFonts w:ascii="Times New Roman" w:hAnsi="Times New Roman" w:cs="Times New Roman" w:eastAsia="Times New Roman" w:hint="default"/>
                <w:sz w:val="18"/>
                <w:szCs w:val="18"/>
              </w:rPr>
            </w:pPr>
            <w:r>
              <w:rPr>
                <w:rFonts w:ascii="宋体" w:hAnsi="宋体" w:cs="宋体" w:eastAsia="宋体" w:hint="default"/>
                <w:sz w:val="18"/>
                <w:szCs w:val="18"/>
              </w:rPr>
              <w:t>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 值</w:t>
            </w:r>
            <w:r>
              <w:rPr>
                <w:rFonts w:ascii="Times New Roman" w:hAnsi="Times New Roman" w:cs="Times New Roman" w:eastAsia="Times New Roman" w:hint="default"/>
                <w:sz w:val="18"/>
                <w:szCs w:val="18"/>
              </w:rPr>
              <w:t>)</w:t>
            </w:r>
          </w:p>
        </w:tc>
        <w:tc>
          <w:tcPr>
            <w:tcW w:w="6383" w:type="dxa"/>
            <w:gridSpan w:val="8"/>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191" w:lineRule="exact"/>
              <w:ind w:left="185" w:right="0" w:hanging="60"/>
              <w:jc w:val="both"/>
              <w:rPr>
                <w:rFonts w:ascii="宋体" w:hAnsi="宋体" w:cs="宋体" w:eastAsia="宋体" w:hint="default"/>
                <w:sz w:val="18"/>
                <w:szCs w:val="18"/>
              </w:rPr>
            </w:pPr>
            <w:r>
              <w:rPr>
                <w:rFonts w:ascii="宋体" w:hAnsi="宋体" w:cs="宋体" w:eastAsia="宋体" w:hint="default"/>
                <w:sz w:val="18"/>
                <w:szCs w:val="18"/>
              </w:rPr>
              <w:t>期末余</w:t>
            </w:r>
          </w:p>
          <w:p>
            <w:pPr>
              <w:pStyle w:val="TableParagraph"/>
              <w:spacing w:line="309" w:lineRule="auto" w:before="76"/>
              <w:ind w:left="213" w:right="183" w:hanging="29"/>
              <w:jc w:val="both"/>
              <w:rPr>
                <w:rFonts w:ascii="Times New Roman" w:hAnsi="Times New Roman" w:cs="Times New Roman" w:eastAsia="Times New Roman" w:hint="default"/>
                <w:sz w:val="18"/>
                <w:szCs w:val="18"/>
              </w:rPr>
            </w:pPr>
            <w:r>
              <w:rPr>
                <w:rFonts w:ascii="宋体" w:hAnsi="宋体" w:cs="宋体" w:eastAsia="宋体" w:hint="default"/>
                <w:sz w:val="18"/>
                <w:szCs w:val="18"/>
              </w:rPr>
              <w:t>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 值</w:t>
            </w:r>
            <w:r>
              <w:rPr>
                <w:rFonts w:ascii="Times New Roman" w:hAnsi="Times New Roman" w:cs="Times New Roman" w:eastAsia="Times New Roman" w:hint="default"/>
                <w:sz w:val="18"/>
                <w:szCs w:val="18"/>
              </w:rPr>
              <w:t>)</w:t>
            </w: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111"/>
              <w:ind w:left="123" w:right="122"/>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1338"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04" w:right="121" w:hanging="180"/>
              <w:jc w:val="left"/>
              <w:rPr>
                <w:rFonts w:ascii="宋体" w:hAnsi="宋体" w:cs="宋体" w:eastAsia="宋体" w:hint="default"/>
                <w:sz w:val="18"/>
                <w:szCs w:val="18"/>
              </w:rPr>
            </w:pPr>
            <w:r>
              <w:rPr>
                <w:rFonts w:ascii="宋体" w:hAnsi="宋体" w:cs="宋体" w:eastAsia="宋体" w:hint="default"/>
                <w:sz w:val="18"/>
                <w:szCs w:val="18"/>
              </w:rPr>
              <w:t>追加投 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03" w:right="122" w:hanging="180"/>
              <w:jc w:val="left"/>
              <w:rPr>
                <w:rFonts w:ascii="宋体" w:hAnsi="宋体" w:cs="宋体" w:eastAsia="宋体" w:hint="default"/>
                <w:sz w:val="18"/>
                <w:szCs w:val="18"/>
              </w:rPr>
            </w:pPr>
            <w:r>
              <w:rPr>
                <w:rFonts w:ascii="宋体" w:hAnsi="宋体" w:cs="宋体" w:eastAsia="宋体" w:hint="default"/>
                <w:sz w:val="18"/>
                <w:szCs w:val="18"/>
              </w:rPr>
              <w:t>减少投 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25" w:right="121"/>
              <w:jc w:val="both"/>
              <w:rPr>
                <w:rFonts w:ascii="宋体" w:hAnsi="宋体" w:cs="宋体" w:eastAsia="宋体" w:hint="default"/>
                <w:sz w:val="18"/>
                <w:szCs w:val="18"/>
              </w:rPr>
            </w:pPr>
            <w:r>
              <w:rPr>
                <w:rFonts w:ascii="宋体" w:hAnsi="宋体" w:cs="宋体" w:eastAsia="宋体" w:hint="default"/>
                <w:sz w:val="18"/>
                <w:szCs w:val="18"/>
              </w:rPr>
              <w:t>权益法 下确认 的投资 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23" w:right="122"/>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25" w:right="121"/>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23" w:right="122"/>
              <w:jc w:val="both"/>
              <w:rPr>
                <w:rFonts w:ascii="宋体" w:hAnsi="宋体" w:cs="宋体" w:eastAsia="宋体" w:hint="default"/>
                <w:sz w:val="18"/>
                <w:szCs w:val="18"/>
              </w:rPr>
            </w:pPr>
            <w:r>
              <w:rPr>
                <w:rFonts w:ascii="宋体" w:hAnsi="宋体" w:cs="宋体" w:eastAsia="宋体" w:hint="default"/>
                <w:sz w:val="18"/>
                <w:szCs w:val="18"/>
              </w:rPr>
              <w:t>宣告发 放现金 股利或 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25" w:right="121"/>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355"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right="40"/>
              <w:jc w:val="center"/>
              <w:rPr>
                <w:rFonts w:ascii="宋体" w:hAnsi="宋体" w:cs="宋体" w:eastAsia="宋体" w:hint="default"/>
                <w:sz w:val="18"/>
                <w:szCs w:val="18"/>
              </w:rPr>
            </w:pPr>
            <w:r>
              <w:rPr>
                <w:rFonts w:ascii="宋体" w:hAnsi="宋体" w:cs="宋体" w:eastAsia="宋体" w:hint="default"/>
                <w:sz w:val="18"/>
                <w:szCs w:val="18"/>
              </w:rPr>
              <w:t>北京东</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7"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40"/>
              <w:jc w:val="center"/>
              <w:rPr>
                <w:rFonts w:ascii="宋体" w:hAnsi="宋体" w:cs="宋体" w:eastAsia="宋体" w:hint="default"/>
                <w:sz w:val="18"/>
                <w:szCs w:val="18"/>
              </w:rPr>
            </w:pPr>
            <w:r>
              <w:rPr>
                <w:rFonts w:ascii="宋体" w:hAnsi="宋体" w:cs="宋体" w:eastAsia="宋体" w:hint="default"/>
                <w:sz w:val="18"/>
                <w:szCs w:val="18"/>
              </w:rPr>
              <w:t>方金信</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47,545,</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7,092,6</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25,222,</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9" w:right="0"/>
              <w:jc w:val="center"/>
              <w:rPr>
                <w:rFonts w:ascii="Times New Roman" w:hAnsi="Times New Roman" w:cs="Times New Roman" w:eastAsia="Times New Roman" w:hint="default"/>
                <w:sz w:val="18"/>
                <w:szCs w:val="18"/>
              </w:rPr>
            </w:pPr>
            <w:r>
              <w:rPr>
                <w:rFonts w:ascii="Times New Roman"/>
                <w:sz w:val="18"/>
              </w:rPr>
              <w:t>-79,860</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12"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40"/>
              <w:jc w:val="center"/>
              <w:rPr>
                <w:rFonts w:ascii="宋体" w:hAnsi="宋体" w:cs="宋体" w:eastAsia="宋体" w:hint="default"/>
                <w:sz w:val="18"/>
                <w:szCs w:val="18"/>
              </w:rPr>
            </w:pPr>
            <w:r>
              <w:rPr>
                <w:rFonts w:ascii="宋体" w:hAnsi="宋体" w:cs="宋体" w:eastAsia="宋体" w:hint="default"/>
                <w:sz w:val="18"/>
                <w:szCs w:val="18"/>
              </w:rPr>
              <w:t>科技有</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pacing w:val="-1"/>
                <w:sz w:val="18"/>
              </w:rPr>
              <w:t>757.30</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pacing w:val="-1"/>
                <w:sz w:val="18"/>
              </w:rPr>
              <w:t>55.70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pacing w:val="-1"/>
                <w:sz w:val="18"/>
              </w:rPr>
              <w:t>334.43</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43" w:right="0"/>
              <w:jc w:val="center"/>
              <w:rPr>
                <w:rFonts w:ascii="Times New Roman" w:hAnsi="Times New Roman" w:cs="Times New Roman" w:eastAsia="Times New Roman" w:hint="default"/>
                <w:sz w:val="18"/>
                <w:szCs w:val="18"/>
              </w:rPr>
            </w:pPr>
            <w:r>
              <w:rPr>
                <w:rFonts w:ascii="Times New Roman"/>
                <w:sz w:val="18"/>
              </w:rPr>
              <w:t>,747.43</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2"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right="40"/>
              <w:jc w:val="center"/>
              <w:rPr>
                <w:rFonts w:ascii="宋体" w:hAnsi="宋体" w:cs="宋体" w:eastAsia="宋体" w:hint="default"/>
                <w:sz w:val="18"/>
                <w:szCs w:val="18"/>
              </w:rPr>
            </w:pPr>
            <w:r>
              <w:rPr>
                <w:rFonts w:ascii="宋体" w:hAnsi="宋体" w:cs="宋体" w:eastAsia="宋体" w:hint="default"/>
                <w:sz w:val="18"/>
                <w:szCs w:val="18"/>
              </w:rPr>
              <w:t>限公司</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bl>
    <w:p>
      <w:pPr>
        <w:spacing w:after="0"/>
        <w:sectPr>
          <w:pgSz w:w="11910" w:h="16840"/>
          <w:pgMar w:header="919" w:footer="1016"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796"/>
        <w:gridCol w:w="797"/>
        <w:gridCol w:w="797"/>
        <w:gridCol w:w="798"/>
        <w:gridCol w:w="798"/>
        <w:gridCol w:w="798"/>
        <w:gridCol w:w="798"/>
        <w:gridCol w:w="798"/>
        <w:gridCol w:w="798"/>
        <w:gridCol w:w="798"/>
        <w:gridCol w:w="798"/>
        <w:gridCol w:w="798"/>
      </w:tblGrid>
      <w:tr>
        <w:trPr>
          <w:trHeight w:val="196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东吴</w:t>
            </w:r>
          </w:p>
          <w:p>
            <w:pPr>
              <w:pStyle w:val="TableParagraph"/>
              <w:spacing w:line="316" w:lineRule="auto" w:before="76"/>
              <w:ind w:left="101" w:right="142"/>
              <w:jc w:val="left"/>
              <w:rPr>
                <w:rFonts w:ascii="宋体" w:hAnsi="宋体" w:cs="宋体" w:eastAsia="宋体" w:hint="default"/>
                <w:sz w:val="18"/>
                <w:szCs w:val="18"/>
              </w:rPr>
            </w:pPr>
            <w:r>
              <w:rPr>
                <w:rFonts w:ascii="宋体" w:hAnsi="宋体" w:cs="宋体" w:eastAsia="宋体" w:hint="default"/>
                <w:sz w:val="18"/>
                <w:szCs w:val="18"/>
              </w:rPr>
              <w:t>（苏 州）金 融科技 服务有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527,51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9,187.5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9,712,1</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63.47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10,755,</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507.64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526,47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5,843.4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10,755,</w:t>
            </w:r>
          </w:p>
          <w:p>
            <w:pPr>
              <w:pStyle w:val="TableParagraph"/>
              <w:spacing w:line="240" w:lineRule="auto" w:before="105"/>
              <w:ind w:left="191" w:right="0"/>
              <w:jc w:val="left"/>
              <w:rPr>
                <w:rFonts w:ascii="Times New Roman" w:hAnsi="Times New Roman" w:cs="Times New Roman" w:eastAsia="Times New Roman" w:hint="default"/>
                <w:sz w:val="18"/>
                <w:szCs w:val="18"/>
              </w:rPr>
            </w:pPr>
            <w:r>
              <w:rPr>
                <w:rFonts w:ascii="Times New Roman"/>
                <w:sz w:val="18"/>
              </w:rPr>
              <w:t>507.64</w:t>
            </w: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42"/>
              <w:jc w:val="both"/>
              <w:rPr>
                <w:rFonts w:ascii="宋体" w:hAnsi="宋体" w:cs="宋体" w:eastAsia="宋体" w:hint="default"/>
                <w:sz w:val="18"/>
                <w:szCs w:val="18"/>
              </w:rPr>
            </w:pPr>
            <w:r>
              <w:rPr>
                <w:rFonts w:ascii="宋体" w:hAnsi="宋体" w:cs="宋体" w:eastAsia="宋体" w:hint="default"/>
                <w:sz w:val="18"/>
                <w:szCs w:val="18"/>
              </w:rPr>
              <w:t>北京营 安金融 信息服 务有限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13,665,</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446.51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24,660.</w:t>
            </w:r>
          </w:p>
          <w:p>
            <w:pPr>
              <w:pStyle w:val="TableParagraph"/>
              <w:spacing w:line="240" w:lineRule="auto" w:before="105"/>
              <w:ind w:left="504" w:right="0"/>
              <w:jc w:val="left"/>
              <w:rPr>
                <w:rFonts w:ascii="Times New Roman" w:hAnsi="Times New Roman" w:cs="Times New Roman" w:eastAsia="Times New Roman" w:hint="default"/>
                <w:sz w:val="18"/>
                <w:szCs w:val="18"/>
              </w:rPr>
            </w:pPr>
            <w:r>
              <w:rPr>
                <w:rFonts w:ascii="Times New Roman"/>
                <w:sz w:val="18"/>
              </w:rPr>
              <w:t>08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13,690,</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106.59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42"/>
              <w:jc w:val="left"/>
              <w:rPr>
                <w:rFonts w:ascii="宋体" w:hAnsi="宋体" w:cs="宋体" w:eastAsia="宋体" w:hint="default"/>
                <w:sz w:val="18"/>
                <w:szCs w:val="18"/>
              </w:rPr>
            </w:pPr>
            <w:r>
              <w:rPr>
                <w:rFonts w:ascii="宋体" w:hAnsi="宋体" w:cs="宋体" w:eastAsia="宋体" w:hint="default"/>
                <w:sz w:val="18"/>
                <w:szCs w:val="18"/>
              </w:rPr>
              <w:t>北京慧 闻科技</w:t>
            </w:r>
          </w:p>
          <w:p>
            <w:pPr>
              <w:pStyle w:val="TableParagraph"/>
              <w:spacing w:line="316" w:lineRule="auto" w:before="19"/>
              <w:ind w:left="101" w:right="142"/>
              <w:jc w:val="left"/>
              <w:rPr>
                <w:rFonts w:ascii="宋体" w:hAnsi="宋体" w:cs="宋体" w:eastAsia="宋体" w:hint="default"/>
                <w:sz w:val="18"/>
                <w:szCs w:val="18"/>
              </w:rPr>
            </w:pPr>
            <w:r>
              <w:rPr>
                <w:rFonts w:ascii="宋体" w:hAnsi="宋体" w:cs="宋体" w:eastAsia="宋体" w:hint="default"/>
                <w:sz w:val="18"/>
                <w:szCs w:val="18"/>
              </w:rPr>
              <w:t>（集 团）有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8,746,4</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10.85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12,000,</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-2,045,</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140.43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18,701,</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270.42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42"/>
              <w:jc w:val="left"/>
              <w:rPr>
                <w:rFonts w:ascii="宋体" w:hAnsi="宋体" w:cs="宋体" w:eastAsia="宋体" w:hint="default"/>
                <w:sz w:val="18"/>
                <w:szCs w:val="18"/>
              </w:rPr>
            </w:pPr>
            <w:r>
              <w:rPr>
                <w:rFonts w:ascii="宋体" w:hAnsi="宋体" w:cs="宋体" w:eastAsia="宋体" w:hint="default"/>
                <w:sz w:val="18"/>
                <w:szCs w:val="18"/>
              </w:rPr>
              <w:t>怀光智 能科技</w:t>
            </w:r>
          </w:p>
          <w:p>
            <w:pPr>
              <w:pStyle w:val="TableParagraph"/>
              <w:spacing w:line="316" w:lineRule="auto" w:before="19"/>
              <w:ind w:left="101" w:right="142"/>
              <w:jc w:val="left"/>
              <w:rPr>
                <w:rFonts w:ascii="宋体" w:hAnsi="宋体" w:cs="宋体" w:eastAsia="宋体" w:hint="default"/>
                <w:sz w:val="18"/>
                <w:szCs w:val="18"/>
              </w:rPr>
            </w:pPr>
            <w:r>
              <w:rPr>
                <w:rFonts w:ascii="宋体" w:hAnsi="宋体" w:cs="宋体" w:eastAsia="宋体" w:hint="default"/>
                <w:sz w:val="18"/>
                <w:szCs w:val="18"/>
              </w:rPr>
              <w:t>（武 汉）有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3,789,3</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42.10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4,500,0</w:t>
            </w:r>
          </w:p>
          <w:p>
            <w:pPr>
              <w:pStyle w:val="TableParagraph"/>
              <w:spacing w:line="240" w:lineRule="auto" w:before="105"/>
              <w:ind w:left="177" w:right="0"/>
              <w:jc w:val="center"/>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-1,285,</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660.69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7,003,6</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81.41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42"/>
              <w:jc w:val="both"/>
              <w:rPr>
                <w:rFonts w:ascii="宋体" w:hAnsi="宋体" w:cs="宋体" w:eastAsia="宋体" w:hint="default"/>
                <w:sz w:val="18"/>
                <w:szCs w:val="18"/>
              </w:rPr>
            </w:pPr>
            <w:r>
              <w:rPr>
                <w:rFonts w:ascii="宋体" w:hAnsi="宋体" w:cs="宋体" w:eastAsia="宋体" w:hint="default"/>
                <w:sz w:val="18"/>
                <w:szCs w:val="18"/>
              </w:rPr>
              <w:t>上海怀 若智能 科技有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17,473,</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543.29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-3,056,</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803.51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14,416,</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739.78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42"/>
              <w:jc w:val="both"/>
              <w:rPr>
                <w:rFonts w:ascii="宋体" w:hAnsi="宋体" w:cs="宋体" w:eastAsia="宋体" w:hint="default"/>
                <w:sz w:val="18"/>
                <w:szCs w:val="18"/>
              </w:rPr>
            </w:pPr>
            <w:r>
              <w:rPr>
                <w:rFonts w:ascii="宋体" w:hAnsi="宋体" w:cs="宋体" w:eastAsia="宋体" w:hint="default"/>
                <w:sz w:val="18"/>
                <w:szCs w:val="18"/>
              </w:rPr>
              <w:t>深圳市 图灵机 器人有 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10,876,</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250.00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-1,494,</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298.56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9,381,9</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51.44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618,73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9,687.6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27,376,</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250.00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8,947,5</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76.06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25,222,</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334.43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10,755,</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507.64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31" w:right="0"/>
              <w:jc w:val="left"/>
              <w:rPr>
                <w:rFonts w:ascii="Times New Roman" w:hAnsi="Times New Roman" w:cs="Times New Roman" w:eastAsia="Times New Roman" w:hint="default"/>
                <w:sz w:val="18"/>
                <w:szCs w:val="18"/>
              </w:rPr>
            </w:pPr>
            <w:r>
              <w:rPr>
                <w:rFonts w:ascii="Times New Roman"/>
                <w:sz w:val="18"/>
              </w:rPr>
              <w:t>-79,860</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,747.43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589,66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9,593.0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10,755,</w:t>
            </w:r>
          </w:p>
          <w:p>
            <w:pPr>
              <w:pStyle w:val="TableParagraph"/>
              <w:spacing w:line="240" w:lineRule="auto" w:before="105"/>
              <w:ind w:left="191" w:right="0"/>
              <w:jc w:val="left"/>
              <w:rPr>
                <w:rFonts w:ascii="Times New Roman" w:hAnsi="Times New Roman" w:cs="Times New Roman" w:eastAsia="Times New Roman" w:hint="default"/>
                <w:sz w:val="18"/>
                <w:szCs w:val="18"/>
              </w:rPr>
            </w:pPr>
            <w:r>
              <w:rPr>
                <w:rFonts w:ascii="Times New Roman"/>
                <w:sz w:val="18"/>
              </w:rPr>
              <w:t>507.64</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618,73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9,687.6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27,376,</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250.00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8,947,5</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76.06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25,222,</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334.43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10,755,</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507.64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31" w:right="0"/>
              <w:jc w:val="left"/>
              <w:rPr>
                <w:rFonts w:ascii="Times New Roman" w:hAnsi="Times New Roman" w:cs="Times New Roman" w:eastAsia="Times New Roman" w:hint="default"/>
                <w:sz w:val="18"/>
                <w:szCs w:val="18"/>
              </w:rPr>
            </w:pPr>
            <w:r>
              <w:rPr>
                <w:rFonts w:ascii="Times New Roman"/>
                <w:sz w:val="18"/>
              </w:rPr>
              <w:t>-79,860</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,747.43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589,66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9,593.0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10,755,</w:t>
            </w:r>
          </w:p>
          <w:p>
            <w:pPr>
              <w:pStyle w:val="TableParagraph"/>
              <w:spacing w:line="240" w:lineRule="auto" w:before="105"/>
              <w:ind w:left="191" w:right="0"/>
              <w:jc w:val="left"/>
              <w:rPr>
                <w:rFonts w:ascii="Times New Roman" w:hAnsi="Times New Roman" w:cs="Times New Roman" w:eastAsia="Times New Roman" w:hint="default"/>
                <w:sz w:val="18"/>
                <w:szCs w:val="18"/>
              </w:rPr>
            </w:pPr>
            <w:r>
              <w:rPr>
                <w:rFonts w:ascii="Times New Roman"/>
                <w:sz w:val="18"/>
              </w:rPr>
              <w:t>507.64</w:t>
            </w:r>
          </w:p>
        </w:tc>
      </w:tr>
    </w:tbl>
    <w:p>
      <w:pPr>
        <w:spacing w:line="240" w:lineRule="auto" w:before="3"/>
        <w:rPr>
          <w:rFonts w:ascii="宋体" w:hAnsi="宋体" w:cs="宋体" w:eastAsia="宋体" w:hint="default"/>
          <w:sz w:val="19"/>
          <w:szCs w:val="19"/>
        </w:rPr>
      </w:pPr>
    </w:p>
    <w:p>
      <w:pPr>
        <w:pStyle w:val="Heading3"/>
        <w:spacing w:line="240" w:lineRule="auto" w:before="34"/>
        <w:ind w:right="915"/>
        <w:jc w:val="left"/>
        <w:rPr>
          <w:b w:val="0"/>
          <w:bCs w:val="0"/>
        </w:rPr>
      </w:pPr>
      <w:bookmarkStart w:name="（3）其他说明" w:id="517"/>
      <w:bookmarkEnd w:id="517"/>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15"/>
        <w:jc w:val="left"/>
      </w:pPr>
      <w:r>
        <w:rPr/>
        <w:t>无</w:t>
      </w:r>
    </w:p>
    <w:p>
      <w:pPr>
        <w:spacing w:after="0" w:line="240" w:lineRule="auto"/>
        <w:jc w:val="left"/>
        <w:sectPr>
          <w:pgSz w:w="11910" w:h="16840"/>
          <w:pgMar w:header="919" w:footer="1016" w:top="1120" w:bottom="1200" w:left="1020" w:right="0"/>
        </w:sectPr>
      </w:pPr>
    </w:p>
    <w:p>
      <w:pPr>
        <w:spacing w:line="240" w:lineRule="auto" w:before="10"/>
        <w:rPr>
          <w:rFonts w:ascii="宋体" w:hAnsi="宋体" w:cs="宋体" w:eastAsia="宋体" w:hint="default"/>
          <w:sz w:val="19"/>
          <w:szCs w:val="19"/>
        </w:rPr>
      </w:pPr>
    </w:p>
    <w:p>
      <w:pPr>
        <w:pStyle w:val="Heading3"/>
        <w:spacing w:line="240" w:lineRule="auto" w:before="34"/>
        <w:ind w:right="915"/>
        <w:jc w:val="left"/>
        <w:rPr>
          <w:b w:val="0"/>
          <w:bCs w:val="0"/>
        </w:rPr>
      </w:pPr>
      <w:bookmarkStart w:name="4、营业收入和营业成本" w:id="518"/>
      <w:bookmarkEnd w:id="518"/>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611,080,187.02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170,599,682.71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583,067,155.27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119,056,127.76</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6,090,773.26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2,547,916.38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10,616,676.58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6,047,000.56</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617,170,960.28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173,147,599.09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593,683,831.85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125,103,128.32</w:t>
            </w:r>
          </w:p>
        </w:tc>
      </w:tr>
    </w:tbl>
    <w:p>
      <w:pPr>
        <w:pStyle w:val="BodyText"/>
        <w:spacing w:line="240" w:lineRule="auto" w:before="51"/>
        <w:ind w:right="915"/>
        <w:jc w:val="left"/>
      </w:pPr>
      <w:r>
        <w:rPr/>
        <w:t>是否已执行新收入准则</w:t>
      </w:r>
    </w:p>
    <w:p>
      <w:pPr>
        <w:pStyle w:val="BodyText"/>
        <w:spacing w:line="357" w:lineRule="auto" w:before="117"/>
        <w:ind w:right="9764"/>
        <w:jc w:val="left"/>
      </w:pPr>
      <w:r>
        <w:rPr/>
        <w:t>□ 是 √ 否 其他说明： 无</w:t>
      </w:r>
    </w:p>
    <w:p>
      <w:pPr>
        <w:spacing w:line="240" w:lineRule="auto" w:before="3"/>
        <w:rPr>
          <w:rFonts w:ascii="宋体" w:hAnsi="宋体" w:cs="宋体" w:eastAsia="宋体" w:hint="default"/>
          <w:sz w:val="20"/>
          <w:szCs w:val="20"/>
        </w:rPr>
      </w:pPr>
    </w:p>
    <w:p>
      <w:pPr>
        <w:pStyle w:val="Heading3"/>
        <w:spacing w:line="240" w:lineRule="auto"/>
        <w:ind w:right="915"/>
        <w:jc w:val="left"/>
        <w:rPr>
          <w:b w:val="0"/>
          <w:bCs w:val="0"/>
        </w:rPr>
      </w:pPr>
      <w:bookmarkStart w:name="5、投资收益" w:id="519"/>
      <w:bookmarkEnd w:id="519"/>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8,947,576.06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-1,121,088.99</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1,239,007.36</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处置交易性金融资产取得的投资收益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6,080,919.95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0"/>
              <w:jc w:val="left"/>
              <w:rPr>
                <w:rFonts w:ascii="宋体" w:hAnsi="宋体" w:cs="宋体" w:eastAsia="宋体" w:hint="default"/>
                <w:sz w:val="18"/>
                <w:szCs w:val="18"/>
              </w:rPr>
            </w:pPr>
            <w:r>
              <w:rPr>
                <w:rFonts w:ascii="宋体" w:hAnsi="宋体" w:cs="宋体" w:eastAsia="宋体" w:hint="default"/>
                <w:sz w:val="18"/>
                <w:szCs w:val="18"/>
              </w:rPr>
              <w:t>丧失控制权后，剩余股权按公允价值重 新计量产生的利得</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112,157,587.00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理财产品产生的投资收益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2,241,095.88</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127,186,083.01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2,359,014.25</w:t>
            </w:r>
          </w:p>
        </w:tc>
      </w:tr>
    </w:tbl>
    <w:p>
      <w:pPr>
        <w:spacing w:line="240" w:lineRule="auto" w:before="2"/>
        <w:rPr>
          <w:rFonts w:ascii="宋体" w:hAnsi="宋体" w:cs="宋体" w:eastAsia="宋体" w:hint="default"/>
          <w:sz w:val="19"/>
          <w:szCs w:val="19"/>
        </w:rPr>
      </w:pPr>
    </w:p>
    <w:p>
      <w:pPr>
        <w:pStyle w:val="Heading3"/>
        <w:spacing w:line="240" w:lineRule="auto" w:before="34"/>
        <w:ind w:right="915"/>
        <w:jc w:val="left"/>
        <w:rPr>
          <w:b w:val="0"/>
          <w:bCs w:val="0"/>
        </w:rPr>
      </w:pPr>
      <w:bookmarkStart w:name="6、其他" w:id="520"/>
      <w:bookmarkEnd w:id="520"/>
      <w:r>
        <w:rPr>
          <w:b w:val="0"/>
          <w:bCs w:val="0"/>
        </w:rPr>
      </w:r>
      <w:r>
        <w:rPr>
          <w:rFonts w:ascii="Times New Roman" w:hAnsi="Times New Roman" w:cs="Times New Roman" w:eastAsia="Times New Roman" w:hint="default"/>
        </w:rPr>
        <w:t>6</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15"/>
        <w:jc w:val="left"/>
      </w:pPr>
      <w:r>
        <w:rPr/>
        <w:t>无</w:t>
      </w:r>
    </w:p>
    <w:p>
      <w:pPr>
        <w:spacing w:line="240" w:lineRule="auto" w:before="1"/>
        <w:rPr>
          <w:rFonts w:ascii="宋体" w:hAnsi="宋体" w:cs="宋体" w:eastAsia="宋体" w:hint="default"/>
          <w:sz w:val="25"/>
          <w:szCs w:val="25"/>
        </w:rPr>
      </w:pPr>
    </w:p>
    <w:p>
      <w:pPr>
        <w:pStyle w:val="Heading2"/>
        <w:spacing w:line="240" w:lineRule="auto"/>
        <w:ind w:right="915"/>
        <w:jc w:val="left"/>
        <w:rPr>
          <w:b w:val="0"/>
          <w:bCs w:val="0"/>
        </w:rPr>
      </w:pPr>
      <w:bookmarkStart w:name="十八、补充资料" w:id="521"/>
      <w:bookmarkEnd w:id="521"/>
      <w:r>
        <w:rPr>
          <w:b w:val="0"/>
          <w:bCs w:val="0"/>
        </w:rPr>
      </w:r>
      <w:r>
        <w:rPr/>
        <w:t>十八、补充资料</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15"/>
        <w:jc w:val="left"/>
        <w:rPr>
          <w:b w:val="0"/>
          <w:bCs w:val="0"/>
        </w:rPr>
      </w:pPr>
      <w:bookmarkStart w:name="1、当期非经常性损益明细表" w:id="522"/>
      <w:bookmarkEnd w:id="522"/>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915"/>
        <w:jc w:val="left"/>
      </w:pPr>
      <w:r>
        <w:rPr/>
        <w:t>√ 适用 □ 不适用</w:t>
      </w:r>
    </w:p>
    <w:p>
      <w:pPr>
        <w:pStyle w:val="BodyText"/>
        <w:spacing w:line="240" w:lineRule="auto" w:before="117"/>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-10,837.55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67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 w:right="150"/>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 密切相关，按照国家统一标准定额或定</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13,585,648.41</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9" w:footer="1016"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36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量享受的政府补助除外）</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 保值业务外，持有交易性金融资产、衍 生金融资产、交易性金融负债、衍生金 融负债产生的公允价值变动损益，以及 处置交易性金融资产、衍生金融资产、 交易性金融负债、衍生金融负债和其他 债权投资取得的投资收益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112,978,541.18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 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30,912.81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12,416,025.98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-1,157,710.39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115,325,949.26</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915"/>
        <w:jc w:val="left"/>
      </w:pPr>
      <w:r>
        <w:rPr>
          <w:spacing w:val="-3"/>
        </w:rPr>
        <w:t>对公司根据《公开发行证券的公司信息披露解释性公告第</w:t>
      </w:r>
      <w:r>
        <w:rPr>
          <w:spacing w:val="-38"/>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号——非经常性损益》定义界定的非经常性损益项目，以及把《公</w:t>
      </w:r>
    </w:p>
    <w:p>
      <w:pPr>
        <w:pStyle w:val="BodyText"/>
        <w:spacing w:line="300" w:lineRule="auto" w:before="63"/>
        <w:ind w:right="1120"/>
        <w:jc w:val="left"/>
      </w:pPr>
      <w:r>
        <w:rPr/>
        <w:t>开发行证券的公司信息披露解释性公告第</w:t>
      </w:r>
      <w:r>
        <w:rPr>
          <w:spacing w:val="-35"/>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号——非经常性损益》中列举的非经常性损益项目界定为经常性损益的项目，应</w:t>
      </w:r>
      <w:r>
        <w:rPr>
          <w:spacing w:val="-88"/>
        </w:rPr>
        <w:t> </w:t>
      </w:r>
      <w:r>
        <w:rPr>
          <w:spacing w:val="-88"/>
        </w:rPr>
      </w:r>
      <w:r>
        <w:rPr/>
        <w:t>说明原因。</w:t>
      </w:r>
    </w:p>
    <w:p>
      <w:pPr>
        <w:pStyle w:val="BodyText"/>
        <w:spacing w:line="240" w:lineRule="auto" w:before="70"/>
        <w:ind w:right="915"/>
        <w:jc w:val="left"/>
      </w:pPr>
      <w:r>
        <w:rPr/>
        <w:t>□ 适用 √ 不适用</w:t>
      </w:r>
    </w:p>
    <w:p>
      <w:pPr>
        <w:spacing w:line="240" w:lineRule="auto" w:before="0"/>
        <w:rPr>
          <w:rFonts w:ascii="宋体" w:hAnsi="宋体" w:cs="宋体" w:eastAsia="宋体" w:hint="default"/>
          <w:sz w:val="18"/>
          <w:szCs w:val="18"/>
        </w:rPr>
      </w:pPr>
    </w:p>
    <w:p>
      <w:pPr>
        <w:pStyle w:val="Heading3"/>
        <w:spacing w:line="240" w:lineRule="auto" w:before="118"/>
        <w:ind w:right="915"/>
        <w:jc w:val="left"/>
        <w:rPr>
          <w:b w:val="0"/>
          <w:bCs w:val="0"/>
        </w:rPr>
      </w:pPr>
      <w:bookmarkStart w:name="2、净资产收益率及每股收益" w:id="523"/>
      <w:bookmarkEnd w:id="523"/>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662"/>
        <w:gridCol w:w="3080"/>
        <w:gridCol w:w="1913"/>
        <w:gridCol w:w="1913"/>
      </w:tblGrid>
      <w:tr>
        <w:trPr>
          <w:trHeight w:val="402" w:hRule="exact"/>
        </w:trPr>
        <w:tc>
          <w:tcPr>
            <w:tcW w:w="2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877"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63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2" w:hRule="exact"/>
        </w:trPr>
        <w:tc>
          <w:tcPr>
            <w:tcW w:w="2662" w:type="dxa"/>
            <w:vMerge/>
            <w:tcBorders>
              <w:left w:val="single" w:sz="4" w:space="0" w:color="000000"/>
              <w:bottom w:val="single" w:sz="4" w:space="0" w:color="000000"/>
              <w:right w:val="single" w:sz="4" w:space="0" w:color="000000"/>
            </w:tcBorders>
            <w:shd w:val="clear" w:color="auto" w:fill="D2D2D2"/>
          </w:tcPr>
          <w:p>
            <w:pPr/>
          </w:p>
        </w:tc>
        <w:tc>
          <w:tcPr>
            <w:tcW w:w="3080"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0"/>
              <w:jc w:val="right"/>
              <w:rPr>
                <w:rFonts w:ascii="宋体" w:hAnsi="宋体" w:cs="宋体" w:eastAsia="宋体" w:hint="default"/>
                <w:sz w:val="18"/>
                <w:szCs w:val="18"/>
              </w:rPr>
            </w:pPr>
            <w:r>
              <w:rPr>
                <w:rFonts w:ascii="宋体" w:hAnsi="宋体" w:cs="宋体" w:eastAsia="宋体" w:hint="default"/>
                <w:spacing w:val="-6"/>
                <w:sz w:val="18"/>
                <w:szCs w:val="18"/>
              </w:rPr>
              <w:t>基本每股收益（元</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pacing w:val="-6"/>
                <w:sz w:val="18"/>
                <w:szCs w:val="18"/>
              </w:rPr>
              <w:t>稀释每股收益（元</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股）</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208"/>
              <w:jc w:val="left"/>
              <w:rPr>
                <w:rFonts w:ascii="宋体" w:hAnsi="宋体" w:cs="宋体" w:eastAsia="宋体" w:hint="default"/>
                <w:sz w:val="18"/>
                <w:szCs w:val="18"/>
              </w:rPr>
            </w:pPr>
            <w:r>
              <w:rPr>
                <w:rFonts w:ascii="宋体" w:hAnsi="宋体" w:cs="宋体" w:eastAsia="宋体" w:hint="default"/>
                <w:sz w:val="18"/>
                <w:szCs w:val="18"/>
              </w:rPr>
              <w:t>归属于公司普通股股东的净利 润</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0.1838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0.1838</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208"/>
              <w:jc w:val="left"/>
              <w:rPr>
                <w:rFonts w:ascii="宋体" w:hAnsi="宋体" w:cs="宋体" w:eastAsia="宋体" w:hint="default"/>
                <w:sz w:val="18"/>
                <w:szCs w:val="18"/>
              </w:rPr>
            </w:pPr>
            <w:r>
              <w:rPr>
                <w:rFonts w:ascii="宋体" w:hAnsi="宋体" w:cs="宋体" w:eastAsia="宋体" w:hint="default"/>
                <w:sz w:val="18"/>
                <w:szCs w:val="18"/>
              </w:rPr>
              <w:t>扣除非经常性损益后归属于公 司普通股股东的净利润</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0.0284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0.0284</w:t>
            </w:r>
          </w:p>
        </w:tc>
      </w:tr>
    </w:tbl>
    <w:p>
      <w:pPr>
        <w:spacing w:line="240" w:lineRule="auto" w:before="5"/>
        <w:rPr>
          <w:rFonts w:ascii="宋体" w:hAnsi="宋体" w:cs="宋体" w:eastAsia="宋体" w:hint="default"/>
          <w:b/>
          <w:bCs/>
          <w:sz w:val="19"/>
          <w:szCs w:val="19"/>
        </w:rPr>
      </w:pPr>
    </w:p>
    <w:p>
      <w:pPr>
        <w:pStyle w:val="Heading3"/>
        <w:spacing w:line="240" w:lineRule="auto" w:before="34"/>
        <w:ind w:right="915"/>
        <w:jc w:val="left"/>
        <w:rPr>
          <w:b w:val="0"/>
          <w:bCs w:val="0"/>
        </w:rPr>
      </w:pPr>
      <w:bookmarkStart w:name="3、境内外会计准则下会计数据差异" w:id="524"/>
      <w:bookmarkEnd w:id="524"/>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15"/>
        <w:jc w:val="left"/>
        <w:rPr>
          <w:b w:val="0"/>
          <w:bCs w:val="0"/>
        </w:rPr>
      </w:pPr>
      <w:bookmarkStart w:name="（1）同时按照国际会计准则与按中国会计准则披露的财务报告中净利润和净资产差异情况" w:id="525"/>
      <w:bookmarkEnd w:id="525"/>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15"/>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915"/>
        <w:jc w:val="left"/>
        <w:rPr>
          <w:b w:val="0"/>
          <w:bCs w:val="0"/>
        </w:rPr>
      </w:pPr>
      <w:bookmarkStart w:name="（2）同时按照境外会计准则与按中国会计准则披露的财务报告中净利润和净资产差异情况" w:id="526"/>
      <w:bookmarkEnd w:id="526"/>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15"/>
        <w:jc w:val="left"/>
      </w:pPr>
      <w:r>
        <w:rPr/>
        <w:t>□ 适用 √ 不适用</w:t>
      </w:r>
    </w:p>
    <w:p>
      <w:pPr>
        <w:spacing w:line="240" w:lineRule="auto" w:before="11"/>
        <w:rPr>
          <w:rFonts w:ascii="宋体" w:hAnsi="宋体" w:cs="宋体" w:eastAsia="宋体" w:hint="default"/>
          <w:sz w:val="26"/>
          <w:szCs w:val="26"/>
        </w:rPr>
      </w:pPr>
    </w:p>
    <w:p>
      <w:pPr>
        <w:pStyle w:val="Heading3"/>
        <w:spacing w:line="259" w:lineRule="auto"/>
        <w:ind w:right="915"/>
        <w:jc w:val="left"/>
        <w:rPr>
          <w:b w:val="0"/>
          <w:bCs w:val="0"/>
        </w:rPr>
      </w:pPr>
      <w:bookmarkStart w:name="（3）境内外会计准则下会计数据差异原因说明，对已经境外审计机构审计的数据进行差异" w:id="527"/>
      <w:bookmarkEnd w:id="527"/>
      <w:r>
        <w:rPr>
          <w:b w:val="0"/>
          <w:bCs w:val="0"/>
        </w:rPr>
      </w:r>
      <w:r>
        <w:rPr>
          <w:spacing w:val="3"/>
          <w:w w:val="95"/>
        </w:rPr>
        <w:t>（</w:t>
      </w:r>
      <w:r>
        <w:rPr>
          <w:rFonts w:ascii="Times New Roman" w:hAnsi="Times New Roman" w:cs="Times New Roman" w:eastAsia="Times New Roman" w:hint="default"/>
          <w:spacing w:val="3"/>
          <w:w w:val="95"/>
        </w:rPr>
        <w:t>3</w:t>
      </w:r>
      <w:r>
        <w:rPr>
          <w:spacing w:val="3"/>
          <w:w w:val="95"/>
        </w:rPr>
        <w:t>）境内外会计准则下会计数据差异原因说明，对已经境外审计机构审计的数据进行差异调节的，应注</w:t>
      </w:r>
      <w:r>
        <w:rPr>
          <w:spacing w:val="93"/>
          <w:w w:val="95"/>
        </w:rPr>
        <w:t> </w:t>
      </w:r>
      <w:r>
        <w:rPr>
          <w:spacing w:val="93"/>
          <w:w w:val="95"/>
        </w:rPr>
      </w:r>
      <w:r>
        <w:rPr/>
        <w:t>明该境外机构的名称</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15"/>
        <w:jc w:val="left"/>
      </w:pPr>
      <w:r>
        <w:rPr/>
        <w:t>无</w:t>
      </w:r>
    </w:p>
    <w:p>
      <w:pPr>
        <w:spacing w:after="0" w:line="240" w:lineRule="auto"/>
        <w:jc w:val="left"/>
        <w:sectPr>
          <w:pgSz w:w="11910" w:h="16840"/>
          <w:pgMar w:header="919" w:footer="1016" w:top="1120" w:bottom="1200" w:left="1020" w:right="0"/>
        </w:sectPr>
      </w:pPr>
    </w:p>
    <w:p>
      <w:pPr>
        <w:spacing w:line="240" w:lineRule="auto" w:before="10"/>
        <w:rPr>
          <w:rFonts w:ascii="宋体" w:hAnsi="宋体" w:cs="宋体" w:eastAsia="宋体" w:hint="default"/>
          <w:sz w:val="19"/>
          <w:szCs w:val="19"/>
        </w:rPr>
      </w:pPr>
    </w:p>
    <w:p>
      <w:pPr>
        <w:pStyle w:val="Heading3"/>
        <w:spacing w:line="240" w:lineRule="auto" w:before="34"/>
        <w:ind w:right="915"/>
        <w:jc w:val="left"/>
        <w:rPr>
          <w:b w:val="0"/>
          <w:bCs w:val="0"/>
        </w:rPr>
      </w:pPr>
      <w:bookmarkStart w:name="4、其他" w:id="528"/>
      <w:bookmarkEnd w:id="528"/>
      <w:r>
        <w:rPr>
          <w:b w:val="0"/>
          <w:bCs w:val="0"/>
        </w:rPr>
      </w:r>
      <w:r>
        <w:rPr>
          <w:rFonts w:ascii="Times New Roman" w:hAnsi="Times New Roman" w:cs="Times New Roman" w:eastAsia="Times New Roman" w:hint="default"/>
        </w:rPr>
        <w:t>4</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15"/>
        <w:jc w:val="left"/>
      </w:pPr>
      <w:r>
        <w:rPr/>
        <w:t>无</w:t>
      </w:r>
    </w:p>
    <w:p>
      <w:pPr>
        <w:spacing w:after="0" w:line="240" w:lineRule="auto"/>
        <w:jc w:val="left"/>
        <w:sectPr>
          <w:pgSz w:w="11910" w:h="16840"/>
          <w:pgMar w:header="919" w:footer="1016" w:top="112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Heading1"/>
        <w:spacing w:line="240" w:lineRule="auto"/>
        <w:ind w:left="3328" w:right="915"/>
        <w:jc w:val="left"/>
        <w:rPr>
          <w:b w:val="0"/>
          <w:bCs w:val="0"/>
        </w:rPr>
      </w:pPr>
      <w:bookmarkStart w:name="第十三节备查文件目录" w:id="529"/>
      <w:bookmarkEnd w:id="529"/>
      <w:r>
        <w:rPr>
          <w:b w:val="0"/>
          <w:bCs w:val="0"/>
        </w:rPr>
      </w:r>
      <w:bookmarkStart w:name="_bookmark12" w:id="530"/>
      <w:bookmarkEnd w:id="530"/>
      <w:r>
        <w:rPr>
          <w:b w:val="0"/>
          <w:bCs w:val="0"/>
        </w:rPr>
      </w:r>
      <w:r>
        <w:rPr/>
        <w:t>第十三节备查文件目录</w:t>
      </w:r>
      <w:r>
        <w:rPr>
          <w:b w:val="0"/>
          <w:bCs w:val="0"/>
        </w:rPr>
      </w:r>
    </w:p>
    <w:p>
      <w:pPr>
        <w:spacing w:line="240" w:lineRule="auto" w:before="6"/>
        <w:rPr>
          <w:rFonts w:ascii="宋体" w:hAnsi="宋体" w:cs="宋体" w:eastAsia="宋体" w:hint="default"/>
          <w:b/>
          <w:bCs/>
          <w:sz w:val="42"/>
          <w:szCs w:val="42"/>
        </w:rPr>
      </w:pPr>
    </w:p>
    <w:p>
      <w:pPr>
        <w:pStyle w:val="BodyText"/>
        <w:spacing w:line="316" w:lineRule="auto"/>
        <w:ind w:right="3194"/>
        <w:jc w:val="left"/>
      </w:pPr>
      <w:r>
        <w:rPr/>
        <w:t>一、载有公司法定代表人签名的《2019年年度报告》文本原件； 二、载有法定代表人、财务负责人、会计机构负责人签名并盖章的财务报告文本； 三、载有会计师事务所盖章、注册会计师签名并盖章的审计报告文本； 四、报告期内公司在中国证监会指定创业板信息披露媒体上公开披露过的所有文件及公告原稿； 五、其他备查文件。</w:t>
      </w:r>
    </w:p>
    <w:p>
      <w:pPr>
        <w:pStyle w:val="BodyText"/>
        <w:spacing w:line="240" w:lineRule="auto" w:before="19"/>
        <w:ind w:right="915"/>
        <w:jc w:val="left"/>
      </w:pPr>
      <w:r>
        <w:rPr/>
        <w:t>以上备查文件的备置地点：公司证券事务部</w:t>
      </w:r>
    </w:p>
    <w:sectPr>
      <w:footerReference w:type="default" r:id="rId39"/>
      <w:pgSz w:w="11910" w:h="16840"/>
      <w:pgMar w:footer="1016" w:header="919" w:top="1120" w:bottom="1200" w:left="1020" w:right="0"/>
      <w:pgNumType w:start="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300624" type="#_x0000_t75" stroked="false">
          <v:imagedata r:id="rId1" o:title=""/>
        </v:shape>
      </w:pict>
    </w:r>
    <w:r>
      <w:rPr/>
      <w:pict>
        <v:shape style="position:absolute;margin-left:294.440002pt;margin-top:793.647949pt;width:6.5pt;height:11pt;mso-position-horizontal-relative:page;mso-position-vertical-relative:page;z-index:-130060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300144" type="#_x0000_t75" stroked="false">
          <v:imagedata r:id="rId1" o:title=""/>
        </v:shape>
      </w:pict>
    </w:r>
    <w:r>
      <w:rPr/>
      <w:pict>
        <v:shape style="position:absolute;margin-left:291.158997pt;margin-top:780.087952pt;width:13.1pt;height:11pt;mso-position-horizontal-relative:page;mso-position-vertical-relative:page;z-index:-13001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300096" type="#_x0000_t75" stroked="false">
          <v:imagedata r:id="rId1" o:title=""/>
        </v:shape>
      </w:pict>
    </w:r>
    <w:r>
      <w:rPr/>
      <w:pict>
        <v:shape style="position:absolute;margin-left:291.158997pt;margin-top:780.087952pt;width:13.1pt;height:11pt;mso-position-horizontal-relative:page;mso-position-vertical-relative:page;z-index:-13000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300048" type="#_x0000_t75" stroked="false">
          <v:imagedata r:id="rId1" o:title=""/>
        </v:shape>
      </w:pict>
    </w:r>
    <w:r>
      <w:rPr/>
      <w:pict>
        <v:shape style="position:absolute;margin-left:291.158997pt;margin-top:780.087952pt;width:13.1pt;height:11pt;mso-position-horizontal-relative:page;mso-position-vertical-relative:page;z-index:-13000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300000" type="#_x0000_t75" stroked="false">
          <v:imagedata r:id="rId1" o:title=""/>
        </v:shape>
      </w:pict>
    </w:r>
    <w:r>
      <w:rPr/>
      <w:pict>
        <v:shape style="position:absolute;margin-left:288.880005pt;margin-top:780.087952pt;width:17.5pt;height:11pt;mso-position-horizontal-relative:page;mso-position-vertical-relative:page;z-index:-12999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99952" type="#_x0000_t75" stroked="false">
          <v:imagedata r:id="rId1" o:title=""/>
        </v:shape>
      </w:pict>
    </w:r>
    <w:r>
      <w:rPr/>
      <w:pict>
        <v:shape style="position:absolute;margin-left:289pt;margin-top:780.087952pt;width:17.3pt;height:11pt;mso-position-horizontal-relative:page;mso-position-vertical-relative:page;z-index:-12999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99904" type="#_x0000_t75" stroked="false">
          <v:imagedata r:id="rId1" o:title=""/>
        </v:shape>
      </w:pict>
    </w:r>
    <w:r>
      <w:rPr/>
      <w:pict>
        <v:shape style="position:absolute;margin-left:288.880005pt;margin-top:780.087952pt;width:17.5pt;height:11pt;mso-position-horizontal-relative:page;mso-position-vertical-relative:page;z-index:-12998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99856" type="#_x0000_t75" stroked="false">
          <v:imagedata r:id="rId1" o:title=""/>
        </v:shape>
      </w:pict>
    </w:r>
    <w:r>
      <w:rPr/>
      <w:pict>
        <v:shape style="position:absolute;margin-left:288.880005pt;margin-top:780.087952pt;width:17.5pt;height:11pt;mso-position-horizontal-relative:page;mso-position-vertical-relative:page;z-index:-12998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130</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99808" type="#_x0000_t75" stroked="false">
          <v:imagedata r:id="rId1" o:title=""/>
        </v:shape>
      </w:pict>
    </w:r>
    <w:r>
      <w:rPr/>
      <w:pict>
        <v:shape style="position:absolute;margin-left:288.880005pt;margin-top:780.087952pt;width:17.5pt;height:11pt;mso-position-horizontal-relative:page;mso-position-vertical-relative:page;z-index:-12997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140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99760" type="#_x0000_t75" stroked="false">
          <v:imagedata r:id="rId1" o:title=""/>
        </v:shape>
      </w:pict>
    </w:r>
    <w:r>
      <w:rPr/>
      <w:pict>
        <v:shape style="position:absolute;margin-left:288.880005pt;margin-top:780.087952pt;width:17.5pt;height:11pt;mso-position-horizontal-relative:page;mso-position-vertical-relative:page;z-index:-12997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150</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99712" type="#_x0000_t75" stroked="false">
          <v:imagedata r:id="rId1" o:title=""/>
        </v:shape>
      </w:pict>
    </w:r>
    <w:r>
      <w:rPr/>
      <w:pict>
        <v:shape style="position:absolute;margin-left:288.880005pt;margin-top:780.087952pt;width:17.5pt;height:11pt;mso-position-horizontal-relative:page;mso-position-vertical-relative:page;z-index:-12996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160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300576" type="#_x0000_t75" stroked="false">
          <v:imagedata r:id="rId1" o:title=""/>
        </v:shape>
      </w:pict>
    </w:r>
    <w:r>
      <w:rPr/>
      <w:pict>
        <v:shape style="position:absolute;margin-left:293.440002pt;margin-top:780.087952pt;width:8.5pt;height:11pt;mso-position-horizontal-relative:page;mso-position-vertical-relative:page;z-index:-13005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99664" type="#_x0000_t75" stroked="false">
          <v:imagedata r:id="rId1" o:title=""/>
        </v:shape>
      </w:pict>
    </w:r>
    <w:r>
      <w:rPr/>
      <w:pict>
        <v:shape style="position:absolute;margin-left:288.880005pt;margin-top:780.087952pt;width:17.5pt;height:11pt;mso-position-horizontal-relative:page;mso-position-vertical-relative:page;z-index:-12996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162</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99616" type="#_x0000_t75" stroked="false">
          <v:imagedata r:id="rId1" o:title=""/>
        </v:shape>
      </w:pict>
    </w:r>
    <w:r>
      <w:rPr/>
      <w:pict>
        <v:shape style="position:absolute;margin-left:288.880005pt;margin-top:780.087952pt;width:17.5pt;height:11pt;mso-position-horizontal-relative:page;mso-position-vertical-relative:page;z-index:-12995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170</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99568" type="#_x0000_t75" stroked="false">
          <v:imagedata r:id="rId1" o:title=""/>
        </v:shape>
      </w:pict>
    </w:r>
    <w:r>
      <w:rPr/>
      <w:pict>
        <v:shape style="position:absolute;margin-left:288.880005pt;margin-top:780.087952pt;width:17.5pt;height:11pt;mso-position-horizontal-relative:page;mso-position-vertical-relative:page;z-index:-12995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180</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99520" type="#_x0000_t75" stroked="false">
          <v:imagedata r:id="rId1" o:title=""/>
        </v:shape>
      </w:pict>
    </w:r>
    <w:r>
      <w:rPr/>
      <w:pict>
        <v:shape style="position:absolute;margin-left:288.880005pt;margin-top:780.087952pt;width:17.5pt;height:11pt;mso-position-horizontal-relative:page;mso-position-vertical-relative:page;z-index:-12994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190</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99472" type="#_x0000_t75" stroked="false">
          <v:imagedata r:id="rId1" o:title=""/>
        </v:shape>
      </w:pict>
    </w:r>
    <w:r>
      <w:rPr/>
      <w:pict>
        <v:shape style="position:absolute;margin-left:288.880005pt;margin-top:780.087952pt;width:17.5pt;height:11pt;mso-position-horizontal-relative:page;mso-position-vertical-relative:page;z-index:-12994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200</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99424" type="#_x0000_t75" stroked="false">
          <v:imagedata r:id="rId1" o:title=""/>
        </v:shape>
      </w:pict>
    </w:r>
    <w:r>
      <w:rPr/>
      <w:pict>
        <v:shape style="position:absolute;margin-left:288.880005pt;margin-top:780.087952pt;width:17.5pt;height:11pt;mso-position-horizontal-relative:page;mso-position-vertical-relative:page;z-index:-12994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210</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99376" type="#_x0000_t75" stroked="false">
          <v:imagedata r:id="rId1" o:title=""/>
        </v:shape>
      </w:pict>
    </w:r>
    <w:r>
      <w:rPr/>
      <w:pict>
        <v:shape style="position:absolute;margin-left:288.880005pt;margin-top:780.087952pt;width:17.5pt;height:11pt;mso-position-horizontal-relative:page;mso-position-vertical-relative:page;z-index:-12993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220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300480" type="#_x0000_t75" stroked="false">
          <v:imagedata r:id="rId1" o:title=""/>
        </v:shape>
      </w:pict>
    </w:r>
    <w:r>
      <w:rPr/>
      <w:pict>
        <v:shape style="position:absolute;margin-left:291.158997pt;margin-top:780.087952pt;width:13.1pt;height:11pt;mso-position-horizontal-relative:page;mso-position-vertical-relative:page;z-index:-13004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300432" type="#_x0000_t75" stroked="false">
          <v:imagedata r:id="rId1" o:title=""/>
        </v:shape>
      </w:pict>
    </w:r>
    <w:r>
      <w:rPr/>
      <w:pict>
        <v:shape style="position:absolute;margin-left:291.158997pt;margin-top:780.087952pt;width:13.1pt;height:11pt;mso-position-horizontal-relative:page;mso-position-vertical-relative:page;z-index:-13004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300384" type="#_x0000_t75" stroked="false">
          <v:imagedata r:id="rId1" o:title=""/>
        </v:shape>
      </w:pict>
    </w:r>
    <w:r>
      <w:rPr/>
      <w:pict>
        <v:shape style="position:absolute;margin-left:291.158997pt;margin-top:780.087952pt;width:13.1pt;height:11pt;mso-position-horizontal-relative:page;mso-position-vertical-relative:page;z-index:-13003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26</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300336" type="#_x0000_t75" stroked="false">
          <v:imagedata r:id="rId1" o:title=""/>
        </v:shape>
      </w:pict>
    </w:r>
    <w:r>
      <w:rPr/>
      <w:pict>
        <v:shape style="position:absolute;margin-left:291.158997pt;margin-top:780.087952pt;width:13.1pt;height:11pt;mso-position-horizontal-relative:page;mso-position-vertical-relative:page;z-index:-13003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300288" type="#_x0000_t75" stroked="false">
          <v:imagedata r:id="rId1" o:title=""/>
        </v:shape>
      </w:pict>
    </w:r>
    <w:r>
      <w:rPr/>
      <w:pict>
        <v:shape style="position:absolute;margin-left:291.158997pt;margin-top:780.087952pt;width:13.1pt;height:11pt;mso-position-horizontal-relative:page;mso-position-vertical-relative:page;z-index:-13002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300240" type="#_x0000_t75" stroked="false">
          <v:imagedata r:id="rId1" o:title=""/>
        </v:shape>
      </w:pict>
    </w:r>
    <w:r>
      <w:rPr/>
      <w:pict>
        <v:shape style="position:absolute;margin-left:291.158997pt;margin-top:780.087952pt;width:13.1pt;height:11pt;mso-position-horizontal-relative:page;mso-position-vertical-relative:page;z-index:-13002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300192" type="#_x0000_t75" stroked="false">
          <v:imagedata r:id="rId1" o:title=""/>
        </v:shape>
      </w:pict>
    </w:r>
    <w:r>
      <w:rPr/>
      <w:pict>
        <v:shape style="position:absolute;margin-left:291.158997pt;margin-top:780.087952pt;width:13.1pt;height:11pt;mso-position-horizontal-relative:page;mso-position-vertical-relative:page;z-index:-13001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08.119995pt;margin-top:38.355648pt;width:231.45pt;height:11.5pt;mso-position-horizontal-relative:page;mso-position-vertical-relative:page;z-index:-1300648" type="#_x0000_t202" filled="false" stroked="false">
          <v:textbox inset="0,0,0,0">
            <w:txbxContent>
              <w:p>
                <w:pPr>
                  <w:pStyle w:val="BodyText"/>
                  <w:spacing w:line="214" w:lineRule="exact"/>
                  <w:ind w:left="20" w:right="0"/>
                  <w:jc w:val="left"/>
                </w:pPr>
                <w:r>
                  <w:rPr/>
                  <w:t>深圳市赢时胜信息技术股份有限公司</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700001pt;margin-top:56.440025pt;width:481.9pt;height:.1pt;mso-position-horizontal-relative:page;mso-position-vertical-relative:page;z-index:-1300528" coordorigin="1134,1129" coordsize="9638,2">
          <v:shape style="position:absolute;left:1134;top:1129;width:9638;height:2" coordorigin="1134,1129" coordsize="9638,0" path="m1134,1129l10772,1129e" filled="false" stroked="true" strokeweight=".48pt" strokecolor="#000000">
            <v:path arrowok="t"/>
          </v:shape>
          <w10:wrap type="none"/>
        </v:group>
      </w:pict>
    </w:r>
    <w:r>
      <w:rPr/>
      <w:pict>
        <v:shape style="position:absolute;margin-left:308.119995pt;margin-top:44.95565pt;width:231.45pt;height:11.4pt;mso-position-horizontal-relative:page;mso-position-vertical-relative:page;z-index:-1300504" type="#_x0000_t202" filled="false" stroked="false">
          <v:textbox inset="0,0,0,0">
            <w:txbxContent>
              <w:p>
                <w:pPr>
                  <w:pStyle w:val="BodyText"/>
                  <w:spacing w:line="214" w:lineRule="exact"/>
                  <w:ind w:left="20" w:right="0"/>
                  <w:jc w:val="left"/>
                </w:pPr>
                <w:r>
                  <w:rPr/>
                  <w:t>深圳市赢时胜信息技术股份有限公司</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18"/>
      <w:ind w:left="112"/>
    </w:pPr>
    <w:rPr>
      <w:rFonts w:ascii="宋体" w:hAnsi="宋体" w:eastAsia="宋体"/>
      <w:sz w:val="21"/>
      <w:szCs w:val="21"/>
    </w:rPr>
  </w:style>
  <w:style w:styleId="BodyText" w:type="paragraph">
    <w:name w:val="Body Text"/>
    <w:basedOn w:val="Normal"/>
    <w:uiPriority w:val="1"/>
    <w:qFormat/>
    <w:pPr>
      <w:ind w:left="112"/>
    </w:pPr>
    <w:rPr>
      <w:rFonts w:ascii="宋体" w:hAnsi="宋体" w:eastAsia="宋体"/>
      <w:sz w:val="18"/>
      <w:szCs w:val="18"/>
    </w:rPr>
  </w:style>
  <w:style w:styleId="Heading1" w:type="paragraph">
    <w:name w:val="Heading 1"/>
    <w:basedOn w:val="Normal"/>
    <w:uiPriority w:val="1"/>
    <w:qFormat/>
    <w:pPr>
      <w:ind w:left="2017"/>
      <w:outlineLvl w:val="1"/>
    </w:pPr>
    <w:rPr>
      <w:rFonts w:ascii="宋体" w:hAnsi="宋体" w:eastAsia="宋体"/>
      <w:b/>
      <w:bCs/>
      <w:sz w:val="32"/>
      <w:szCs w:val="32"/>
    </w:rPr>
  </w:style>
  <w:style w:styleId="Heading2" w:type="paragraph">
    <w:name w:val="Heading 2"/>
    <w:basedOn w:val="Normal"/>
    <w:uiPriority w:val="1"/>
    <w:qFormat/>
    <w:pPr>
      <w:ind w:left="112"/>
      <w:outlineLvl w:val="2"/>
    </w:pPr>
    <w:rPr>
      <w:rFonts w:ascii="宋体" w:hAnsi="宋体" w:eastAsia="宋体"/>
      <w:b/>
      <w:bCs/>
      <w:sz w:val="24"/>
      <w:szCs w:val="24"/>
    </w:rPr>
  </w:style>
  <w:style w:styleId="Heading3" w:type="paragraph">
    <w:name w:val="Heading 3"/>
    <w:basedOn w:val="Normal"/>
    <w:uiPriority w:val="1"/>
    <w:qFormat/>
    <w:pPr>
      <w:ind w:left="112"/>
      <w:outlineLvl w:val="3"/>
    </w:pPr>
    <w:rPr>
      <w:rFonts w:ascii="宋体" w:hAnsi="宋体" w:eastAsia="宋体"/>
      <w:b/>
      <w:bCs/>
      <w:sz w:val="21"/>
      <w:szCs w:val="21"/>
    </w:rPr>
  </w:style>
  <w:style w:styleId="Heading4" w:type="paragraph">
    <w:name w:val="Heading 4"/>
    <w:basedOn w:val="Normal"/>
    <w:uiPriority w:val="1"/>
    <w:qFormat/>
    <w:pPr>
      <w:spacing w:before="15"/>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eader" Target="header2.xml"/><Relationship Id="rId10" Type="http://schemas.openxmlformats.org/officeDocument/2006/relationships/hyperlink" Target="https://baike.baidu.com/item/%E4%BA%92%E8%81%94%E7%BD%91%E6%95%B0%E6%8D%AE%E4%B8%AD%E5%BF%83/8471124" TargetMode="External"/><Relationship Id="rId11" Type="http://schemas.openxmlformats.org/officeDocument/2006/relationships/hyperlink" Target="http://baike.baidu.com/item/%E5%BA%94%E7%94%A8%E7%A8%8B%E5%BA%8F" TargetMode="External"/><Relationship Id="rId12" Type="http://schemas.openxmlformats.org/officeDocument/2006/relationships/hyperlink" Target="http://www.ysstech.com/" TargetMode="External"/><Relationship Id="rId13" Type="http://schemas.openxmlformats.org/officeDocument/2006/relationships/hyperlink" Target="mailto:ysstech@ysstech.com" TargetMode="External"/><Relationship Id="rId14" Type="http://schemas.openxmlformats.org/officeDocument/2006/relationships/hyperlink" Target="http://www.cninfo.com.cn/" TargetMode="Externa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footer" Target="footer7.xml"/><Relationship Id="rId20" Type="http://schemas.openxmlformats.org/officeDocument/2006/relationships/footer" Target="footer8.xml"/><Relationship Id="rId21" Type="http://schemas.openxmlformats.org/officeDocument/2006/relationships/footer" Target="footer9.xml"/><Relationship Id="rId22" Type="http://schemas.openxmlformats.org/officeDocument/2006/relationships/image" Target="media/image3.jpeg"/><Relationship Id="rId23" Type="http://schemas.openxmlformats.org/officeDocument/2006/relationships/footer" Target="footer10.xml"/><Relationship Id="rId24" Type="http://schemas.openxmlformats.org/officeDocument/2006/relationships/footer" Target="footer11.xml"/><Relationship Id="rId25" Type="http://schemas.openxmlformats.org/officeDocument/2006/relationships/footer" Target="footer12.xml"/><Relationship Id="rId26" Type="http://schemas.openxmlformats.org/officeDocument/2006/relationships/footer" Target="footer13.xml"/><Relationship Id="rId27" Type="http://schemas.openxmlformats.org/officeDocument/2006/relationships/footer" Target="footer14.xml"/><Relationship Id="rId28" Type="http://schemas.openxmlformats.org/officeDocument/2006/relationships/footer" Target="footer15.xml"/><Relationship Id="rId29" Type="http://schemas.openxmlformats.org/officeDocument/2006/relationships/footer" Target="footer16.xml"/><Relationship Id="rId30" Type="http://schemas.openxmlformats.org/officeDocument/2006/relationships/footer" Target="footer17.xml"/><Relationship Id="rId31" Type="http://schemas.openxmlformats.org/officeDocument/2006/relationships/footer" Target="footer18.xml"/><Relationship Id="rId32" Type="http://schemas.openxmlformats.org/officeDocument/2006/relationships/footer" Target="footer19.xml"/><Relationship Id="rId33" Type="http://schemas.openxmlformats.org/officeDocument/2006/relationships/footer" Target="footer20.xml"/><Relationship Id="rId34" Type="http://schemas.openxmlformats.org/officeDocument/2006/relationships/footer" Target="footer21.xml"/><Relationship Id="rId35" Type="http://schemas.openxmlformats.org/officeDocument/2006/relationships/footer" Target="footer22.xml"/><Relationship Id="rId36" Type="http://schemas.openxmlformats.org/officeDocument/2006/relationships/footer" Target="footer23.xml"/><Relationship Id="rId37" Type="http://schemas.openxmlformats.org/officeDocument/2006/relationships/footer" Target="footer24.xml"/><Relationship Id="rId38" Type="http://schemas.openxmlformats.org/officeDocument/2006/relationships/footer" Target="footer25.xml"/><Relationship Id="rId39" Type="http://schemas.openxmlformats.org/officeDocument/2006/relationships/footer" Target="footer26.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11.xml.rels><?xml version="1.0" encoding="UTF-8" standalone="yes"?>
<Relationships xmlns="http://schemas.openxmlformats.org/package/2006/relationships"><Relationship Id="rId1" Type="http://schemas.openxmlformats.org/officeDocument/2006/relationships/image" Target="media/image1.jpeg"/></Relationships>

</file>

<file path=word/_rels/footer12.xml.rels><?xml version="1.0" encoding="UTF-8" standalone="yes"?>
<Relationships xmlns="http://schemas.openxmlformats.org/package/2006/relationships"><Relationship Id="rId1" Type="http://schemas.openxmlformats.org/officeDocument/2006/relationships/image" Target="media/image1.jpeg"/></Relationships>

</file>

<file path=word/_rels/footer13.xml.rels><?xml version="1.0" encoding="UTF-8" standalone="yes"?>
<Relationships xmlns="http://schemas.openxmlformats.org/package/2006/relationships"><Relationship Id="rId1" Type="http://schemas.openxmlformats.org/officeDocument/2006/relationships/image" Target="media/image1.jpeg"/></Relationships>

</file>

<file path=word/_rels/footer14.xml.rels><?xml version="1.0" encoding="UTF-8" standalone="yes"?>
<Relationships xmlns="http://schemas.openxmlformats.org/package/2006/relationships"><Relationship Id="rId1" Type="http://schemas.openxmlformats.org/officeDocument/2006/relationships/image" Target="media/image1.jpeg"/></Relationships>

</file>

<file path=word/_rels/footer15.xml.rels><?xml version="1.0" encoding="UTF-8" standalone="yes"?>
<Relationships xmlns="http://schemas.openxmlformats.org/package/2006/relationships"><Relationship Id="rId1" Type="http://schemas.openxmlformats.org/officeDocument/2006/relationships/image" Target="media/image1.jpeg"/></Relationships>

</file>

<file path=word/_rels/footer16.xml.rels><?xml version="1.0" encoding="UTF-8" standalone="yes"?>
<Relationships xmlns="http://schemas.openxmlformats.org/package/2006/relationships"><Relationship Id="rId1" Type="http://schemas.openxmlformats.org/officeDocument/2006/relationships/image" Target="media/image1.jpeg"/></Relationships>

</file>

<file path=word/_rels/footer17.xml.rels><?xml version="1.0" encoding="UTF-8" standalone="yes"?>
<Relationships xmlns="http://schemas.openxmlformats.org/package/2006/relationships"><Relationship Id="rId1" Type="http://schemas.openxmlformats.org/officeDocument/2006/relationships/image" Target="media/image1.jpeg"/></Relationships>

</file>

<file path=word/_rels/footer18.xml.rels><?xml version="1.0" encoding="UTF-8" standalone="yes"?>
<Relationships xmlns="http://schemas.openxmlformats.org/package/2006/relationships"><Relationship Id="rId1" Type="http://schemas.openxmlformats.org/officeDocument/2006/relationships/image" Target="media/image1.jpeg"/></Relationships>

</file>

<file path=word/_rels/footer19.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20.xml.rels><?xml version="1.0" encoding="UTF-8" standalone="yes"?>
<Relationships xmlns="http://schemas.openxmlformats.org/package/2006/relationships"><Relationship Id="rId1" Type="http://schemas.openxmlformats.org/officeDocument/2006/relationships/image" Target="media/image1.jpeg"/></Relationships>

</file>

<file path=word/_rels/footer21.xml.rels><?xml version="1.0" encoding="UTF-8" standalone="yes"?>
<Relationships xmlns="http://schemas.openxmlformats.org/package/2006/relationships"><Relationship Id="rId1" Type="http://schemas.openxmlformats.org/officeDocument/2006/relationships/image" Target="media/image1.jpeg"/></Relationships>

</file>

<file path=word/_rels/footer22.xml.rels><?xml version="1.0" encoding="UTF-8" standalone="yes"?>
<Relationships xmlns="http://schemas.openxmlformats.org/package/2006/relationships"><Relationship Id="rId1" Type="http://schemas.openxmlformats.org/officeDocument/2006/relationships/image" Target="media/image1.jpeg"/></Relationships>

</file>

<file path=word/_rels/footer23.xml.rels><?xml version="1.0" encoding="UTF-8" standalone="yes"?>
<Relationships xmlns="http://schemas.openxmlformats.org/package/2006/relationships"><Relationship Id="rId1" Type="http://schemas.openxmlformats.org/officeDocument/2006/relationships/image" Target="media/image1.jpeg"/></Relationships>

</file>

<file path=word/_rels/footer24.xml.rels><?xml version="1.0" encoding="UTF-8" standalone="yes"?>
<Relationships xmlns="http://schemas.openxmlformats.org/package/2006/relationships"><Relationship Id="rId1" Type="http://schemas.openxmlformats.org/officeDocument/2006/relationships/image" Target="media/image1.jpeg"/></Relationships>

</file>

<file path=word/_rels/footer25.xml.rels><?xml version="1.0" encoding="UTF-8" standalone="yes"?>
<Relationships xmlns="http://schemas.openxmlformats.org/package/2006/relationships"><Relationship Id="rId1" Type="http://schemas.openxmlformats.org/officeDocument/2006/relationships/image" Target="media/image1.jpeg"/></Relationships>

</file>

<file path=word/_rels/footer26.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2020-05-19T12:38:16Z</dcterms:created>
  <dcterms:modified xsi:type="dcterms:W3CDTF">2020-05-19T12:38:16Z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2020-04-27T00:00:00Z</vt:filetime>
  </property>
  <property fmtid="{D5CDD505-2E9C-101B-9397-08002B2CF9AE}" pid="3" name="Creator">
    <vt:lpwstr>WPS 文字</vt:lpwstr>
  </property>
  <property fmtid="{D5CDD505-2E9C-101B-9397-08002B2CF9AE}" pid="4" name="LastSaved">
    <vt:filetime>2020-05-19T00:00:00Z</vt:filetime>
  </property>
</Properties>
</file>